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B21CF">
      <w:pPr>
        <w:pStyle w:val="16"/>
        <w:spacing w:line="600" w:lineRule="exact"/>
        <w:rPr>
          <w:rFonts w:asciiTheme="minorHAnsi" w:hAnsiTheme="minorHAnsi"/>
          <w:spacing w:val="-28"/>
          <w:sz w:val="48"/>
          <w:szCs w:val="48"/>
        </w:rPr>
      </w:pPr>
    </w:p>
    <w:p w14:paraId="33D6D2D1">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r>
        <w:rPr>
          <w:rFonts w:hint="eastAsia" w:ascii="宋体" w:hAnsi="宋体" w:eastAsia="宋体" w:cs="宋体"/>
          <w:bCs/>
          <w:snapToGrid w:val="0"/>
          <w:spacing w:val="-16"/>
          <w:kern w:val="0"/>
          <w:sz w:val="52"/>
          <w:szCs w:val="52"/>
          <w:highlight w:val="none"/>
          <w:lang w:eastAsia="zh-CN"/>
        </w:rPr>
        <w:t>2025年平湖市冻猪肉动态储备服务项目（第三次）</w:t>
      </w:r>
    </w:p>
    <w:p w14:paraId="251ABA7B">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63471238">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7BACCFBA">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48BAF3E3">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p>
    <w:p w14:paraId="4CDE313B">
      <w:pPr>
        <w:pStyle w:val="24"/>
        <w:widowControl w:val="0"/>
        <w:snapToGrid w:val="0"/>
        <w:spacing w:line="470" w:lineRule="atLeast"/>
        <w:ind w:firstLine="0"/>
        <w:jc w:val="center"/>
        <w:rPr>
          <w:rFonts w:ascii="宋体" w:hAnsi="宋体" w:eastAsia="宋体" w:cs="宋体"/>
          <w:snapToGrid w:val="0"/>
          <w:color w:val="auto"/>
          <w:spacing w:val="-16"/>
          <w:kern w:val="0"/>
          <w:sz w:val="52"/>
          <w:szCs w:val="52"/>
          <w:highlight w:val="none"/>
        </w:rPr>
      </w:pPr>
      <w:r>
        <w:rPr>
          <w:rFonts w:hint="eastAsia" w:ascii="宋体" w:hAnsi="宋体" w:eastAsia="宋体" w:cs="宋体"/>
          <w:snapToGrid w:val="0"/>
          <w:color w:val="auto"/>
          <w:spacing w:val="-16"/>
          <w:kern w:val="0"/>
          <w:sz w:val="56"/>
          <w:szCs w:val="56"/>
          <w:highlight w:val="none"/>
        </w:rPr>
        <w:t>竞争性磋商文件</w:t>
      </w:r>
    </w:p>
    <w:p w14:paraId="12DA1F6E">
      <w:pPr>
        <w:pStyle w:val="24"/>
        <w:widowControl w:val="0"/>
        <w:snapToGrid w:val="0"/>
        <w:spacing w:line="470" w:lineRule="atLeast"/>
        <w:ind w:firstLine="0"/>
        <w:jc w:val="center"/>
        <w:rPr>
          <w:rFonts w:ascii="黑体" w:hAnsi="宋体" w:eastAsia="黑体"/>
          <w:b w:val="0"/>
          <w:color w:val="auto"/>
          <w:sz w:val="32"/>
          <w:highlight w:val="none"/>
        </w:rPr>
      </w:pPr>
      <w:r>
        <w:rPr>
          <w:rFonts w:hint="eastAsia" w:ascii="黑体" w:hAnsi="宋体" w:eastAsia="黑体"/>
          <w:b w:val="0"/>
          <w:color w:val="auto"/>
          <w:sz w:val="36"/>
          <w:szCs w:val="28"/>
          <w:highlight w:val="none"/>
          <w:u w:val="none" w:color="auto"/>
          <w:lang w:eastAsia="zh-CN"/>
        </w:rPr>
        <w:t>（</w:t>
      </w:r>
      <w:r>
        <w:rPr>
          <w:rFonts w:hint="eastAsia" w:ascii="黑体" w:hAnsi="宋体" w:eastAsia="黑体"/>
          <w:b w:val="0"/>
          <w:color w:val="auto"/>
          <w:sz w:val="36"/>
          <w:szCs w:val="28"/>
          <w:highlight w:val="none"/>
          <w:u w:val="none" w:color="auto"/>
          <w:lang w:val="en-US" w:eastAsia="zh-CN"/>
        </w:rPr>
        <w:t>电子招标</w:t>
      </w:r>
      <w:r>
        <w:rPr>
          <w:rFonts w:hint="eastAsia" w:ascii="黑体" w:hAnsi="宋体" w:eastAsia="黑体"/>
          <w:b w:val="0"/>
          <w:color w:val="auto"/>
          <w:sz w:val="36"/>
          <w:szCs w:val="28"/>
          <w:highlight w:val="none"/>
          <w:u w:val="none" w:color="auto"/>
          <w:lang w:eastAsia="zh-CN"/>
        </w:rPr>
        <w:t>）</w:t>
      </w:r>
    </w:p>
    <w:p w14:paraId="67716746">
      <w:pPr>
        <w:pStyle w:val="24"/>
        <w:widowControl w:val="0"/>
        <w:snapToGrid w:val="0"/>
        <w:spacing w:line="360" w:lineRule="auto"/>
        <w:ind w:firstLine="2400" w:firstLineChars="750"/>
        <w:rPr>
          <w:rFonts w:ascii="黑体" w:hAnsi="宋体" w:eastAsia="黑体"/>
          <w:b w:val="0"/>
          <w:color w:val="auto"/>
          <w:sz w:val="32"/>
          <w:highlight w:val="none"/>
          <w:u w:val="single"/>
        </w:rPr>
      </w:pPr>
    </w:p>
    <w:p w14:paraId="605D5FC2">
      <w:pPr>
        <w:pStyle w:val="24"/>
        <w:spacing w:line="700" w:lineRule="exact"/>
        <w:ind w:firstLine="360" w:firstLineChars="100"/>
        <w:rPr>
          <w:rFonts w:eastAsia="黑体"/>
          <w:b w:val="0"/>
          <w:color w:val="auto"/>
          <w:sz w:val="36"/>
          <w:highlight w:val="none"/>
        </w:rPr>
      </w:pPr>
    </w:p>
    <w:p w14:paraId="1D347222">
      <w:pPr>
        <w:pStyle w:val="24"/>
        <w:spacing w:line="700" w:lineRule="exact"/>
        <w:ind w:firstLine="360" w:firstLineChars="100"/>
        <w:rPr>
          <w:rFonts w:eastAsia="黑体"/>
          <w:b w:val="0"/>
          <w:color w:val="auto"/>
          <w:sz w:val="36"/>
          <w:highlight w:val="none"/>
        </w:rPr>
      </w:pPr>
    </w:p>
    <w:p w14:paraId="107471AF">
      <w:pPr>
        <w:pStyle w:val="24"/>
        <w:spacing w:line="700" w:lineRule="exact"/>
        <w:ind w:firstLine="360" w:firstLineChars="100"/>
        <w:rPr>
          <w:rFonts w:eastAsia="黑体"/>
          <w:b w:val="0"/>
          <w:color w:val="auto"/>
          <w:sz w:val="36"/>
          <w:highlight w:val="none"/>
        </w:rPr>
      </w:pPr>
    </w:p>
    <w:p w14:paraId="22390351">
      <w:pPr>
        <w:pStyle w:val="24"/>
        <w:spacing w:line="700" w:lineRule="exact"/>
        <w:ind w:firstLine="360" w:firstLineChars="100"/>
        <w:rPr>
          <w:rFonts w:eastAsia="黑体"/>
          <w:b w:val="0"/>
          <w:color w:val="auto"/>
          <w:sz w:val="36"/>
          <w:highlight w:val="none"/>
        </w:rPr>
      </w:pPr>
    </w:p>
    <w:p w14:paraId="0F96507A">
      <w:pPr>
        <w:pStyle w:val="10"/>
        <w:snapToGrid w:val="0"/>
        <w:spacing w:line="600" w:lineRule="exact"/>
        <w:ind w:firstLine="627" w:firstLineChars="196"/>
        <w:rPr>
          <w:rFonts w:hint="eastAsia" w:hAnsi="宋体" w:eastAsiaTheme="minorEastAsia"/>
          <w:b/>
          <w:bCs/>
          <w:color w:val="auto"/>
          <w:sz w:val="32"/>
          <w:szCs w:val="32"/>
          <w:highlight w:val="none"/>
          <w:lang w:val="en-US" w:eastAsia="zh-CN"/>
        </w:rPr>
      </w:pPr>
      <w:r>
        <w:rPr>
          <w:rFonts w:hAnsi="宋体"/>
          <w:b/>
          <w:bCs/>
          <w:color w:val="auto"/>
          <w:sz w:val="32"/>
          <w:szCs w:val="32"/>
          <w:highlight w:val="none"/>
        </w:rPr>
        <w:t>项目编号：</w:t>
      </w:r>
      <w:r>
        <w:rPr>
          <w:rFonts w:hint="eastAsia" w:hAnsi="宋体"/>
          <w:b/>
          <w:bCs/>
          <w:color w:val="auto"/>
          <w:sz w:val="32"/>
          <w:szCs w:val="32"/>
          <w:highlight w:val="none"/>
          <w:lang w:eastAsia="zh-CN"/>
        </w:rPr>
        <w:t>JXQQPHC-2025-013（</w:t>
      </w:r>
      <w:r>
        <w:rPr>
          <w:rFonts w:hint="eastAsia" w:hAnsi="宋体"/>
          <w:b/>
          <w:bCs/>
          <w:color w:val="auto"/>
          <w:sz w:val="32"/>
          <w:szCs w:val="32"/>
          <w:highlight w:val="none"/>
          <w:lang w:val="en-US" w:eastAsia="zh-CN"/>
        </w:rPr>
        <w:t>2</w:t>
      </w:r>
      <w:r>
        <w:rPr>
          <w:rFonts w:hint="eastAsia" w:hAnsi="宋体"/>
          <w:b/>
          <w:bCs/>
          <w:color w:val="auto"/>
          <w:sz w:val="32"/>
          <w:szCs w:val="32"/>
          <w:highlight w:val="none"/>
          <w:lang w:eastAsia="zh-CN"/>
        </w:rPr>
        <w:t>）</w:t>
      </w:r>
    </w:p>
    <w:p w14:paraId="3903E6AB">
      <w:pPr>
        <w:pStyle w:val="10"/>
        <w:snapToGrid w:val="0"/>
        <w:spacing w:line="600" w:lineRule="exact"/>
        <w:ind w:left="2360" w:leftChars="286" w:hanging="1760" w:hangingChars="550"/>
        <w:rPr>
          <w:rFonts w:hint="eastAsia" w:hAnsi="宋体" w:eastAsiaTheme="minorEastAsia"/>
          <w:b/>
          <w:bCs/>
          <w:color w:val="auto"/>
          <w:sz w:val="32"/>
          <w:szCs w:val="32"/>
          <w:highlight w:val="none"/>
          <w:lang w:eastAsia="zh-CN"/>
        </w:rPr>
      </w:pPr>
      <w:r>
        <w:rPr>
          <w:rFonts w:hAnsi="宋体"/>
          <w:b/>
          <w:bCs/>
          <w:color w:val="auto"/>
          <w:sz w:val="32"/>
          <w:szCs w:val="32"/>
          <w:highlight w:val="none"/>
        </w:rPr>
        <w:t>采购单位：</w:t>
      </w:r>
      <w:r>
        <w:rPr>
          <w:rFonts w:hint="eastAsia" w:hAnsi="宋体"/>
          <w:b/>
          <w:bCs/>
          <w:color w:val="auto"/>
          <w:w w:val="95"/>
          <w:sz w:val="30"/>
          <w:szCs w:val="30"/>
          <w:highlight w:val="none"/>
          <w:lang w:eastAsia="zh-CN"/>
        </w:rPr>
        <w:t>平湖市商务局</w:t>
      </w:r>
    </w:p>
    <w:p w14:paraId="306564B0">
      <w:pPr>
        <w:pStyle w:val="10"/>
        <w:snapToGrid w:val="0"/>
        <w:spacing w:line="600" w:lineRule="exact"/>
        <w:ind w:firstLine="627" w:firstLineChars="196"/>
        <w:rPr>
          <w:rFonts w:hAnsi="宋体"/>
          <w:b/>
          <w:bCs/>
          <w:color w:val="auto"/>
          <w:sz w:val="32"/>
          <w:szCs w:val="32"/>
          <w:highlight w:val="none"/>
        </w:rPr>
      </w:pPr>
      <w:r>
        <w:rPr>
          <w:rFonts w:hint="eastAsia" w:hAnsi="宋体"/>
          <w:b/>
          <w:bCs/>
          <w:color w:val="auto"/>
          <w:sz w:val="32"/>
          <w:szCs w:val="32"/>
          <w:highlight w:val="none"/>
        </w:rPr>
        <w:t>采购代理单位</w:t>
      </w:r>
      <w:r>
        <w:rPr>
          <w:rFonts w:hAnsi="宋体"/>
          <w:b/>
          <w:bCs/>
          <w:color w:val="auto"/>
          <w:sz w:val="32"/>
          <w:szCs w:val="32"/>
          <w:highlight w:val="none"/>
        </w:rPr>
        <w:t>：</w:t>
      </w:r>
      <w:r>
        <w:rPr>
          <w:rFonts w:hint="eastAsia" w:hAnsi="宋体"/>
          <w:b/>
          <w:bCs/>
          <w:color w:val="auto"/>
          <w:sz w:val="32"/>
          <w:szCs w:val="32"/>
          <w:highlight w:val="none"/>
        </w:rPr>
        <w:t>嘉兴市千秋工程咨询有限公司</w:t>
      </w:r>
    </w:p>
    <w:p w14:paraId="07D86546">
      <w:pPr>
        <w:pStyle w:val="24"/>
        <w:widowControl w:val="0"/>
        <w:snapToGrid w:val="0"/>
        <w:spacing w:line="600" w:lineRule="exact"/>
        <w:ind w:right="-176" w:rightChars="-84" w:firstLine="627" w:firstLineChars="196"/>
        <w:rPr>
          <w:rFonts w:ascii="宋体" w:hAnsi="宋体"/>
          <w:bCs/>
          <w:color w:val="auto"/>
          <w:sz w:val="32"/>
          <w:szCs w:val="32"/>
          <w:highlight w:val="none"/>
        </w:rPr>
        <w:sectPr>
          <w:headerReference r:id="rId5" w:type="first"/>
          <w:headerReference r:id="rId3" w:type="default"/>
          <w:headerReference r:id="rId4" w:type="even"/>
          <w:footerReference r:id="rId6" w:type="even"/>
          <w:pgSz w:w="11906" w:h="16838"/>
          <w:pgMar w:top="1417" w:right="1134" w:bottom="1134" w:left="1134" w:header="851" w:footer="992" w:gutter="0"/>
          <w:pgNumType w:start="0"/>
          <w:cols w:space="720" w:num="1"/>
          <w:titlePg/>
          <w:docGrid w:type="linesAndChars" w:linePitch="312" w:charSpace="0"/>
        </w:sectPr>
      </w:pPr>
      <w:r>
        <w:rPr>
          <w:rFonts w:hint="eastAsia" w:ascii="宋体" w:hAnsi="宋体"/>
          <w:bCs/>
          <w:color w:val="auto"/>
          <w:sz w:val="32"/>
          <w:szCs w:val="32"/>
          <w:highlight w:val="none"/>
        </w:rPr>
        <w:t>编制日期：</w:t>
      </w:r>
      <w:r>
        <w:rPr>
          <w:rFonts w:hint="eastAsia" w:ascii="宋体" w:hAnsi="宋体" w:eastAsia="宋体" w:cs="Times New Roman"/>
          <w:b/>
          <w:bCs/>
          <w:color w:val="auto"/>
          <w:w w:val="95"/>
          <w:sz w:val="30"/>
          <w:szCs w:val="30"/>
          <w:highlight w:val="none"/>
          <w:lang w:eastAsia="zh-CN"/>
        </w:rPr>
        <w:t>2025</w:t>
      </w:r>
      <w:r>
        <w:rPr>
          <w:rFonts w:ascii="宋体" w:hAnsi="宋体" w:eastAsia="宋体" w:cs="Times New Roman"/>
          <w:b/>
          <w:bCs/>
          <w:color w:val="auto"/>
          <w:w w:val="95"/>
          <w:sz w:val="30"/>
          <w:szCs w:val="30"/>
          <w:highlight w:val="none"/>
        </w:rPr>
        <w:t>年</w:t>
      </w:r>
      <w:r>
        <w:rPr>
          <w:rFonts w:hint="eastAsia" w:ascii="宋体" w:hAnsi="宋体" w:eastAsia="宋体" w:cs="Times New Roman"/>
          <w:b/>
          <w:bCs/>
          <w:color w:val="auto"/>
          <w:w w:val="95"/>
          <w:sz w:val="30"/>
          <w:szCs w:val="30"/>
          <w:highlight w:val="none"/>
          <w:lang w:val="en-US" w:eastAsia="zh-CN"/>
        </w:rPr>
        <w:t>7</w:t>
      </w:r>
      <w:r>
        <w:rPr>
          <w:rFonts w:ascii="宋体" w:hAnsi="宋体" w:eastAsia="宋体" w:cs="Times New Roman"/>
          <w:b/>
          <w:bCs/>
          <w:color w:val="auto"/>
          <w:w w:val="95"/>
          <w:sz w:val="30"/>
          <w:szCs w:val="30"/>
          <w:highlight w:val="none"/>
        </w:rPr>
        <w:t>月</w:t>
      </w:r>
      <w:r>
        <w:rPr>
          <w:rFonts w:hint="eastAsia" w:ascii="宋体" w:hAnsi="宋体" w:eastAsia="宋体" w:cs="Times New Roman"/>
          <w:b/>
          <w:bCs/>
          <w:color w:val="auto"/>
          <w:w w:val="95"/>
          <w:sz w:val="30"/>
          <w:szCs w:val="30"/>
          <w:highlight w:val="none"/>
          <w:lang w:val="en-US" w:eastAsia="zh-CN"/>
        </w:rPr>
        <w:t>14日</w:t>
      </w:r>
    </w:p>
    <w:p w14:paraId="51132D99">
      <w:pPr>
        <w:pStyle w:val="24"/>
        <w:widowControl w:val="0"/>
        <w:snapToGrid w:val="0"/>
        <w:spacing w:line="442" w:lineRule="atLeast"/>
        <w:ind w:right="-176" w:rightChars="-84" w:firstLine="0"/>
        <w:jc w:val="center"/>
        <w:rPr>
          <w:rFonts w:ascii="宋体" w:hAnsi="宋体"/>
          <w:color w:val="auto"/>
          <w:sz w:val="32"/>
          <w:highlight w:val="none"/>
        </w:rPr>
      </w:pPr>
      <w:bookmarkStart w:id="0" w:name="_Toc118516209"/>
      <w:bookmarkStart w:id="1" w:name="_Toc171394907"/>
      <w:r>
        <w:rPr>
          <w:rFonts w:hint="eastAsia" w:ascii="宋体" w:hAnsi="宋体"/>
          <w:color w:val="auto"/>
          <w:sz w:val="32"/>
          <w:highlight w:val="none"/>
        </w:rPr>
        <w:t>目   录</w:t>
      </w:r>
    </w:p>
    <w:p w14:paraId="3363FEBB">
      <w:pPr>
        <w:pStyle w:val="24"/>
        <w:widowControl w:val="0"/>
        <w:snapToGrid w:val="0"/>
        <w:spacing w:line="442" w:lineRule="atLeast"/>
        <w:ind w:right="-176" w:rightChars="-84" w:firstLine="0"/>
        <w:jc w:val="center"/>
        <w:rPr>
          <w:rFonts w:ascii="宋体" w:hAnsi="宋体"/>
          <w:color w:val="auto"/>
          <w:sz w:val="32"/>
          <w:highlight w:val="none"/>
        </w:rPr>
      </w:pPr>
    </w:p>
    <w:p w14:paraId="069E94E5">
      <w:pPr>
        <w:pStyle w:val="13"/>
        <w:tabs>
          <w:tab w:val="right" w:leader="dot" w:pos="9638"/>
        </w:tabs>
        <w:ind w:left="0" w:leftChars="0" w:firstLine="0" w:firstLineChars="0"/>
        <w:jc w:val="both"/>
        <w:rPr>
          <w:color w:val="auto"/>
          <w:sz w:val="28"/>
          <w:szCs w:val="28"/>
          <w:highlight w:val="none"/>
        </w:rPr>
      </w:pPr>
      <w:r>
        <w:rPr>
          <w:color w:val="auto"/>
          <w:sz w:val="48"/>
          <w:szCs w:val="48"/>
          <w:highlight w:val="none"/>
        </w:rPr>
        <w:fldChar w:fldCharType="begin"/>
      </w:r>
      <w:r>
        <w:rPr>
          <w:color w:val="auto"/>
          <w:sz w:val="48"/>
          <w:szCs w:val="48"/>
          <w:highlight w:val="none"/>
        </w:rPr>
        <w:instrText xml:space="preserve"> TOC \o "1-3" \h \z \u </w:instrText>
      </w:r>
      <w:r>
        <w:rPr>
          <w:color w:val="auto"/>
          <w:sz w:val="48"/>
          <w:szCs w:val="48"/>
          <w:highlight w:val="none"/>
        </w:rPr>
        <w:fldChar w:fldCharType="separate"/>
      </w:r>
      <w:r>
        <w:rPr>
          <w:color w:val="auto"/>
          <w:sz w:val="28"/>
          <w:szCs w:val="96"/>
          <w:highlight w:val="none"/>
        </w:rPr>
        <w:fldChar w:fldCharType="begin"/>
      </w:r>
      <w:r>
        <w:rPr>
          <w:color w:val="auto"/>
          <w:sz w:val="28"/>
          <w:szCs w:val="96"/>
          <w:highlight w:val="none"/>
        </w:rPr>
        <w:instrText xml:space="preserve"> HYPERLINK \l _Toc11836 </w:instrText>
      </w:r>
      <w:r>
        <w:rPr>
          <w:color w:val="auto"/>
          <w:sz w:val="28"/>
          <w:szCs w:val="96"/>
          <w:highlight w:val="none"/>
        </w:rPr>
        <w:fldChar w:fldCharType="separate"/>
      </w:r>
      <w:r>
        <w:rPr>
          <w:rFonts w:hint="eastAsia"/>
          <w:color w:val="auto"/>
          <w:sz w:val="28"/>
          <w:szCs w:val="28"/>
          <w:highlight w:val="none"/>
          <w:lang w:val="en-US" w:eastAsia="zh-CN"/>
        </w:rPr>
        <w:t xml:space="preserve">第一章 </w:t>
      </w:r>
      <w:r>
        <w:rPr>
          <w:rFonts w:hint="eastAsia"/>
          <w:color w:val="auto"/>
          <w:sz w:val="28"/>
          <w:szCs w:val="28"/>
          <w:highlight w:val="none"/>
        </w:rPr>
        <w:t>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_Toc11836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96"/>
          <w:highlight w:val="none"/>
        </w:rPr>
        <w:fldChar w:fldCharType="end"/>
      </w:r>
    </w:p>
    <w:p w14:paraId="19C94B3F">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_Toc14807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lang w:val="en-US" w:eastAsia="zh-CN"/>
        </w:rPr>
        <w:t xml:space="preserve">二章 </w:t>
      </w:r>
      <w:r>
        <w:rPr>
          <w:rFonts w:hint="eastAsia" w:ascii="宋体" w:hAnsi="宋体" w:eastAsia="宋体"/>
          <w:color w:val="auto"/>
          <w:sz w:val="28"/>
          <w:szCs w:val="28"/>
          <w:highlight w:val="none"/>
        </w:rPr>
        <w:t>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_Toc14807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eastAsia="宋体"/>
          <w:color w:val="auto"/>
          <w:sz w:val="28"/>
          <w:szCs w:val="96"/>
          <w:highlight w:val="none"/>
        </w:rPr>
        <w:fldChar w:fldCharType="end"/>
      </w:r>
    </w:p>
    <w:p w14:paraId="3D3A16AB">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_Toc12644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第三</w:t>
      </w:r>
      <w:r>
        <w:rPr>
          <w:rFonts w:hint="eastAsia" w:ascii="宋体" w:hAnsi="宋体" w:eastAsia="宋体"/>
          <w:color w:val="auto"/>
          <w:sz w:val="28"/>
          <w:szCs w:val="28"/>
          <w:highlight w:val="none"/>
          <w:lang w:val="en-US" w:eastAsia="zh-CN"/>
        </w:rPr>
        <w:t>章</w:t>
      </w:r>
      <w:r>
        <w:rPr>
          <w:rFonts w:hint="eastAsia" w:ascii="宋体" w:hAnsi="宋体" w:eastAsia="宋体"/>
          <w:color w:val="auto"/>
          <w:sz w:val="28"/>
          <w:szCs w:val="28"/>
          <w:highlight w:val="none"/>
        </w:rPr>
        <w:t xml:space="preserve"> </w:t>
      </w:r>
      <w:r>
        <w:rPr>
          <w:rFonts w:hint="eastAsia" w:ascii="宋体" w:hAnsi="宋体" w:eastAsia="宋体"/>
          <w:color w:val="auto"/>
          <w:sz w:val="28"/>
          <w:szCs w:val="28"/>
          <w:highlight w:val="none"/>
          <w:lang w:val="en-US" w:eastAsia="zh-CN"/>
        </w:rPr>
        <w:t>招标需求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_Toc12644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ascii="宋体" w:hAnsi="宋体" w:eastAsia="宋体"/>
          <w:color w:val="auto"/>
          <w:sz w:val="28"/>
          <w:szCs w:val="96"/>
          <w:highlight w:val="none"/>
        </w:rPr>
        <w:fldChar w:fldCharType="end"/>
      </w:r>
    </w:p>
    <w:p w14:paraId="47123B3D">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_Toc12240 </w:instrText>
      </w:r>
      <w:r>
        <w:rPr>
          <w:rFonts w:ascii="宋体" w:hAnsi="宋体" w:eastAsia="宋体"/>
          <w:color w:val="auto"/>
          <w:sz w:val="28"/>
          <w:szCs w:val="96"/>
          <w:highlight w:val="none"/>
        </w:rPr>
        <w:fldChar w:fldCharType="separate"/>
      </w:r>
      <w:r>
        <w:rPr>
          <w:color w:val="auto"/>
          <w:sz w:val="28"/>
          <w:szCs w:val="28"/>
          <w:highlight w:val="none"/>
        </w:rPr>
        <w:t>第四</w:t>
      </w:r>
      <w:r>
        <w:rPr>
          <w:rFonts w:hint="eastAsia"/>
          <w:color w:val="auto"/>
          <w:sz w:val="28"/>
          <w:szCs w:val="28"/>
          <w:highlight w:val="none"/>
          <w:lang w:val="en-US" w:eastAsia="zh-CN"/>
        </w:rPr>
        <w:t xml:space="preserve">章 </w:t>
      </w:r>
      <w:r>
        <w:rPr>
          <w:rFonts w:hint="eastAsia"/>
          <w:color w:val="auto"/>
          <w:sz w:val="28"/>
          <w:szCs w:val="28"/>
          <w:highlight w:val="none"/>
        </w:rPr>
        <w:t>磋商办法及磋商标准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_Toc12240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rFonts w:ascii="宋体" w:hAnsi="宋体" w:eastAsia="宋体"/>
          <w:color w:val="auto"/>
          <w:sz w:val="28"/>
          <w:szCs w:val="96"/>
          <w:highlight w:val="none"/>
        </w:rPr>
        <w:fldChar w:fldCharType="end"/>
      </w:r>
    </w:p>
    <w:p w14:paraId="4B2B549A">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_Toc10436 </w:instrText>
      </w:r>
      <w:r>
        <w:rPr>
          <w:rFonts w:ascii="宋体" w:hAnsi="宋体" w:eastAsia="宋体"/>
          <w:color w:val="auto"/>
          <w:sz w:val="28"/>
          <w:szCs w:val="96"/>
          <w:highlight w:val="none"/>
        </w:rPr>
        <w:fldChar w:fldCharType="separate"/>
      </w:r>
      <w:r>
        <w:rPr>
          <w:rFonts w:hint="eastAsia"/>
          <w:color w:val="auto"/>
          <w:sz w:val="28"/>
          <w:szCs w:val="28"/>
          <w:highlight w:val="none"/>
          <w:lang w:val="en-US" w:eastAsia="zh-CN"/>
        </w:rPr>
        <w:t xml:space="preserve">第五章 </w:t>
      </w:r>
      <w:r>
        <w:rPr>
          <w:color w:val="auto"/>
          <w:sz w:val="28"/>
          <w:szCs w:val="28"/>
          <w:highlight w:val="none"/>
        </w:rPr>
        <w:t>合同</w:t>
      </w:r>
      <w:r>
        <w:rPr>
          <w:rFonts w:hint="eastAsia"/>
          <w:color w:val="auto"/>
          <w:sz w:val="28"/>
          <w:szCs w:val="28"/>
          <w:highlight w:val="none"/>
        </w:rPr>
        <w:t>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_Toc10436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ascii="宋体" w:hAnsi="宋体" w:eastAsia="宋体"/>
          <w:color w:val="auto"/>
          <w:sz w:val="28"/>
          <w:szCs w:val="96"/>
          <w:highlight w:val="none"/>
        </w:rPr>
        <w:fldChar w:fldCharType="end"/>
      </w:r>
    </w:p>
    <w:p w14:paraId="7ECCD324">
      <w:pPr>
        <w:pStyle w:val="13"/>
        <w:tabs>
          <w:tab w:val="right" w:leader="dot" w:pos="9638"/>
        </w:tabs>
        <w:ind w:left="0" w:leftChars="0" w:firstLine="0" w:firstLineChars="0"/>
        <w:jc w:val="both"/>
        <w:rPr>
          <w:color w:val="auto"/>
          <w:sz w:val="28"/>
          <w:szCs w:val="28"/>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_Toc14059 </w:instrText>
      </w:r>
      <w:r>
        <w:rPr>
          <w:rFonts w:ascii="宋体" w:hAnsi="宋体" w:eastAsia="宋体"/>
          <w:color w:val="auto"/>
          <w:sz w:val="28"/>
          <w:szCs w:val="96"/>
          <w:highlight w:val="none"/>
        </w:rPr>
        <w:fldChar w:fldCharType="separate"/>
      </w:r>
      <w:r>
        <w:rPr>
          <w:rFonts w:hint="eastAsia" w:ascii="宋体" w:hAnsi="宋体" w:eastAsia="宋体"/>
          <w:color w:val="auto"/>
          <w:sz w:val="28"/>
          <w:szCs w:val="28"/>
          <w:highlight w:val="none"/>
        </w:rPr>
        <w:t>第</w:t>
      </w:r>
      <w:r>
        <w:rPr>
          <w:rFonts w:hint="eastAsia" w:ascii="宋体" w:hAnsi="宋体" w:eastAsia="宋体"/>
          <w:color w:val="auto"/>
          <w:sz w:val="28"/>
          <w:szCs w:val="28"/>
          <w:highlight w:val="none"/>
          <w:lang w:val="en-US" w:eastAsia="zh-CN"/>
        </w:rPr>
        <w:t>六章</w:t>
      </w:r>
      <w:r>
        <w:rPr>
          <w:rFonts w:hint="eastAsia" w:ascii="宋体" w:hAnsi="宋体" w:eastAsia="宋体"/>
          <w:color w:val="auto"/>
          <w:sz w:val="28"/>
          <w:szCs w:val="28"/>
          <w:highlight w:val="none"/>
        </w:rPr>
        <w:t xml:space="preserve"> 附件(响应文件格式)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_Toc14059 \h </w:instrText>
      </w:r>
      <w:r>
        <w:rPr>
          <w:color w:val="auto"/>
          <w:sz w:val="28"/>
          <w:szCs w:val="28"/>
          <w:highlight w:val="none"/>
        </w:rPr>
        <w:fldChar w:fldCharType="separate"/>
      </w:r>
      <w:r>
        <w:rPr>
          <w:color w:val="auto"/>
          <w:sz w:val="28"/>
          <w:szCs w:val="28"/>
          <w:highlight w:val="none"/>
        </w:rPr>
        <w:t>30</w:t>
      </w:r>
      <w:r>
        <w:rPr>
          <w:color w:val="auto"/>
          <w:sz w:val="28"/>
          <w:szCs w:val="28"/>
          <w:highlight w:val="none"/>
        </w:rPr>
        <w:fldChar w:fldCharType="end"/>
      </w:r>
      <w:r>
        <w:rPr>
          <w:rFonts w:ascii="宋体" w:hAnsi="宋体" w:eastAsia="宋体"/>
          <w:color w:val="auto"/>
          <w:sz w:val="28"/>
          <w:szCs w:val="96"/>
          <w:highlight w:val="none"/>
        </w:rPr>
        <w:fldChar w:fldCharType="end"/>
      </w:r>
    </w:p>
    <w:p w14:paraId="55BA56BD">
      <w:pPr>
        <w:pStyle w:val="13"/>
        <w:tabs>
          <w:tab w:val="right" w:leader="dot" w:pos="9638"/>
        </w:tabs>
        <w:ind w:left="0" w:leftChars="0" w:firstLine="0" w:firstLineChars="0"/>
        <w:jc w:val="both"/>
        <w:rPr>
          <w:color w:val="auto"/>
          <w:highlight w:val="none"/>
        </w:rPr>
      </w:pPr>
      <w:r>
        <w:rPr>
          <w:rFonts w:ascii="宋体" w:hAnsi="宋体" w:eastAsia="宋体"/>
          <w:color w:val="auto"/>
          <w:sz w:val="28"/>
          <w:szCs w:val="96"/>
          <w:highlight w:val="none"/>
        </w:rPr>
        <w:fldChar w:fldCharType="begin"/>
      </w:r>
      <w:r>
        <w:rPr>
          <w:rFonts w:ascii="宋体" w:hAnsi="宋体" w:eastAsia="宋体"/>
          <w:color w:val="auto"/>
          <w:sz w:val="28"/>
          <w:szCs w:val="96"/>
          <w:highlight w:val="none"/>
        </w:rPr>
        <w:instrText xml:space="preserve"> HYPERLINK \l _Toc24670 </w:instrText>
      </w:r>
      <w:r>
        <w:rPr>
          <w:rFonts w:ascii="宋体" w:hAnsi="宋体" w:eastAsia="宋体"/>
          <w:color w:val="auto"/>
          <w:sz w:val="28"/>
          <w:szCs w:val="96"/>
          <w:highlight w:val="none"/>
        </w:rPr>
        <w:fldChar w:fldCharType="separate"/>
      </w:r>
      <w:r>
        <w:rPr>
          <w:rFonts w:hint="eastAsia" w:ascii="宋体" w:hAnsi="宋体" w:cs="宋体"/>
          <w:color w:val="auto"/>
          <w:sz w:val="28"/>
          <w:szCs w:val="44"/>
          <w:highlight w:val="none"/>
        </w:rPr>
        <w:t>第</w:t>
      </w:r>
      <w:r>
        <w:rPr>
          <w:rFonts w:hint="eastAsia" w:ascii="宋体" w:hAnsi="宋体" w:cs="宋体"/>
          <w:color w:val="auto"/>
          <w:sz w:val="28"/>
          <w:szCs w:val="44"/>
          <w:highlight w:val="none"/>
          <w:lang w:val="en-US" w:eastAsia="zh-CN"/>
        </w:rPr>
        <w:t xml:space="preserve">七章 </w:t>
      </w:r>
      <w:r>
        <w:rPr>
          <w:rFonts w:hint="eastAsia" w:ascii="宋体" w:hAnsi="宋体" w:cs="宋体"/>
          <w:color w:val="auto"/>
          <w:sz w:val="28"/>
          <w:szCs w:val="44"/>
          <w:highlight w:val="none"/>
        </w:rPr>
        <w:t>其它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_Toc24670 \h </w:instrText>
      </w:r>
      <w:r>
        <w:rPr>
          <w:color w:val="auto"/>
          <w:sz w:val="28"/>
          <w:szCs w:val="28"/>
          <w:highlight w:val="none"/>
        </w:rPr>
        <w:fldChar w:fldCharType="separate"/>
      </w:r>
      <w:r>
        <w:rPr>
          <w:color w:val="auto"/>
          <w:sz w:val="28"/>
          <w:szCs w:val="28"/>
          <w:highlight w:val="none"/>
        </w:rPr>
        <w:t>48</w:t>
      </w:r>
      <w:r>
        <w:rPr>
          <w:color w:val="auto"/>
          <w:sz w:val="28"/>
          <w:szCs w:val="28"/>
          <w:highlight w:val="none"/>
        </w:rPr>
        <w:fldChar w:fldCharType="end"/>
      </w:r>
      <w:r>
        <w:rPr>
          <w:rFonts w:ascii="宋体" w:hAnsi="宋体" w:eastAsia="宋体"/>
          <w:color w:val="auto"/>
          <w:sz w:val="28"/>
          <w:szCs w:val="96"/>
          <w:highlight w:val="none"/>
        </w:rPr>
        <w:fldChar w:fldCharType="end"/>
      </w:r>
    </w:p>
    <w:p w14:paraId="66BA42E2">
      <w:pPr>
        <w:pStyle w:val="2"/>
        <w:tabs>
          <w:tab w:val="right" w:leader="dot" w:pos="9000"/>
        </w:tabs>
        <w:snapToGrid w:val="0"/>
        <w:spacing w:before="0" w:after="0"/>
        <w:rPr>
          <w:rFonts w:ascii="宋体" w:hAnsi="宋体" w:eastAsia="宋体"/>
          <w:color w:val="auto"/>
          <w:sz w:val="32"/>
          <w:highlight w:val="none"/>
        </w:rPr>
      </w:pPr>
      <w:r>
        <w:rPr>
          <w:rFonts w:ascii="宋体" w:hAnsi="宋体" w:eastAsia="宋体"/>
          <w:color w:val="auto"/>
          <w:szCs w:val="48"/>
          <w:highlight w:val="none"/>
        </w:rPr>
        <w:fldChar w:fldCharType="end"/>
      </w:r>
    </w:p>
    <w:bookmarkEnd w:id="0"/>
    <w:p w14:paraId="7F66BE75">
      <w:pPr>
        <w:pStyle w:val="2"/>
        <w:bidi w:val="0"/>
        <w:rPr>
          <w:rFonts w:hint="eastAsia"/>
          <w:color w:val="auto"/>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2" w:name="_Toc11836"/>
    </w:p>
    <w:p w14:paraId="0AE72008">
      <w:pPr>
        <w:pStyle w:val="2"/>
        <w:bidi w:val="0"/>
        <w:rPr>
          <w:rFonts w:ascii="宋体" w:hAnsi="宋体" w:eastAsia="宋体"/>
          <w:color w:val="auto"/>
          <w:highlight w:val="none"/>
        </w:rPr>
      </w:pPr>
      <w:r>
        <w:rPr>
          <w:rFonts w:hint="eastAsia"/>
          <w:color w:val="auto"/>
          <w:highlight w:val="none"/>
          <w:lang w:val="en-US" w:eastAsia="zh-CN"/>
        </w:rPr>
        <w:t xml:space="preserve">第一章 </w:t>
      </w:r>
      <w:r>
        <w:rPr>
          <w:rFonts w:hint="eastAsia"/>
          <w:color w:val="auto"/>
          <w:highlight w:val="none"/>
        </w:rPr>
        <w:t>竞争性磋商公告</w:t>
      </w:r>
      <w:bookmarkEnd w:id="1"/>
      <w:bookmarkEnd w:id="2"/>
    </w:p>
    <w:p w14:paraId="35544F32">
      <w:pPr>
        <w:pStyle w:val="6"/>
        <w:keepNext w:val="0"/>
        <w:keepLines w:val="0"/>
        <w:pageBreakBefore w:val="0"/>
        <w:kinsoku/>
        <w:wordWrap/>
        <w:overflowPunct/>
        <w:topLinePunct w:val="0"/>
        <w:autoSpaceDE/>
        <w:autoSpaceDN/>
        <w:bidi w:val="0"/>
        <w:spacing w:after="0" w:afterLines="0" w:line="440" w:lineRule="exact"/>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根据《中华人民共和国政府采购法》、《中华人民共和国政府采购法实施条例》《政府采购竞争性磋商采购方式管理暂行办法》等法律法规，经平湖市财政局临[2025]2270号确认书批准，嘉兴市千秋工程</w:t>
      </w:r>
      <w:r>
        <w:rPr>
          <w:rFonts w:hint="eastAsia" w:ascii="宋体" w:hAnsi="宋体" w:eastAsia="宋体" w:cs="宋体"/>
          <w:color w:val="auto"/>
          <w:sz w:val="21"/>
          <w:szCs w:val="21"/>
          <w:highlight w:val="none"/>
        </w:rPr>
        <w:t>咨询有限</w:t>
      </w:r>
      <w:r>
        <w:rPr>
          <w:rFonts w:hint="eastAsia" w:ascii="宋体" w:hAnsi="宋体" w:eastAsia="宋体" w:cs="宋体"/>
          <w:color w:val="auto"/>
          <w:sz w:val="21"/>
          <w:szCs w:val="21"/>
          <w:highlight w:val="none"/>
          <w:lang w:val="en-US" w:eastAsia="zh-CN"/>
        </w:rPr>
        <w:t>公司受平湖市商务局委托</w:t>
      </w:r>
      <w:r>
        <w:rPr>
          <w:rFonts w:hint="eastAsia" w:ascii="宋体" w:hAnsi="宋体" w:eastAsia="宋体" w:cs="宋体"/>
          <w:color w:val="auto"/>
          <w:sz w:val="21"/>
          <w:szCs w:val="21"/>
          <w:highlight w:val="none"/>
        </w:rPr>
        <w:t>，现就</w:t>
      </w:r>
      <w:r>
        <w:rPr>
          <w:rFonts w:hint="eastAsia" w:ascii="宋体" w:hAnsi="宋体" w:eastAsia="宋体" w:cs="宋体"/>
          <w:color w:val="auto"/>
          <w:sz w:val="21"/>
          <w:szCs w:val="21"/>
          <w:highlight w:val="none"/>
          <w:lang w:val="en-US" w:eastAsia="zh-CN"/>
        </w:rPr>
        <w:t>2025年平湖市冻猪肉动态储备服务项目（第三次）</w:t>
      </w:r>
      <w:r>
        <w:rPr>
          <w:rFonts w:hint="eastAsia" w:ascii="宋体" w:hAnsi="宋体" w:eastAsia="宋体" w:cs="宋体"/>
          <w:color w:val="auto"/>
          <w:sz w:val="21"/>
          <w:szCs w:val="21"/>
          <w:highlight w:val="none"/>
          <w:lang w:val="en-US" w:eastAsia="zh-CN"/>
        </w:rPr>
        <w:t>组织竞争性磋商</w:t>
      </w:r>
      <w:r>
        <w:rPr>
          <w:rFonts w:hint="eastAsia" w:ascii="宋体" w:hAnsi="宋体" w:eastAsia="宋体" w:cs="宋体"/>
          <w:color w:val="auto"/>
          <w:sz w:val="21"/>
          <w:szCs w:val="21"/>
          <w:highlight w:val="none"/>
        </w:rPr>
        <w:t>，欢迎符合条件的供应商参加磋商活动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具体内容如下：</w:t>
      </w:r>
    </w:p>
    <w:p w14:paraId="5077447A">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一、采购</w:t>
      </w:r>
      <w:r>
        <w:rPr>
          <w:rFonts w:hint="eastAsia" w:ascii="宋体" w:hAnsi="宋体" w:eastAsia="宋体" w:cs="宋体"/>
          <w:b/>
          <w:bCs/>
          <w:color w:val="auto"/>
          <w:sz w:val="21"/>
          <w:szCs w:val="21"/>
          <w:highlight w:val="none"/>
        </w:rPr>
        <w:t>项目编号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JXQQPHC-2025-013（</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eastAsia="zh-CN"/>
        </w:rPr>
        <w:t>）</w:t>
      </w:r>
    </w:p>
    <w:p w14:paraId="7591570F">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二、采购组织类型：</w:t>
      </w:r>
      <w:r>
        <w:rPr>
          <w:rFonts w:hint="eastAsia" w:ascii="宋体" w:hAnsi="宋体" w:eastAsia="宋体" w:cs="宋体"/>
          <w:b w:val="0"/>
          <w:bCs/>
          <w:color w:val="auto"/>
          <w:sz w:val="21"/>
          <w:szCs w:val="21"/>
          <w:highlight w:val="none"/>
          <w:lang w:val="en-US" w:eastAsia="zh-CN"/>
        </w:rPr>
        <w:t>分散采购委托代理</w:t>
      </w:r>
    </w:p>
    <w:p w14:paraId="036E64FC">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采购方式：</w:t>
      </w:r>
      <w:r>
        <w:rPr>
          <w:rFonts w:hint="eastAsia" w:ascii="宋体" w:hAnsi="宋体" w:eastAsia="宋体" w:cs="宋体"/>
          <w:b w:val="0"/>
          <w:bCs/>
          <w:color w:val="auto"/>
          <w:sz w:val="21"/>
          <w:szCs w:val="21"/>
          <w:highlight w:val="none"/>
          <w:lang w:val="en-US" w:eastAsia="zh-CN"/>
        </w:rPr>
        <w:t>竞争性磋商</w:t>
      </w:r>
    </w:p>
    <w:p w14:paraId="20EA3B66">
      <w:pPr>
        <w:keepNext w:val="0"/>
        <w:keepLines w:val="0"/>
        <w:pageBreakBefore w:val="0"/>
        <w:numPr>
          <w:ilvl w:val="0"/>
          <w:numId w:val="0"/>
        </w:numPr>
        <w:kinsoku/>
        <w:wordWrap/>
        <w:overflowPunct/>
        <w:topLinePunct w:val="0"/>
        <w:autoSpaceDE/>
        <w:autoSpaceDN/>
        <w:bidi w:val="0"/>
        <w:adjustRightInd w:val="0"/>
        <w:snapToGrid w:val="0"/>
        <w:spacing w:line="440" w:lineRule="exact"/>
        <w:ind w:right="0"/>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四、采购</w:t>
      </w:r>
      <w:r>
        <w:rPr>
          <w:rFonts w:hint="eastAsia" w:ascii="宋体" w:hAnsi="宋体" w:eastAsia="宋体" w:cs="宋体"/>
          <w:b/>
          <w:color w:val="auto"/>
          <w:sz w:val="21"/>
          <w:szCs w:val="21"/>
          <w:highlight w:val="none"/>
        </w:rPr>
        <w:t>项目概况：</w:t>
      </w:r>
    </w:p>
    <w:tbl>
      <w:tblPr>
        <w:tblStyle w:val="19"/>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707"/>
        <w:gridCol w:w="1859"/>
        <w:gridCol w:w="855"/>
        <w:gridCol w:w="780"/>
        <w:gridCol w:w="1290"/>
        <w:gridCol w:w="1362"/>
      </w:tblGrid>
      <w:tr w14:paraId="032A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2" w:type="dxa"/>
            <w:noWrap w:val="0"/>
            <w:vAlign w:val="center"/>
          </w:tcPr>
          <w:p w14:paraId="6E40FA3A">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707" w:type="dxa"/>
            <w:noWrap w:val="0"/>
            <w:vAlign w:val="center"/>
          </w:tcPr>
          <w:p w14:paraId="6E640CAE">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p>
        </w:tc>
        <w:tc>
          <w:tcPr>
            <w:tcW w:w="1859" w:type="dxa"/>
            <w:noWrap w:val="0"/>
            <w:vAlign w:val="center"/>
          </w:tcPr>
          <w:p w14:paraId="3BCE4FEC">
            <w:pPr>
              <w:pStyle w:val="31"/>
              <w:keepNext w:val="0"/>
              <w:keepLines w:val="0"/>
              <w:pageBreakBefore w:val="0"/>
              <w:widowControl w:val="0"/>
              <w:kinsoku/>
              <w:wordWrap/>
              <w:overflowPunct/>
              <w:topLinePunct w:val="0"/>
              <w:autoSpaceDE/>
              <w:autoSpaceDN/>
              <w:bidi w:val="0"/>
              <w:spacing w:line="440" w:lineRule="exact"/>
              <w:ind w:left="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采购内容</w:t>
            </w:r>
          </w:p>
        </w:tc>
        <w:tc>
          <w:tcPr>
            <w:tcW w:w="855" w:type="dxa"/>
            <w:noWrap w:val="0"/>
            <w:vAlign w:val="center"/>
          </w:tcPr>
          <w:p w14:paraId="3B61EA5F">
            <w:pPr>
              <w:pStyle w:val="31"/>
              <w:keepNext w:val="0"/>
              <w:keepLines w:val="0"/>
              <w:pageBreakBefore w:val="0"/>
              <w:widowControl w:val="0"/>
              <w:kinsoku/>
              <w:wordWrap/>
              <w:overflowPunct/>
              <w:topLinePunct w:val="0"/>
              <w:autoSpaceDE/>
              <w:autoSpaceDN/>
              <w:bidi w:val="0"/>
              <w:spacing w:line="44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eastAsia="宋体"/>
                <w:color w:val="auto"/>
                <w:sz w:val="21"/>
                <w:highlight w:val="none"/>
                <w:lang w:val="en-US" w:eastAsia="zh-CN"/>
              </w:rPr>
              <w:t>单位</w:t>
            </w:r>
          </w:p>
        </w:tc>
        <w:tc>
          <w:tcPr>
            <w:tcW w:w="780" w:type="dxa"/>
            <w:noWrap w:val="0"/>
            <w:vAlign w:val="center"/>
          </w:tcPr>
          <w:p w14:paraId="46E31817">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w:t>
            </w:r>
          </w:p>
        </w:tc>
        <w:tc>
          <w:tcPr>
            <w:tcW w:w="1290" w:type="dxa"/>
            <w:noWrap w:val="0"/>
            <w:vAlign w:val="center"/>
          </w:tcPr>
          <w:p w14:paraId="0CED48B2">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w:t>
            </w:r>
          </w:p>
        </w:tc>
        <w:tc>
          <w:tcPr>
            <w:tcW w:w="1362" w:type="dxa"/>
            <w:noWrap w:val="0"/>
            <w:vAlign w:val="center"/>
          </w:tcPr>
          <w:p w14:paraId="1827D83B">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限高价</w:t>
            </w:r>
          </w:p>
        </w:tc>
      </w:tr>
      <w:tr w14:paraId="3719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22" w:type="dxa"/>
            <w:noWrap w:val="0"/>
            <w:vAlign w:val="center"/>
          </w:tcPr>
          <w:p w14:paraId="7B519FBE">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707" w:type="dxa"/>
            <w:noWrap w:val="0"/>
            <w:vAlign w:val="center"/>
          </w:tcPr>
          <w:p w14:paraId="5309CA38">
            <w:pPr>
              <w:keepNext w:val="0"/>
              <w:keepLines w:val="0"/>
              <w:pageBreakBefore w:val="0"/>
              <w:widowControl w:val="0"/>
              <w:kinsoku/>
              <w:wordWrap/>
              <w:overflowPunct/>
              <w:topLinePunct w:val="0"/>
              <w:autoSpaceDE/>
              <w:autoSpaceDN/>
              <w:bidi w:val="0"/>
              <w:spacing w:line="440" w:lineRule="exact"/>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2025年平湖市冻猪肉动态储备服务项目（第三次）</w:t>
            </w:r>
          </w:p>
        </w:tc>
        <w:tc>
          <w:tcPr>
            <w:tcW w:w="1859" w:type="dxa"/>
            <w:noWrap w:val="0"/>
            <w:vAlign w:val="center"/>
          </w:tcPr>
          <w:p w14:paraId="6037A066">
            <w:pPr>
              <w:pStyle w:val="31"/>
              <w:keepNext w:val="0"/>
              <w:keepLines w:val="0"/>
              <w:pageBreakBefore w:val="0"/>
              <w:widowControl w:val="0"/>
              <w:kinsoku/>
              <w:wordWrap/>
              <w:overflowPunct/>
              <w:topLinePunct w:val="0"/>
              <w:autoSpaceDE/>
              <w:autoSpaceDN/>
              <w:bidi w:val="0"/>
              <w:spacing w:line="440" w:lineRule="exact"/>
              <w:ind w:left="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详见采购文件</w:t>
            </w:r>
          </w:p>
        </w:tc>
        <w:tc>
          <w:tcPr>
            <w:tcW w:w="855" w:type="dxa"/>
            <w:noWrap w:val="0"/>
            <w:vAlign w:val="center"/>
          </w:tcPr>
          <w:p w14:paraId="07ED9AA5">
            <w:pPr>
              <w:pStyle w:val="31"/>
              <w:keepNext w:val="0"/>
              <w:keepLines w:val="0"/>
              <w:pageBreakBefore w:val="0"/>
              <w:widowControl w:val="0"/>
              <w:kinsoku/>
              <w:wordWrap/>
              <w:overflowPunct/>
              <w:topLinePunct w:val="0"/>
              <w:autoSpaceDE/>
              <w:autoSpaceDN/>
              <w:bidi w:val="0"/>
              <w:spacing w:line="440" w:lineRule="exact"/>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780" w:type="dxa"/>
            <w:noWrap w:val="0"/>
            <w:vAlign w:val="center"/>
          </w:tcPr>
          <w:p w14:paraId="62204FAD">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1290" w:type="dxa"/>
            <w:noWrap w:val="0"/>
            <w:vAlign w:val="center"/>
          </w:tcPr>
          <w:p w14:paraId="5E484CB6">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850000元</w:t>
            </w:r>
          </w:p>
        </w:tc>
        <w:tc>
          <w:tcPr>
            <w:tcW w:w="1362" w:type="dxa"/>
            <w:noWrap w:val="0"/>
            <w:vAlign w:val="center"/>
          </w:tcPr>
          <w:p w14:paraId="3EA60679">
            <w:pPr>
              <w:keepNext w:val="0"/>
              <w:keepLines w:val="0"/>
              <w:pageBreakBefore w:val="0"/>
              <w:widowControl w:val="0"/>
              <w:kinsoku/>
              <w:wordWrap/>
              <w:overflowPunct/>
              <w:topLinePunct w:val="0"/>
              <w:autoSpaceDE/>
              <w:autoSpaceDN/>
              <w:bidi w:val="0"/>
              <w:adjustRightInd w:val="0"/>
              <w:snapToGrid w:val="0"/>
              <w:spacing w:line="440" w:lineRule="exact"/>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850000元</w:t>
            </w:r>
          </w:p>
        </w:tc>
      </w:tr>
    </w:tbl>
    <w:p w14:paraId="6A7F25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五、供应商</w:t>
      </w:r>
      <w:r>
        <w:rPr>
          <w:rFonts w:hint="eastAsia" w:ascii="宋体" w:hAnsi="宋体" w:eastAsia="宋体" w:cs="宋体"/>
          <w:b/>
          <w:bCs/>
          <w:color w:val="auto"/>
          <w:sz w:val="21"/>
          <w:szCs w:val="21"/>
          <w:highlight w:val="none"/>
        </w:rPr>
        <w:t>的资格要求</w:t>
      </w:r>
    </w:p>
    <w:p w14:paraId="3C36F2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一</w:t>
      </w:r>
      <w:r>
        <w:rPr>
          <w:rFonts w:hint="eastAsia"/>
          <w:color w:val="auto"/>
          <w:highlight w:val="none"/>
        </w:rPr>
        <w:t>）符合政府采购法第二十二条规定的供应商资格条件</w:t>
      </w:r>
    </w:p>
    <w:p w14:paraId="2FE6F2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14:paraId="2CC7F9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0FFAFF2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Theme="minorEastAsia"/>
          <w:b/>
          <w:bCs/>
          <w:color w:val="auto"/>
          <w:highlight w:val="none"/>
          <w:lang w:val="en-US" w:eastAsia="zh-CN"/>
        </w:rPr>
      </w:pPr>
      <w:r>
        <w:rPr>
          <w:rFonts w:hint="eastAsia"/>
          <w:b/>
          <w:bCs/>
          <w:color w:val="auto"/>
          <w:highlight w:val="none"/>
        </w:rPr>
        <w:t>（三）落实政府采购政策需满足的资格要求</w:t>
      </w:r>
      <w:r>
        <w:rPr>
          <w:rFonts w:hint="eastAsia"/>
          <w:b/>
          <w:bCs/>
          <w:color w:val="auto"/>
          <w:highlight w:val="none"/>
          <w:lang w:eastAsia="zh-CN"/>
        </w:rPr>
        <w:t>：</w:t>
      </w:r>
      <w:r>
        <w:rPr>
          <w:rFonts w:hint="eastAsia"/>
          <w:b/>
          <w:bCs/>
          <w:color w:val="auto"/>
          <w:highlight w:val="none"/>
          <w:lang w:val="en-US" w:eastAsia="zh-CN"/>
        </w:rPr>
        <w:t>落实政府采购政策需满足的资格要求，本项目为专门面向中小企业采购的项目，划分符合工信部联企业[2011]300 号规定的中小型、微型企业的划分标准(行业对应) （监狱企业及残疾人福利性单位视同中小型、微型企业）。</w:t>
      </w:r>
    </w:p>
    <w:p w14:paraId="3D3DC3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四</w:t>
      </w:r>
      <w:r>
        <w:rPr>
          <w:rFonts w:hint="eastAsia"/>
          <w:color w:val="auto"/>
          <w:highlight w:val="none"/>
          <w:lang w:eastAsia="zh-CN"/>
        </w:rPr>
        <w:t>）</w:t>
      </w:r>
      <w:r>
        <w:rPr>
          <w:rFonts w:hint="eastAsia"/>
          <w:color w:val="auto"/>
          <w:highlight w:val="none"/>
          <w:lang w:val="en-US" w:eastAsia="zh-CN"/>
        </w:rPr>
        <w:t>本项目接受联合体投标</w:t>
      </w:r>
      <w:r>
        <w:rPr>
          <w:rFonts w:hint="eastAsia"/>
          <w:color w:val="auto"/>
          <w:highlight w:val="none"/>
        </w:rPr>
        <w:t>。</w:t>
      </w:r>
    </w:p>
    <w:p w14:paraId="29C3CA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（五）</w:t>
      </w:r>
      <w:r>
        <w:rPr>
          <w:rFonts w:hint="eastAsia"/>
          <w:color w:val="auto"/>
          <w:highlight w:val="none"/>
        </w:rPr>
        <w:t>特定资格：具有有效的食品经营或流通或生产许可证。</w:t>
      </w:r>
    </w:p>
    <w:p w14:paraId="368D5CE3">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r>
        <w:rPr>
          <w:rFonts w:hint="eastAsia" w:ascii="宋体" w:hAnsi="宋体" w:cs="宋体"/>
          <w:b/>
          <w:color w:val="auto"/>
          <w:sz w:val="21"/>
          <w:szCs w:val="21"/>
          <w:highlight w:val="none"/>
        </w:rPr>
        <w:t>六、</w:t>
      </w:r>
      <w:r>
        <w:rPr>
          <w:rFonts w:hint="eastAsia" w:ascii="宋体" w:hAnsi="宋体" w:eastAsia="宋体" w:cs="宋体"/>
          <w:b/>
          <w:bCs w:val="0"/>
          <w:color w:val="auto"/>
          <w:sz w:val="21"/>
          <w:szCs w:val="21"/>
          <w:highlight w:val="none"/>
        </w:rPr>
        <w:t>报名及获取采购文件方式：</w:t>
      </w:r>
    </w:p>
    <w:p w14:paraId="45612B0B">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1.报名时间：公告发布之日起至投标文件提交截止时间前；</w:t>
      </w:r>
    </w:p>
    <w:p w14:paraId="45523E13">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2.网上报名地址：浙江政府采购https://zfcg.czt.zj.gov.cn/(用政采云注册帐号、密码进行系统登录后申请获取采购文件，如果“已申请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标签页显示状态为“审核通过”即为报名成功。)</w:t>
      </w:r>
    </w:p>
    <w:p w14:paraId="1BCA93B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获取采购文件方式：在线获取</w:t>
      </w:r>
    </w:p>
    <w:p w14:paraId="5967323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F77615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通过本公告下方“游客，浏览采购文件”下载的采购文件仅供浏览。</w:t>
      </w:r>
    </w:p>
    <w:p w14:paraId="6E7BA0CE">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标书售价：免费</w:t>
      </w:r>
    </w:p>
    <w:p w14:paraId="2844D831">
      <w:pPr>
        <w:keepNext w:val="0"/>
        <w:keepLines w:val="0"/>
        <w:pageBreakBefore w:val="0"/>
        <w:kinsoku/>
        <w:wordWrap/>
        <w:overflowPunct/>
        <w:topLinePunct w:val="0"/>
        <w:autoSpaceDE/>
        <w:autoSpaceDN/>
        <w:bidi w:val="0"/>
        <w:adjustRightInd/>
        <w:snapToGrid w:val="0"/>
        <w:spacing w:line="440" w:lineRule="exact"/>
        <w:ind w:firstLine="411" w:firstLineChars="196"/>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注：请供应商按上述要求获取磋商文件，如未在“政采云”系统内完成相关流程，引起的投标无效责任自负。</w:t>
      </w:r>
    </w:p>
    <w:p w14:paraId="63781571">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bCs/>
          <w:color w:val="auto"/>
          <w:sz w:val="21"/>
          <w:szCs w:val="21"/>
          <w:highlight w:val="none"/>
        </w:rPr>
      </w:pPr>
      <w:bookmarkStart w:id="3" w:name="_Toc13966"/>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开启</w:t>
      </w:r>
      <w:r>
        <w:rPr>
          <w:rFonts w:hint="eastAsia" w:ascii="宋体" w:hAnsi="宋体" w:eastAsia="宋体" w:cs="宋体"/>
          <w:bCs/>
          <w:color w:val="auto"/>
          <w:sz w:val="21"/>
          <w:szCs w:val="21"/>
          <w:highlight w:val="none"/>
        </w:rPr>
        <w:t>时间和地点</w:t>
      </w:r>
      <w:bookmarkEnd w:id="3"/>
    </w:p>
    <w:p w14:paraId="5A635A31">
      <w:pPr>
        <w:widowControl/>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val="en-US" w:eastAsia="zh-CN"/>
        </w:rPr>
        <w:t>.开启</w:t>
      </w:r>
      <w:r>
        <w:rPr>
          <w:rFonts w:hint="eastAsia" w:ascii="宋体" w:hAnsi="宋体" w:cs="宋体"/>
          <w:b/>
          <w:color w:val="auto"/>
          <w:szCs w:val="21"/>
          <w:highlight w:val="none"/>
        </w:rPr>
        <w:t>时间：</w:t>
      </w:r>
      <w:r>
        <w:rPr>
          <w:rFonts w:hint="eastAsia" w:ascii="宋体" w:hAnsi="宋体" w:cs="宋体"/>
          <w:b/>
          <w:color w:val="auto"/>
          <w:szCs w:val="21"/>
          <w:highlight w:val="none"/>
          <w:lang w:val="en-US" w:eastAsia="zh-CN"/>
        </w:rPr>
        <w:t>2025年7月24日14时00分</w:t>
      </w:r>
      <w:r>
        <w:rPr>
          <w:rFonts w:hint="eastAsia" w:ascii="宋体" w:hAnsi="宋体" w:cs="宋体"/>
          <w:b/>
          <w:color w:val="auto"/>
          <w:szCs w:val="21"/>
          <w:highlight w:val="none"/>
        </w:rPr>
        <w:t>。</w:t>
      </w:r>
    </w:p>
    <w:p w14:paraId="01B3B0E5">
      <w:pPr>
        <w:widowControl/>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投标地点（网址）：</w:t>
      </w:r>
    </w:p>
    <w:p w14:paraId="1C9FA7E2">
      <w:pPr>
        <w:widowControl/>
        <w:snapToGrid w:val="0"/>
        <w:spacing w:line="440" w:lineRule="exact"/>
        <w:ind w:firstLine="420" w:firstLineChars="200"/>
        <w:jc w:val="left"/>
        <w:rPr>
          <w:rFonts w:hint="eastAsia" w:ascii="宋体" w:hAnsi="宋体" w:cs="宋体"/>
          <w:color w:val="auto"/>
          <w:spacing w:val="-5"/>
          <w:szCs w:val="21"/>
          <w:highlight w:val="none"/>
          <w:u w:val="single"/>
        </w:rPr>
      </w:pPr>
      <w:r>
        <w:rPr>
          <w:rFonts w:hint="eastAsia" w:ascii="宋体" w:hAnsi="宋体" w:cs="宋体"/>
          <w:bCs/>
          <w:color w:val="auto"/>
          <w:kern w:val="0"/>
          <w:szCs w:val="21"/>
          <w:highlight w:val="none"/>
        </w:rPr>
        <w:t>①“电子加密投标（响应）文件”</w:t>
      </w:r>
      <w:r>
        <w:rPr>
          <w:rFonts w:hint="eastAsia" w:ascii="宋体" w:hAnsi="宋体" w:cs="宋体"/>
          <w:color w:val="auto"/>
          <w:spacing w:val="-5"/>
          <w:szCs w:val="21"/>
          <w:highlight w:val="none"/>
          <w:u w:val="single"/>
        </w:rPr>
        <w:t>：通过“政府采购云平台</w:t>
      </w:r>
      <w:r>
        <w:rPr>
          <w:rFonts w:hint="eastAsia" w:ascii="宋体" w:hAnsi="宋体" w:cs="宋体"/>
          <w:color w:val="auto"/>
          <w:szCs w:val="21"/>
          <w:highlight w:val="none"/>
          <w:u w:val="single"/>
        </w:rPr>
        <w:t>（</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\h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w:t>
      </w:r>
      <w:r>
        <w:rPr>
          <w:rFonts w:hint="eastAsia" w:ascii="宋体" w:hAnsi="宋体" w:cs="宋体"/>
          <w:color w:val="auto"/>
          <w:spacing w:val="-5"/>
          <w:szCs w:val="21"/>
          <w:highlight w:val="none"/>
          <w:u w:val="single"/>
        </w:rPr>
        <w:t>实行在线提交投标响应；</w:t>
      </w:r>
    </w:p>
    <w:p w14:paraId="37D8E702">
      <w:pPr>
        <w:widowControl/>
        <w:snapToGrid w:val="0"/>
        <w:spacing w:line="440" w:lineRule="exact"/>
        <w:ind w:firstLine="400" w:firstLineChars="200"/>
        <w:contextualSpacing/>
        <w:jc w:val="left"/>
        <w:rPr>
          <w:rFonts w:hint="eastAsia" w:ascii="宋体" w:hAnsi="宋体" w:cs="宋体"/>
          <w:color w:val="auto"/>
          <w:spacing w:val="-5"/>
          <w:szCs w:val="21"/>
          <w:highlight w:val="none"/>
          <w:u w:val="single"/>
        </w:rPr>
      </w:pPr>
      <w:r>
        <w:rPr>
          <w:rFonts w:hint="eastAsia" w:ascii="宋体" w:hAnsi="宋体" w:cs="宋体"/>
          <w:color w:val="auto"/>
          <w:spacing w:val="-5"/>
          <w:szCs w:val="21"/>
          <w:highlight w:val="none"/>
          <w:u w:val="single"/>
        </w:rPr>
        <w:t>②“电子备份投标（响应）</w:t>
      </w:r>
      <w:r>
        <w:rPr>
          <w:rFonts w:hint="eastAsia" w:ascii="宋体" w:hAnsi="宋体" w:eastAsia="宋体" w:cs="宋体"/>
          <w:color w:val="auto"/>
          <w:spacing w:val="-5"/>
          <w:szCs w:val="21"/>
          <w:highlight w:val="none"/>
          <w:u w:val="single"/>
        </w:rPr>
        <w:t>文件</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lang w:val="en-US" w:eastAsia="zh-CN"/>
        </w:rPr>
        <w:t>选送</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w:t>
      </w:r>
      <w:r>
        <w:rPr>
          <w:rFonts w:hint="eastAsia" w:ascii="宋体" w:hAnsi="宋体" w:eastAsia="宋体" w:cs="宋体"/>
          <w:color w:val="auto"/>
          <w:spacing w:val="-5"/>
          <w:szCs w:val="21"/>
          <w:highlight w:val="none"/>
          <w:u w:val="single"/>
          <w:lang w:val="en-US" w:eastAsia="zh-CN"/>
        </w:rPr>
        <w:t>在投标截止时间前</w:t>
      </w:r>
      <w:r>
        <w:rPr>
          <w:rFonts w:hint="eastAsia" w:ascii="宋体" w:hAnsi="宋体" w:eastAsia="宋体" w:cs="宋体"/>
          <w:color w:val="auto"/>
          <w:spacing w:val="-5"/>
          <w:szCs w:val="21"/>
          <w:highlight w:val="none"/>
          <w:u w:val="single"/>
        </w:rPr>
        <w:t>提</w:t>
      </w:r>
      <w:r>
        <w:rPr>
          <w:rFonts w:hint="eastAsia" w:ascii="宋体" w:hAnsi="宋体" w:cs="宋体"/>
          <w:color w:val="auto"/>
          <w:spacing w:val="-5"/>
          <w:szCs w:val="21"/>
          <w:highlight w:val="none"/>
          <w:u w:val="single"/>
        </w:rPr>
        <w:t>交或快递至：浙江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嘉兴市千秋工程咨询有限公司</w:t>
      </w:r>
      <w:r>
        <w:rPr>
          <w:rFonts w:hint="eastAsia" w:ascii="宋体" w:hAnsi="宋体" w:eastAsia="宋体" w:cs="宋体"/>
          <w:color w:val="auto"/>
          <w:spacing w:val="-5"/>
          <w:szCs w:val="21"/>
          <w:highlight w:val="none"/>
          <w:u w:val="single"/>
          <w:lang w:val="en-US" w:eastAsia="zh-CN"/>
        </w:rPr>
        <w:t>平湖分公司</w:t>
      </w:r>
      <w:r>
        <w:rPr>
          <w:rFonts w:hint="eastAsia" w:ascii="宋体" w:hAnsi="宋体" w:eastAsia="宋体" w:cs="宋体"/>
          <w:color w:val="auto"/>
          <w:spacing w:val="-5"/>
          <w:szCs w:val="21"/>
          <w:highlight w:val="none"/>
          <w:u w:val="single"/>
        </w:rPr>
        <w:t>，收</w:t>
      </w:r>
      <w:r>
        <w:rPr>
          <w:rFonts w:hint="eastAsia" w:ascii="宋体" w:hAnsi="宋体" w:cs="宋体"/>
          <w:color w:val="auto"/>
          <w:highlight w:val="none"/>
          <w:u w:val="single"/>
        </w:rPr>
        <w:t>件人：</w:t>
      </w:r>
      <w:r>
        <w:rPr>
          <w:rFonts w:hint="eastAsia" w:ascii="宋体" w:hAnsi="宋体" w:cs="宋体"/>
          <w:color w:val="auto"/>
          <w:highlight w:val="none"/>
          <w:u w:val="single"/>
          <w:lang w:val="en-US" w:eastAsia="zh-CN"/>
        </w:rPr>
        <w:t>屠先生</w:t>
      </w:r>
      <w:r>
        <w:rPr>
          <w:rFonts w:hint="eastAsia" w:ascii="宋体" w:hAnsi="宋体" w:cs="宋体"/>
          <w:color w:val="auto"/>
          <w:highlight w:val="none"/>
          <w:u w:val="single"/>
        </w:rPr>
        <w:t>，联系电话</w:t>
      </w:r>
      <w:r>
        <w:rPr>
          <w:rFonts w:hint="eastAsia" w:ascii="宋体" w:hAnsi="宋体" w:eastAsia="宋体" w:cs="宋体"/>
          <w:color w:val="auto"/>
          <w:spacing w:val="-5"/>
          <w:szCs w:val="21"/>
          <w:highlight w:val="none"/>
          <w:u w:val="single"/>
        </w:rPr>
        <w:t>：0573-85126112，</w:t>
      </w:r>
      <w:r>
        <w:rPr>
          <w:rFonts w:hint="eastAsia" w:ascii="宋体" w:hAnsi="宋体" w:cs="宋体"/>
          <w:color w:val="auto"/>
          <w:highlight w:val="none"/>
          <w:u w:val="single"/>
        </w:rPr>
        <w:t>邮寄公司建议采用 EMS 或顺丰，快递费用由投标人承担，如投标人</w:t>
      </w:r>
      <w:r>
        <w:rPr>
          <w:rFonts w:hint="eastAsia" w:ascii="宋体" w:hAnsi="宋体" w:cs="宋体"/>
          <w:color w:val="auto"/>
          <w:szCs w:val="21"/>
          <w:highlight w:val="none"/>
          <w:u w:val="single"/>
        </w:rPr>
        <w:t>选择快递费到付，</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代理机构将拒签并退回。</w:t>
      </w:r>
      <w:r>
        <w:rPr>
          <w:rFonts w:hint="eastAsia" w:ascii="宋体" w:hAnsi="宋体" w:cs="宋体"/>
          <w:b/>
          <w:bCs w:val="0"/>
          <w:color w:val="auto"/>
          <w:sz w:val="21"/>
          <w:szCs w:val="21"/>
          <w:highlight w:val="none"/>
        </w:rPr>
        <w:t>备份电子标文件制作为非强制性</w:t>
      </w:r>
      <w:r>
        <w:rPr>
          <w:rFonts w:hint="eastAsia" w:ascii="宋体" w:hAnsi="宋体" w:cs="宋体"/>
          <w:bCs/>
          <w:color w:val="auto"/>
          <w:sz w:val="21"/>
          <w:szCs w:val="21"/>
          <w:highlight w:val="none"/>
        </w:rPr>
        <w:t>，但如遇供应商电子投标文件解密失败等情况造成无效标，后果由供应商自负。通过“政采云平台”上传递交的“电子加密投标文件”无法按时解密，投标供应商递交了备份投标文件的，以备份投标文件为依据，否则视为投标文件撤回。通过“政采云平台”上传递交的“电子加密投标文件”已按时解密的，“备份投标文件”自动失效。投标供应商仅递交备份投标文件的，投标无效。</w:t>
      </w:r>
    </w:p>
    <w:p w14:paraId="7616792F">
      <w:pPr>
        <w:adjustRightInd w:val="0"/>
        <w:snapToGrid w:val="0"/>
        <w:spacing w:line="440" w:lineRule="exact"/>
        <w:ind w:firstLine="472" w:firstLineChars="224"/>
        <w:rPr>
          <w:rFonts w:hint="eastAsia" w:ascii="宋体" w:hAnsi="宋体" w:eastAsia="宋体" w:cs="宋体"/>
          <w:color w:val="auto"/>
          <w:spacing w:val="-5"/>
          <w:szCs w:val="21"/>
          <w:highlight w:val="none"/>
          <w:u w:val="singl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开标地点：</w:t>
      </w:r>
      <w:r>
        <w:rPr>
          <w:rFonts w:hint="eastAsia" w:ascii="宋体" w:hAnsi="宋体" w:cs="宋体"/>
          <w:color w:val="auto"/>
          <w:spacing w:val="-5"/>
          <w:szCs w:val="21"/>
          <w:highlight w:val="none"/>
          <w:u w:val="single"/>
        </w:rPr>
        <w:t>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r>
        <w:rPr>
          <w:rFonts w:hint="eastAsia" w:ascii="宋体" w:hAnsi="宋体" w:eastAsia="宋体" w:cs="宋体"/>
          <w:color w:val="auto"/>
          <w:spacing w:val="-5"/>
          <w:szCs w:val="21"/>
          <w:highlight w:val="none"/>
          <w:u w:val="single"/>
        </w:rPr>
        <w:t>嘉兴市千秋工程咨询有限公司</w:t>
      </w:r>
      <w:r>
        <w:rPr>
          <w:rFonts w:hint="eastAsia" w:ascii="宋体" w:hAnsi="宋体" w:eastAsia="宋体" w:cs="宋体"/>
          <w:color w:val="auto"/>
          <w:spacing w:val="-5"/>
          <w:szCs w:val="21"/>
          <w:highlight w:val="none"/>
          <w:u w:val="single"/>
          <w:lang w:val="en-US" w:eastAsia="zh-CN"/>
        </w:rPr>
        <w:t>平湖分公司开标室</w:t>
      </w:r>
      <w:r>
        <w:rPr>
          <w:rFonts w:hint="eastAsia" w:ascii="宋体" w:hAnsi="宋体" w:eastAsia="宋体" w:cs="宋体"/>
          <w:color w:val="auto"/>
          <w:spacing w:val="-5"/>
          <w:szCs w:val="21"/>
          <w:highlight w:val="none"/>
          <w:u w:val="single"/>
        </w:rPr>
        <w:t>。</w:t>
      </w:r>
      <w:r>
        <w:rPr>
          <w:rFonts w:hint="eastAsia" w:ascii="宋体" w:hAnsi="宋体" w:eastAsia="宋体" w:cs="宋体"/>
          <w:b/>
          <w:bCs/>
          <w:color w:val="auto"/>
          <w:spacing w:val="-5"/>
          <w:szCs w:val="21"/>
          <w:highlight w:val="none"/>
          <w:u w:val="single"/>
        </w:rPr>
        <w:t>供应商无需到开标现场，但须准时在线参加，直至评审结束</w:t>
      </w:r>
      <w:r>
        <w:rPr>
          <w:rFonts w:hint="eastAsia" w:ascii="宋体" w:hAnsi="宋体" w:eastAsia="宋体" w:cs="宋体"/>
          <w:color w:val="auto"/>
          <w:spacing w:val="-5"/>
          <w:szCs w:val="21"/>
          <w:highlight w:val="none"/>
          <w:u w:val="single"/>
        </w:rPr>
        <w:t>。</w:t>
      </w:r>
    </w:p>
    <w:p w14:paraId="176F9ACF">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b/>
          <w:color w:val="auto"/>
          <w:kern w:val="0"/>
          <w:szCs w:val="21"/>
          <w:highlight w:val="none"/>
          <w:lang w:val="en-US" w:eastAsia="zh-CN"/>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磋商</w:t>
      </w:r>
      <w:r>
        <w:rPr>
          <w:rFonts w:hint="eastAsia" w:ascii="宋体" w:hAnsi="宋体" w:cs="宋体"/>
          <w:b/>
          <w:color w:val="auto"/>
          <w:kern w:val="0"/>
          <w:szCs w:val="21"/>
          <w:highlight w:val="none"/>
        </w:rPr>
        <w:t>保证金：</w:t>
      </w:r>
      <w:r>
        <w:rPr>
          <w:rFonts w:hint="eastAsia" w:ascii="宋体" w:hAnsi="宋体" w:cs="宋体"/>
          <w:b/>
          <w:color w:val="auto"/>
          <w:kern w:val="0"/>
          <w:szCs w:val="21"/>
          <w:highlight w:val="none"/>
          <w:lang w:val="en-US" w:eastAsia="zh-CN"/>
        </w:rPr>
        <w:t>本项目不收取</w:t>
      </w:r>
      <w:r>
        <w:rPr>
          <w:rFonts w:hint="eastAsia" w:ascii="宋体" w:hAnsi="宋体" w:cs="宋体"/>
          <w:color w:val="auto"/>
          <w:kern w:val="0"/>
          <w:szCs w:val="21"/>
          <w:highlight w:val="none"/>
        </w:rPr>
        <w:t>。</w:t>
      </w:r>
    </w:p>
    <w:p w14:paraId="33D34998">
      <w:pPr>
        <w:widowControl/>
        <w:spacing w:line="440" w:lineRule="exact"/>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九、磋商公告期限：3个工作日。</w:t>
      </w:r>
    </w:p>
    <w:p w14:paraId="4855AD9E">
      <w:pPr>
        <w:widowControl/>
        <w:spacing w:line="440" w:lineRule="exac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十</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其他事项</w:t>
      </w:r>
    </w:p>
    <w:p w14:paraId="5BB9D61F">
      <w:pPr>
        <w:widowControl/>
        <w:spacing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1.供应商认为采购文件使自己的权益受到损害的，可以自收到采购文件之日（发售截止日之后收到采购文件的，以发售截止日为准）或者采购文件公告期限届满之日（公告发布后的第</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w:t>
      </w:r>
      <w:r>
        <w:rPr>
          <w:rFonts w:hint="eastAsia" w:ascii="宋体" w:hAnsi="宋体" w:eastAsia="宋体" w:cs="宋体"/>
          <w:color w:val="auto"/>
          <w:szCs w:val="21"/>
          <w:highlight w:val="none"/>
        </w:rPr>
        <w:t>督管理部门投诉。质疑函范本、投诉书范本请到浙江政府采购网下载专区下载。</w:t>
      </w:r>
    </w:p>
    <w:p w14:paraId="6F11C250">
      <w:pPr>
        <w:widowControl/>
        <w:spacing w:line="440" w:lineRule="exact"/>
        <w:ind w:firstLine="420" w:firstLineChars="200"/>
        <w:rPr>
          <w:rFonts w:hint="eastAsia" w:ascii="宋体" w:hAnsi="宋体" w:eastAsia="宋体" w:cs="宋体"/>
          <w:color w:val="auto"/>
          <w:spacing w:val="-5"/>
          <w:szCs w:val="21"/>
          <w:highlight w:val="none"/>
          <w:u w:val="singl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质疑受理地点：</w:t>
      </w:r>
      <w:r>
        <w:rPr>
          <w:rFonts w:hint="eastAsia" w:ascii="宋体" w:hAnsi="宋体" w:cs="宋体"/>
          <w:color w:val="auto"/>
          <w:spacing w:val="-5"/>
          <w:szCs w:val="21"/>
          <w:highlight w:val="none"/>
          <w:u w:val="single"/>
        </w:rPr>
        <w:t>浙江</w:t>
      </w:r>
      <w:r>
        <w:rPr>
          <w:rFonts w:hint="eastAsia" w:ascii="宋体" w:hAnsi="宋体" w:eastAsia="宋体" w:cs="宋体"/>
          <w:color w:val="auto"/>
          <w:spacing w:val="-5"/>
          <w:szCs w:val="21"/>
          <w:highlight w:val="none"/>
          <w:u w:val="single"/>
        </w:rPr>
        <w:t>省平湖市当湖街道胜利路129号（建工大</w:t>
      </w:r>
      <w:r>
        <w:rPr>
          <w:rFonts w:hint="eastAsia" w:ascii="宋体" w:hAnsi="宋体" w:eastAsia="宋体" w:cs="宋体"/>
          <w:color w:val="auto"/>
          <w:spacing w:val="-5"/>
          <w:szCs w:val="21"/>
          <w:highlight w:val="none"/>
          <w:u w:val="single"/>
          <w:lang w:val="en-US" w:eastAsia="zh-CN"/>
        </w:rPr>
        <w:t>厦</w:t>
      </w:r>
      <w:r>
        <w:rPr>
          <w:rFonts w:hint="eastAsia" w:ascii="宋体" w:hAnsi="宋体" w:eastAsia="宋体" w:cs="宋体"/>
          <w:color w:val="auto"/>
          <w:spacing w:val="-5"/>
          <w:szCs w:val="21"/>
          <w:highlight w:val="none"/>
          <w:u w:val="single"/>
          <w:lang w:val="en-US" w:eastAsia="en-US"/>
        </w:rPr>
        <w:t>B</w:t>
      </w:r>
      <w:r>
        <w:rPr>
          <w:rFonts w:hint="eastAsia" w:ascii="宋体" w:hAnsi="宋体" w:eastAsia="宋体" w:cs="宋体"/>
          <w:color w:val="auto"/>
          <w:spacing w:val="-5"/>
          <w:szCs w:val="21"/>
          <w:highlight w:val="none"/>
          <w:u w:val="single"/>
        </w:rPr>
        <w:t>幢</w:t>
      </w:r>
      <w:r>
        <w:rPr>
          <w:rFonts w:hint="eastAsia" w:ascii="宋体" w:hAnsi="宋体" w:eastAsia="宋体" w:cs="宋体"/>
          <w:color w:val="auto"/>
          <w:spacing w:val="-5"/>
          <w:szCs w:val="21"/>
          <w:highlight w:val="none"/>
          <w:u w:val="single"/>
          <w:lang w:val="en-US" w:eastAsia="zh-CN"/>
        </w:rPr>
        <w:t>西梯10</w:t>
      </w:r>
      <w:r>
        <w:rPr>
          <w:rFonts w:hint="eastAsia" w:ascii="宋体" w:hAnsi="宋体" w:eastAsia="宋体" w:cs="宋体"/>
          <w:color w:val="auto"/>
          <w:spacing w:val="-5"/>
          <w:szCs w:val="21"/>
          <w:highlight w:val="none"/>
          <w:u w:val="single"/>
        </w:rPr>
        <w:t>楼</w:t>
      </w:r>
      <w:r>
        <w:rPr>
          <w:rFonts w:hint="eastAsia" w:ascii="宋体" w:hAnsi="宋体" w:eastAsia="宋体" w:cs="宋体"/>
          <w:color w:val="auto"/>
          <w:spacing w:val="-5"/>
          <w:szCs w:val="21"/>
          <w:highlight w:val="none"/>
          <w:u w:val="single"/>
          <w:lang w:eastAsia="zh-CN"/>
        </w:rPr>
        <w:t>）</w:t>
      </w:r>
    </w:p>
    <w:p w14:paraId="526E40F9">
      <w:pPr>
        <w:widowControl/>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.供应商注册：非浙江政府采购网注册的供应商或发生变更且未及时更新的供应商，应当在首次响应文件开启时间前，按照《浙江省政府采购供应商注册及诚信管理暂行办法》（浙财采监字［2009］28 号）的相关规定，及时办理更新或供应商注册事项。</w:t>
      </w:r>
    </w:p>
    <w:p w14:paraId="6CAC812B">
      <w:pPr>
        <w:pStyle w:val="7"/>
        <w:widowControl/>
        <w:spacing w:after="0" w:line="440" w:lineRule="exact"/>
        <w:ind w:firstLine="420" w:firstLineChars="200"/>
        <w:rPr>
          <w:rFonts w:hint="eastAsia" w:cs="宋体"/>
          <w:b w:val="0"/>
          <w:bCs/>
          <w:color w:val="auto"/>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w:t>
      </w:r>
      <w:r>
        <w:rPr>
          <w:rFonts w:hint="eastAsia" w:cs="宋体"/>
          <w:b w:val="0"/>
          <w:bCs/>
          <w:color w:val="auto"/>
          <w:highlight w:val="none"/>
          <w:lang w:val="en-US" w:eastAsia="zh-CN"/>
        </w:rPr>
        <w:t>电子招投标有关事项说明：</w:t>
      </w:r>
    </w:p>
    <w:p w14:paraId="5F621ABC">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本项目通过“政府采购云平台（www.zcygov.cn）”实行电子投标，供应商须安装客户端软件，并按照采购文件和电子交易平台的要求编制并加密磋商响应文件。供应商未按规定加密的响应文件，电子交易平台将拒收并提示。 </w:t>
      </w:r>
    </w:p>
    <w:p w14:paraId="09A6902D">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客户端软件下载方式：供应商可通过“浙江政府采购网-下载专区-电子交易客户端”进行下载。 </w:t>
      </w:r>
    </w:p>
    <w:p w14:paraId="5211B7AB">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（2）供应商须申领CA，并在政采云平台完成绑定方可进行响应文件的编制，CA 相关操作可参考“浙江政府采购网-下载专区-电子交易客户端-CA 驱动和申领流程”。 </w:t>
      </w:r>
    </w:p>
    <w:p w14:paraId="73100D50">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若对项目采购电子交易系统操作有疑问，可登录政采云（https://www.zcygov.cn/），点击右侧咨询小采，获取采小蜜智能服务管家帮助，或拨打政采云服务热线 95763 获取热线服务帮助。 </w:t>
      </w:r>
    </w:p>
    <w:p w14:paraId="4CE0F672">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.本采购项目，中标单位与采购人签订的政府采购合同适用于平湖政府采购贷款政策，简称“政采贷”，具体内容可参阅各银行政府采购贷款流程：</w:t>
      </w:r>
    </w:p>
    <w:p w14:paraId="7C69F71B">
      <w:pPr>
        <w:pStyle w:val="7"/>
        <w:widowControl/>
        <w:spacing w:after="0"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http://jxszwsjb.jiaxing.gov.cn/phmain/zyxz/004001/20200508/ca9ef9e6-1353-4b6f-96fc-735325b1e78d.html</w:t>
      </w:r>
    </w:p>
    <w:p w14:paraId="0C56E7A9">
      <w:pPr>
        <w:adjustRightInd w:val="0"/>
        <w:snapToGrid w:val="0"/>
        <w:spacing w:line="440" w:lineRule="exact"/>
        <w:rPr>
          <w:rFonts w:hint="eastAsia" w:ascii="宋体" w:hAnsi="宋体" w:cs="宋体"/>
          <w:b/>
          <w:color w:val="auto"/>
          <w:kern w:val="0"/>
          <w:szCs w:val="21"/>
          <w:highlight w:val="none"/>
        </w:rPr>
      </w:pPr>
      <w:r>
        <w:rPr>
          <w:rFonts w:hint="eastAsia" w:ascii="宋体" w:hAnsi="宋体" w:cs="宋体"/>
          <w:b/>
          <w:color w:val="auto"/>
          <w:szCs w:val="21"/>
          <w:highlight w:val="none"/>
          <w:lang w:val="en-US" w:eastAsia="zh-CN"/>
        </w:rPr>
        <w:t>十一</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en-US" w:eastAsia="zh-CN"/>
        </w:rPr>
        <w:t>联系方式</w:t>
      </w:r>
      <w:r>
        <w:rPr>
          <w:rFonts w:hint="eastAsia" w:ascii="宋体" w:hAnsi="宋体" w:cs="宋体"/>
          <w:b/>
          <w:color w:val="auto"/>
          <w:kern w:val="0"/>
          <w:szCs w:val="21"/>
          <w:highlight w:val="none"/>
        </w:rPr>
        <w:t>：</w:t>
      </w:r>
    </w:p>
    <w:p w14:paraId="76768A3A">
      <w:pPr>
        <w:widowControl/>
        <w:snapToGrid w:val="0"/>
        <w:spacing w:line="440" w:lineRule="exact"/>
        <w:ind w:firstLine="420" w:firstLineChars="200"/>
        <w:contextualSpacing/>
        <w:jc w:val="left"/>
        <w:rPr>
          <w:rFonts w:hint="default" w:ascii="宋体" w:hAnsi="宋体" w:cs="宋体"/>
          <w:color w:val="auto"/>
          <w:szCs w:val="21"/>
          <w:highlight w:val="none"/>
          <w:lang w:val="en-US"/>
        </w:rPr>
      </w:pPr>
      <w:r>
        <w:rPr>
          <w:rFonts w:hint="eastAsia" w:ascii="宋体" w:hAnsi="宋体" w:cs="宋体"/>
          <w:color w:val="auto"/>
          <w:szCs w:val="21"/>
          <w:highlight w:val="none"/>
        </w:rPr>
        <w:t>1.采购单位:</w:t>
      </w:r>
      <w:r>
        <w:rPr>
          <w:rFonts w:hint="eastAsia" w:ascii="宋体" w:hAnsi="宋体" w:eastAsia="宋体" w:cs="宋体"/>
          <w:color w:val="auto"/>
          <w:szCs w:val="21"/>
          <w:highlight w:val="none"/>
          <w:lang w:val="en-US" w:eastAsia="zh-CN"/>
        </w:rPr>
        <w:t>平湖市商务局</w:t>
      </w:r>
    </w:p>
    <w:p w14:paraId="0AFFF288">
      <w:pPr>
        <w:widowControl/>
        <w:snapToGrid w:val="0"/>
        <w:spacing w:line="440" w:lineRule="exact"/>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唐先生</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 0573-85630596</w:t>
      </w:r>
    </w:p>
    <w:p w14:paraId="684ECF72">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2.代理单位：嘉兴市千秋工程咨询有限公司</w:t>
      </w:r>
    </w:p>
    <w:p w14:paraId="05F0DD09">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 xml:space="preserve">屠先生             </w:t>
      </w:r>
      <w:r>
        <w:rPr>
          <w:rFonts w:hint="eastAsia" w:ascii="宋体" w:hAnsi="宋体" w:eastAsia="宋体" w:cs="宋体"/>
          <w:color w:val="auto"/>
          <w:szCs w:val="21"/>
          <w:highlight w:val="none"/>
        </w:rPr>
        <w:t>联系电话：0573-85126112</w:t>
      </w:r>
    </w:p>
    <w:p w14:paraId="43C7F567">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地址：平湖市当湖街道胜利路129号建工大厦B座西梯10楼</w:t>
      </w:r>
    </w:p>
    <w:p w14:paraId="5FEC148E">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3.政府采购监督管理部门：平湖市财政局政府采购监管科</w:t>
      </w:r>
    </w:p>
    <w:p w14:paraId="412F26EF">
      <w:pPr>
        <w:widowControl/>
        <w:snapToGrid w:val="0"/>
        <w:spacing w:line="440" w:lineRule="exact"/>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联系人:陆先生</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联系电话：0573-85013033</w:t>
      </w:r>
    </w:p>
    <w:p w14:paraId="3E8246C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地址：浙江省嘉兴市平湖市望湖路318号</w:t>
      </w:r>
    </w:p>
    <w:p w14:paraId="18382C10">
      <w:pPr>
        <w:adjustRightInd w:val="0"/>
        <w:snapToGrid w:val="0"/>
        <w:spacing w:line="360" w:lineRule="auto"/>
        <w:ind w:right="480"/>
        <w:jc w:val="center"/>
        <w:rPr>
          <w:rStyle w:val="25"/>
          <w:b w:val="0"/>
          <w:color w:val="auto"/>
          <w:sz w:val="32"/>
          <w:highlight w:val="none"/>
        </w:rPr>
      </w:pPr>
      <w:bookmarkStart w:id="4" w:name="_Toc171394913"/>
      <w:r>
        <w:rPr>
          <w:rStyle w:val="25"/>
          <w:b w:val="0"/>
          <w:color w:val="auto"/>
          <w:sz w:val="32"/>
          <w:highlight w:val="none"/>
        </w:rPr>
        <w:br w:type="page"/>
      </w:r>
    </w:p>
    <w:p w14:paraId="3780DAA5">
      <w:pPr>
        <w:pStyle w:val="2"/>
        <w:snapToGrid w:val="0"/>
        <w:spacing w:before="240" w:after="240" w:line="240" w:lineRule="auto"/>
        <w:rPr>
          <w:color w:val="auto"/>
          <w:highlight w:val="none"/>
        </w:rPr>
      </w:pPr>
      <w:bookmarkStart w:id="5" w:name="_Toc14807"/>
      <w:r>
        <w:rPr>
          <w:rFonts w:hint="eastAsia" w:ascii="宋体" w:hAnsi="宋体" w:eastAsia="宋体"/>
          <w:color w:val="auto"/>
          <w:sz w:val="32"/>
          <w:highlight w:val="none"/>
        </w:rPr>
        <w:t>第</w:t>
      </w:r>
      <w:r>
        <w:rPr>
          <w:rFonts w:hint="eastAsia" w:ascii="宋体" w:hAnsi="宋体" w:eastAsia="宋体"/>
          <w:color w:val="auto"/>
          <w:sz w:val="32"/>
          <w:highlight w:val="none"/>
          <w:lang w:val="en-US" w:eastAsia="zh-CN"/>
        </w:rPr>
        <w:t xml:space="preserve">二章 </w:t>
      </w:r>
      <w:r>
        <w:rPr>
          <w:rFonts w:hint="eastAsia" w:ascii="宋体" w:hAnsi="宋体" w:eastAsia="宋体"/>
          <w:color w:val="auto"/>
          <w:sz w:val="32"/>
          <w:highlight w:val="none"/>
        </w:rPr>
        <w:t>磋商须知</w:t>
      </w:r>
      <w:bookmarkEnd w:id="5"/>
    </w:p>
    <w:p w14:paraId="0B410141">
      <w:pPr>
        <w:bidi w:val="0"/>
        <w:jc w:val="center"/>
        <w:rPr>
          <w:color w:val="auto"/>
          <w:sz w:val="28"/>
          <w:szCs w:val="36"/>
          <w:highlight w:val="none"/>
        </w:rPr>
      </w:pPr>
      <w:r>
        <w:rPr>
          <w:rFonts w:hint="eastAsia"/>
          <w:color w:val="auto"/>
          <w:sz w:val="28"/>
          <w:szCs w:val="36"/>
          <w:highlight w:val="none"/>
        </w:rPr>
        <w:t>前 附 表</w:t>
      </w:r>
      <w:bookmarkEnd w:id="4"/>
      <w:bookmarkStart w:id="6" w:name="_Toc183786414"/>
      <w:bookmarkStart w:id="7" w:name="_Toc118516210"/>
      <w:bookmarkStart w:id="8" w:name="_Toc171394914"/>
    </w:p>
    <w:tbl>
      <w:tblPr>
        <w:tblStyle w:val="19"/>
        <w:tblW w:w="969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880"/>
      </w:tblGrid>
      <w:tr w14:paraId="448B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0" w:type="dxa"/>
            <w:noWrap w:val="0"/>
            <w:vAlign w:val="center"/>
          </w:tcPr>
          <w:p w14:paraId="74C58B1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880" w:type="dxa"/>
            <w:noWrap w:val="0"/>
            <w:vAlign w:val="center"/>
          </w:tcPr>
          <w:p w14:paraId="73193DD6">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756C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0" w:type="dxa"/>
            <w:noWrap w:val="0"/>
            <w:vAlign w:val="center"/>
          </w:tcPr>
          <w:p w14:paraId="7938D26D">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80" w:type="dxa"/>
            <w:noWrap w:val="0"/>
            <w:vAlign w:val="center"/>
          </w:tcPr>
          <w:p w14:paraId="420D6C44">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pacing w:val="6"/>
                <w:kern w:val="48"/>
                <w:szCs w:val="21"/>
                <w:highlight w:val="none"/>
                <w:lang w:eastAsia="zh-CN"/>
              </w:rPr>
              <w:t>2025年平湖市冻猪肉动态储备服务项目（第三次）</w:t>
            </w:r>
            <w:r>
              <w:rPr>
                <w:rFonts w:hint="eastAsia" w:ascii="宋体" w:hAnsi="宋体" w:eastAsia="宋体" w:cs="宋体"/>
                <w:color w:val="auto"/>
                <w:spacing w:val="6"/>
                <w:kern w:val="48"/>
                <w:szCs w:val="21"/>
                <w:highlight w:val="none"/>
                <w:lang w:eastAsia="zh-CN"/>
              </w:rPr>
              <w:t>。</w:t>
            </w:r>
          </w:p>
        </w:tc>
      </w:tr>
      <w:tr w14:paraId="49B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0" w:type="dxa"/>
            <w:noWrap w:val="0"/>
            <w:vAlign w:val="center"/>
          </w:tcPr>
          <w:p w14:paraId="1E43B32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8880" w:type="dxa"/>
            <w:noWrap w:val="0"/>
            <w:vAlign w:val="center"/>
          </w:tcPr>
          <w:p w14:paraId="369B5C64">
            <w:pPr>
              <w:keepNext w:val="0"/>
              <w:keepLines w:val="0"/>
              <w:pageBreakBefore w:val="0"/>
              <w:widowControl w:val="0"/>
              <w:kinsoku/>
              <w:wordWrap/>
              <w:overflowPunct/>
              <w:topLinePunct w:val="0"/>
              <w:bidi w:val="0"/>
              <w:snapToGrid w:val="0"/>
              <w:spacing w:line="400" w:lineRule="exact"/>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资金来源：</w:t>
            </w:r>
            <w:r>
              <w:rPr>
                <w:rFonts w:hint="eastAsia" w:ascii="宋体" w:hAnsi="宋体" w:eastAsia="宋体" w:cs="宋体"/>
                <w:color w:val="auto"/>
                <w:spacing w:val="6"/>
                <w:kern w:val="48"/>
                <w:szCs w:val="21"/>
                <w:highlight w:val="none"/>
                <w:lang w:val="en-US" w:eastAsia="zh-CN"/>
              </w:rPr>
              <w:t>财政资金。</w:t>
            </w:r>
          </w:p>
        </w:tc>
      </w:tr>
      <w:tr w14:paraId="2777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32F5DCD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8880" w:type="dxa"/>
            <w:noWrap w:val="0"/>
            <w:vAlign w:val="center"/>
          </w:tcPr>
          <w:p w14:paraId="5A70AB1C">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rPr>
              <w:t>采购内容：</w:t>
            </w:r>
            <w:r>
              <w:rPr>
                <w:rFonts w:hint="eastAsia" w:ascii="宋体" w:hAnsi="宋体" w:eastAsia="宋体" w:cs="宋体"/>
                <w:color w:val="auto"/>
                <w:szCs w:val="21"/>
                <w:highlight w:val="none"/>
              </w:rPr>
              <w:t>详见第</w:t>
            </w:r>
            <w:r>
              <w:rPr>
                <w:rFonts w:hint="eastAsia" w:ascii="宋体" w:hAnsi="宋体" w:eastAsia="宋体" w:cs="宋体"/>
                <w:color w:val="auto"/>
                <w:szCs w:val="21"/>
                <w:highlight w:val="none"/>
                <w:lang w:val="en-US" w:eastAsia="zh-CN"/>
              </w:rPr>
              <w:t>三章</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需求。</w:t>
            </w:r>
          </w:p>
        </w:tc>
      </w:tr>
      <w:tr w14:paraId="67B8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A12C39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4</w:t>
            </w:r>
          </w:p>
        </w:tc>
        <w:tc>
          <w:tcPr>
            <w:tcW w:w="8880" w:type="dxa"/>
            <w:noWrap w:val="0"/>
            <w:vAlign w:val="center"/>
          </w:tcPr>
          <w:p w14:paraId="02F7BB9F">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磋商报价及费用：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本项目磋商应以人民币报价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不论磋商结果如何，供应商均应自行承担所有与磋商有关的全部费用</w:t>
            </w:r>
            <w:r>
              <w:rPr>
                <w:rFonts w:hint="eastAsia" w:ascii="宋体" w:hAnsi="宋体" w:eastAsia="宋体" w:cs="宋体"/>
                <w:color w:val="auto"/>
                <w:szCs w:val="21"/>
                <w:highlight w:val="none"/>
                <w:lang w:val="en-US" w:eastAsia="zh-CN"/>
              </w:rPr>
              <w:t>。</w:t>
            </w:r>
          </w:p>
        </w:tc>
      </w:tr>
      <w:tr w14:paraId="357B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4545E52">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8880" w:type="dxa"/>
            <w:noWrap w:val="0"/>
            <w:vAlign w:val="center"/>
          </w:tcPr>
          <w:p w14:paraId="254FDEA8">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响应文件的形式：</w:t>
            </w:r>
            <w:r>
              <w:rPr>
                <w:rFonts w:hint="eastAsia" w:ascii="宋体" w:hAnsi="宋体" w:eastAsia="宋体" w:cs="宋体"/>
                <w:color w:val="auto"/>
                <w:szCs w:val="21"/>
                <w:highlight w:val="none"/>
              </w:rPr>
              <w:t>电子响应文件即本文件所述磋商响应文件（包括“电子加密响应文件”和“备份响应文件”，在响应文件编制完成后同时生成）</w:t>
            </w:r>
            <w:r>
              <w:rPr>
                <w:rFonts w:hint="eastAsia" w:ascii="宋体" w:hAnsi="宋体" w:eastAsia="宋体" w:cs="宋体"/>
                <w:color w:val="auto"/>
                <w:szCs w:val="21"/>
                <w:highlight w:val="none"/>
                <w:lang w:eastAsia="zh-CN"/>
              </w:rPr>
              <w:t>：</w:t>
            </w:r>
          </w:p>
          <w:p w14:paraId="2191B179">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（1）“电子加密响应文件”是指通过“政采云电子交易客户端”完成响应文件编制后生成并加密的数据电文形式的响应文件。</w:t>
            </w:r>
          </w:p>
          <w:p w14:paraId="44A49F4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402E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5292BE93">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6</w:t>
            </w:r>
          </w:p>
        </w:tc>
        <w:tc>
          <w:tcPr>
            <w:tcW w:w="8880" w:type="dxa"/>
            <w:noWrap w:val="0"/>
            <w:vAlign w:val="center"/>
          </w:tcPr>
          <w:p w14:paraId="2DB06F31">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rPr>
              <w:t>响应文件的</w:t>
            </w:r>
            <w:r>
              <w:rPr>
                <w:rFonts w:hint="eastAsia" w:ascii="宋体" w:hAnsi="宋体" w:eastAsia="宋体" w:cs="宋体"/>
                <w:b/>
                <w:color w:val="auto"/>
                <w:szCs w:val="21"/>
                <w:highlight w:val="none"/>
                <w:lang w:val="en-US" w:eastAsia="zh-CN"/>
              </w:rPr>
              <w:t>组成</w:t>
            </w:r>
            <w:r>
              <w:rPr>
                <w:rFonts w:hint="eastAsia" w:ascii="宋体" w:hAnsi="宋体" w:eastAsia="宋体" w:cs="宋体"/>
                <w:color w:val="auto"/>
                <w:szCs w:val="21"/>
                <w:highlight w:val="none"/>
              </w:rPr>
              <w:t>：一份电子加密标书，一份备份标书文件（如有）</w:t>
            </w:r>
            <w:r>
              <w:rPr>
                <w:rFonts w:hint="eastAsia" w:ascii="宋体" w:hAnsi="宋体" w:eastAsia="宋体" w:cs="宋体"/>
                <w:color w:val="auto"/>
                <w:szCs w:val="21"/>
                <w:highlight w:val="none"/>
                <w:lang w:eastAsia="zh-CN"/>
              </w:rPr>
              <w:t>。</w:t>
            </w:r>
          </w:p>
          <w:p w14:paraId="21ED1538">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每份电子响应文件应包括资格响应文件、商务技术响应文件及报价响应文件三部分内容。</w:t>
            </w:r>
          </w:p>
          <w:p w14:paraId="14665D86">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成交供应商在领取成交通知书后需另行提供纸质版响应文件贰份。</w:t>
            </w:r>
          </w:p>
        </w:tc>
      </w:tr>
      <w:tr w14:paraId="237F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5383E8C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7</w:t>
            </w:r>
          </w:p>
        </w:tc>
        <w:tc>
          <w:tcPr>
            <w:tcW w:w="8880" w:type="dxa"/>
            <w:noWrap w:val="0"/>
            <w:vAlign w:val="center"/>
          </w:tcPr>
          <w:p w14:paraId="398A8B04">
            <w:pPr>
              <w:keepNext w:val="0"/>
              <w:keepLines w:val="0"/>
              <w:pageBreakBefore w:val="0"/>
              <w:widowControl w:val="0"/>
              <w:numPr>
                <w:ilvl w:val="0"/>
                <w:numId w:val="0"/>
              </w:numPr>
              <w:kinsoku/>
              <w:wordWrap/>
              <w:overflowPunct/>
              <w:topLinePunct w:val="0"/>
              <w:bidi w:val="0"/>
              <w:snapToGrid w:val="0"/>
              <w:spacing w:line="400" w:lineRule="exact"/>
              <w:rPr>
                <w:rFonts w:hint="eastAsia" w:ascii="宋体" w:hAnsi="宋体" w:eastAsia="宋体" w:cs="宋体"/>
                <w:b w:val="0"/>
                <w:bCs w:val="0"/>
                <w:color w:val="auto"/>
                <w:szCs w:val="21"/>
                <w:highlight w:val="none"/>
                <w:lang w:eastAsia="zh-CN"/>
              </w:rPr>
            </w:pPr>
            <w:r>
              <w:rPr>
                <w:rFonts w:hint="eastAsia" w:ascii="宋体" w:hAnsi="宋体" w:eastAsia="宋体" w:cs="宋体"/>
                <w:b/>
                <w:bCs/>
                <w:color w:val="auto"/>
                <w:szCs w:val="21"/>
                <w:highlight w:val="none"/>
              </w:rPr>
              <w:t>响应文件的上传和递交</w:t>
            </w:r>
            <w:r>
              <w:rPr>
                <w:rFonts w:hint="eastAsia" w:ascii="宋体" w:hAnsi="宋体" w:eastAsia="宋体" w:cs="宋体"/>
                <w:b/>
                <w:bCs/>
                <w:color w:val="auto"/>
                <w:szCs w:val="21"/>
                <w:highlight w:val="none"/>
                <w:lang w:eastAsia="zh-CN"/>
              </w:rPr>
              <w:t>：</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eastAsia="zh-CN"/>
              </w:rPr>
              <w:t>）电子加密响应文件：响应文件制作完成并生成加密标书，在磋商截止时间前，供应商需将加密的响应文件上传至政采云平台，到达开标时间后，在线解密响应文件：</w:t>
            </w:r>
          </w:p>
          <w:p w14:paraId="1A3C4433">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 xml:space="preserve">a.供应商应未能磋商截止时间前成功上传电子加密响应文件的磋商无效。 </w:t>
            </w:r>
          </w:p>
          <w:p w14:paraId="2BD49ED1">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b.供应商成功上传电子加密响应文件后，可自行打印响应文件接收回执。</w:t>
            </w:r>
          </w:p>
          <w:p w14:paraId="50BCB862">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eastAsia="zh-CN"/>
              </w:rPr>
              <w:t>）备份响应文件：磋商截止时间前，供应商可以将备份响应文件通过快递形式（或直接送达方式）递交至采购代理机构（须确保送达），以便电子加密响应文件解密异常时应急使用：</w:t>
            </w:r>
          </w:p>
          <w:p w14:paraId="04947D3E">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a.备份响应文件递交要求：供应商须将备份响应文件以光盘或 U 盘形式放在密封袋中，密封后并在密封袋上注明项目名称、供应商单位名称并加盖公章。邮寄方式送达的还须在包裹外包装上注明具体项目名称备份投标文件字样。未密封包装或者逾期邮寄送达的“备份响应文件”将不予接收。</w:t>
            </w:r>
          </w:p>
          <w:p w14:paraId="041CE956">
            <w:pPr>
              <w:keepNext w:val="0"/>
              <w:keepLines w:val="0"/>
              <w:pageBreakBefore w:val="0"/>
              <w:widowControl w:val="0"/>
              <w:numPr>
                <w:ilvl w:val="0"/>
                <w:numId w:val="0"/>
              </w:numPr>
              <w:kinsoku/>
              <w:wordWrap/>
              <w:overflowPunct/>
              <w:topLinePunct w:val="0"/>
              <w:bidi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lang w:val="en-US" w:eastAsia="zh-CN"/>
              </w:rPr>
              <w:t>b.</w:t>
            </w:r>
            <w:r>
              <w:rPr>
                <w:rFonts w:hint="eastAsia" w:ascii="宋体" w:hAnsi="宋体" w:eastAsia="宋体" w:cs="宋体"/>
                <w:b w:val="0"/>
                <w:bCs w:val="0"/>
                <w:color w:val="auto"/>
                <w:szCs w:val="21"/>
                <w:highlight w:val="none"/>
                <w:lang w:eastAsia="zh-CN"/>
              </w:rPr>
              <w:t>供应商仅提交备份响应文件的，磋商无效。</w:t>
            </w:r>
          </w:p>
        </w:tc>
      </w:tr>
      <w:tr w14:paraId="388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2250DF1">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8</w:t>
            </w:r>
          </w:p>
        </w:tc>
        <w:tc>
          <w:tcPr>
            <w:tcW w:w="8880" w:type="dxa"/>
            <w:noWrap w:val="0"/>
            <w:vAlign w:val="center"/>
          </w:tcPr>
          <w:p w14:paraId="30D2BF5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lang w:val="en-US" w:eastAsia="zh-CN"/>
              </w:rPr>
              <w:t>响应文件</w:t>
            </w:r>
            <w:r>
              <w:rPr>
                <w:rFonts w:hint="eastAsia" w:ascii="宋体" w:hAnsi="宋体" w:eastAsia="宋体" w:cs="宋体"/>
                <w:b/>
                <w:bCs/>
                <w:color w:val="auto"/>
                <w:szCs w:val="21"/>
                <w:highlight w:val="none"/>
              </w:rPr>
              <w:t>截止时间及地点：</w:t>
            </w:r>
            <w:r>
              <w:rPr>
                <w:rFonts w:hint="eastAsia" w:ascii="宋体" w:hAnsi="宋体" w:eastAsia="宋体" w:cs="宋体"/>
                <w:b w:val="0"/>
                <w:bCs w:val="0"/>
                <w:color w:val="auto"/>
                <w:szCs w:val="21"/>
                <w:highlight w:val="none"/>
                <w:lang w:val="en-US" w:eastAsia="zh-CN"/>
              </w:rPr>
              <w:t>同</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w:t>
            </w:r>
            <w:r>
              <w:rPr>
                <w:rFonts w:hint="eastAsia" w:ascii="宋体" w:hAnsi="宋体" w:eastAsia="宋体" w:cs="宋体"/>
                <w:bCs/>
                <w:color w:val="auto"/>
                <w:sz w:val="21"/>
                <w:szCs w:val="21"/>
                <w:highlight w:val="none"/>
                <w:lang w:val="en-US" w:eastAsia="zh-CN"/>
              </w:rPr>
              <w:t>开启</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间，通过“政府采购云平台（</w:t>
            </w:r>
            <w:r>
              <w:rPr>
                <w:rFonts w:hint="eastAsia" w:ascii="宋体" w:hAnsi="宋体" w:eastAsia="宋体" w:cs="宋体"/>
                <w:bCs/>
                <w:color w:val="auto"/>
                <w:sz w:val="21"/>
                <w:szCs w:val="21"/>
                <w:highlight w:val="none"/>
                <w:lang w:val="en-US" w:eastAsia="zh-CN"/>
              </w:rPr>
              <w:fldChar w:fldCharType="begin"/>
            </w:r>
            <w:r>
              <w:rPr>
                <w:rFonts w:hint="eastAsia" w:ascii="宋体" w:hAnsi="宋体" w:eastAsia="宋体" w:cs="宋体"/>
                <w:bCs/>
                <w:color w:val="auto"/>
                <w:sz w:val="21"/>
                <w:szCs w:val="21"/>
                <w:highlight w:val="none"/>
                <w:lang w:val="en-US" w:eastAsia="zh-CN"/>
              </w:rPr>
              <w:instrText xml:space="preserve"> HYPERLINK "http://www.zcygov.cn/" \h </w:instrText>
            </w:r>
            <w:r>
              <w:rPr>
                <w:rFonts w:hint="eastAsia" w:ascii="宋体" w:hAnsi="宋体" w:eastAsia="宋体" w:cs="宋体"/>
                <w:bCs/>
                <w:color w:val="auto"/>
                <w:sz w:val="21"/>
                <w:szCs w:val="21"/>
                <w:highlight w:val="none"/>
                <w:lang w:val="en-US" w:eastAsia="zh-CN"/>
              </w:rPr>
              <w:fldChar w:fldCharType="separate"/>
            </w:r>
            <w:r>
              <w:rPr>
                <w:rFonts w:hint="eastAsia" w:ascii="宋体" w:hAnsi="宋体" w:eastAsia="宋体" w:cs="宋体"/>
                <w:bCs/>
                <w:color w:val="auto"/>
                <w:sz w:val="21"/>
                <w:szCs w:val="21"/>
                <w:highlight w:val="none"/>
                <w:lang w:val="en-US" w:eastAsia="zh-CN"/>
              </w:rPr>
              <w:t>www.zcygov.cn</w:t>
            </w:r>
            <w:r>
              <w:rPr>
                <w:rFonts w:hint="eastAsia" w:ascii="宋体" w:hAnsi="宋体" w:eastAsia="宋体" w:cs="宋体"/>
                <w:bCs/>
                <w:color w:val="auto"/>
                <w:sz w:val="21"/>
                <w:szCs w:val="21"/>
                <w:highlight w:val="none"/>
                <w:lang w:val="en-US" w:eastAsia="zh-CN"/>
              </w:rPr>
              <w:fldChar w:fldCharType="end"/>
            </w:r>
            <w:r>
              <w:rPr>
                <w:rFonts w:hint="eastAsia" w:ascii="宋体" w:hAnsi="宋体" w:eastAsia="宋体" w:cs="宋体"/>
                <w:bCs/>
                <w:color w:val="auto"/>
                <w:sz w:val="21"/>
                <w:szCs w:val="21"/>
                <w:highlight w:val="none"/>
                <w:lang w:val="en-US" w:eastAsia="zh-CN"/>
              </w:rPr>
              <w:t>）”实行在线提交投标响应。</w:t>
            </w:r>
          </w:p>
        </w:tc>
      </w:tr>
      <w:tr w14:paraId="761E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DD3221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9</w:t>
            </w:r>
          </w:p>
        </w:tc>
        <w:tc>
          <w:tcPr>
            <w:tcW w:w="8880" w:type="dxa"/>
            <w:noWrap w:val="0"/>
            <w:vAlign w:val="center"/>
          </w:tcPr>
          <w:p w14:paraId="10B05B10">
            <w:pPr>
              <w:keepNext w:val="0"/>
              <w:keepLines w:val="0"/>
              <w:pageBreakBefore w:val="0"/>
              <w:widowControl w:val="0"/>
              <w:kinsoku/>
              <w:wordWrap/>
              <w:overflowPunct/>
              <w:topLinePunct w:val="0"/>
              <w:bidi w:val="0"/>
              <w:snapToGrid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lang w:val="en-US" w:eastAsia="zh-CN"/>
              </w:rPr>
              <w:t>响应文件开启</w:t>
            </w:r>
            <w:r>
              <w:rPr>
                <w:rFonts w:hint="eastAsia" w:ascii="宋体" w:hAnsi="宋体" w:eastAsia="宋体" w:cs="宋体"/>
                <w:b/>
                <w:bCs/>
                <w:color w:val="auto"/>
                <w:szCs w:val="21"/>
                <w:highlight w:val="none"/>
              </w:rPr>
              <w:t>时间及地点：</w:t>
            </w:r>
            <w:r>
              <w:rPr>
                <w:rFonts w:hint="eastAsia" w:ascii="宋体" w:hAnsi="宋体" w:eastAsia="宋体" w:cs="宋体"/>
                <w:color w:val="auto"/>
                <w:szCs w:val="21"/>
                <w:highlight w:val="none"/>
              </w:rPr>
              <w:t>详见采购公告</w:t>
            </w:r>
            <w:r>
              <w:rPr>
                <w:rFonts w:hint="eastAsia" w:ascii="宋体" w:hAnsi="宋体" w:eastAsia="宋体" w:cs="宋体"/>
                <w:color w:val="auto"/>
                <w:szCs w:val="21"/>
                <w:highlight w:val="none"/>
                <w:lang w:eastAsia="zh-CN"/>
              </w:rPr>
              <w:t>。</w:t>
            </w:r>
          </w:p>
        </w:tc>
      </w:tr>
      <w:tr w14:paraId="427A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283715D8">
            <w:pPr>
              <w:keepNext w:val="0"/>
              <w:keepLines w:val="0"/>
              <w:pageBreakBefore w:val="0"/>
              <w:widowControl w:val="0"/>
              <w:kinsoku/>
              <w:wordWrap/>
              <w:overflowPunct/>
              <w:topLinePunct w:val="0"/>
              <w:bidi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p>
        </w:tc>
        <w:tc>
          <w:tcPr>
            <w:tcW w:w="8880" w:type="dxa"/>
            <w:noWrap w:val="0"/>
            <w:vAlign w:val="center"/>
          </w:tcPr>
          <w:p w14:paraId="237291AD">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响应文件开启程序：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响应文件开启时间到后，采购代理机构点击【开始解密】，供应商应在</w:t>
            </w:r>
            <w:r>
              <w:rPr>
                <w:rFonts w:hint="eastAsia" w:ascii="宋体" w:hAnsi="宋体" w:eastAsia="宋体" w:cs="宋体"/>
                <w:b/>
                <w:bCs/>
                <w:color w:val="auto"/>
                <w:szCs w:val="21"/>
                <w:highlight w:val="none"/>
              </w:rPr>
              <w:t>30分钟</w:t>
            </w:r>
            <w:r>
              <w:rPr>
                <w:rFonts w:hint="eastAsia" w:ascii="宋体" w:hAnsi="宋体" w:eastAsia="宋体" w:cs="宋体"/>
                <w:color w:val="auto"/>
                <w:szCs w:val="21"/>
                <w:highlight w:val="none"/>
              </w:rPr>
              <w:t>内完成解密，供应商在规定的时间内都已完成解密，则系统自动结束解密；供应商超过解密时限，默认自动放弃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75F9652">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电子加密投标文件</w:t>
            </w:r>
            <w:r>
              <w:rPr>
                <w:rFonts w:hint="eastAsia" w:ascii="宋体" w:hAnsi="宋体" w:eastAsia="宋体" w:cs="宋体"/>
                <w:color w:val="auto"/>
                <w:szCs w:val="21"/>
                <w:highlight w:val="none"/>
              </w:rPr>
              <w:t>解密不成功时，供应商如递交了“备份响应文件”的，采购代理机构通过【异常处理】端口对备份响应文件上传、解密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电子加密投标文自动失效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72A05DD4">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结束解密后，供应商通过邮件形式将填写完整且经授权代表签署的《政府采购活动现场确认声明书》（格式见磋商文件第五</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）扫描件发至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代理机构经办人邮箱（邮箱地址：</w:t>
            </w:r>
            <w:r>
              <w:rPr>
                <w:rFonts w:hint="eastAsia" w:ascii="宋体" w:hAnsi="宋体" w:eastAsia="宋体" w:cs="宋体"/>
                <w:color w:val="auto"/>
                <w:szCs w:val="21"/>
                <w:highlight w:val="none"/>
                <w:lang w:val="en-US" w:eastAsia="zh-CN"/>
              </w:rPr>
              <w:t>1848505373</w:t>
            </w:r>
            <w:r>
              <w:rPr>
                <w:rFonts w:hint="eastAsia" w:ascii="宋体" w:hAnsi="宋体" w:eastAsia="宋体" w:cs="宋体"/>
                <w:color w:val="auto"/>
                <w:szCs w:val="21"/>
                <w:highlight w:val="none"/>
              </w:rPr>
              <w:t>@qq.com）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DF6F4B6">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en-US" w:eastAsia="zh-CN"/>
              </w:rPr>
              <w:t>代理</w:t>
            </w:r>
            <w:r>
              <w:rPr>
                <w:rFonts w:hint="eastAsia" w:ascii="宋体" w:hAnsi="宋体" w:eastAsia="宋体" w:cs="宋体"/>
                <w:color w:val="auto"/>
                <w:szCs w:val="21"/>
                <w:highlight w:val="none"/>
              </w:rPr>
              <w:t>机构点击【开启标书信息】，开启标书成功后进入开标流程。</w:t>
            </w:r>
          </w:p>
        </w:tc>
      </w:tr>
      <w:tr w14:paraId="7B81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932B55F">
            <w:pPr>
              <w:keepNext w:val="0"/>
              <w:keepLines w:val="0"/>
              <w:pageBreakBefore w:val="0"/>
              <w:widowControl w:val="0"/>
              <w:kinsoku/>
              <w:wordWrap/>
              <w:overflowPunct/>
              <w:topLinePunct w:val="0"/>
              <w:bidi w:val="0"/>
              <w:snapToGri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p>
        </w:tc>
        <w:tc>
          <w:tcPr>
            <w:tcW w:w="8880" w:type="dxa"/>
            <w:noWrap w:val="0"/>
            <w:vAlign w:val="center"/>
          </w:tcPr>
          <w:p w14:paraId="23F471BA">
            <w:pPr>
              <w:keepNext w:val="0"/>
              <w:keepLines w:val="0"/>
              <w:pageBreakBefore w:val="0"/>
              <w:widowControl w:val="0"/>
              <w:kinsoku/>
              <w:wordWrap/>
              <w:overflowPunct/>
              <w:topLinePunct w:val="0"/>
              <w:bidi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履约保证金：本项目不设置。</w:t>
            </w:r>
          </w:p>
        </w:tc>
      </w:tr>
      <w:tr w14:paraId="70CC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E1C4B64">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12</w:t>
            </w:r>
          </w:p>
        </w:tc>
        <w:tc>
          <w:tcPr>
            <w:tcW w:w="8880" w:type="dxa"/>
            <w:noWrap w:val="0"/>
            <w:vAlign w:val="center"/>
          </w:tcPr>
          <w:p w14:paraId="631EC710">
            <w:pPr>
              <w:keepNext w:val="0"/>
              <w:keepLines w:val="0"/>
              <w:pageBreakBefore w:val="0"/>
              <w:widowControl w:val="0"/>
              <w:kinsoku/>
              <w:wordWrap/>
              <w:overflowPunct/>
              <w:topLinePunct w:val="0"/>
              <w:bidi w:val="0"/>
              <w:adjustRightInd w:val="0"/>
              <w:snapToGrid w:val="0"/>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0"/>
                <w:szCs w:val="21"/>
                <w:highlight w:val="none"/>
                <w:lang w:val="en-US" w:eastAsia="zh-CN"/>
              </w:rPr>
              <w:t>合同款的支付</w:t>
            </w:r>
            <w:r>
              <w:rPr>
                <w:rFonts w:hint="eastAsia" w:ascii="宋体" w:hAnsi="宋体" w:eastAsia="宋体" w:cs="宋体"/>
                <w:b/>
                <w:color w:val="auto"/>
                <w:kern w:val="0"/>
                <w:szCs w:val="21"/>
                <w:highlight w:val="none"/>
              </w:rPr>
              <w:t>：</w:t>
            </w:r>
            <w:r>
              <w:rPr>
                <w:rFonts w:hint="eastAsia" w:ascii="宋体" w:hAnsi="宋体" w:eastAsia="宋体" w:cs="宋体"/>
                <w:color w:val="auto"/>
                <w:szCs w:val="21"/>
                <w:highlight w:val="none"/>
                <w:lang w:val="en-US" w:eastAsia="zh-CN"/>
              </w:rPr>
              <w:t>详见合同。</w:t>
            </w:r>
          </w:p>
        </w:tc>
      </w:tr>
      <w:tr w14:paraId="1A90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71E625AA">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13</w:t>
            </w:r>
          </w:p>
        </w:tc>
        <w:tc>
          <w:tcPr>
            <w:tcW w:w="8880" w:type="dxa"/>
            <w:noWrap w:val="0"/>
            <w:vAlign w:val="center"/>
          </w:tcPr>
          <w:p w14:paraId="6646BF7C">
            <w:pPr>
              <w:keepNext w:val="0"/>
              <w:keepLines w:val="0"/>
              <w:pageBreakBefore w:val="0"/>
              <w:widowControl w:val="0"/>
              <w:kinsoku/>
              <w:wordWrap/>
              <w:overflowPunct/>
              <w:topLinePunct w:val="0"/>
              <w:bidi w:val="0"/>
              <w:adjustRightInd w:val="0"/>
              <w:snapToGrid w:val="0"/>
              <w:spacing w:line="400" w:lineRule="exac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szCs w:val="21"/>
                <w:highlight w:val="none"/>
              </w:rPr>
              <w:t>签订合同时间：</w:t>
            </w:r>
            <w:r>
              <w:rPr>
                <w:rFonts w:hint="eastAsia" w:ascii="宋体" w:hAnsi="宋体" w:eastAsia="宋体" w:cs="宋体"/>
                <w:color w:val="auto"/>
                <w:szCs w:val="21"/>
                <w:highlight w:val="none"/>
              </w:rPr>
              <w:t>中标通知书发出后30日内。</w:t>
            </w:r>
          </w:p>
        </w:tc>
      </w:tr>
      <w:tr w14:paraId="0A75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78073967">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14</w:t>
            </w:r>
          </w:p>
        </w:tc>
        <w:tc>
          <w:tcPr>
            <w:tcW w:w="8880" w:type="dxa"/>
            <w:noWrap w:val="0"/>
            <w:vAlign w:val="center"/>
          </w:tcPr>
          <w:p w14:paraId="3975436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eastAsia="zh-CN"/>
              </w:rPr>
              <w:t>磋商报价分二轮进行，首次报价在响应文件中体现；最</w:t>
            </w:r>
            <w:r>
              <w:rPr>
                <w:rFonts w:hint="eastAsia" w:ascii="宋体" w:hAnsi="宋体" w:eastAsia="宋体" w:cs="宋体"/>
                <w:b/>
                <w:bCs/>
                <w:color w:val="auto"/>
                <w:szCs w:val="21"/>
                <w:highlight w:val="none"/>
                <w:lang w:eastAsia="zh-CN"/>
              </w:rPr>
              <w:t>终报价由各供应商在规定时间内通过政采云平台在线完成</w:t>
            </w:r>
            <w:r>
              <w:rPr>
                <w:rFonts w:hint="eastAsia" w:ascii="宋体" w:hAnsi="宋体" w:eastAsia="宋体" w:cs="宋体"/>
                <w:color w:val="auto"/>
                <w:szCs w:val="21"/>
                <w:highlight w:val="none"/>
                <w:lang w:eastAsia="zh-CN"/>
              </w:rPr>
              <w:t>。</w:t>
            </w:r>
          </w:p>
          <w:p w14:paraId="27985BD4">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各供应商应事先做好充足准备，如未能在规定的时间内提供 《最后报价文件》，作自动放弃处理。</w:t>
            </w:r>
          </w:p>
        </w:tc>
      </w:tr>
      <w:tr w14:paraId="5EC6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540B50F">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15</w:t>
            </w:r>
          </w:p>
        </w:tc>
        <w:tc>
          <w:tcPr>
            <w:tcW w:w="8880" w:type="dxa"/>
            <w:noWrap w:val="0"/>
            <w:vAlign w:val="center"/>
          </w:tcPr>
          <w:p w14:paraId="04FDC16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b/>
                <w:color w:val="auto"/>
                <w:kern w:val="2"/>
                <w:sz w:val="21"/>
                <w:szCs w:val="21"/>
                <w:highlight w:val="none"/>
                <w:shd w:val="clear" w:color="auto" w:fill="FFFFFF"/>
                <w:lang w:val="en-US" w:eastAsia="zh-CN" w:bidi="ar-SA"/>
              </w:rPr>
            </w:pPr>
            <w:r>
              <w:rPr>
                <w:rFonts w:hint="eastAsia" w:ascii="宋体" w:hAnsi="宋体" w:eastAsia="宋体" w:cs="宋体"/>
                <w:b/>
                <w:bCs/>
                <w:color w:val="auto"/>
                <w:szCs w:val="21"/>
                <w:highlight w:val="none"/>
              </w:rPr>
              <w:t>响应文件有效期：</w:t>
            </w:r>
            <w:r>
              <w:rPr>
                <w:rFonts w:hint="eastAsia" w:ascii="宋体" w:hAnsi="宋体" w:eastAsia="宋体" w:cs="宋体"/>
                <w:color w:val="auto"/>
                <w:szCs w:val="21"/>
                <w:highlight w:val="none"/>
              </w:rPr>
              <w:t>90天</w:t>
            </w:r>
          </w:p>
        </w:tc>
      </w:tr>
      <w:tr w14:paraId="366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0" w:type="dxa"/>
            <w:noWrap w:val="0"/>
            <w:vAlign w:val="center"/>
          </w:tcPr>
          <w:p w14:paraId="6F8636D7">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16</w:t>
            </w:r>
          </w:p>
        </w:tc>
        <w:tc>
          <w:tcPr>
            <w:tcW w:w="8880" w:type="dxa"/>
            <w:noWrap w:val="0"/>
            <w:vAlign w:val="center"/>
          </w:tcPr>
          <w:p w14:paraId="0A63E21B">
            <w:pPr>
              <w:keepNext w:val="0"/>
              <w:keepLines w:val="0"/>
              <w:pageBreakBefore w:val="0"/>
              <w:widowControl w:val="0"/>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供应商信用信息事项</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lang w:val="en-US" w:eastAsia="zh-CN"/>
              </w:rPr>
              <w:t>（1）信用信息查询渠道及截止时间：采购人或采购代理机构工作人员将通过“信用中国”网站(www.creditchina.gov.cn)、中 国 政 府 采 购 网(www.ccgp.gov.cn)渠道查询供应商磋商截止时间前的信用记录。</w:t>
            </w:r>
          </w:p>
          <w:p w14:paraId="7E2CB51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（2）信用信息查询记录和证据留存的具体方式：采购代理机构开标当天查询供应商的信用记录，查询结果经确认后与采购文件一起存档。</w:t>
            </w:r>
          </w:p>
          <w:p w14:paraId="2A9482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firstLine="0" w:firstLineChars="0"/>
              <w:textAlignment w:val="bottom"/>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（3）信用信息的使用规则：经查询列入失信被执行人名单、重大税收违法案件当事人名单、政府采购严重违法失信行为记录名单的投标人的投标文件将被拒绝。</w:t>
            </w:r>
          </w:p>
        </w:tc>
      </w:tr>
      <w:tr w14:paraId="601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0" w:type="dxa"/>
            <w:noWrap w:val="0"/>
            <w:vAlign w:val="center"/>
          </w:tcPr>
          <w:p w14:paraId="1798F68C">
            <w:pPr>
              <w:keepNext w:val="0"/>
              <w:keepLines w:val="0"/>
              <w:pageBreakBefore w:val="0"/>
              <w:widowControl w:val="0"/>
              <w:kinsoku/>
              <w:wordWrap/>
              <w:overflowPunct/>
              <w:topLinePunct w:val="0"/>
              <w:bidi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17</w:t>
            </w:r>
          </w:p>
        </w:tc>
        <w:tc>
          <w:tcPr>
            <w:tcW w:w="8880" w:type="dxa"/>
            <w:noWrap w:val="0"/>
            <w:vAlign w:val="center"/>
          </w:tcPr>
          <w:p w14:paraId="5ADC64F5">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b/>
                <w:bCs/>
                <w:color w:val="auto"/>
                <w:highlight w:val="none"/>
              </w:rPr>
            </w:pPr>
            <w:r>
              <w:rPr>
                <w:rFonts w:hint="eastAsia"/>
                <w:b/>
                <w:bCs/>
                <w:color w:val="auto"/>
                <w:highlight w:val="none"/>
              </w:rPr>
              <w:t>招标代理服务费：</w:t>
            </w:r>
          </w:p>
          <w:p w14:paraId="094336DD">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1.招标代理机构向中标人收取招标代理服务费，中标人应在收取《中标通知书》时向采购代理机构交纳招标代理服务费，服务费</w:t>
            </w:r>
            <w:r>
              <w:rPr>
                <w:rFonts w:hint="eastAsia" w:ascii="宋体" w:hAnsi="宋体" w:eastAsia="宋体"/>
                <w:color w:val="auto"/>
                <w:szCs w:val="21"/>
                <w:highlight w:val="none"/>
                <w:lang w:val="en-US" w:eastAsia="zh-CN"/>
              </w:rPr>
              <w:t>10000元</w:t>
            </w:r>
            <w:r>
              <w:rPr>
                <w:rFonts w:hint="eastAsia" w:ascii="宋体" w:hAnsi="宋体" w:eastAsia="宋体"/>
                <w:color w:val="auto"/>
                <w:szCs w:val="21"/>
                <w:highlight w:val="none"/>
                <w:lang w:eastAsia="zh-CN"/>
              </w:rPr>
              <w:t>。</w:t>
            </w:r>
          </w:p>
          <w:p w14:paraId="252F0018">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.代理费支付方式：一次性以银行划账、现金或支票的形式支付。</w:t>
            </w:r>
          </w:p>
          <w:p w14:paraId="5E20CE00">
            <w:pPr>
              <w:keepNext w:val="0"/>
              <w:keepLines w:val="0"/>
              <w:pageBreakBefore w:val="0"/>
              <w:kinsoku/>
              <w:wordWrap/>
              <w:overflowPunct/>
              <w:topLinePunct w:val="0"/>
              <w:bidi w:val="0"/>
              <w:adjustRightInd w:val="0"/>
              <w:snapToGrid w:val="0"/>
              <w:spacing w:line="400" w:lineRule="exact"/>
              <w:ind w:left="0" w:leftChars="0" w:right="0" w:rightChars="0"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.代理费以银行划账方式按下列要求提交：</w:t>
            </w:r>
          </w:p>
          <w:p w14:paraId="27F1BFAD">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default" w:ascii="宋体" w:hAnsi="宋体" w:eastAsia="宋体" w:cs="宋体"/>
                <w:color w:val="auto"/>
                <w:kern w:val="2"/>
                <w:sz w:val="21"/>
                <w:szCs w:val="21"/>
                <w:highlight w:val="none"/>
                <w:lang w:val="en-US" w:eastAsia="zh-CN" w:bidi="ar-SA"/>
              </w:rPr>
            </w:pPr>
            <w:r>
              <w:rPr>
                <w:rFonts w:ascii="宋体" w:hAnsi="宋体" w:eastAsia="宋体"/>
                <w:b/>
                <w:color w:val="auto"/>
                <w:szCs w:val="21"/>
                <w:highlight w:val="none"/>
              </w:rPr>
              <w:t>单位名称：</w:t>
            </w:r>
            <w:r>
              <w:rPr>
                <w:rFonts w:hint="eastAsia"/>
                <w:color w:val="auto"/>
                <w:highlight w:val="none"/>
              </w:rPr>
              <w:t>嘉兴市千秋工程咨询有限公司平湖分公司</w:t>
            </w:r>
            <w:r>
              <w:rPr>
                <w:rFonts w:ascii="宋体" w:hAnsi="宋体" w:eastAsia="宋体"/>
                <w:b/>
                <w:color w:val="auto"/>
                <w:szCs w:val="21"/>
                <w:highlight w:val="none"/>
              </w:rPr>
              <w:br w:type="textWrapping"/>
            </w:r>
            <w:r>
              <w:rPr>
                <w:rFonts w:ascii="宋体" w:hAnsi="宋体" w:eastAsia="宋体"/>
                <w:b/>
                <w:color w:val="auto"/>
                <w:szCs w:val="21"/>
                <w:highlight w:val="none"/>
              </w:rPr>
              <w:t>开户银行：</w:t>
            </w:r>
            <w:r>
              <w:rPr>
                <w:rFonts w:hint="eastAsia"/>
                <w:color w:val="auto"/>
                <w:highlight w:val="none"/>
              </w:rPr>
              <w:t>浙江平湖农村商业银行股份有限公司当湖支行</w:t>
            </w:r>
            <w:r>
              <w:rPr>
                <w:rFonts w:ascii="宋体" w:hAnsi="宋体" w:eastAsia="宋体"/>
                <w:b/>
                <w:color w:val="auto"/>
                <w:szCs w:val="21"/>
                <w:highlight w:val="none"/>
              </w:rPr>
              <w:br w:type="textWrapping"/>
            </w:r>
            <w:r>
              <w:rPr>
                <w:rFonts w:ascii="宋体" w:hAnsi="宋体" w:eastAsia="宋体"/>
                <w:b/>
                <w:color w:val="auto"/>
                <w:szCs w:val="21"/>
                <w:highlight w:val="none"/>
              </w:rPr>
              <w:t>银行账号：</w:t>
            </w:r>
            <w:r>
              <w:rPr>
                <w:rFonts w:hint="eastAsia"/>
                <w:color w:val="auto"/>
                <w:highlight w:val="none"/>
              </w:rPr>
              <w:t>201000238960660</w:t>
            </w:r>
          </w:p>
        </w:tc>
      </w:tr>
      <w:tr w14:paraId="3E57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8E031A4">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18</w:t>
            </w:r>
          </w:p>
        </w:tc>
        <w:tc>
          <w:tcPr>
            <w:tcW w:w="8880" w:type="dxa"/>
            <w:noWrap w:val="0"/>
            <w:vAlign w:val="center"/>
          </w:tcPr>
          <w:p w14:paraId="6A0141DC">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特别提醒：采购代理机构工作人员在投标截止时间后建立项目专属钉钉（如需）。项目专属钉钉作用：（1）采购代理机构工作人员通过专属钉钉通知供应商按电子交易项目要求接受询标、讲标（演示）、宣布商务资信技术得分及综合得分、签发中标通知书等事宜。（2）供应商须在采购代理机构宣布评审结束、产生中标候选人期间时刻关注项目专属钉钉，配合专家组工作，如有询标（澄清、质疑），在30分钟内（具体时间以询标函上规定的时间为准备）通过CA进行回复。过期不按要求回复，其投标文件无效。</w:t>
            </w:r>
          </w:p>
        </w:tc>
      </w:tr>
      <w:tr w14:paraId="54C5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1C21A939">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19</w:t>
            </w:r>
          </w:p>
        </w:tc>
        <w:tc>
          <w:tcPr>
            <w:tcW w:w="8880" w:type="dxa"/>
            <w:noWrap w:val="0"/>
            <w:vAlign w:val="center"/>
          </w:tcPr>
          <w:p w14:paraId="2E16A916">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rPr>
            </w:pPr>
            <w:r>
              <w:rPr>
                <w:rFonts w:hint="eastAsia"/>
                <w:color w:val="auto"/>
                <w:highlight w:val="none"/>
              </w:rPr>
              <w:t>（1）截止投标时间止，供应商不足3 家的，须组织重新招标</w:t>
            </w:r>
            <w:r>
              <w:rPr>
                <w:rFonts w:hint="eastAsia"/>
                <w:color w:val="auto"/>
                <w:highlight w:val="none"/>
                <w:lang w:eastAsia="zh-CN"/>
              </w:rPr>
              <w:t>。</w:t>
            </w:r>
            <w:r>
              <w:rPr>
                <w:rFonts w:hint="eastAsia"/>
                <w:color w:val="auto"/>
                <w:highlight w:val="none"/>
              </w:rPr>
              <w:t xml:space="preserve"> </w:t>
            </w:r>
          </w:p>
          <w:p w14:paraId="56077981">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（2）根据财库[2015] 124号规定</w:t>
            </w:r>
            <w:r>
              <w:rPr>
                <w:rFonts w:hint="eastAsia"/>
                <w:color w:val="auto"/>
                <w:highlight w:val="none"/>
                <w:lang w:eastAsia="zh-CN"/>
              </w:rPr>
              <w:t>，</w:t>
            </w:r>
            <w:r>
              <w:rPr>
                <w:rFonts w:hint="eastAsia"/>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w:t>
            </w:r>
            <w:r>
              <w:rPr>
                <w:rFonts w:hint="eastAsia"/>
                <w:color w:val="auto"/>
                <w:highlight w:val="none"/>
                <w:lang w:val="en-US" w:eastAsia="zh-CN"/>
              </w:rPr>
              <w:t>1</w:t>
            </w:r>
            <w:r>
              <w:rPr>
                <w:rFonts w:hint="eastAsia"/>
                <w:color w:val="auto"/>
                <w:highlight w:val="none"/>
              </w:rPr>
              <w:t>家的，采购人（项目实施机构）或者采购代理机构应当终止竞争性磋商采购活动，发布项目终止公告并说明原因，重新开展采购活动。</w:t>
            </w:r>
          </w:p>
        </w:tc>
      </w:tr>
      <w:tr w14:paraId="2388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8AE36BB">
            <w:pPr>
              <w:keepNext w:val="0"/>
              <w:keepLines w:val="0"/>
              <w:pageBreakBefore w:val="0"/>
              <w:widowControl w:val="0"/>
              <w:kinsoku/>
              <w:wordWrap/>
              <w:overflowPunct/>
              <w:topLinePunct w:val="0"/>
              <w:bidi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20</w:t>
            </w:r>
          </w:p>
        </w:tc>
        <w:tc>
          <w:tcPr>
            <w:tcW w:w="8880" w:type="dxa"/>
            <w:noWrap w:val="0"/>
            <w:vAlign w:val="center"/>
          </w:tcPr>
          <w:p w14:paraId="346DDC5B">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eastAsia"/>
                <w:color w:val="auto"/>
                <w:highlight w:val="none"/>
                <w:lang w:val="en-US" w:eastAsia="zh-CN"/>
              </w:rPr>
            </w:pPr>
            <w:r>
              <w:rPr>
                <w:rFonts w:hint="eastAsia"/>
                <w:color w:val="auto"/>
                <w:highlight w:val="none"/>
                <w:lang w:val="en-US" w:eastAsia="zh-CN"/>
              </w:rPr>
              <w:t>合同备案：（1）成交供应商须在中标通知书发出之日起30天内与采购人签订合同。</w:t>
            </w:r>
          </w:p>
          <w:p w14:paraId="0985192F">
            <w:pPr>
              <w:keepNext w:val="0"/>
              <w:keepLines w:val="0"/>
              <w:pageBreakBefore w:val="0"/>
              <w:widowControl w:val="0"/>
              <w:kinsoku/>
              <w:wordWrap/>
              <w:overflowPunct/>
              <w:topLinePunct w:val="0"/>
              <w:autoSpaceDE w:val="0"/>
              <w:autoSpaceDN w:val="0"/>
              <w:bidi w:val="0"/>
              <w:snapToGrid w:val="0"/>
              <w:spacing w:line="400" w:lineRule="exact"/>
              <w:textAlignment w:val="bottom"/>
              <w:rPr>
                <w:rFonts w:hint="default"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（2）成交供应商与采购人签订合同后，合同原件扫描件电子版发送至嘉兴市千秋工程咨询有限公司邮箱：1848505373@qq.com。</w:t>
            </w:r>
          </w:p>
        </w:tc>
      </w:tr>
      <w:tr w14:paraId="625D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4585D3D5">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8880" w:type="dxa"/>
            <w:shd w:val="clear" w:color="auto" w:fill="auto"/>
            <w:noWrap w:val="0"/>
            <w:vAlign w:val="center"/>
          </w:tcPr>
          <w:p w14:paraId="76E41BCB">
            <w:pPr>
              <w:autoSpaceDE w:val="0"/>
              <w:autoSpaceDN w:val="0"/>
              <w:snapToGrid w:val="0"/>
              <w:spacing w:line="400" w:lineRule="exact"/>
              <w:textAlignment w:val="bottom"/>
              <w:rPr>
                <w:rFonts w:hint="eastAsia" w:ascii="宋体" w:hAnsi="宋体" w:cs="仿宋_GB2312" w:eastAsiaTheme="minorEastAsia"/>
                <w:color w:val="auto"/>
                <w:kern w:val="2"/>
                <w:sz w:val="21"/>
                <w:szCs w:val="21"/>
                <w:highlight w:val="none"/>
                <w:lang w:val="en-US" w:eastAsia="zh-CN" w:bidi="ar-SA"/>
              </w:rPr>
            </w:pPr>
            <w:r>
              <w:rPr>
                <w:rFonts w:hint="eastAsia" w:ascii="宋体" w:hAnsi="宋体" w:cs="仿宋_GB2312"/>
                <w:color w:val="auto"/>
                <w:szCs w:val="21"/>
                <w:highlight w:val="none"/>
              </w:rPr>
              <w:t>本项目最高限价:</w:t>
            </w:r>
            <w:r>
              <w:rPr>
                <w:rFonts w:hint="eastAsia" w:ascii="宋体" w:hAnsi="宋体" w:cs="仿宋_GB2312"/>
                <w:color w:val="auto"/>
                <w:szCs w:val="21"/>
                <w:highlight w:val="none"/>
                <w:lang w:val="en-US" w:eastAsia="zh-CN"/>
              </w:rPr>
              <w:t>850000元</w:t>
            </w:r>
            <w:r>
              <w:rPr>
                <w:rFonts w:hint="eastAsia" w:ascii="宋体" w:hAnsi="宋体" w:cs="仿宋_GB2312"/>
                <w:color w:val="auto"/>
                <w:szCs w:val="21"/>
                <w:highlight w:val="none"/>
              </w:rPr>
              <w:t>,</w:t>
            </w:r>
            <w:r>
              <w:rPr>
                <w:rFonts w:hint="eastAsia" w:ascii="宋体" w:hAnsi="宋体"/>
                <w:color w:val="auto"/>
                <w:szCs w:val="21"/>
                <w:highlight w:val="none"/>
              </w:rPr>
              <w:t>超过最高限价的作无效标处理。</w:t>
            </w:r>
          </w:p>
        </w:tc>
      </w:tr>
      <w:tr w14:paraId="4C0B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0984795B">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8880" w:type="dxa"/>
            <w:shd w:val="clear" w:color="auto" w:fill="auto"/>
            <w:noWrap w:val="0"/>
            <w:vAlign w:val="center"/>
          </w:tcPr>
          <w:p w14:paraId="4E408322">
            <w:pPr>
              <w:autoSpaceDE w:val="0"/>
              <w:autoSpaceDN w:val="0"/>
              <w:snapToGrid w:val="0"/>
              <w:spacing w:line="400" w:lineRule="exact"/>
              <w:textAlignment w:val="bottom"/>
              <w:rPr>
                <w:rFonts w:hint="eastAsia" w:ascii="宋体" w:hAnsi="宋体" w:cs="仿宋_GB2312"/>
                <w:color w:val="auto"/>
                <w:szCs w:val="21"/>
                <w:highlight w:val="none"/>
              </w:rPr>
            </w:pPr>
            <w:r>
              <w:rPr>
                <w:rFonts w:hint="eastAsia" w:ascii="宋体" w:hAnsi="宋体" w:cs="宋体"/>
                <w:b/>
                <w:bCs/>
                <w:color w:val="auto"/>
                <w:szCs w:val="21"/>
                <w:highlight w:val="none"/>
              </w:rPr>
              <w:t>本次采购为专门面向中小企业预留采购份额的采购项目。</w:t>
            </w:r>
          </w:p>
        </w:tc>
      </w:tr>
      <w:tr w14:paraId="5762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618DBD49">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8880" w:type="dxa"/>
            <w:shd w:val="clear" w:color="auto" w:fill="auto"/>
            <w:noWrap w:val="0"/>
            <w:vAlign w:val="center"/>
          </w:tcPr>
          <w:p w14:paraId="1002B97A">
            <w:pPr>
              <w:autoSpaceDE w:val="0"/>
              <w:autoSpaceDN w:val="0"/>
              <w:snapToGrid w:val="0"/>
              <w:spacing w:line="400" w:lineRule="exact"/>
              <w:textAlignment w:val="bottom"/>
              <w:rPr>
                <w:rFonts w:hint="default" w:ascii="宋体" w:hAnsi="宋体" w:cs="仿宋_GB2312"/>
                <w:color w:val="auto"/>
                <w:szCs w:val="21"/>
                <w:highlight w:val="none"/>
                <w:lang w:val="en-US"/>
              </w:rPr>
            </w:pPr>
            <w:r>
              <w:rPr>
                <w:rFonts w:hint="eastAsia" w:ascii="宋体" w:hAnsi="宋体" w:cs="宋体"/>
                <w:b/>
                <w:bCs/>
                <w:color w:val="auto"/>
                <w:szCs w:val="21"/>
                <w:highlight w:val="none"/>
                <w:lang w:val="en-US" w:eastAsia="zh-CN"/>
              </w:rPr>
              <w:t>本项目所属行业：仓储行业。</w:t>
            </w:r>
          </w:p>
        </w:tc>
      </w:tr>
      <w:tr w14:paraId="1B4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14:paraId="3FD415C8">
            <w:pPr>
              <w:keepNext w:val="0"/>
              <w:keepLines w:val="0"/>
              <w:pageBreakBefore w:val="0"/>
              <w:widowControl w:val="0"/>
              <w:kinsoku/>
              <w:wordWrap/>
              <w:overflowPunct/>
              <w:topLinePunct w:val="0"/>
              <w:bidi w:val="0"/>
              <w:spacing w:line="40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8880" w:type="dxa"/>
            <w:shd w:val="clear" w:color="auto" w:fill="auto"/>
            <w:noWrap w:val="0"/>
            <w:vAlign w:val="center"/>
          </w:tcPr>
          <w:p w14:paraId="20FD0D0F">
            <w:pPr>
              <w:autoSpaceDE w:val="0"/>
              <w:autoSpaceDN w:val="0"/>
              <w:snapToGrid w:val="0"/>
              <w:spacing w:line="400" w:lineRule="exact"/>
              <w:textAlignment w:val="bottom"/>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解释：本采购文件的解释权属于采购单位。</w:t>
            </w:r>
          </w:p>
        </w:tc>
      </w:tr>
    </w:tbl>
    <w:p w14:paraId="62E19910">
      <w:pPr>
        <w:pStyle w:val="2"/>
        <w:snapToGrid w:val="0"/>
        <w:spacing w:before="240" w:after="240" w:line="240" w:lineRule="auto"/>
        <w:rPr>
          <w:color w:val="auto"/>
          <w:highlight w:val="none"/>
        </w:rPr>
      </w:pPr>
      <w:r>
        <w:rPr>
          <w:rFonts w:ascii="宋体" w:hAnsi="宋体" w:eastAsia="宋体"/>
          <w:color w:val="auto"/>
          <w:sz w:val="32"/>
          <w:highlight w:val="none"/>
        </w:rPr>
        <w:br w:type="page"/>
      </w:r>
      <w:bookmarkEnd w:id="6"/>
    </w:p>
    <w:p w14:paraId="7B031684">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9" w:name="_Toc1083"/>
      <w:bookmarkStart w:id="10" w:name="_Toc27482"/>
      <w:bookmarkStart w:id="11" w:name="_Toc16194"/>
      <w:bookmarkStart w:id="12" w:name="_Toc22004"/>
      <w:bookmarkStart w:id="13" w:name="_Toc183786415"/>
      <w:bookmarkStart w:id="14" w:name="_Toc27173"/>
      <w:r>
        <w:rPr>
          <w:rFonts w:hint="eastAsia"/>
          <w:b/>
          <w:bCs/>
          <w:color w:val="auto"/>
          <w:highlight w:val="none"/>
        </w:rPr>
        <w:t>一、总则</w:t>
      </w:r>
      <w:bookmarkEnd w:id="9"/>
      <w:bookmarkEnd w:id="10"/>
      <w:bookmarkEnd w:id="11"/>
      <w:bookmarkEnd w:id="12"/>
      <w:bookmarkEnd w:id="13"/>
      <w:bookmarkEnd w:id="14"/>
    </w:p>
    <w:p w14:paraId="17BF68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14:paraId="49C5D5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15" w:name="_Toc183786416"/>
      <w:r>
        <w:rPr>
          <w:rFonts w:hint="eastAsia"/>
          <w:color w:val="auto"/>
          <w:highlight w:val="none"/>
        </w:rPr>
        <w:t>（一） 适用范围</w:t>
      </w:r>
    </w:p>
    <w:p w14:paraId="35EB2F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本磋商文件适用于本项目的磋商。</w:t>
      </w:r>
    </w:p>
    <w:p w14:paraId="7D2F80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（二）定义</w:t>
      </w:r>
    </w:p>
    <w:p w14:paraId="2E67FF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1.“招标采购单位”系指组织本次磋商的采购代理机构</w:t>
      </w:r>
      <w:r>
        <w:rPr>
          <w:rFonts w:hint="eastAsia"/>
          <w:color w:val="auto"/>
          <w:highlight w:val="none"/>
          <w:u w:val="single"/>
        </w:rPr>
        <w:t xml:space="preserve">嘉兴市千秋工程咨询有限公司 </w:t>
      </w:r>
      <w:r>
        <w:rPr>
          <w:rFonts w:hint="eastAsia"/>
          <w:color w:val="auto"/>
          <w:highlight w:val="none"/>
        </w:rPr>
        <w:t>和采购人</w:t>
      </w:r>
      <w:r>
        <w:rPr>
          <w:rFonts w:hint="eastAsia"/>
          <w:color w:val="auto"/>
          <w:highlight w:val="none"/>
          <w:u w:val="single"/>
          <w:lang w:eastAsia="zh-CN"/>
        </w:rPr>
        <w:t>平湖市商务局</w:t>
      </w:r>
      <w:r>
        <w:rPr>
          <w:rFonts w:hint="eastAsia"/>
          <w:color w:val="auto"/>
          <w:highlight w:val="none"/>
        </w:rPr>
        <w:t>。</w:t>
      </w:r>
    </w:p>
    <w:p w14:paraId="6842CC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2.“供应商”系指向招标人提交响应文件的供应商。</w:t>
      </w:r>
    </w:p>
    <w:p w14:paraId="6C02EC5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3.“产品”系指供应商按磋商文件规定，须向采购人提供的设备、备品备件、工具及其它有关技术资料和材料。</w:t>
      </w:r>
    </w:p>
    <w:p w14:paraId="54B98B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4.“服务”系指磋商文件规定供应商须承担的运输、安装调试、验收、售后服务以及其他类似的义务。</w:t>
      </w:r>
    </w:p>
    <w:p w14:paraId="454CE0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5.“项目”系指供应商按磋商文件规定向采购人提供的产品和服务。</w:t>
      </w:r>
    </w:p>
    <w:p w14:paraId="5B0AE6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6.“书面形式”包括信函、传真、电子文档等。</w:t>
      </w:r>
    </w:p>
    <w:p w14:paraId="277FA98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7.“▲”系指实质性要求条款，不满足实质性要求条款的响应文件无效。</w:t>
      </w:r>
    </w:p>
    <w:p w14:paraId="3E7464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（三）磋商方式</w:t>
      </w:r>
    </w:p>
    <w:p w14:paraId="77A10E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1.本次采购采用竞争性磋商方式进行。</w:t>
      </w:r>
    </w:p>
    <w:p w14:paraId="737A78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2.本次采购设定上限价为预算价。</w:t>
      </w:r>
    </w:p>
    <w:p w14:paraId="23A7F57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（四）投标委托</w:t>
      </w:r>
    </w:p>
    <w:p w14:paraId="3C3086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ascii="宋体" w:hAnsi="宋体" w:cs="宋体"/>
          <w:bCs/>
          <w:color w:val="auto"/>
          <w:szCs w:val="21"/>
          <w:highlight w:val="none"/>
        </w:rPr>
        <w:t>本项目实行电子开评标，供应商无需到开标现场，但须准时在线参加，直至评审结束</w:t>
      </w:r>
      <w:r>
        <w:rPr>
          <w:rFonts w:hint="eastAsia" w:ascii="宋体" w:hAnsi="宋体" w:cs="宋体"/>
          <w:bCs/>
          <w:color w:val="auto"/>
          <w:szCs w:val="21"/>
          <w:highlight w:val="none"/>
          <w:lang w:eastAsia="zh-CN"/>
        </w:rPr>
        <w:t>。</w:t>
      </w:r>
    </w:p>
    <w:p w14:paraId="37998B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（五）磋商费用</w:t>
      </w:r>
    </w:p>
    <w:p w14:paraId="603B83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不论投标结果如何，供应商均应自行承担所有与磋商有关的全部费用（磋商文件有相关规定除外）。</w:t>
      </w:r>
    </w:p>
    <w:p w14:paraId="44DF4C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（六）联合体参与磋商</w:t>
      </w:r>
    </w:p>
    <w:p w14:paraId="2E978F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本项目接受联合体参与磋商。</w:t>
      </w:r>
    </w:p>
    <w:p w14:paraId="108AE6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（七）关联企业参与磋商</w:t>
      </w:r>
    </w:p>
    <w:p w14:paraId="405A6E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1.本磋商文件所称关联企业,是指存在“关联关系”的企业；“关联关系”的界定适用《中华人民共和国公司法》217条之规定。</w:t>
      </w:r>
    </w:p>
    <w:p w14:paraId="47F21E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2.▲关联企业中，法定代表人为同一个的两个及两个以上法人，母公司、全资子公司及其控股公司，都不得同时参加磋商；一经发现，将导致响应同时被拒绝。</w:t>
      </w:r>
    </w:p>
    <w:p w14:paraId="725FF3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w:t>
      </w:r>
      <w:r>
        <w:rPr>
          <w:rFonts w:hint="eastAsia"/>
          <w:color w:val="auto"/>
          <w:highlight w:val="none"/>
          <w:lang w:val="en-US" w:eastAsia="zh-CN"/>
        </w:rPr>
        <w:t>评标委员会</w:t>
      </w:r>
      <w:r>
        <w:rPr>
          <w:rFonts w:hint="eastAsia"/>
          <w:color w:val="auto"/>
          <w:highlight w:val="none"/>
        </w:rPr>
        <w:t>集体决定。</w:t>
      </w:r>
    </w:p>
    <w:p w14:paraId="56B470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（八）转包与分包</w:t>
      </w:r>
    </w:p>
    <w:p w14:paraId="328D2B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1.本项目不允许转包。</w:t>
      </w:r>
    </w:p>
    <w:p w14:paraId="6EB099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2.本项目不可以分包。</w:t>
      </w:r>
    </w:p>
    <w:p w14:paraId="1C9A7A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（九）是否允许采购进口产品</w:t>
      </w:r>
    </w:p>
    <w:p w14:paraId="011A17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本项目</w:t>
      </w:r>
      <w:r>
        <w:rPr>
          <w:rFonts w:hint="eastAsia"/>
          <w:color w:val="auto"/>
          <w:highlight w:val="none"/>
          <w:lang w:eastAsia="zh-CN"/>
        </w:rPr>
        <w:t>允许</w:t>
      </w:r>
      <w:r>
        <w:rPr>
          <w:rFonts w:hint="eastAsia"/>
          <w:color w:val="auto"/>
          <w:highlight w:val="none"/>
        </w:rPr>
        <w:t>采购进口产品。</w:t>
      </w:r>
    </w:p>
    <w:p w14:paraId="59CC66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（十）特别说明：</w:t>
      </w:r>
    </w:p>
    <w:p w14:paraId="6F2C852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1.供应商投标所使用的资格、信誉、荣誉、业绩与企业认证必须为本法人所拥有。供应商投标所使用的采购项目实施人员必须为本法人员工（或必须为本法人或控股公司正式员工）。</w:t>
      </w:r>
    </w:p>
    <w:p w14:paraId="6DCC68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2.供应商应仔细阅读磋商文件的所有内容，按照磋商文件的要求提交响应文件，并对所提供的全部资料的真实性承担法律责任。</w:t>
      </w:r>
    </w:p>
    <w:p w14:paraId="06BF6C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供应商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供应商的行政与刑事责任。</w:t>
      </w:r>
    </w:p>
    <w:p w14:paraId="7336B9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（十一）质疑和投诉</w:t>
      </w:r>
    </w:p>
    <w:p w14:paraId="7C27A4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1.供应商认为采购文件、采购过程、成交结果使自己的权益受到损害的，可以在知道或者应知其权益受到损害之日起7个工作日内，以书面形式一次性向采购人、采购</w:t>
      </w:r>
      <w:r>
        <w:rPr>
          <w:rFonts w:hint="eastAsia"/>
          <w:color w:val="auto"/>
          <w:highlight w:val="none"/>
          <w:lang w:val="en-US" w:eastAsia="zh-CN"/>
        </w:rPr>
        <w:t>代理</w:t>
      </w:r>
      <w:r>
        <w:rPr>
          <w:rFonts w:hint="eastAsia"/>
          <w:color w:val="auto"/>
          <w:highlight w:val="none"/>
        </w:rPr>
        <w:t>机构提出针对同一采购程序环节的质疑。质疑供应商对采购人、采购</w:t>
      </w:r>
      <w:r>
        <w:rPr>
          <w:rFonts w:hint="eastAsia"/>
          <w:color w:val="auto"/>
          <w:highlight w:val="none"/>
          <w:lang w:val="en-US" w:eastAsia="zh-CN"/>
        </w:rPr>
        <w:t>代理</w:t>
      </w:r>
      <w:r>
        <w:rPr>
          <w:rFonts w:hint="eastAsia"/>
          <w:color w:val="auto"/>
          <w:highlight w:val="none"/>
        </w:rPr>
        <w:t>机构的答复不满意，或者采购人、采购</w:t>
      </w:r>
      <w:r>
        <w:rPr>
          <w:rFonts w:hint="eastAsia"/>
          <w:color w:val="auto"/>
          <w:highlight w:val="none"/>
          <w:lang w:val="en-US" w:eastAsia="zh-CN"/>
        </w:rPr>
        <w:t>代理</w:t>
      </w:r>
      <w:r>
        <w:rPr>
          <w:rFonts w:hint="eastAsia"/>
          <w:color w:val="auto"/>
          <w:highlight w:val="none"/>
        </w:rPr>
        <w:t>机构未在规定时间内作出答复的，可以在答复期满后15个工作日内向规定的财政部门提起投诉。</w:t>
      </w:r>
    </w:p>
    <w:p w14:paraId="208356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2.质疑和投诉应当满足《政府采购质疑和投诉办法》（中华人民共和国财政部令第94号）要求。</w:t>
      </w:r>
    </w:p>
    <w:p w14:paraId="0CF02B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3.质疑受理地点：嘉兴市千秋工程咨询有限公司；联系人：</w:t>
      </w:r>
      <w:r>
        <w:rPr>
          <w:rFonts w:hint="eastAsia"/>
          <w:color w:val="auto"/>
          <w:highlight w:val="none"/>
          <w:lang w:val="en-US" w:eastAsia="zh-CN"/>
        </w:rPr>
        <w:t>屠先生</w:t>
      </w:r>
      <w:r>
        <w:rPr>
          <w:rFonts w:hint="eastAsia"/>
          <w:color w:val="auto"/>
          <w:highlight w:val="none"/>
        </w:rPr>
        <w:t>；联系电话：0573-</w:t>
      </w:r>
      <w:r>
        <w:rPr>
          <w:rFonts w:hint="eastAsia"/>
          <w:color w:val="auto"/>
          <w:highlight w:val="none"/>
          <w:lang w:val="en-US" w:eastAsia="zh-CN"/>
        </w:rPr>
        <w:t>85126112</w:t>
      </w:r>
      <w:r>
        <w:rPr>
          <w:rFonts w:hint="eastAsia"/>
          <w:color w:val="auto"/>
          <w:highlight w:val="none"/>
        </w:rPr>
        <w:t>。</w:t>
      </w:r>
    </w:p>
    <w:p w14:paraId="27F538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4.投诉受理地点：</w:t>
      </w:r>
      <w:r>
        <w:rPr>
          <w:rFonts w:hint="eastAsia" w:ascii="宋体" w:hAnsi="宋体" w:eastAsia="宋体" w:cs="宋体"/>
          <w:color w:val="auto"/>
          <w:szCs w:val="21"/>
          <w:highlight w:val="none"/>
        </w:rPr>
        <w:t>平湖市财政局政府采购监管科</w:t>
      </w:r>
      <w:r>
        <w:rPr>
          <w:rFonts w:hint="eastAsia"/>
          <w:color w:val="auto"/>
          <w:highlight w:val="none"/>
        </w:rPr>
        <w:t>；联系人：</w:t>
      </w:r>
      <w:r>
        <w:rPr>
          <w:rFonts w:hint="eastAsia"/>
          <w:color w:val="auto"/>
          <w:highlight w:val="none"/>
          <w:lang w:val="en-US" w:eastAsia="zh-CN"/>
        </w:rPr>
        <w:t>陆先生</w:t>
      </w:r>
      <w:r>
        <w:rPr>
          <w:rFonts w:hint="eastAsia"/>
          <w:color w:val="auto"/>
          <w:highlight w:val="none"/>
        </w:rPr>
        <w:t>；联系电话：</w:t>
      </w:r>
      <w:r>
        <w:rPr>
          <w:rFonts w:hint="eastAsia" w:ascii="宋体" w:hAnsi="宋体" w:eastAsia="宋体" w:cs="宋体"/>
          <w:color w:val="auto"/>
          <w:szCs w:val="21"/>
          <w:highlight w:val="none"/>
        </w:rPr>
        <w:t>0573-85013033</w:t>
      </w:r>
      <w:r>
        <w:rPr>
          <w:rFonts w:hint="eastAsia"/>
          <w:color w:val="auto"/>
          <w:highlight w:val="none"/>
        </w:rPr>
        <w:t>。</w:t>
      </w:r>
    </w:p>
    <w:p w14:paraId="25C2491D">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bookmarkStart w:id="16" w:name="_Toc18825"/>
      <w:bookmarkStart w:id="17" w:name="_Toc17622"/>
      <w:bookmarkStart w:id="18" w:name="_Toc31583"/>
      <w:bookmarkStart w:id="19" w:name="_Toc18667"/>
      <w:bookmarkStart w:id="20" w:name="_Toc1588"/>
      <w:r>
        <w:rPr>
          <w:rFonts w:hint="eastAsia"/>
          <w:b/>
          <w:bCs/>
          <w:color w:val="auto"/>
          <w:highlight w:val="none"/>
        </w:rPr>
        <w:t>二、</w:t>
      </w:r>
      <w:bookmarkEnd w:id="15"/>
      <w:r>
        <w:rPr>
          <w:rFonts w:hint="eastAsia"/>
          <w:b/>
          <w:bCs/>
          <w:color w:val="auto"/>
          <w:highlight w:val="none"/>
        </w:rPr>
        <w:t>竞争性磋商文件</w:t>
      </w:r>
      <w:bookmarkEnd w:id="16"/>
      <w:bookmarkEnd w:id="17"/>
      <w:bookmarkEnd w:id="18"/>
      <w:bookmarkEnd w:id="19"/>
      <w:bookmarkEnd w:id="20"/>
    </w:p>
    <w:p w14:paraId="3D38759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bookmarkStart w:id="21" w:name="_Toc183786417"/>
      <w:bookmarkStart w:id="22" w:name="_Toc24095"/>
      <w:bookmarkStart w:id="23" w:name="_Toc4595"/>
      <w:bookmarkStart w:id="24" w:name="_Toc7224"/>
      <w:bookmarkStart w:id="25" w:name="_Toc2458"/>
      <w:bookmarkStart w:id="26" w:name="_Toc16225"/>
      <w:r>
        <w:rPr>
          <w:rFonts w:hint="eastAsia"/>
          <w:color w:val="auto"/>
          <w:highlight w:val="none"/>
        </w:rPr>
        <w:t>（一）磋商文件的构成</w:t>
      </w:r>
    </w:p>
    <w:p w14:paraId="5A7F55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磋商文件由磋商文件目录所列的全部内容及在磋商过程中发出的修正和补充文件组成。</w:t>
      </w:r>
    </w:p>
    <w:p w14:paraId="11E865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（二）供应商的风险</w:t>
      </w:r>
    </w:p>
    <w:p w14:paraId="7F13FF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供应商没有按照磋商文件要求提供全部资料，或者供应商没有对磋商文件在各方面做出实质性响应是供应商的风险，并可能导致其投标无效。</w:t>
      </w:r>
    </w:p>
    <w:p w14:paraId="015E21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（三）磋商文件的澄清与修改 </w:t>
      </w:r>
    </w:p>
    <w:p w14:paraId="7342AB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 提交首次响应文件截止之日前，采购人、采购代理机构或者</w:t>
      </w:r>
      <w:r>
        <w:rPr>
          <w:rFonts w:hint="eastAsia"/>
          <w:color w:val="auto"/>
          <w:highlight w:val="none"/>
          <w:lang w:val="en-US" w:eastAsia="zh-CN"/>
        </w:rPr>
        <w:t>评标委员会</w:t>
      </w:r>
      <w:r>
        <w:rPr>
          <w:rFonts w:hint="eastAsia"/>
          <w:color w:val="auto"/>
          <w:highlight w:val="none"/>
        </w:rPr>
        <w:t>可以对已发出的磋商文件进行必要的澄清或者修改，澄清或者修改的内容作为磋商文件的组成部分。澄清或者修改的内容可能影响响应文件编制的，采购人、采购代理机构应当在提交首次响应文件截止时间至少5日前，以公告形式通知所有获取磋商文件的供应商；不足5日的，采购人、采购代理机构应当顺延提交首次响应文件截止时间。公告于浙江政府采购网</w:t>
      </w:r>
      <w:r>
        <w:rPr>
          <w:rFonts w:hint="eastAsia"/>
          <w:color w:val="auto"/>
          <w:highlight w:val="none"/>
          <w:lang w:eastAsia="zh-CN"/>
        </w:rPr>
        <w:t>（</w:t>
      </w:r>
      <w:r>
        <w:rPr>
          <w:rFonts w:hint="eastAsia" w:ascii="宋体" w:hAnsi="宋体" w:eastAsia="宋体" w:cs="宋体"/>
          <w:color w:val="auto"/>
          <w:szCs w:val="21"/>
          <w:highlight w:val="none"/>
        </w:rPr>
        <w:t>https://zfcg.czt.zj.gov.cn/</w:t>
      </w:r>
      <w:r>
        <w:rPr>
          <w:rFonts w:hint="eastAsia"/>
          <w:color w:val="auto"/>
          <w:highlight w:val="none"/>
          <w:lang w:eastAsia="zh-CN"/>
        </w:rPr>
        <w:t>）</w:t>
      </w:r>
      <w:r>
        <w:rPr>
          <w:rFonts w:hint="eastAsia"/>
          <w:color w:val="auto"/>
          <w:highlight w:val="none"/>
        </w:rPr>
        <w:t>上发布，请供应商在响应截止日期前及时关注。采购文件的澄清、答复、修改或补充，一经在上述媒体发布，即视所有投标人都已经收到相关文件。</w:t>
      </w:r>
    </w:p>
    <w:p w14:paraId="459FE8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 采购代理机构以公告形式答复供应商要求澄清的问题，但不包含问题来源；除上述媒体发布的答复以外的其他澄清方式及澄清内容均无效。</w:t>
      </w:r>
    </w:p>
    <w:p w14:paraId="419BEE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采购代理机构对已发出的磋商文件进行必要澄清或者修改的，应当在财政部门指定的政府采购信息发布媒体上发布更正公告。磋商文件澄清、答复、修改、补充的内容为磋商文件的组成部分。当磋商文件与磋商文件的答复、澄清、修改、补充通知就同一内容的表述不一致时，以最后发出的书面文件为准。</w:t>
      </w:r>
    </w:p>
    <w:p w14:paraId="4926D5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4.磋商文件的澄清、答复、修改或补充都应该通过采购</w:t>
      </w:r>
      <w:r>
        <w:rPr>
          <w:rFonts w:hint="eastAsia"/>
          <w:color w:val="auto"/>
          <w:highlight w:val="none"/>
          <w:lang w:val="en-US" w:eastAsia="zh-CN"/>
        </w:rPr>
        <w:t>代理</w:t>
      </w:r>
      <w:r>
        <w:rPr>
          <w:rFonts w:hint="eastAsia"/>
          <w:color w:val="auto"/>
          <w:highlight w:val="none"/>
        </w:rPr>
        <w:t>机构以法定形式发布，采购人非通过本机构，不得擅自澄清、答复、修改或补充磋商文件。</w:t>
      </w:r>
    </w:p>
    <w:p w14:paraId="21FF233C">
      <w:pPr>
        <w:keepNext w:val="0"/>
        <w:keepLines w:val="0"/>
        <w:pageBreakBefore w:val="0"/>
        <w:widowControl w:val="0"/>
        <w:kinsoku/>
        <w:wordWrap/>
        <w:overflowPunct/>
        <w:topLinePunct w:val="0"/>
        <w:autoSpaceDE/>
        <w:autoSpaceDN/>
        <w:bidi w:val="0"/>
        <w:adjustRightInd/>
        <w:snapToGrid/>
        <w:spacing w:line="400" w:lineRule="exact"/>
        <w:textAlignment w:val="auto"/>
        <w:rPr>
          <w:b/>
          <w:bCs/>
          <w:color w:val="auto"/>
          <w:highlight w:val="none"/>
        </w:rPr>
      </w:pPr>
      <w:r>
        <w:rPr>
          <w:rFonts w:hint="eastAsia"/>
          <w:b/>
          <w:bCs/>
          <w:color w:val="auto"/>
          <w:highlight w:val="none"/>
        </w:rPr>
        <w:t>三、响应文件</w:t>
      </w:r>
      <w:bookmarkEnd w:id="21"/>
      <w:r>
        <w:rPr>
          <w:rFonts w:hint="eastAsia"/>
          <w:b/>
          <w:bCs/>
          <w:color w:val="auto"/>
          <w:highlight w:val="none"/>
        </w:rPr>
        <w:t>编制要求</w:t>
      </w:r>
      <w:bookmarkEnd w:id="22"/>
      <w:bookmarkEnd w:id="23"/>
      <w:bookmarkEnd w:id="24"/>
      <w:bookmarkEnd w:id="25"/>
      <w:bookmarkEnd w:id="26"/>
    </w:p>
    <w:p w14:paraId="290092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rPr>
        <w:t>响应文件的组成</w:t>
      </w:r>
    </w:p>
    <w:p w14:paraId="31DF38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本项目所涉响应文件格式请详见第六章，未给出的格式请自拟。</w:t>
      </w:r>
    </w:p>
    <w:p w14:paraId="622432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1.</w:t>
      </w:r>
      <w:r>
        <w:rPr>
          <w:rFonts w:hint="eastAsia"/>
          <w:color w:val="auto"/>
          <w:highlight w:val="none"/>
        </w:rPr>
        <w:t>资格</w:t>
      </w:r>
      <w:r>
        <w:rPr>
          <w:rFonts w:hint="eastAsia"/>
          <w:color w:val="auto"/>
          <w:highlight w:val="none"/>
          <w:lang w:val="en-US" w:eastAsia="zh-CN"/>
        </w:rPr>
        <w:t>响应</w:t>
      </w:r>
      <w:r>
        <w:rPr>
          <w:rFonts w:hint="eastAsia"/>
          <w:color w:val="auto"/>
          <w:highlight w:val="none"/>
        </w:rPr>
        <w:t>文件</w:t>
      </w:r>
      <w:r>
        <w:rPr>
          <w:color w:val="auto"/>
          <w:highlight w:val="none"/>
        </w:rPr>
        <w:t>（包括以下内容）</w:t>
      </w:r>
      <w:r>
        <w:rPr>
          <w:rFonts w:hint="eastAsia"/>
          <w:color w:val="auto"/>
          <w:highlight w:val="none"/>
        </w:rPr>
        <w:t>：</w:t>
      </w:r>
    </w:p>
    <w:p w14:paraId="6F40F0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（1）基本资格条件证明材料： </w:t>
      </w:r>
    </w:p>
    <w:p w14:paraId="339BCAD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highlight w:val="none"/>
        </w:rPr>
      </w:pPr>
      <w:r>
        <w:rPr>
          <w:rFonts w:hint="eastAsia"/>
          <w:b/>
          <w:bCs/>
          <w:color w:val="auto"/>
          <w:highlight w:val="none"/>
        </w:rPr>
        <w:t xml:space="preserve">（以下a~e项是基本资格条件对应证明材料的具体内容，各供应商须在响应文件中出具对应证明材料，其中b~e项只需提供“符合参加政府采购活动应当具备的一般条件的承诺函”（格式详见附件）） </w:t>
      </w:r>
    </w:p>
    <w:p w14:paraId="37442B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a.具有独立承担民事责任的能力：</w:t>
      </w:r>
    </w:p>
    <w:p w14:paraId="0CEF7D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供应商须在响应文件中出具符合以下情况的证明材料复印件（五选一）： </w:t>
      </w:r>
    </w:p>
    <w:p w14:paraId="0252197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①如供应商是企业（包括合伙企业），提供在工商部门注册的有效“企业法人营业执照”或“营业执照”； </w:t>
      </w:r>
    </w:p>
    <w:p w14:paraId="54075E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②如供应商是事业单位，提供有效的“事业单位法人证书”； </w:t>
      </w:r>
    </w:p>
    <w:p w14:paraId="397E0D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③如供应商是非企业专业服务机构的，提供执业许可证或民办非企业单位法人登记证书等证明文件； </w:t>
      </w:r>
    </w:p>
    <w:p w14:paraId="2B1D16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④如供应商是个体工商户，提供有效的“个体工商户营业执照”； </w:t>
      </w:r>
    </w:p>
    <w:p w14:paraId="66A953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⑤如供应商是自然人，提供有效的自然人身份证明（居民身份证正反面或公安机关出具的临时居民身份证正反面或港澳台胞证或护照）。 </w:t>
      </w:r>
    </w:p>
    <w:p w14:paraId="39EA7A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b.具有良好的商业信誉和健全的财务会计制度的证明材料；</w:t>
      </w:r>
    </w:p>
    <w:p w14:paraId="725DCB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c.具有履行合同所必需的设备和专业技术能力； </w:t>
      </w:r>
    </w:p>
    <w:p w14:paraId="7BB837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 xml:space="preserve">d.有依法缴纳税收和社会保障资金的良好记录； </w:t>
      </w:r>
    </w:p>
    <w:p w14:paraId="181B6A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e.参加政府采购活动前三年内，在经营活动中没有重大违法记录。</w:t>
      </w:r>
    </w:p>
    <w:p w14:paraId="3E7A488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（2）</w:t>
      </w:r>
      <w:r>
        <w:rPr>
          <w:rFonts w:hint="eastAsia"/>
          <w:b/>
          <w:bCs/>
          <w:color w:val="auto"/>
          <w:highlight w:val="none"/>
        </w:rPr>
        <w:t>特定资格要求：具体要求详见采购公告</w:t>
      </w:r>
      <w:r>
        <w:rPr>
          <w:rFonts w:hint="eastAsia"/>
          <w:b/>
          <w:bCs/>
          <w:color w:val="auto"/>
          <w:highlight w:val="none"/>
          <w:lang w:eastAsia="zh-CN"/>
        </w:rPr>
        <w:t>（</w:t>
      </w:r>
      <w:r>
        <w:rPr>
          <w:rFonts w:hint="eastAsia"/>
          <w:b/>
          <w:bCs/>
          <w:color w:val="auto"/>
          <w:highlight w:val="none"/>
          <w:lang w:val="en-US" w:eastAsia="zh-CN"/>
        </w:rPr>
        <w:t>如有</w:t>
      </w:r>
      <w:r>
        <w:rPr>
          <w:rFonts w:hint="eastAsia"/>
          <w:b/>
          <w:bCs/>
          <w:color w:val="auto"/>
          <w:highlight w:val="none"/>
          <w:lang w:eastAsia="zh-CN"/>
        </w:rPr>
        <w:t>）</w:t>
      </w:r>
      <w:r>
        <w:rPr>
          <w:rFonts w:hint="eastAsia"/>
          <w:b/>
          <w:bCs/>
          <w:color w:val="auto"/>
          <w:highlight w:val="none"/>
        </w:rPr>
        <w:t>。</w:t>
      </w:r>
    </w:p>
    <w:p w14:paraId="7574629F">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b/>
          <w:bCs/>
          <w:color w:val="auto"/>
          <w:highlight w:val="none"/>
        </w:rPr>
      </w:pP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rPr>
        <w:t>中小企业声明函（格式见附件）（如为联合体，还须上传联合</w:t>
      </w:r>
      <w:r>
        <w:rPr>
          <w:rFonts w:hint="eastAsia"/>
          <w:b/>
          <w:bCs/>
          <w:color w:val="auto"/>
          <w:highlight w:val="none"/>
          <w:lang w:val="en-US" w:eastAsia="zh-CN"/>
        </w:rPr>
        <w:t>体牵头单位和</w:t>
      </w:r>
      <w:r>
        <w:rPr>
          <w:rFonts w:hint="eastAsia"/>
          <w:b/>
          <w:bCs/>
          <w:color w:val="auto"/>
          <w:highlight w:val="none"/>
        </w:rPr>
        <w:t>成员</w:t>
      </w:r>
      <w:r>
        <w:rPr>
          <w:rFonts w:hint="eastAsia"/>
          <w:b/>
          <w:bCs/>
          <w:color w:val="auto"/>
          <w:highlight w:val="none"/>
          <w:lang w:val="en-US" w:eastAsia="zh-CN"/>
        </w:rPr>
        <w:t>单位</w:t>
      </w:r>
      <w:r>
        <w:rPr>
          <w:rFonts w:hint="eastAsia"/>
          <w:b/>
          <w:bCs/>
          <w:color w:val="auto"/>
          <w:highlight w:val="none"/>
        </w:rPr>
        <w:t>的中小企业声明函</w:t>
      </w:r>
      <w:r>
        <w:rPr>
          <w:rFonts w:hint="eastAsia"/>
          <w:b/>
          <w:bCs/>
          <w:color w:val="auto"/>
          <w:highlight w:val="none"/>
          <w:lang w:eastAsia="zh-CN"/>
        </w:rPr>
        <w:t>。以联合体形式参加政府采购活动，联合体各方均为中小企业的，联合体视同中小企业。</w:t>
      </w:r>
      <w:r>
        <w:rPr>
          <w:rFonts w:hint="eastAsia"/>
          <w:b/>
          <w:bCs/>
          <w:color w:val="auto"/>
          <w:highlight w:val="none"/>
        </w:rPr>
        <w:t>）</w:t>
      </w:r>
    </w:p>
    <w:p w14:paraId="2CE0D94F">
      <w:pPr>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eastAsiaTheme="minorEastAsia"/>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4）</w:t>
      </w:r>
      <w:r>
        <w:rPr>
          <w:rFonts w:hint="eastAsia"/>
          <w:b/>
          <w:bCs/>
          <w:color w:val="auto"/>
          <w:highlight w:val="none"/>
        </w:rPr>
        <w:t>联合体协议书（供应商以联合体方式投标的必须提供联合体协议书，否则作无效标处理）</w:t>
      </w:r>
      <w:r>
        <w:rPr>
          <w:rFonts w:hint="eastAsia"/>
          <w:b/>
          <w:bCs/>
          <w:color w:val="auto"/>
          <w:highlight w:val="none"/>
          <w:lang w:val="en-US" w:eastAsia="zh-CN"/>
        </w:rPr>
        <w:t xml:space="preserve"> </w:t>
      </w:r>
    </w:p>
    <w:p w14:paraId="5A66D4C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上述资格证明文件是对供应商资格进行合格性审查的评审依据，供应商应提供上述资料。未按要求出具上述证明材料或出具的证明材料不完整的，资格性审查均不予通过</w:t>
      </w:r>
      <w:r>
        <w:rPr>
          <w:rFonts w:hint="eastAsia"/>
          <w:color w:val="auto"/>
          <w:highlight w:val="none"/>
        </w:rPr>
        <w:t>。</w:t>
      </w:r>
    </w:p>
    <w:bookmarkEnd w:id="7"/>
    <w:bookmarkEnd w:id="8"/>
    <w:p w14:paraId="69A45D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eastAsia="zh-CN"/>
        </w:rPr>
      </w:pPr>
      <w:r>
        <w:rPr>
          <w:rFonts w:hint="eastAsia"/>
          <w:color w:val="auto"/>
          <w:highlight w:val="none"/>
          <w:lang w:val="en-US" w:eastAsia="zh-CN"/>
        </w:rPr>
        <w:t>2.商务技术响应</w:t>
      </w:r>
      <w:r>
        <w:rPr>
          <w:rFonts w:hint="eastAsia"/>
          <w:color w:val="auto"/>
          <w:highlight w:val="none"/>
        </w:rPr>
        <w:t>文件</w:t>
      </w:r>
      <w:r>
        <w:rPr>
          <w:color w:val="auto"/>
          <w:highlight w:val="none"/>
        </w:rPr>
        <w:t>（包括以下内容）</w:t>
      </w:r>
      <w:r>
        <w:rPr>
          <w:rFonts w:hint="eastAsia"/>
          <w:color w:val="auto"/>
          <w:highlight w:val="none"/>
        </w:rPr>
        <w:t>：</w:t>
      </w:r>
    </w:p>
    <w:p w14:paraId="7318D3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磋商响应函（格式见附件）</w:t>
      </w:r>
      <w:r>
        <w:rPr>
          <w:rFonts w:hint="eastAsia"/>
          <w:color w:val="auto"/>
          <w:highlight w:val="none"/>
          <w:lang w:eastAsia="zh-CN"/>
        </w:rPr>
        <w:t>。</w:t>
      </w:r>
    </w:p>
    <w:p w14:paraId="17FDD9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2</w:t>
      </w:r>
      <w:r>
        <w:rPr>
          <w:rFonts w:hint="eastAsia"/>
          <w:color w:val="auto"/>
          <w:highlight w:val="none"/>
        </w:rPr>
        <w:t>）法定代表人资格证明及法定代表人授权书（如为法定代表人参加磋商，则只需提供法定代表人资格证明书）（格式见附件）</w:t>
      </w:r>
      <w:r>
        <w:rPr>
          <w:rFonts w:hint="eastAsia"/>
          <w:color w:val="auto"/>
          <w:highlight w:val="none"/>
          <w:lang w:eastAsia="zh-CN"/>
        </w:rPr>
        <w:t>。</w:t>
      </w:r>
    </w:p>
    <w:p w14:paraId="2A3514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）技术</w:t>
      </w:r>
      <w:r>
        <w:rPr>
          <w:rFonts w:hint="eastAsia"/>
          <w:color w:val="auto"/>
          <w:highlight w:val="none"/>
          <w:lang w:eastAsia="zh-CN"/>
        </w:rPr>
        <w:t>、</w:t>
      </w:r>
      <w:r>
        <w:rPr>
          <w:rFonts w:hint="eastAsia"/>
          <w:color w:val="auto"/>
          <w:highlight w:val="none"/>
          <w:lang w:val="en-US" w:eastAsia="zh-CN"/>
        </w:rPr>
        <w:t>商务</w:t>
      </w:r>
      <w:r>
        <w:rPr>
          <w:rFonts w:hint="eastAsia"/>
          <w:color w:val="auto"/>
          <w:highlight w:val="none"/>
        </w:rPr>
        <w:t>响应（偏离）表（格式见附件）</w:t>
      </w:r>
      <w:r>
        <w:rPr>
          <w:rFonts w:hint="eastAsia"/>
          <w:color w:val="auto"/>
          <w:highlight w:val="none"/>
          <w:lang w:eastAsia="zh-CN"/>
        </w:rPr>
        <w:t>。</w:t>
      </w:r>
    </w:p>
    <w:p w14:paraId="1B5B11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4</w:t>
      </w:r>
      <w:r>
        <w:rPr>
          <w:rFonts w:hint="eastAsia"/>
          <w:color w:val="auto"/>
          <w:highlight w:val="none"/>
        </w:rPr>
        <w:t>）供应商基本情况表（格式见附件）</w:t>
      </w:r>
      <w:r>
        <w:rPr>
          <w:rFonts w:hint="eastAsia"/>
          <w:color w:val="auto"/>
          <w:highlight w:val="none"/>
          <w:lang w:eastAsia="zh-CN"/>
        </w:rPr>
        <w:t>。</w:t>
      </w:r>
    </w:p>
    <w:p w14:paraId="6825ABA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项目负责人简历表</w:t>
      </w:r>
      <w:r>
        <w:rPr>
          <w:rFonts w:hint="eastAsia"/>
          <w:color w:val="auto"/>
          <w:highlight w:val="none"/>
          <w:lang w:eastAsia="zh-CN"/>
        </w:rPr>
        <w:t>（</w:t>
      </w:r>
      <w:r>
        <w:rPr>
          <w:rFonts w:hint="eastAsia"/>
          <w:color w:val="auto"/>
          <w:highlight w:val="none"/>
        </w:rPr>
        <w:t>格式见附件）</w:t>
      </w:r>
      <w:r>
        <w:rPr>
          <w:rFonts w:hint="eastAsia"/>
          <w:color w:val="auto"/>
          <w:highlight w:val="none"/>
          <w:lang w:eastAsia="zh-CN"/>
        </w:rPr>
        <w:t>。</w:t>
      </w:r>
    </w:p>
    <w:p w14:paraId="21638A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人员</w:t>
      </w:r>
      <w:r>
        <w:rPr>
          <w:rFonts w:hint="eastAsia"/>
          <w:color w:val="auto"/>
          <w:highlight w:val="none"/>
        </w:rPr>
        <w:t>备情况表</w:t>
      </w:r>
      <w:r>
        <w:rPr>
          <w:rFonts w:hint="eastAsia"/>
          <w:color w:val="auto"/>
          <w:highlight w:val="none"/>
          <w:lang w:eastAsia="zh-CN"/>
        </w:rPr>
        <w:t>（</w:t>
      </w:r>
      <w:r>
        <w:rPr>
          <w:rFonts w:hint="eastAsia"/>
          <w:color w:val="auto"/>
          <w:highlight w:val="none"/>
        </w:rPr>
        <w:t>格式见附件）</w:t>
      </w:r>
      <w:r>
        <w:rPr>
          <w:rFonts w:hint="eastAsia"/>
          <w:color w:val="auto"/>
          <w:highlight w:val="none"/>
          <w:lang w:eastAsia="zh-CN"/>
        </w:rPr>
        <w:t>。</w:t>
      </w:r>
    </w:p>
    <w:p w14:paraId="5CEE239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同类</w:t>
      </w:r>
      <w:r>
        <w:rPr>
          <w:rFonts w:hint="eastAsia"/>
          <w:color w:val="auto"/>
          <w:highlight w:val="none"/>
          <w:lang w:val="en-US" w:eastAsia="zh-CN"/>
        </w:rPr>
        <w:t>项目实施情况一览表</w:t>
      </w:r>
      <w:r>
        <w:rPr>
          <w:rFonts w:hint="eastAsia"/>
          <w:color w:val="auto"/>
          <w:highlight w:val="none"/>
        </w:rPr>
        <w:t>（格式见附件）</w:t>
      </w:r>
      <w:r>
        <w:rPr>
          <w:rFonts w:hint="eastAsia"/>
          <w:color w:val="auto"/>
          <w:highlight w:val="none"/>
          <w:lang w:eastAsia="zh-CN"/>
        </w:rPr>
        <w:t>。</w:t>
      </w:r>
    </w:p>
    <w:p w14:paraId="2B41FBE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val="en-US" w:eastAsia="zh-CN"/>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rFonts w:hint="eastAsia"/>
          <w:color w:val="auto"/>
          <w:sz w:val="21"/>
          <w:szCs w:val="21"/>
          <w:highlight w:val="none"/>
        </w:rPr>
        <w:t>方案</w:t>
      </w:r>
      <w:r>
        <w:rPr>
          <w:rFonts w:hint="eastAsia"/>
          <w:color w:val="auto"/>
          <w:highlight w:val="none"/>
        </w:rPr>
        <w:t>（格式自拟）</w:t>
      </w:r>
      <w:r>
        <w:rPr>
          <w:rFonts w:hint="eastAsia"/>
          <w:color w:val="auto"/>
          <w:highlight w:val="none"/>
          <w:lang w:eastAsia="zh-CN"/>
        </w:rPr>
        <w:t>。</w:t>
      </w:r>
    </w:p>
    <w:p w14:paraId="6DF621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供应商需要说明的其他内容（未尽事宜可按评分细则部分制作）</w:t>
      </w:r>
      <w:r>
        <w:rPr>
          <w:rFonts w:hint="eastAsia"/>
          <w:color w:val="auto"/>
          <w:highlight w:val="none"/>
          <w:lang w:eastAsia="zh-CN"/>
        </w:rPr>
        <w:t>。</w:t>
      </w:r>
    </w:p>
    <w:p w14:paraId="0BFE03A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rPr>
        <w:t>（</w:t>
      </w:r>
      <w:r>
        <w:rPr>
          <w:rFonts w:hint="eastAsia"/>
          <w:color w:val="auto"/>
          <w:highlight w:val="none"/>
          <w:lang w:val="en-US" w:eastAsia="zh-CN"/>
        </w:rPr>
        <w:t>10</w:t>
      </w:r>
      <w:r>
        <w:rPr>
          <w:rFonts w:hint="eastAsia"/>
          <w:color w:val="auto"/>
          <w:highlight w:val="none"/>
        </w:rPr>
        <w:t>）投标单位参与综合评分时需提供的证明文件</w:t>
      </w:r>
      <w:r>
        <w:rPr>
          <w:rFonts w:hint="eastAsia"/>
          <w:color w:val="auto"/>
          <w:highlight w:val="none"/>
          <w:lang w:eastAsia="zh-CN"/>
        </w:rPr>
        <w:t>。</w:t>
      </w:r>
    </w:p>
    <w:p w14:paraId="0FD4B7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w:t>
      </w:r>
      <w:r>
        <w:rPr>
          <w:rFonts w:hint="eastAsia"/>
          <w:color w:val="auto"/>
          <w:highlight w:val="none"/>
          <w:lang w:val="en-US" w:eastAsia="zh-CN"/>
        </w:rPr>
        <w:t>11</w:t>
      </w:r>
      <w:r>
        <w:rPr>
          <w:rFonts w:hint="eastAsia"/>
          <w:color w:val="auto"/>
          <w:highlight w:val="none"/>
        </w:rPr>
        <w:t>）投标人认为需要的其他技术文件或说明。</w:t>
      </w:r>
    </w:p>
    <w:p w14:paraId="5F0C37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注：以上内容为复印件的应加盖磋商供应商公章，附件中有参考格式的，</w:t>
      </w:r>
      <w:r>
        <w:rPr>
          <w:rFonts w:hint="eastAsia"/>
          <w:color w:val="auto"/>
          <w:highlight w:val="none"/>
          <w:lang w:eastAsia="zh-CN"/>
        </w:rPr>
        <w:t>根据</w:t>
      </w:r>
      <w:r>
        <w:rPr>
          <w:rFonts w:hint="eastAsia"/>
          <w:color w:val="auto"/>
          <w:highlight w:val="none"/>
        </w:rPr>
        <w:t>格式，没有参考格式的，磋商供应商根据磋商文件要求自行编制。</w:t>
      </w:r>
    </w:p>
    <w:p w14:paraId="2A8DB9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val="en-US" w:eastAsia="zh-CN"/>
        </w:rPr>
        <w:t>3.</w:t>
      </w:r>
      <w:r>
        <w:rPr>
          <w:color w:val="auto"/>
          <w:highlight w:val="none"/>
        </w:rPr>
        <w:t>投标报价文件</w:t>
      </w:r>
    </w:p>
    <w:p w14:paraId="511BD5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投标函。</w:t>
      </w:r>
    </w:p>
    <w:p w14:paraId="50FE91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磋商报价一览表（首次报价）（格式见附件）</w:t>
      </w:r>
      <w:r>
        <w:rPr>
          <w:rFonts w:hint="eastAsia"/>
          <w:color w:val="auto"/>
          <w:highlight w:val="none"/>
          <w:lang w:eastAsia="zh-CN"/>
        </w:rPr>
        <w:t>。</w:t>
      </w:r>
    </w:p>
    <w:p w14:paraId="63E1E4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磋商供应商认为需要提供的其它文件及资料。</w:t>
      </w:r>
    </w:p>
    <w:p w14:paraId="1163AE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磋商响应函、法定代表人授权委托书、磋商报价一览表（首次报价）必须由法定代表人或委托代理人签名并加盖单位公章。</w:t>
      </w:r>
    </w:p>
    <w:p w14:paraId="6FF9FC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（二）响应文件的语言及计量</w:t>
      </w:r>
    </w:p>
    <w:p w14:paraId="74AA82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1.响应文件以及供应商与磋商人就有关投标事宜的所有来往函电，均应以中文汉语书写。除签名、盖章、专用名称等特殊情形外，以中文汉语以外的文字表述的响应文件视同未提供。</w:t>
      </w:r>
    </w:p>
    <w:p w14:paraId="7F4945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2.投标计量单位，磋商文件已有明确规定的，使用磋商文件规定的计量单位；磋商文件没有规定的，应采用中华人民共和国法定计量单位（货币单位：人民币元），否则视同未响应。</w:t>
      </w:r>
    </w:p>
    <w:p w14:paraId="2EC741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（三）磋商报价</w:t>
      </w:r>
    </w:p>
    <w:p w14:paraId="1DAD00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1.磋商报价应按磋商文件中相关附表格式填写。</w:t>
      </w:r>
    </w:p>
    <w:p w14:paraId="5C61C5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磋商报价是履行合同的最终价格，应包括但不限于储备轮换包干费（含检验检疫、包装、运输、装卸、保险等）、冷库租赁费、日常监督管理费及税费等全部费用（如有应急投放、紧急调用、政策调整等特殊情况，可根据相应条款另外结算或双方协商处置）。</w:t>
      </w:r>
    </w:p>
    <w:p w14:paraId="511D57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3. 在磋商过程中允许再进行最后一次报价，有选择的或有条件的报价将不予接受。</w:t>
      </w:r>
    </w:p>
    <w:p w14:paraId="1E0865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（四）响应文件的有效期</w:t>
      </w:r>
    </w:p>
    <w:p w14:paraId="62D621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1.响应文件从响应文件递交截止之日起，有效期为90天，有效期不足的响应文件无效。</w:t>
      </w:r>
    </w:p>
    <w:p w14:paraId="081FD4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2.在特殊情况下，招标人可与供应商协商延长投标书的有效期，这种要求和答复均以书面形式进行。</w:t>
      </w:r>
    </w:p>
    <w:p w14:paraId="1B78D1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 xml:space="preserve">3.供应商可拒绝接受延期要求。同意延长有效期的投标人不能修改响应文件。 </w:t>
      </w:r>
    </w:p>
    <w:p w14:paraId="76F19D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4.中标人的响应文件自开标之日起至合同履行完毕均应保持有效。</w:t>
      </w:r>
    </w:p>
    <w:p w14:paraId="1DB71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（五）投标文件的签署和份数</w:t>
      </w:r>
    </w:p>
    <w:p w14:paraId="36847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w:t>
      </w:r>
    </w:p>
    <w:p w14:paraId="112F11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电子投标文件按政采云平台供应商电子招投标操作指南（网址：https://help.zcygov.cn/web/site_2/2018/12-28/2573.html）及本招标文件规定的格式和顺序编制电子投标文件并进行关联定位。</w:t>
      </w:r>
    </w:p>
    <w:p w14:paraId="06CC65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（六）投标无效的情形</w:t>
      </w:r>
    </w:p>
    <w:p w14:paraId="1EFF008D">
      <w:pPr>
        <w:snapToGrid w:val="0"/>
        <w:spacing w:line="400" w:lineRule="exact"/>
        <w:ind w:firstLine="422" w:firstLineChars="200"/>
        <w:rPr>
          <w:rFonts w:hint="eastAsia" w:asciiTheme="minorEastAsia" w:hAnsiTheme="minorEastAsia" w:eastAsiaTheme="minorEastAsia" w:cstheme="minorEastAsia"/>
          <w:bCs/>
          <w:color w:val="auto"/>
          <w:sz w:val="21"/>
          <w:szCs w:val="21"/>
          <w:highlight w:val="none"/>
        </w:rPr>
      </w:pPr>
      <w:bookmarkStart w:id="27" w:name="_Toc366144037"/>
      <w:r>
        <w:rPr>
          <w:rFonts w:hint="eastAsia" w:asciiTheme="minorEastAsia" w:hAnsiTheme="minorEastAsia" w:eastAsiaTheme="minorEastAsia" w:cstheme="minorEastAsia"/>
          <w:b/>
          <w:bCs w:val="0"/>
          <w:color w:val="auto"/>
          <w:sz w:val="21"/>
          <w:szCs w:val="21"/>
          <w:highlight w:val="none"/>
          <w:lang w:val="en-US" w:eastAsia="zh-CN"/>
        </w:rPr>
        <w:t>1.</w:t>
      </w:r>
      <w:r>
        <w:rPr>
          <w:rFonts w:hint="eastAsia" w:asciiTheme="minorEastAsia" w:hAnsiTheme="minorEastAsia" w:eastAsiaTheme="minorEastAsia" w:cstheme="minorEastAsia"/>
          <w:b/>
          <w:bCs w:val="0"/>
          <w:color w:val="auto"/>
          <w:sz w:val="21"/>
          <w:szCs w:val="21"/>
          <w:highlight w:val="none"/>
        </w:rPr>
        <w:t>根据《政府采购货物和服务招标投标管理办法》有下列情形之一的，视为投标人串通投标，其投标无效</w:t>
      </w:r>
      <w:r>
        <w:rPr>
          <w:rFonts w:hint="eastAsia" w:asciiTheme="minorEastAsia" w:hAnsiTheme="minorEastAsia" w:eastAsiaTheme="minorEastAsia" w:cstheme="minorEastAsia"/>
          <w:bCs/>
          <w:color w:val="auto"/>
          <w:sz w:val="21"/>
          <w:szCs w:val="21"/>
          <w:highlight w:val="none"/>
        </w:rPr>
        <w:t>：</w:t>
      </w:r>
    </w:p>
    <w:p w14:paraId="68DA8E2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(一)不同投标人的投标文件由同一单位或者个人编制</w:t>
      </w:r>
      <w:r>
        <w:rPr>
          <w:rFonts w:hint="eastAsia" w:asciiTheme="minorEastAsia" w:hAnsiTheme="minorEastAsia" w:eastAsiaTheme="minorEastAsia" w:cstheme="minorEastAsia"/>
          <w:bCs/>
          <w:color w:val="auto"/>
          <w:sz w:val="21"/>
          <w:szCs w:val="21"/>
          <w:highlight w:val="none"/>
          <w:lang w:eastAsia="zh-CN"/>
        </w:rPr>
        <w:t>；</w:t>
      </w:r>
    </w:p>
    <w:p w14:paraId="246BC98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(二)不同投标人委托同一单位或者个人办理投标事宜</w:t>
      </w:r>
      <w:r>
        <w:rPr>
          <w:rFonts w:hint="eastAsia" w:asciiTheme="minorEastAsia" w:hAnsiTheme="minorEastAsia" w:eastAsiaTheme="minorEastAsia" w:cstheme="minorEastAsia"/>
          <w:bCs/>
          <w:color w:val="auto"/>
          <w:sz w:val="21"/>
          <w:szCs w:val="21"/>
          <w:highlight w:val="none"/>
          <w:lang w:eastAsia="zh-CN"/>
        </w:rPr>
        <w:t>；</w:t>
      </w:r>
    </w:p>
    <w:p w14:paraId="4F39A6B2">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(三)不同投标人的投标文件载明的项目管理成员或者联系人员为同一人</w:t>
      </w:r>
      <w:r>
        <w:rPr>
          <w:rFonts w:hint="eastAsia" w:asciiTheme="minorEastAsia" w:hAnsiTheme="minorEastAsia" w:eastAsiaTheme="minorEastAsia" w:cstheme="minorEastAsia"/>
          <w:bCs/>
          <w:color w:val="auto"/>
          <w:sz w:val="21"/>
          <w:szCs w:val="21"/>
          <w:highlight w:val="none"/>
          <w:lang w:eastAsia="zh-CN"/>
        </w:rPr>
        <w:t>；</w:t>
      </w:r>
    </w:p>
    <w:p w14:paraId="27BAE616">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(四)不同投标人的投标文件异常一致或者投标报价呈规律性差异</w:t>
      </w:r>
      <w:r>
        <w:rPr>
          <w:rFonts w:hint="eastAsia" w:asciiTheme="minorEastAsia" w:hAnsiTheme="minorEastAsia" w:eastAsiaTheme="minorEastAsia" w:cstheme="minorEastAsia"/>
          <w:bCs/>
          <w:color w:val="auto"/>
          <w:sz w:val="21"/>
          <w:szCs w:val="21"/>
          <w:highlight w:val="none"/>
          <w:lang w:eastAsia="zh-CN"/>
        </w:rPr>
        <w:t>；</w:t>
      </w:r>
    </w:p>
    <w:p w14:paraId="655F9AA1">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(五)不同投标人的投标文件相互混装</w:t>
      </w:r>
      <w:r>
        <w:rPr>
          <w:rFonts w:hint="eastAsia" w:asciiTheme="minorEastAsia" w:hAnsiTheme="minorEastAsia" w:eastAsiaTheme="minorEastAsia" w:cstheme="minorEastAsia"/>
          <w:bCs/>
          <w:color w:val="auto"/>
          <w:sz w:val="21"/>
          <w:szCs w:val="21"/>
          <w:highlight w:val="none"/>
          <w:lang w:eastAsia="zh-CN"/>
        </w:rPr>
        <w:t>；</w:t>
      </w:r>
    </w:p>
    <w:p w14:paraId="5DFE8DE2">
      <w:pPr>
        <w:snapToGrid w:val="0"/>
        <w:spacing w:line="400" w:lineRule="exact"/>
        <w:ind w:firstLine="422" w:firstLineChars="20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2.</w:t>
      </w:r>
      <w:r>
        <w:rPr>
          <w:rFonts w:hint="eastAsia" w:asciiTheme="minorEastAsia" w:hAnsiTheme="minorEastAsia" w:eastAsiaTheme="minorEastAsia" w:cstheme="minorEastAsia"/>
          <w:b/>
          <w:bCs w:val="0"/>
          <w:color w:val="auto"/>
          <w:sz w:val="21"/>
          <w:szCs w:val="21"/>
          <w:highlight w:val="none"/>
        </w:rPr>
        <w:t>供应商存在下列情形之一的，其投标(响应)文件无效:</w:t>
      </w:r>
    </w:p>
    <w:p w14:paraId="6B2E1273">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(1）不同供应商的电子投标（响应）文件上传IP地址、上传计算机的网卡MAC地址、CPU序列号和硬盘序列号等硬件信息相同的；</w:t>
      </w:r>
    </w:p>
    <w:p w14:paraId="114B10E4">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(2）上传的电子投标（响应）文件若出现使用本项目其他投标（响应）供应商的数字证书加息密的，或者加盖本项目其他投标（响应）供应商的电子印章的；</w:t>
      </w:r>
    </w:p>
    <w:p w14:paraId="4FE064D3">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(3）不同供应商的投标（响应）文件的内容存在三处（含）以上错误一致，且无法合理解释的；</w:t>
      </w:r>
    </w:p>
    <w:p w14:paraId="0A7D870B">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(4）不同供应商联系人为同一人或不同联系人的联系电话一致，且无法合理解释的。</w:t>
      </w:r>
    </w:p>
    <w:p w14:paraId="27BFDDB4">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在资格审查过程中，如发现本系统供应商有采购文件约定的上述情形，采购人、采购代理机构应当根据采购文件认定其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7EE3E010">
      <w:pPr>
        <w:snapToGrid w:val="0"/>
        <w:spacing w:line="400" w:lineRule="exac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实质上没有响应</w:t>
      </w:r>
      <w:r>
        <w:rPr>
          <w:rFonts w:hint="eastAsia" w:asciiTheme="minorEastAsia" w:hAnsiTheme="minorEastAsia" w:eastAsiaTheme="minorEastAsia" w:cstheme="minorEastAsia"/>
          <w:bCs/>
          <w:color w:val="auto"/>
          <w:sz w:val="21"/>
          <w:szCs w:val="21"/>
          <w:highlight w:val="none"/>
          <w:lang w:eastAsia="zh-CN"/>
        </w:rPr>
        <w:t>采购文件</w:t>
      </w:r>
      <w:r>
        <w:rPr>
          <w:rFonts w:hint="eastAsia" w:asciiTheme="minorEastAsia" w:hAnsiTheme="minorEastAsia" w:eastAsiaTheme="minorEastAsia" w:cstheme="minorEastAsia"/>
          <w:bCs/>
          <w:color w:val="auto"/>
          <w:sz w:val="21"/>
          <w:szCs w:val="21"/>
          <w:highlight w:val="none"/>
        </w:rPr>
        <w:t>要求的投标将被视为无效投标。供应商修改、补正投标文件后，不影响评标委员会对其投标文件所作的评价和评分结果。</w:t>
      </w:r>
    </w:p>
    <w:p w14:paraId="422B4E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.电子投标文件解密失败的。</w:t>
      </w:r>
    </w:p>
    <w:p w14:paraId="60E2C6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.没有通过资格审查的，投标文件将被视为无效。</w:t>
      </w:r>
    </w:p>
    <w:p w14:paraId="383C0A2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5</w:t>
      </w:r>
      <w:r>
        <w:rPr>
          <w:rFonts w:hint="eastAsia"/>
          <w:b/>
          <w:bCs/>
          <w:color w:val="auto"/>
          <w:highlight w:val="none"/>
        </w:rPr>
        <w:t>.在符合性审查和商务评审时，如发现下列情形之一的，投标文件将被视为无效：</w:t>
      </w:r>
    </w:p>
    <w:p w14:paraId="7F6342A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（1）电子投标文件未按规定要求提供电子签章的；</w:t>
      </w:r>
    </w:p>
    <w:p w14:paraId="68FEED8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（2）资格证明文件不全的，或者不符合招标文件标明的资格要求的；</w:t>
      </w:r>
    </w:p>
    <w:p w14:paraId="557EF71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（3）投标文件无法定代表人签字（或盖章）,或未提供法定代表人授权委托书、投标声明书或者填写项目不齐全的；</w:t>
      </w:r>
    </w:p>
    <w:p w14:paraId="35CE870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 xml:space="preserve">（4）投标代表人未能出具身份证明或与法定代表人授权委托人身份不符的； </w:t>
      </w:r>
    </w:p>
    <w:p w14:paraId="3EBC545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（5）投标文件格式不规范、项目不齐全或者内容虚假的；</w:t>
      </w:r>
    </w:p>
    <w:p w14:paraId="37F2650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（6）投标文件的实质性内容未使用中文表述、意思表述不明确、前后矛盾或者使用计量单位不符合招标文件要求的（经评标委员会认定并允许其当场更正的笔误除外）；</w:t>
      </w:r>
    </w:p>
    <w:p w14:paraId="03FC786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（7）投标有效期、交货时间、质保期等商务条款不能满足招标文件要求的；</w:t>
      </w:r>
    </w:p>
    <w:p w14:paraId="6F50A2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（8）未实质性响应招标文件要求或者投标文件有招标方不能接受的附加条件的；</w:t>
      </w:r>
    </w:p>
    <w:p w14:paraId="4AF3B9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（9）不符合本招标文件中的实质性要求条款。</w:t>
      </w:r>
    </w:p>
    <w:p w14:paraId="0DC9012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6</w:t>
      </w:r>
      <w:r>
        <w:rPr>
          <w:rFonts w:hint="eastAsia"/>
          <w:b/>
          <w:bCs/>
          <w:color w:val="auto"/>
          <w:highlight w:val="none"/>
        </w:rPr>
        <w:t>.在技术评审时，如发现下列情形之一的，投标文件将被视为无效：</w:t>
      </w:r>
    </w:p>
    <w:p w14:paraId="534F7B5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（1）投标文件标明的响应或偏离与事实不符或虚假投标的；</w:t>
      </w:r>
    </w:p>
    <w:p w14:paraId="2EBAA4A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（2）明显不符合招标文件要求的服务内容，或者与招标文件中标“▲”的服务需求、主要功能项目发生实质性偏离的；</w:t>
      </w:r>
    </w:p>
    <w:p w14:paraId="7420927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（3）允许偏离的技术、性能指标或者辅助功能项目发生负偏离达 2 项（含）以上的；</w:t>
      </w:r>
    </w:p>
    <w:p w14:paraId="53FA4B5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（4）投标技术方案不明确，存在一个或一个以上备选（替代）投标方案的；</w:t>
      </w:r>
    </w:p>
    <w:p w14:paraId="48829AC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（5）与其他参加本次投标供应商的投标文件（技术文件）的文字表述内容相同连续 20行以上或者差错相同 2 处以上的；</w:t>
      </w:r>
    </w:p>
    <w:p w14:paraId="1B0F7CB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lang w:val="en-US" w:eastAsia="zh-CN"/>
        </w:rPr>
        <w:t>7</w:t>
      </w:r>
      <w:r>
        <w:rPr>
          <w:rFonts w:hint="eastAsia"/>
          <w:b/>
          <w:bCs/>
          <w:color w:val="auto"/>
          <w:highlight w:val="none"/>
        </w:rPr>
        <w:t>.在报价评审时，如发现下列情形之一的，投标文件将被视为无效：</w:t>
      </w:r>
    </w:p>
    <w:p w14:paraId="52CE2E9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（1）供应商的磋商总报价超过了本项目</w:t>
      </w:r>
      <w:r>
        <w:rPr>
          <w:rFonts w:hint="eastAsia"/>
          <w:b/>
          <w:bCs/>
          <w:color w:val="auto"/>
          <w:highlight w:val="none"/>
          <w:lang w:val="en-US" w:eastAsia="zh-CN"/>
        </w:rPr>
        <w:t>最高限价</w:t>
      </w:r>
      <w:r>
        <w:rPr>
          <w:rFonts w:hint="eastAsia"/>
          <w:b/>
          <w:bCs/>
          <w:color w:val="auto"/>
          <w:highlight w:val="none"/>
        </w:rPr>
        <w:t>的；</w:t>
      </w:r>
    </w:p>
    <w:p w14:paraId="4536BB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（2）供应商的报价明显低于该标项其他通过符合性审查供应商的报价，有可能影响项目质量或者不能诚信履约，未按</w:t>
      </w:r>
      <w:r>
        <w:rPr>
          <w:rFonts w:hint="eastAsia"/>
          <w:b/>
          <w:bCs/>
          <w:color w:val="auto"/>
          <w:highlight w:val="none"/>
          <w:lang w:val="en-US" w:eastAsia="zh-CN"/>
        </w:rPr>
        <w:t>评标委员会</w:t>
      </w:r>
      <w:r>
        <w:rPr>
          <w:rFonts w:hint="eastAsia"/>
          <w:b/>
          <w:bCs/>
          <w:color w:val="auto"/>
          <w:highlight w:val="none"/>
        </w:rPr>
        <w:t>要求在磋商现场合理的时间内提供书面说明及相关证明材料以证明其报价合理性的；</w:t>
      </w:r>
    </w:p>
    <w:p w14:paraId="25DE2D3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highlight w:val="none"/>
        </w:rPr>
      </w:pPr>
      <w:r>
        <w:rPr>
          <w:rFonts w:hint="eastAsia"/>
          <w:b/>
          <w:bCs/>
          <w:color w:val="auto"/>
          <w:highlight w:val="none"/>
        </w:rPr>
        <w:t>（3）响应文件有采购人不能接受的附加条件的；</w:t>
      </w:r>
    </w:p>
    <w:p w14:paraId="1A039C4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highlight w:val="none"/>
        </w:rPr>
      </w:pPr>
      <w:r>
        <w:rPr>
          <w:rFonts w:hint="eastAsia"/>
          <w:b/>
          <w:bCs/>
          <w:color w:val="auto"/>
          <w:highlight w:val="none"/>
        </w:rPr>
        <w:t>（4）不符合法律、法规和本磋商文件规定的其他实质性要求的</w:t>
      </w:r>
      <w:r>
        <w:rPr>
          <w:rFonts w:hint="eastAsia"/>
          <w:color w:val="auto"/>
          <w:highlight w:val="none"/>
        </w:rPr>
        <w:t xml:space="preserve">。                                                                                         </w:t>
      </w:r>
    </w:p>
    <w:p w14:paraId="4153E1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.被拒绝的投标文件为无效。</w:t>
      </w:r>
    </w:p>
    <w:bookmarkEnd w:id="27"/>
    <w:p w14:paraId="520F6591">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四、磋商准备</w:t>
      </w:r>
    </w:p>
    <w:p w14:paraId="021353C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1.本项目实行电子开评标，供应商无需到开标现场，但须准时在线参加，直至评审结束。</w:t>
      </w:r>
    </w:p>
    <w:p w14:paraId="0D08FC8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2.电子开评标及评审程序</w:t>
      </w:r>
    </w:p>
    <w:p w14:paraId="63A5500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2.1投标截止时间后的半小时内，由各供应商自行对电子投标文件进行解密（请各供应商务必在规定时间内完成电子投标文件的解密工作； </w:t>
      </w:r>
    </w:p>
    <w:p w14:paraId="6418DB5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2.2评标委员会对供应商的资格审查文件进行审查</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对供应商的资信商务及技术响应文件进行评审；</w:t>
      </w:r>
    </w:p>
    <w:p w14:paraId="60245F1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2.3评标委员会对报价文件进行评审；</w:t>
      </w:r>
    </w:p>
    <w:p w14:paraId="53A2ED9B">
      <w:pPr>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2.4评标委员会撰写评审报告，推荐中标候选人。</w:t>
      </w:r>
    </w:p>
    <w:p w14:paraId="33617377">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highlight w:val="none"/>
        </w:rPr>
      </w:pPr>
      <w:r>
        <w:rPr>
          <w:rFonts w:hint="eastAsia"/>
          <w:b/>
          <w:bCs/>
          <w:color w:val="auto"/>
          <w:highlight w:val="none"/>
        </w:rPr>
        <w:t>五、磋商程序</w:t>
      </w:r>
    </w:p>
    <w:p w14:paraId="761F9381">
      <w:pPr>
        <w:keepNext w:val="0"/>
        <w:keepLines w:val="0"/>
        <w:pageBreakBefore w:val="0"/>
        <w:widowControl w:val="0"/>
        <w:kinsoku/>
        <w:wordWrap/>
        <w:overflowPunct/>
        <w:topLinePunct w:val="0"/>
        <w:autoSpaceDE/>
        <w:autoSpaceDN/>
        <w:bidi w:val="0"/>
        <w:adjustRightInd/>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（一）磋商程序</w:t>
      </w:r>
    </w:p>
    <w:p w14:paraId="708170F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color w:val="auto"/>
          <w:highlight w:val="none"/>
          <w:lang w:val="en-US" w:eastAsia="zh-CN"/>
        </w:rPr>
        <w:t>评标委员会</w:t>
      </w:r>
      <w:r>
        <w:rPr>
          <w:rFonts w:hint="eastAsia" w:ascii="宋体" w:hAnsi="宋体" w:cs="宋体"/>
          <w:bCs/>
          <w:color w:val="auto"/>
          <w:szCs w:val="21"/>
          <w:highlight w:val="none"/>
        </w:rPr>
        <w:t>讨论、通过磋商工作流程和磋商要点。</w:t>
      </w:r>
    </w:p>
    <w:p w14:paraId="49BABFB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2.主持人宣布磋商的有关事项；</w:t>
      </w:r>
    </w:p>
    <w:p w14:paraId="70F4FE6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3.评标委员会对所提交的响应资信及商务、技术文件进行审查，审查结束后，由主持人公布无效响应方名单、响应无效的原因、废标情况；</w:t>
      </w:r>
    </w:p>
    <w:p w14:paraId="72749C4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4.评标委员会与各响应方就项目需求、工期安排、价格构成、付款方式等要素分别进行磋商。</w:t>
      </w:r>
      <w:r>
        <w:rPr>
          <w:rFonts w:hint="eastAsia" w:hAnsi="宋体" w:cs="宋体-18030"/>
          <w:color w:val="auto"/>
          <w:szCs w:val="21"/>
          <w:highlight w:val="none"/>
        </w:rPr>
        <w:t>逐家磋商一次为一个轮次，磋商轮次由</w:t>
      </w:r>
      <w:r>
        <w:rPr>
          <w:rFonts w:hint="eastAsia" w:ascii="宋体" w:hAnsi="宋体" w:cs="宋体"/>
          <w:bCs/>
          <w:color w:val="auto"/>
          <w:szCs w:val="21"/>
          <w:highlight w:val="none"/>
        </w:rPr>
        <w:t>评标委员会</w:t>
      </w:r>
      <w:r>
        <w:rPr>
          <w:rFonts w:hint="eastAsia" w:hAnsi="宋体" w:cs="宋体-18030"/>
          <w:color w:val="auto"/>
          <w:szCs w:val="21"/>
          <w:highlight w:val="none"/>
        </w:rPr>
        <w:t>视情况决定</w:t>
      </w:r>
      <w:r>
        <w:rPr>
          <w:rFonts w:hint="eastAsia" w:ascii="宋体" w:hAnsi="宋体" w:cs="宋体"/>
          <w:bCs/>
          <w:color w:val="auto"/>
          <w:szCs w:val="21"/>
          <w:highlight w:val="none"/>
        </w:rPr>
        <w:t>。</w:t>
      </w:r>
    </w:p>
    <w:p w14:paraId="7A250F6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5.在磋商过程中，采购人和磋商对象可就合同内容进行磋商，技术需求如双方都认为有必要的情况可作相应微调，但评分标准不作调整。</w:t>
      </w:r>
    </w:p>
    <w:p w14:paraId="0BAD405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6.如磋商过程中有调整的内容，在最后一轮报价前，</w:t>
      </w:r>
      <w:r>
        <w:rPr>
          <w:rFonts w:hint="eastAsia"/>
          <w:color w:val="auto"/>
          <w:highlight w:val="none"/>
        </w:rPr>
        <w:t>采购</w:t>
      </w:r>
      <w:r>
        <w:rPr>
          <w:rFonts w:hint="eastAsia"/>
          <w:color w:val="auto"/>
          <w:highlight w:val="none"/>
          <w:lang w:val="en-US" w:eastAsia="zh-CN"/>
        </w:rPr>
        <w:t>代理</w:t>
      </w:r>
      <w:r>
        <w:rPr>
          <w:rFonts w:hint="eastAsia"/>
          <w:color w:val="auto"/>
          <w:highlight w:val="none"/>
        </w:rPr>
        <w:t>机构</w:t>
      </w:r>
      <w:r>
        <w:rPr>
          <w:rFonts w:hint="eastAsia" w:ascii="宋体" w:hAnsi="宋体" w:cs="宋体"/>
          <w:bCs/>
          <w:color w:val="auto"/>
          <w:szCs w:val="21"/>
          <w:highlight w:val="none"/>
        </w:rPr>
        <w:t>将根据磋商内容将调整的部分发给符合参与最后一轮报价的磋商供应商，以便其在最后一轮报价中调整报价。</w:t>
      </w:r>
    </w:p>
    <w:p w14:paraId="260C2D1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7.磋商结束后，主持人宣布本次最终报价的最高限价，并要求各响应方在规定时间内进行最终报价。在规定时间内没有提交最终报价的磋商供应商，其响应文件视为无效。</w:t>
      </w:r>
    </w:p>
    <w:p w14:paraId="03BB915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8.在各响应方最终报价过程中，同时评标委员会根据本磋商文件的评审方法对各响应方的资信及商务、技术情况进行评审打分。工作人员按照评标委员会独立评定结果进行计算。</w:t>
      </w:r>
    </w:p>
    <w:p w14:paraId="01EEB44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9.工作人员确认各响应方提交的按规定进入价格标评审的磋商最终报价，并公开最终报价，最后要求响应方公开确认无误。</w:t>
      </w:r>
    </w:p>
    <w:p w14:paraId="64B7417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10.评标委员会对最终报价的合理性进行审核，决定是否结束磋商。若报价合理，评标委员会则根据第四章评审方法计算出总得分并按照排序由高到低的原则推荐候选供应商；</w:t>
      </w:r>
    </w:p>
    <w:p w14:paraId="28EE6B1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11.磋商结束后，主持人公布有效响应方的总得分结果和推荐排名。</w:t>
      </w:r>
    </w:p>
    <w:p w14:paraId="0062BDB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12.磋商原则：评标委员会必须公平、公正、客观，不带任何倾向性和启发性；不得向外界透露任何与磋商有关的内容；任何单位和个人不得干扰、影响磋商的正常进行；评标委员会及有关工作人员不得私下与响应方接触。</w:t>
      </w:r>
    </w:p>
    <w:p w14:paraId="6AEA7C0A">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（二）响应文件的澄清</w:t>
      </w:r>
    </w:p>
    <w:p w14:paraId="0D4643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磋商期间，评标委员会有权要求磋商供应商对其响应文件含义不明确、同类问题表述不一致或者有明显文字和计算错误的内容进行澄清。磋商供应商应派授权代表和技术人员按评标委员会通知的时间接受询标。</w:t>
      </w:r>
    </w:p>
    <w:p w14:paraId="4483582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2.评标委员会认为有必要，可要求磋商供应商对某些问题作出必要的澄清、说明和纠正。供应商的澄清、说明或者补正应当采用书面形式，由其授权的代表签字。供应商的书面澄清材料作为响应文件的补充。</w:t>
      </w:r>
    </w:p>
    <w:p w14:paraId="1119091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3.磋商供应商不按评标委员会规定的时间作书面澄清，将视为放弃该权利。</w:t>
      </w:r>
    </w:p>
    <w:p w14:paraId="71E7106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4.并非每个磋商供应商都将被询标。</w:t>
      </w:r>
    </w:p>
    <w:p w14:paraId="251FB104">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（三）确定成交供应商</w:t>
      </w:r>
    </w:p>
    <w:p w14:paraId="6A6A1622">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1.评标委员会将对通过资格性审查和符合性审查的响应文件进行评价和比较。</w:t>
      </w:r>
    </w:p>
    <w:p w14:paraId="30A6A15B">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按采购文件公布的评定成交标准对响应文件进行评审，并将最终得分排名提交给采购人，采购人书面授权评标委员会直接确定成交供应商评标委员会确认成交人。最低报价等任何单项因素的最优不作为成交的保证。</w:t>
      </w:r>
    </w:p>
    <w:p w14:paraId="17E52E88">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（四）磋商过程保密</w:t>
      </w:r>
    </w:p>
    <w:p w14:paraId="38AA427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1.在宣布成交结果之前，凡属于审查、澄清、评价、比较磋商文件等有关信息，相关当事人均不得泄露给任何磋商供应商或与磋商工作无关的人员。</w:t>
      </w:r>
    </w:p>
    <w:p w14:paraId="1A9298E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2.磋商供应商不得探听上述信息，不得以任何行为影响磋商过程，否则其响应文件将被作为无效响应文件。</w:t>
      </w:r>
    </w:p>
    <w:p w14:paraId="15E44B3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3.在磋商期间，</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代理机构将有专门人员与磋商供应商进行联络。</w:t>
      </w:r>
    </w:p>
    <w:p w14:paraId="458E9F0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代理机构和评标委员会不向未成交的磋商供应商解释未成交原因，也不对磋商过程中的细节问题进行公布。</w:t>
      </w:r>
    </w:p>
    <w:p w14:paraId="625A4E96">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w:t>
      </w:r>
    </w:p>
    <w:p w14:paraId="64369E31">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（一）组建评标委员会</w:t>
      </w:r>
    </w:p>
    <w:p w14:paraId="74A6F75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评标委员会由采购人代表和评审专家组成，</w:t>
      </w:r>
      <w:r>
        <w:rPr>
          <w:rFonts w:hint="eastAsia" w:ascii="宋体" w:hAnsi="宋体" w:cs="宋体"/>
          <w:b/>
          <w:bCs w:val="0"/>
          <w:color w:val="auto"/>
          <w:szCs w:val="21"/>
          <w:highlight w:val="none"/>
        </w:rPr>
        <w:t>政府采购评审专家2人和采购人代表1人，共3人组成</w:t>
      </w:r>
      <w:r>
        <w:rPr>
          <w:rFonts w:hint="eastAsia" w:ascii="宋体" w:hAnsi="宋体" w:cs="宋体"/>
          <w:bCs/>
          <w:color w:val="auto"/>
          <w:szCs w:val="21"/>
          <w:highlight w:val="none"/>
        </w:rPr>
        <w:t>。</w:t>
      </w:r>
    </w:p>
    <w:p w14:paraId="5296F35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评标委员会负责具体评标事务，并独立履行下列职责：</w:t>
      </w:r>
    </w:p>
    <w:p w14:paraId="5128953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审查、评价投标文件是否符合招标文件的商务、技术等实质性要求</w:t>
      </w:r>
      <w:r>
        <w:rPr>
          <w:rFonts w:hint="eastAsia" w:ascii="宋体" w:hAnsi="宋体" w:cs="宋体"/>
          <w:bCs/>
          <w:color w:val="auto"/>
          <w:szCs w:val="21"/>
          <w:highlight w:val="none"/>
          <w:lang w:eastAsia="zh-CN"/>
        </w:rPr>
        <w:t>。</w:t>
      </w:r>
    </w:p>
    <w:p w14:paraId="75B5D47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要求供应商对投标文件有关事项作出澄清或者说明</w:t>
      </w:r>
      <w:r>
        <w:rPr>
          <w:rFonts w:hint="eastAsia" w:ascii="宋体" w:hAnsi="宋体" w:cs="宋体"/>
          <w:bCs/>
          <w:color w:val="auto"/>
          <w:szCs w:val="21"/>
          <w:highlight w:val="none"/>
          <w:lang w:eastAsia="zh-CN"/>
        </w:rPr>
        <w:t>。</w:t>
      </w:r>
    </w:p>
    <w:p w14:paraId="10EE62A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对投标文件进行比较和评价</w:t>
      </w:r>
      <w:r>
        <w:rPr>
          <w:rFonts w:hint="eastAsia" w:ascii="宋体" w:hAnsi="宋体" w:cs="宋体"/>
          <w:bCs/>
          <w:color w:val="auto"/>
          <w:szCs w:val="21"/>
          <w:highlight w:val="none"/>
          <w:lang w:eastAsia="zh-CN"/>
        </w:rPr>
        <w:t>。</w:t>
      </w:r>
    </w:p>
    <w:p w14:paraId="2C1B163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eastAsiaTheme="minorEastAsia"/>
          <w:bCs/>
          <w:color w:val="auto"/>
          <w:szCs w:val="21"/>
          <w:highlight w:val="none"/>
          <w:lang w:eastAsia="zh-CN"/>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确定中标候选人名单，以及根据采购人委托直接确定中标人</w:t>
      </w:r>
      <w:r>
        <w:rPr>
          <w:rFonts w:hint="eastAsia" w:ascii="宋体" w:hAnsi="宋体" w:cs="宋体"/>
          <w:bCs/>
          <w:color w:val="auto"/>
          <w:szCs w:val="21"/>
          <w:highlight w:val="none"/>
          <w:lang w:eastAsia="zh-CN"/>
        </w:rPr>
        <w:t>。</w:t>
      </w:r>
    </w:p>
    <w:p w14:paraId="15E991A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向采购人、</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代理机构或者有关部门报告评标中发现的违法行为。</w:t>
      </w:r>
    </w:p>
    <w:p w14:paraId="013EDA4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除采购人代表、评标现场组织人员外，采购人的其他工作人员以及与评标工作无关的人员不得进入评标现场。</w:t>
      </w:r>
    </w:p>
    <w:p w14:paraId="27B9C734">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（二）评标的方式</w:t>
      </w:r>
    </w:p>
    <w:p w14:paraId="0C41C95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本项目采用不公开方式评标，评标的依据为招标文件和投标文件。</w:t>
      </w:r>
    </w:p>
    <w:p w14:paraId="1D470AAC">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（三）评标程序</w:t>
      </w:r>
    </w:p>
    <w:p w14:paraId="12BC1BF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采购人可以在评标前说明项目背景和采购需求，说明内容不得含有歧视性、倾向性意见，不得超出招标文件所述范围。说明应当提交书面材料，并随招标文件一并存档。</w:t>
      </w:r>
    </w:p>
    <w:p w14:paraId="75940E7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1.形式审查</w:t>
      </w:r>
    </w:p>
    <w:p w14:paraId="5B324BB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439F30EE">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2.实质审查与比较</w:t>
      </w:r>
    </w:p>
    <w:p w14:paraId="5D0C008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（1）评标委员会审查投标文件的实质性内容是否符合招标文件的实质性要求。</w:t>
      </w:r>
    </w:p>
    <w:p w14:paraId="391C6697">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（2）评标委员会将根据供应商的投标文件进行审查、核对,如有疑问,将对供应商进行询标,供应商要向评标委员会澄清有关问题,并最终以书面形式进行答复。</w:t>
      </w:r>
    </w:p>
    <w:p w14:paraId="4664DE1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询标时，供应商代表未到场或者拒绝澄清或者澄清的内容改变了投标文件的实质性内容的，评标委员会有权对该投标文件作出不利于供应商的评判。</w:t>
      </w:r>
    </w:p>
    <w:p w14:paraId="6776CFF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（3）各供应商的资信商务及技术分按照评标委员会成员的独立评分结果汇后的算术平均分计算。</w:t>
      </w:r>
    </w:p>
    <w:p w14:paraId="274999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val="en-US" w:eastAsia="zh-CN"/>
        </w:rPr>
        <w:t>代理</w:t>
      </w:r>
      <w:r>
        <w:rPr>
          <w:rFonts w:hint="eastAsia" w:ascii="宋体" w:hAnsi="宋体" w:cs="宋体"/>
          <w:bCs/>
          <w:color w:val="auto"/>
          <w:szCs w:val="21"/>
          <w:highlight w:val="none"/>
        </w:rPr>
        <w:t>公司工作人员协助评标委员会根据本项目的评分标准操作政府采购业务系统，由系统计算各供应商的商务报价得分。</w:t>
      </w:r>
    </w:p>
    <w:p w14:paraId="46AF6F7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（5）评标委员会完成评标后,评委对各部分得分汇总,计算出本项目最终得分、性价比、评标价等。评标委员会按评标原则推荐中标候选人同时起草评标报告。</w:t>
      </w:r>
    </w:p>
    <w:p w14:paraId="0FBB164B">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（四）澄清问题的形式</w:t>
      </w:r>
    </w:p>
    <w:p w14:paraId="1609AF5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对投标文件中含义不明确、同类问题表述不一致或者有明显文字和计算错误的内容，评标委员会可要求供应商作出必要的澄清、说明或者纠正。</w:t>
      </w:r>
    </w:p>
    <w:p w14:paraId="0010D6E3">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4F8CD78F">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如果供应商代表拒绝或未按评标委员会要求在“政采云”平台作出在线回复且无其他有效回复方式的，评标委员会可以对其作出无效标处理。</w:t>
      </w:r>
    </w:p>
    <w:p w14:paraId="60EA78F3">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（五）错误修正</w:t>
      </w:r>
    </w:p>
    <w:p w14:paraId="37C8CF74">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投标文件如果出现计算或表达上的错误，修正错误的原则如下：</w:t>
      </w:r>
    </w:p>
    <w:p w14:paraId="11C6DD5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1.开标一览表总价与投标报价明细表汇总数不一致的，以开标一览表为准；</w:t>
      </w:r>
    </w:p>
    <w:p w14:paraId="6751116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2.投标文件的大写金额和小写金额不一致的，以大写金额为准；</w:t>
      </w:r>
    </w:p>
    <w:p w14:paraId="4630F9C5">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3.总价金额与按单价汇总金额不一致的，以单价金额计算结果为准；</w:t>
      </w:r>
    </w:p>
    <w:p w14:paraId="6C2E5548">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4.对不同文字文本投标文件的解释发生异议的，以中文文本为准。</w:t>
      </w:r>
    </w:p>
    <w:p w14:paraId="35451DC9">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按上述修正错误的原则及方法调整或修正投标文件的投标报价，供应商同意并签字确认后，调整后的投标报价对供应商具有约束作用。如果供应商不接受修正后的报价，则其投标将作为无效投标处理。</w:t>
      </w:r>
    </w:p>
    <w:p w14:paraId="6EC0854D">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（六）评标原则和评标办法</w:t>
      </w:r>
    </w:p>
    <w:p w14:paraId="05A1D680">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D43480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2.评标办法。本项目评标办法是 综合评标法 ，具体评标内容及评分标准等详见《第四</w:t>
      </w:r>
      <w:r>
        <w:rPr>
          <w:rFonts w:hint="eastAsia" w:ascii="宋体" w:hAnsi="宋体" w:cs="宋体"/>
          <w:bCs/>
          <w:color w:val="auto"/>
          <w:szCs w:val="21"/>
          <w:highlight w:val="none"/>
          <w:lang w:val="en-US" w:eastAsia="zh-CN"/>
        </w:rPr>
        <w:t>部分</w:t>
      </w:r>
      <w:r>
        <w:rPr>
          <w:rFonts w:hint="eastAsia" w:ascii="宋体" w:hAnsi="宋体" w:cs="宋体"/>
          <w:bCs/>
          <w:color w:val="auto"/>
          <w:szCs w:val="21"/>
          <w:highlight w:val="none"/>
        </w:rPr>
        <w:t>》。</w:t>
      </w:r>
    </w:p>
    <w:p w14:paraId="65B5A3E8">
      <w:pPr>
        <w:keepNext w:val="0"/>
        <w:keepLines w:val="0"/>
        <w:pageBreakBefore w:val="0"/>
        <w:widowControl w:val="0"/>
        <w:kinsoku/>
        <w:wordWrap/>
        <w:overflowPunct/>
        <w:topLinePunct w:val="0"/>
        <w:autoSpaceDE/>
        <w:autoSpaceDN/>
        <w:bidi w:val="0"/>
        <w:snapToGrid w:val="0"/>
        <w:spacing w:line="400" w:lineRule="exact"/>
        <w:ind w:left="0"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（七）评标过程的监控</w:t>
      </w:r>
    </w:p>
    <w:p w14:paraId="79CF914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本项目评标过程实行全程录音、录像监控。供应商在评标过程中所进行的试图影响评标结果的不公正活动，可能导致其投标被拒绝。</w:t>
      </w:r>
    </w:p>
    <w:p w14:paraId="77437B72">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七、磋商结果的确定</w:t>
      </w:r>
    </w:p>
    <w:p w14:paraId="4CB9CDAC">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磋商结果确定：采购人事先书面授权评标委员会直接确定成交供应商。</w:t>
      </w:r>
    </w:p>
    <w:p w14:paraId="6556A7B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成交公告：成交公告期限为1个工作日。</w:t>
      </w:r>
    </w:p>
    <w:p w14:paraId="219BF57A">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成交通知书：在公告成交结果的同时，</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代理机构向成交供应商发出成交通知书。</w:t>
      </w:r>
    </w:p>
    <w:p w14:paraId="5D9B69F9">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八、合同授予</w:t>
      </w:r>
    </w:p>
    <w:p w14:paraId="1881C356">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（一）签订合同</w:t>
      </w:r>
    </w:p>
    <w:p w14:paraId="1F545FF1">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1.采购人与成交供应商应当在《成交通知书》发出之日起30日内签订政府采购合同。同时，</w:t>
      </w:r>
      <w:r>
        <w:rPr>
          <w:rFonts w:hint="eastAsia" w:ascii="宋体" w:hAnsi="宋体" w:cs="宋体"/>
          <w:bCs/>
          <w:color w:val="auto"/>
          <w:szCs w:val="21"/>
          <w:highlight w:val="none"/>
          <w:lang w:val="en-US" w:eastAsia="zh-CN"/>
        </w:rPr>
        <w:t>采购</w:t>
      </w:r>
      <w:r>
        <w:rPr>
          <w:rFonts w:hint="eastAsia" w:ascii="宋体" w:hAnsi="宋体" w:cs="宋体"/>
          <w:bCs/>
          <w:color w:val="auto"/>
          <w:szCs w:val="21"/>
          <w:highlight w:val="none"/>
        </w:rPr>
        <w:t>代理机构对合同内容进行审查，如发现与采购结果和投标承诺内容不一致的，将予以纠正。</w:t>
      </w:r>
    </w:p>
    <w:p w14:paraId="3F3037AD">
      <w:pPr>
        <w:keepNext w:val="0"/>
        <w:keepLines w:val="0"/>
        <w:pageBreakBefore w:val="0"/>
        <w:widowControl w:val="0"/>
        <w:kinsoku/>
        <w:wordWrap/>
        <w:overflowPunct/>
        <w:topLinePunct w:val="0"/>
        <w:autoSpaceDE/>
        <w:autoSpaceDN/>
        <w:bidi w:val="0"/>
        <w:snapToGrid w:val="0"/>
        <w:spacing w:line="400" w:lineRule="exact"/>
        <w:ind w:left="0"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2.成交供应商拖延、拒签合同的,将被取消中标资格，并报监督管理部门。</w:t>
      </w:r>
    </w:p>
    <w:p w14:paraId="4C0378EB">
      <w:pPr>
        <w:keepNext w:val="0"/>
        <w:keepLines w:val="0"/>
        <w:pageBreakBefore w:val="0"/>
        <w:widowControl w:val="0"/>
        <w:kinsoku/>
        <w:wordWrap/>
        <w:overflowPunct/>
        <w:topLinePunct w:val="0"/>
        <w:autoSpaceDE/>
        <w:autoSpaceDN/>
        <w:bidi w:val="0"/>
        <w:snapToGrid w:val="0"/>
        <w:spacing w:line="400" w:lineRule="exact"/>
        <w:ind w:left="0" w:firstLine="422"/>
        <w:textAlignment w:val="auto"/>
        <w:rPr>
          <w:rFonts w:hint="eastAsia" w:ascii="宋体" w:hAnsi="宋体" w:cs="宋体"/>
          <w:b/>
          <w:color w:val="auto"/>
          <w:szCs w:val="21"/>
          <w:highlight w:val="none"/>
        </w:rPr>
      </w:pPr>
      <w:r>
        <w:rPr>
          <w:rFonts w:hint="eastAsia" w:ascii="宋体" w:hAnsi="宋体" w:cs="宋体"/>
          <w:b/>
          <w:color w:val="auto"/>
          <w:szCs w:val="21"/>
          <w:highlight w:val="none"/>
        </w:rPr>
        <w:t>（二）履约保证金</w:t>
      </w:r>
    </w:p>
    <w:p w14:paraId="6E946A08">
      <w:pPr>
        <w:pStyle w:val="10"/>
        <w:keepNext w:val="0"/>
        <w:keepLines w:val="0"/>
        <w:pageBreakBefore w:val="0"/>
        <w:widowControl w:val="0"/>
        <w:kinsoku/>
        <w:wordWrap/>
        <w:overflowPunct/>
        <w:topLinePunct w:val="0"/>
        <w:autoSpaceDE/>
        <w:autoSpaceDN/>
        <w:bidi w:val="0"/>
        <w:snapToGrid w:val="0"/>
        <w:spacing w:line="400" w:lineRule="exact"/>
        <w:ind w:left="0" w:firstLine="420"/>
        <w:textAlignment w:val="auto"/>
        <w:rPr>
          <w:rFonts w:hint="eastAsia" w:hAnsi="宋体" w:cs="宋体"/>
          <w:color w:val="auto"/>
          <w:sz w:val="21"/>
          <w:szCs w:val="21"/>
          <w:highlight w:val="none"/>
        </w:rPr>
      </w:pPr>
      <w:r>
        <w:rPr>
          <w:rFonts w:hint="eastAsia" w:hAnsi="宋体" w:cs="宋体"/>
          <w:color w:val="auto"/>
          <w:sz w:val="21"/>
          <w:szCs w:val="21"/>
          <w:highlight w:val="none"/>
        </w:rPr>
        <w:t>本项目不设置履约保证金</w:t>
      </w:r>
    </w:p>
    <w:p w14:paraId="02C7E698">
      <w:pPr>
        <w:snapToGrid w:val="0"/>
        <w:spacing w:line="360" w:lineRule="auto"/>
        <w:ind w:firstLine="420" w:firstLineChars="200"/>
        <w:rPr>
          <w:rFonts w:hint="eastAsia" w:ascii="宋体" w:hAnsi="宋体" w:cs="宋体"/>
          <w:bCs/>
          <w:color w:val="auto"/>
          <w:szCs w:val="21"/>
          <w:highlight w:val="none"/>
        </w:rPr>
      </w:pPr>
    </w:p>
    <w:p w14:paraId="329467F6">
      <w:pPr>
        <w:pStyle w:val="2"/>
        <w:pageBreakBefore/>
        <w:snapToGrid w:val="0"/>
        <w:spacing w:before="240" w:after="240" w:line="240" w:lineRule="auto"/>
        <w:rPr>
          <w:rFonts w:hint="default" w:ascii="宋体" w:hAnsi="宋体" w:eastAsia="宋体"/>
          <w:color w:val="auto"/>
          <w:sz w:val="32"/>
          <w:highlight w:val="none"/>
          <w:lang w:val="en-US" w:eastAsia="zh-CN"/>
        </w:rPr>
      </w:pPr>
      <w:bookmarkStart w:id="28" w:name="_Toc12644"/>
      <w:r>
        <w:rPr>
          <w:rFonts w:hint="eastAsia" w:ascii="宋体" w:hAnsi="宋体" w:eastAsia="宋体"/>
          <w:color w:val="auto"/>
          <w:sz w:val="32"/>
          <w:highlight w:val="none"/>
        </w:rPr>
        <w:t>第三</w:t>
      </w:r>
      <w:r>
        <w:rPr>
          <w:rFonts w:hint="eastAsia" w:ascii="宋体" w:hAnsi="宋体" w:eastAsia="宋体"/>
          <w:color w:val="auto"/>
          <w:sz w:val="32"/>
          <w:highlight w:val="none"/>
          <w:lang w:val="en-US" w:eastAsia="zh-CN"/>
        </w:rPr>
        <w:t>章</w:t>
      </w:r>
      <w:r>
        <w:rPr>
          <w:rFonts w:hint="eastAsia" w:ascii="宋体" w:hAnsi="宋体" w:eastAsia="宋体"/>
          <w:color w:val="auto"/>
          <w:sz w:val="32"/>
          <w:highlight w:val="none"/>
        </w:rPr>
        <w:t xml:space="preserve"> </w:t>
      </w:r>
      <w:r>
        <w:rPr>
          <w:rFonts w:hint="eastAsia" w:ascii="宋体" w:hAnsi="宋体" w:eastAsia="宋体"/>
          <w:color w:val="auto"/>
          <w:sz w:val="32"/>
          <w:highlight w:val="none"/>
          <w:lang w:val="en-US" w:eastAsia="zh-CN"/>
        </w:rPr>
        <w:t>招标需求</w:t>
      </w:r>
      <w:bookmarkEnd w:id="28"/>
    </w:p>
    <w:p w14:paraId="02D4672E">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为加强平湖市级冻猪肉储备（以下简称“储备肉”）管理，确保储备肉数量真实、质量合格和储存安全，做到储得进、管得好、调得动、用得上，有效发挥其应急保供作用，依据 《中华人民共和国合同法》、《关于切实做好冻猪肉储备落实工作的通知》及其他有关法律、行政法规，遵循平等、自愿、公平和诚实信用的原则，现向社会公开招标代储企业：</w:t>
      </w:r>
    </w:p>
    <w:p w14:paraId="37AD1E5E">
      <w:pPr>
        <w:numPr>
          <w:ilvl w:val="0"/>
          <w:numId w:val="2"/>
        </w:num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平湖市</w:t>
      </w:r>
      <w:r>
        <w:rPr>
          <w:rFonts w:hint="eastAsia" w:ascii="宋体" w:hAnsi="宋体" w:eastAsia="宋体" w:cs="宋体"/>
          <w:color w:val="auto"/>
          <w:sz w:val="21"/>
          <w:szCs w:val="21"/>
          <w:highlight w:val="none"/>
        </w:rPr>
        <w:t>冻猪肉</w:t>
      </w:r>
      <w:r>
        <w:rPr>
          <w:rFonts w:hint="eastAsia" w:ascii="宋体" w:hAnsi="宋体" w:eastAsia="宋体" w:cs="宋体"/>
          <w:color w:val="auto"/>
          <w:sz w:val="21"/>
          <w:szCs w:val="21"/>
          <w:highlight w:val="none"/>
          <w:lang w:eastAsia="zh-CN"/>
        </w:rPr>
        <w:t>动态</w:t>
      </w:r>
      <w:r>
        <w:rPr>
          <w:rFonts w:hint="eastAsia" w:ascii="宋体" w:hAnsi="宋体" w:eastAsia="宋体" w:cs="宋体"/>
          <w:color w:val="auto"/>
          <w:sz w:val="21"/>
          <w:szCs w:val="21"/>
          <w:highlight w:val="none"/>
        </w:rPr>
        <w:t>储备遵循企业储备、市场运作、自负盈亏、政府补贴、服从调度、保障应急的管理机制，实行常年储备、动态轮换。</w:t>
      </w:r>
      <w:r>
        <w:rPr>
          <w:rFonts w:hint="eastAsia" w:ascii="宋体" w:hAnsi="宋体" w:eastAsia="宋体" w:cs="宋体"/>
          <w:color w:val="auto"/>
          <w:sz w:val="21"/>
          <w:szCs w:val="21"/>
          <w:highlight w:val="none"/>
          <w:lang w:eastAsia="zh-CN"/>
        </w:rPr>
        <w:t>项目费用</w:t>
      </w:r>
      <w:r>
        <w:rPr>
          <w:rFonts w:hint="eastAsia" w:ascii="宋体" w:hAnsi="宋体" w:eastAsia="宋体" w:cs="宋体"/>
          <w:color w:val="auto"/>
          <w:sz w:val="21"/>
          <w:szCs w:val="21"/>
          <w:highlight w:val="none"/>
        </w:rPr>
        <w:t>包括但不限于储备轮换包干费（含检验检疫、包装、运输、装卸、保险等）、冷库租赁费、日常监督管理费及税费等全部费用（如有</w:t>
      </w:r>
      <w:r>
        <w:rPr>
          <w:rFonts w:hint="eastAsia" w:ascii="宋体" w:hAnsi="宋体" w:eastAsia="宋体" w:cs="宋体"/>
          <w:color w:val="auto"/>
          <w:sz w:val="21"/>
          <w:szCs w:val="21"/>
          <w:highlight w:val="none"/>
          <w:lang w:eastAsia="zh-CN"/>
        </w:rPr>
        <w:t>应急投放、紧急调用、政策调整等</w:t>
      </w:r>
      <w:r>
        <w:rPr>
          <w:rFonts w:hint="eastAsia" w:ascii="宋体" w:hAnsi="宋体" w:eastAsia="宋体" w:cs="宋体"/>
          <w:color w:val="auto"/>
          <w:sz w:val="21"/>
          <w:szCs w:val="21"/>
          <w:highlight w:val="none"/>
        </w:rPr>
        <w:t>特殊情况，可根据相应条款另外结算或双方协商处置）。</w:t>
      </w:r>
    </w:p>
    <w:p w14:paraId="704E8B0A">
      <w:pPr>
        <w:numPr>
          <w:ilvl w:val="0"/>
          <w:numId w:val="2"/>
        </w:num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储备品种、数量</w:t>
      </w:r>
    </w:p>
    <w:p w14:paraId="38081CB3">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储备品种：四号肉、中方、后腿或六分体，必须符合《中华人民共和国产品质量法》、《中华人民共和国食品安全法》等相关法律法规规定；</w:t>
      </w:r>
    </w:p>
    <w:p w14:paraId="68F94748">
      <w:pPr>
        <w:tabs>
          <w:tab w:val="left" w:pos="2310"/>
        </w:tabs>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储备地点：</w:t>
      </w:r>
      <w:r>
        <w:rPr>
          <w:rFonts w:hint="eastAsia" w:ascii="宋体" w:hAnsi="宋体" w:eastAsia="宋体" w:cs="宋体"/>
          <w:color w:val="auto"/>
          <w:sz w:val="21"/>
          <w:szCs w:val="21"/>
          <w:highlight w:val="none"/>
          <w:lang w:eastAsia="zh-CN"/>
        </w:rPr>
        <w:t>嘉兴市市域范围内冷冻库；</w:t>
      </w:r>
    </w:p>
    <w:p w14:paraId="487026BF">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270</w:t>
      </w:r>
      <w:r>
        <w:rPr>
          <w:rFonts w:hint="eastAsia" w:ascii="宋体" w:hAnsi="宋体" w:eastAsia="宋体" w:cs="宋体"/>
          <w:color w:val="auto"/>
          <w:sz w:val="21"/>
          <w:szCs w:val="21"/>
          <w:highlight w:val="none"/>
        </w:rPr>
        <w:t>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根据储备任务可做相应调整）</w:t>
      </w:r>
      <w:r>
        <w:rPr>
          <w:rFonts w:hint="eastAsia" w:ascii="宋体" w:hAnsi="宋体" w:eastAsia="宋体" w:cs="宋体"/>
          <w:color w:val="auto"/>
          <w:sz w:val="21"/>
          <w:szCs w:val="21"/>
          <w:highlight w:val="none"/>
          <w:lang w:eastAsia="zh-CN"/>
        </w:rPr>
        <w:t>；</w:t>
      </w:r>
    </w:p>
    <w:p w14:paraId="0B60B178">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储备时间：一年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根据履约情况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双方可协商续签合同，最多续签2次，每次一年</w:t>
      </w:r>
      <w:r>
        <w:rPr>
          <w:rFonts w:hint="eastAsia" w:ascii="宋体" w:hAnsi="宋体" w:eastAsia="宋体" w:cs="宋体"/>
          <w:color w:val="auto"/>
          <w:sz w:val="21"/>
          <w:szCs w:val="21"/>
          <w:highlight w:val="none"/>
          <w:lang w:eastAsia="zh-CN"/>
        </w:rPr>
        <w:t>）；</w:t>
      </w:r>
    </w:p>
    <w:p w14:paraId="4E77E184">
      <w:pPr>
        <w:spacing w:line="47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轮换模式：动态轮换。</w:t>
      </w:r>
    </w:p>
    <w:p w14:paraId="461F53DE">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三、储备肉的</w:t>
      </w:r>
      <w:r>
        <w:rPr>
          <w:rFonts w:hint="eastAsia" w:ascii="宋体" w:hAnsi="宋体" w:eastAsia="宋体" w:cs="宋体"/>
          <w:b/>
          <w:color w:val="auto"/>
          <w:sz w:val="21"/>
          <w:szCs w:val="21"/>
          <w:highlight w:val="none"/>
          <w:lang w:eastAsia="zh-CN"/>
        </w:rPr>
        <w:t>供货</w:t>
      </w:r>
      <w:r>
        <w:rPr>
          <w:rFonts w:hint="eastAsia" w:ascii="宋体" w:hAnsi="宋体" w:eastAsia="宋体" w:cs="宋体"/>
          <w:b/>
          <w:color w:val="auto"/>
          <w:sz w:val="21"/>
          <w:szCs w:val="21"/>
          <w:highlight w:val="none"/>
        </w:rPr>
        <w:t>要求</w:t>
      </w:r>
    </w:p>
    <w:p w14:paraId="5FF0707F">
      <w:pPr>
        <w:tabs>
          <w:tab w:val="left" w:pos="2310"/>
        </w:tabs>
        <w:spacing w:line="47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中标后</w:t>
      </w:r>
      <w:r>
        <w:rPr>
          <w:rFonts w:hint="eastAsia" w:ascii="宋体" w:hAnsi="宋体" w:eastAsia="宋体" w:cs="宋体"/>
          <w:color w:val="auto"/>
          <w:sz w:val="21"/>
          <w:szCs w:val="21"/>
          <w:highlight w:val="none"/>
          <w:lang w:val="en-US" w:eastAsia="zh-CN"/>
        </w:rPr>
        <w:t>7天内完成供货，落实储备任务。如逾期或部分逾期，均按合同总金额的1%/天扣减。逾期7天（含第7天），采购人有权解约且无违约责任。</w:t>
      </w:r>
    </w:p>
    <w:p w14:paraId="44F0ADD9">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储备肉生产日期须在6个月内，剩余保质期须不少于6个月；</w:t>
      </w:r>
    </w:p>
    <w:p w14:paraId="1DFD0F99">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储备肉可以是国产或进口冻猪肉，都必须是国家有关标准的带皮、去皮去膘猪肉、预冷猪肉及其分割产品，质量必须符合《鲜、冻片猪肉》（GB／T9959.1-2021）、《分割鲜、冻猪瘦肉》（GB9959.2-2008）等国家有关卫生质量安全标准（遇国家修改标准，自新标准施行之日起采用新标准）。所提供的储备肉应为无变质无异味、无腐败、无杂质，无过保质期，非病死畜制品。兽类肌肉有光泽，红色或暗红色，脂肪白色。</w:t>
      </w:r>
    </w:p>
    <w:p w14:paraId="55A074B6">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储备肉包装要求</w:t>
      </w:r>
    </w:p>
    <w:p w14:paraId="60313D6E">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外包装为瓦楞纸箱，瓦楞纸箱按国家标准GB6543规定执行；内包装为塑料薄膜，塑料薄膜按国家标准GB4456规定执行；</w:t>
      </w:r>
    </w:p>
    <w:p w14:paraId="4521A00D">
      <w:pPr>
        <w:tabs>
          <w:tab w:val="left" w:pos="2310"/>
        </w:tabs>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包装规格统一，完好无破损。外包装瓦楞纸箱外两侧应清晰标注以下内容：产品名称、级别、净含量（千克）、加工企业依法登记注册的名称和地址、产品执行的标准号、生产日期、保质期，并注明贮存条件。</w:t>
      </w:r>
    </w:p>
    <w:p w14:paraId="03223013">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四、储备肉的轮换和应急投放要求</w:t>
      </w:r>
    </w:p>
    <w:p w14:paraId="5D16CDA4">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（一）动态轮换：</w:t>
      </w:r>
      <w:r>
        <w:rPr>
          <w:rFonts w:hint="eastAsia" w:ascii="宋体" w:hAnsi="宋体" w:eastAsia="宋体" w:cs="宋体"/>
          <w:color w:val="auto"/>
          <w:sz w:val="21"/>
          <w:szCs w:val="21"/>
          <w:highlight w:val="none"/>
        </w:rPr>
        <w:t>乙方按规定在保质期内自行组织轮换，储备轮出后应当及时、保质、等量轮入，轮换前须向甲方报备（提前1天告知甲方轮换品类、数量、补库时间等信息）。轮换期间最低库存量不得低于储备任务的70%，轮换时间不得超过30个自然日。因不可抗力（如自然灾害等）导致无法按时完成的，乙方应立即书面通知甲方，双方协商确定处置方案。</w:t>
      </w:r>
    </w:p>
    <w:p w14:paraId="35122AA6">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应急投放：乙方根据甲方的应急投放指令，及时、高效地完成投放工作，并在应急投放后的45个工作日内保质、等量地入储被调用的储备肉，确保储备的储备肉数量不变。因应急投放指令出库而产生的有关费用，经核准后，由甲方予以补助。有关费用包括出入库、运输等费用，根据动用情况据实结算。出入库每次各补贴50元／吨，运输补贴100元／吨；</w:t>
      </w:r>
    </w:p>
    <w:p w14:paraId="2BB9413D">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紧急调用：如遇疫情、灾害、战争等情况，需紧急调用储备储备肉，乙方根据甲方的紧急调用指令，及时、高效地将储备肉配送至指定位置，并在应紧急调用后的45个工作日内保质、等量地入储被调用的储备肉，确保储备的储备肉数量不变。因紧急调用指令出库而产生的有关费用，经核准后，由甲方予以补助。有关费用包括储备肉采购、出入库、运输等费用，根据动用情况据实结算。储备肉采购价参考浙江省肉类协会最新一期</w:t>
      </w:r>
      <w:r>
        <w:rPr>
          <w:rFonts w:hint="eastAsia" w:ascii="宋体" w:hAnsi="宋体" w:eastAsia="宋体" w:cs="宋体"/>
          <w:color w:val="auto"/>
          <w:sz w:val="21"/>
          <w:szCs w:val="21"/>
          <w:highlight w:val="none"/>
          <w:lang w:val="en-US" w:eastAsia="zh-CN"/>
        </w:rPr>
        <w:t>进口</w:t>
      </w:r>
      <w:r>
        <w:rPr>
          <w:rFonts w:hint="eastAsia" w:ascii="宋体" w:hAnsi="宋体" w:eastAsia="宋体" w:cs="宋体"/>
          <w:color w:val="auto"/>
          <w:sz w:val="21"/>
          <w:szCs w:val="21"/>
          <w:highlight w:val="none"/>
        </w:rPr>
        <w:t>冻猪肉（与储备肉相同品类）的公示价格，出入库每次各补贴50元／吨，运输补贴100元／吨；</w:t>
      </w:r>
    </w:p>
    <w:p w14:paraId="123A335C">
      <w:pPr>
        <w:spacing w:line="47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、响应本招标文件，承储企业应履行义务及制定有关的管理制度</w:t>
      </w:r>
    </w:p>
    <w:p w14:paraId="0C4D5A81">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1、承储企业应建立健全内部管理制度和应急工作预案，制定严格的储备肉保管与财务制度，落实工作责任，明确责任人员，确保储备肉数量足额、质量合格、储存安全。</w:t>
      </w:r>
    </w:p>
    <w:p w14:paraId="40CC9ABA">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储企业应认真做好储备肉的采购入库，依据本协议确定的储备计划及时足额组织货源，落实专人严把进库关、实行专帐记载和挂牌明示，存放在符合国家储备肉承储要求的冷库内。承储企业应在储备肉入库时，对冻猪肉生产加工厂出具的肉品检验合格证进行索证和查验，经查验合格方可准予入库。</w:t>
      </w:r>
    </w:p>
    <w:p w14:paraId="3DA9E563">
      <w:pPr>
        <w:spacing w:line="47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3、承储企业负责储备肉的在库管理，储备肉应按生产日期先后、不同品种分垛堆码。堆码按照《国家储备冻肉储存冷库资质条件》（SB/T 10408-2007）第7.2款储存管理规范执行。</w:t>
      </w:r>
    </w:p>
    <w:p w14:paraId="6167E682">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4、承储企业应做好储备肉信息管理，按储备肉品种规格、生产日期、存放冷库等建立储备肉数量、金额保管台账制度，按月编制储备肉报表，于月度终止后7日内报送给市粮食和物资储备局。</w:t>
      </w:r>
    </w:p>
    <w:p w14:paraId="66A9A046">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5、对储备肉的入库、轮换及保管中产生的因把关不严等造成的损失，由承储企业自行负责，并视情追究相关责任。</w:t>
      </w:r>
    </w:p>
    <w:p w14:paraId="1218E198">
      <w:pPr>
        <w:spacing w:line="47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6、承储企业不得以储备肉对外进行质押、担保或清偿债务。</w:t>
      </w:r>
    </w:p>
    <w:p w14:paraId="0A740C96">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7、承储企业应随时接受并配合平湖市人民政府或其他上级等有关单位所开展的监督检查，不得拒绝、阻扰。</w:t>
      </w:r>
    </w:p>
    <w:p w14:paraId="4D237019">
      <w:pPr>
        <w:spacing w:line="47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color w:val="auto"/>
          <w:highlight w:val="none"/>
        </w:rPr>
        <w:t>▲</w:t>
      </w:r>
      <w:r>
        <w:rPr>
          <w:rFonts w:hint="eastAsia" w:ascii="宋体" w:hAnsi="宋体" w:eastAsia="宋体" w:cs="宋体"/>
          <w:b/>
          <w:bCs/>
          <w:color w:val="auto"/>
          <w:sz w:val="21"/>
          <w:szCs w:val="21"/>
          <w:highlight w:val="none"/>
          <w:lang w:eastAsia="zh-CN"/>
        </w:rPr>
        <w:t>企业拥有符合《国家储备冻肉储存冷库资质条件》（SB/T 10408-2007）要求的冷库，满足270吨冻猪肉百分百库存和动态轮换。若企业自身没有符合要求的冷库，允许</w:t>
      </w:r>
      <w:r>
        <w:rPr>
          <w:rFonts w:hint="eastAsia" w:ascii="宋体" w:hAnsi="宋体" w:eastAsia="宋体" w:cs="宋体"/>
          <w:b/>
          <w:bCs/>
          <w:color w:val="auto"/>
          <w:sz w:val="21"/>
          <w:szCs w:val="21"/>
          <w:highlight w:val="none"/>
          <w:lang w:val="en-US" w:eastAsia="zh-CN"/>
        </w:rPr>
        <w:t>该企业作为联合体牵头单位</w:t>
      </w:r>
      <w:r>
        <w:rPr>
          <w:rFonts w:hint="eastAsia" w:ascii="宋体" w:hAnsi="宋体" w:eastAsia="宋体" w:cs="宋体"/>
          <w:b/>
          <w:bCs/>
          <w:color w:val="auto"/>
          <w:sz w:val="21"/>
          <w:szCs w:val="21"/>
          <w:highlight w:val="none"/>
          <w:lang w:eastAsia="zh-CN"/>
        </w:rPr>
        <w:t>与具备符合要求的储存冷库的供应商联合投标。</w:t>
      </w:r>
    </w:p>
    <w:p w14:paraId="3AB79A1F">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br w:type="page"/>
      </w:r>
    </w:p>
    <w:p w14:paraId="23D11303">
      <w:pPr>
        <w:pStyle w:val="2"/>
        <w:keepNext/>
        <w:keepLines/>
        <w:pageBreakBefore w:val="0"/>
        <w:widowControl w:val="0"/>
        <w:kinsoku/>
        <w:wordWrap/>
        <w:overflowPunct/>
        <w:topLinePunct w:val="0"/>
        <w:autoSpaceDE/>
        <w:autoSpaceDN/>
        <w:bidi w:val="0"/>
        <w:adjustRightInd w:val="0"/>
        <w:snapToGrid/>
        <w:spacing w:after="100"/>
        <w:textAlignment w:val="auto"/>
        <w:rPr>
          <w:rFonts w:hint="eastAsia"/>
          <w:color w:val="auto"/>
          <w:highlight w:val="none"/>
        </w:rPr>
      </w:pPr>
      <w:bookmarkStart w:id="29" w:name="_Toc12240"/>
      <w:r>
        <w:rPr>
          <w:color w:val="auto"/>
          <w:highlight w:val="none"/>
        </w:rPr>
        <w:t>第四</w:t>
      </w:r>
      <w:r>
        <w:rPr>
          <w:rFonts w:hint="eastAsia"/>
          <w:color w:val="auto"/>
          <w:highlight w:val="none"/>
          <w:lang w:val="en-US" w:eastAsia="zh-CN"/>
        </w:rPr>
        <w:t xml:space="preserve">章 </w:t>
      </w:r>
      <w:r>
        <w:rPr>
          <w:rFonts w:hint="eastAsia"/>
          <w:color w:val="auto"/>
          <w:highlight w:val="none"/>
        </w:rPr>
        <w:t>磋商办法及磋商标准</w:t>
      </w:r>
      <w:bookmarkEnd w:id="29"/>
    </w:p>
    <w:p w14:paraId="198B23FE">
      <w:pPr>
        <w:keepNext w:val="0"/>
        <w:keepLines w:val="0"/>
        <w:pageBreakBefore w:val="0"/>
        <w:widowControl w:val="0"/>
        <w:kinsoku/>
        <w:wordWrap/>
        <w:overflowPunct/>
        <w:topLinePunct w:val="0"/>
        <w:autoSpaceDE/>
        <w:autoSpaceDN/>
        <w:bidi w:val="0"/>
        <w:adjustRightInd/>
        <w:snapToGrid/>
        <w:spacing w:line="400" w:lineRule="exact"/>
        <w:ind w:left="0" w:firstLine="472" w:firstLineChars="225"/>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为公正、公平、科学地选择中标人，根据《中华人民共和国政府采购法》等有关法律法规的规定，并结合本项目的实际，制定本办法。</w:t>
      </w:r>
    </w:p>
    <w:p w14:paraId="5C2B110F">
      <w:pPr>
        <w:keepNext w:val="0"/>
        <w:keepLines w:val="0"/>
        <w:pageBreakBefore w:val="0"/>
        <w:widowControl w:val="0"/>
        <w:kinsoku/>
        <w:wordWrap/>
        <w:overflowPunct/>
        <w:topLinePunct w:val="0"/>
        <w:autoSpaceDE/>
        <w:autoSpaceDN/>
        <w:bidi w:val="0"/>
        <w:snapToGrid w:val="0"/>
        <w:spacing w:line="400" w:lineRule="exact"/>
        <w:ind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734C0EDC">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本次评标采用综合评分法，总分为100分，其中价格分</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w:t>
      </w:r>
      <w:r>
        <w:rPr>
          <w:rFonts w:hint="eastAsia" w:ascii="宋体" w:hAnsi="宋体" w:cs="宋体"/>
          <w:color w:val="auto"/>
          <w:szCs w:val="21"/>
          <w:highlight w:val="none"/>
        </w:rPr>
        <w:t>资信及商务技术分</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分组成。合格投标人的评标得分为各项目汇总得分，中标候选资格按评标得分由高到低顺序排列，得分相同的，按投标报价由低到高顺序排列；得分且投标报价相同的，按</w:t>
      </w:r>
      <w:r>
        <w:rPr>
          <w:rFonts w:hint="eastAsia" w:ascii="宋体" w:hAnsi="宋体" w:cs="宋体"/>
          <w:bCs/>
          <w:color w:val="auto"/>
          <w:szCs w:val="21"/>
          <w:highlight w:val="none"/>
        </w:rPr>
        <w:t>资信及商务</w:t>
      </w:r>
      <w:r>
        <w:rPr>
          <w:rFonts w:hint="eastAsia" w:ascii="宋体" w:hAnsi="宋体" w:cs="宋体"/>
          <w:color w:val="auto"/>
          <w:szCs w:val="21"/>
          <w:highlight w:val="none"/>
        </w:rPr>
        <w:t>技术得分由高到低顺序排列；如按照上述条件依然无法确定投标人排序先后的，则由投标人代表抽签决定排名。排名第一的投标人为中标候选人，排名第二的投标人为候补中标候选人。评分过程中采用四舍五入法，并保留小数2位。</w:t>
      </w:r>
    </w:p>
    <w:p w14:paraId="4B112752">
      <w:pPr>
        <w:keepNext w:val="0"/>
        <w:keepLines w:val="0"/>
        <w:pageBreakBefore w:val="0"/>
        <w:widowControl w:val="0"/>
        <w:kinsoku/>
        <w:wordWrap/>
        <w:overflowPunct/>
        <w:topLinePunct w:val="0"/>
        <w:autoSpaceDE/>
        <w:autoSpaceDN/>
        <w:bidi w:val="0"/>
        <w:snapToGrid w:val="0"/>
        <w:spacing w:line="40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2.投标人的投标报价不得超过采购人设定的上限价。价格是评标的重要因素之一，但最低报价不是中标的唯一依据。</w:t>
      </w:r>
      <w:r>
        <w:rPr>
          <w:rFonts w:hint="eastAsia" w:ascii="宋体" w:hAnsi="宋体" w:cs="宋体"/>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69996C">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color w:val="auto"/>
          <w:sz w:val="21"/>
          <w:szCs w:val="21"/>
          <w:highlight w:val="none"/>
        </w:rPr>
      </w:pPr>
      <w:r>
        <w:rPr>
          <w:rFonts w:hint="eastAsia" w:ascii="宋体" w:hAnsi="宋体" w:cs="宋体"/>
          <w:color w:val="auto"/>
          <w:szCs w:val="21"/>
          <w:highlight w:val="none"/>
        </w:rPr>
        <w:t>3.投标人评标综合得分=价格分+资信商务及技术分。</w:t>
      </w:r>
    </w:p>
    <w:p w14:paraId="4AE9E1E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4"/>
          <w:kern w:val="0"/>
          <w:sz w:val="21"/>
          <w:szCs w:val="21"/>
          <w:highlight w:val="none"/>
          <w:lang w:val="en-US" w:eastAsia="zh-CN"/>
        </w:rPr>
      </w:pPr>
      <w:r>
        <w:rPr>
          <w:rFonts w:hint="eastAsia" w:ascii="宋体" w:hAnsi="宋体" w:cs="宋体"/>
          <w:b/>
          <w:color w:val="auto"/>
          <w:szCs w:val="21"/>
          <w:highlight w:val="none"/>
        </w:rPr>
        <w:t>二、评标内容及标准</w:t>
      </w:r>
    </w:p>
    <w:p w14:paraId="67AED7C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pacing w:val="-4"/>
          <w:kern w:val="0"/>
          <w:sz w:val="21"/>
          <w:szCs w:val="21"/>
          <w:highlight w:val="none"/>
        </w:rPr>
      </w:pPr>
      <w:r>
        <w:rPr>
          <w:rFonts w:hint="eastAsia" w:ascii="宋体" w:hAnsi="宋体" w:eastAsia="宋体" w:cs="宋体"/>
          <w:b/>
          <w:bCs/>
          <w:color w:val="auto"/>
          <w:spacing w:val="-4"/>
          <w:kern w:val="0"/>
          <w:sz w:val="21"/>
          <w:szCs w:val="21"/>
          <w:highlight w:val="none"/>
          <w:lang w:val="en-US" w:eastAsia="zh-CN"/>
        </w:rPr>
        <w:t>（一）</w:t>
      </w:r>
      <w:r>
        <w:rPr>
          <w:rFonts w:hint="eastAsia" w:ascii="宋体" w:hAnsi="宋体" w:eastAsia="宋体" w:cs="宋体"/>
          <w:b/>
          <w:bCs/>
          <w:color w:val="auto"/>
          <w:spacing w:val="-4"/>
          <w:kern w:val="0"/>
          <w:sz w:val="21"/>
          <w:szCs w:val="21"/>
          <w:highlight w:val="none"/>
        </w:rPr>
        <w:t>价格分（</w:t>
      </w:r>
      <w:r>
        <w:rPr>
          <w:rFonts w:hint="eastAsia" w:ascii="宋体" w:hAnsi="宋体" w:eastAsia="宋体" w:cs="宋体"/>
          <w:b/>
          <w:bCs/>
          <w:color w:val="auto"/>
          <w:spacing w:val="-4"/>
          <w:kern w:val="0"/>
          <w:sz w:val="21"/>
          <w:szCs w:val="21"/>
          <w:highlight w:val="none"/>
          <w:lang w:val="en-US" w:eastAsia="zh-CN"/>
        </w:rPr>
        <w:t>30</w:t>
      </w:r>
      <w:r>
        <w:rPr>
          <w:rFonts w:hint="eastAsia" w:ascii="宋体" w:hAnsi="宋体" w:eastAsia="宋体" w:cs="宋体"/>
          <w:b/>
          <w:bCs/>
          <w:color w:val="auto"/>
          <w:spacing w:val="-4"/>
          <w:kern w:val="0"/>
          <w:sz w:val="21"/>
          <w:szCs w:val="21"/>
          <w:highlight w:val="none"/>
        </w:rPr>
        <w:t>分）</w:t>
      </w:r>
    </w:p>
    <w:p w14:paraId="3EB35437">
      <w:pPr>
        <w:keepNext w:val="0"/>
        <w:keepLines w:val="0"/>
        <w:pageBreakBefore w:val="0"/>
        <w:widowControl w:val="0"/>
        <w:tabs>
          <w:tab w:val="left" w:pos="6264"/>
        </w:tabs>
        <w:kinsoku/>
        <w:wordWrap/>
        <w:overflowPunct/>
        <w:topLinePunct w:val="0"/>
        <w:autoSpaceDE/>
        <w:autoSpaceDN/>
        <w:bidi w:val="0"/>
        <w:adjustRightInd w:val="0"/>
        <w:snapToGrid w:val="0"/>
        <w:spacing w:line="40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79857FB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p w14:paraId="5751EF2F">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投标人的投标报价超过采购人设定的最高限价，将作为无效标。</w:t>
      </w:r>
    </w:p>
    <w:p w14:paraId="1B4D5C7A">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投标人不能证明其报价合理性的，评标委员会应当将其作为无效投标处理。</w:t>
      </w:r>
    </w:p>
    <w:p w14:paraId="694F6E2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二、资信商务及技术分</w:t>
      </w:r>
      <w:r>
        <w:rPr>
          <w:rFonts w:hint="eastAsia" w:ascii="宋体" w:hAnsi="宋体" w:cs="宋体"/>
          <w:b/>
          <w:color w:val="auto"/>
          <w:szCs w:val="21"/>
          <w:highlight w:val="none"/>
          <w:lang w:val="en-US" w:eastAsia="zh-CN"/>
        </w:rPr>
        <w:t>70</w:t>
      </w:r>
      <w:r>
        <w:rPr>
          <w:rFonts w:hint="eastAsia" w:ascii="宋体" w:hAnsi="宋体" w:cs="宋体"/>
          <w:b/>
          <w:color w:val="auto"/>
          <w:szCs w:val="21"/>
          <w:highlight w:val="none"/>
        </w:rPr>
        <w:t>分。</w:t>
      </w:r>
    </w:p>
    <w:p w14:paraId="06EA3AE7">
      <w:pPr>
        <w:keepNext w:val="0"/>
        <w:keepLines w:val="0"/>
        <w:pageBreakBefore w:val="0"/>
        <w:widowControl w:val="0"/>
        <w:tabs>
          <w:tab w:val="left" w:pos="6264"/>
        </w:tabs>
        <w:kinsoku/>
        <w:wordWrap/>
        <w:overflowPunct/>
        <w:topLinePunct w:val="0"/>
        <w:autoSpaceDE/>
        <w:autoSpaceDN/>
        <w:bidi w:val="0"/>
        <w:adjustRightInd w:val="0"/>
        <w:snapToGrid w:val="0"/>
        <w:spacing w:line="400" w:lineRule="exact"/>
        <w:ind w:firstLine="476"/>
        <w:textAlignment w:val="auto"/>
        <w:rPr>
          <w:rFonts w:hint="eastAsia" w:ascii="宋体" w:hAnsi="宋体" w:cs="宋体"/>
          <w:color w:val="auto"/>
          <w:szCs w:val="21"/>
          <w:highlight w:val="none"/>
        </w:rPr>
      </w:pPr>
      <w:r>
        <w:rPr>
          <w:rFonts w:hint="eastAsia" w:ascii="宋体" w:hAnsi="宋体" w:cs="宋体"/>
          <w:color w:val="auto"/>
          <w:szCs w:val="21"/>
          <w:highlight w:val="none"/>
        </w:rPr>
        <w:t>各评委成员按评标具体办法独立进行评判，每人一张评分计算票，并记名，打分保留一位小数。如某张票的一个因素项目超过规定的范围，则该张票无效。各投标人的技术资信及商务分值为所有评标成员给出的值算术平均值。（计算结果保留小数点后2位，四舍五入法）</w:t>
      </w:r>
    </w:p>
    <w:p w14:paraId="2E5CA442">
      <w:pPr>
        <w:rPr>
          <w:rFonts w:hint="eastAsia" w:ascii="宋体" w:hAnsi="宋体" w:cs="宋体"/>
          <w:color w:val="auto"/>
          <w:szCs w:val="21"/>
          <w:highlight w:val="none"/>
        </w:rPr>
      </w:pPr>
      <w:r>
        <w:rPr>
          <w:rFonts w:hint="eastAsia" w:ascii="宋体" w:hAnsi="宋体" w:cs="宋体"/>
          <w:color w:val="auto"/>
          <w:szCs w:val="21"/>
          <w:highlight w:val="none"/>
        </w:rPr>
        <w:t>注：以上各项，如有缺项，该项得0分。</w:t>
      </w:r>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5472"/>
        <w:gridCol w:w="1758"/>
      </w:tblGrid>
      <w:tr w14:paraId="17C9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20" w:type="dxa"/>
            <w:noWrap w:val="0"/>
            <w:vAlign w:val="center"/>
          </w:tcPr>
          <w:p w14:paraId="76F142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48" w:type="dxa"/>
            <w:noWrap w:val="0"/>
            <w:vAlign w:val="center"/>
          </w:tcPr>
          <w:p w14:paraId="69067D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评价指标</w:t>
            </w:r>
          </w:p>
        </w:tc>
        <w:tc>
          <w:tcPr>
            <w:tcW w:w="5472" w:type="dxa"/>
            <w:noWrap w:val="0"/>
            <w:vAlign w:val="center"/>
          </w:tcPr>
          <w:p w14:paraId="7D346F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评分细则</w:t>
            </w:r>
          </w:p>
        </w:tc>
        <w:tc>
          <w:tcPr>
            <w:tcW w:w="1758" w:type="dxa"/>
            <w:noWrap w:val="0"/>
            <w:vAlign w:val="center"/>
          </w:tcPr>
          <w:p w14:paraId="15D17E8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w:t>
            </w:r>
          </w:p>
        </w:tc>
      </w:tr>
      <w:tr w14:paraId="73A5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720" w:type="dxa"/>
            <w:noWrap w:val="0"/>
            <w:vAlign w:val="center"/>
          </w:tcPr>
          <w:p w14:paraId="01F1A389">
            <w:pPr>
              <w:widowControl/>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548" w:type="dxa"/>
            <w:noWrap w:val="0"/>
            <w:vAlign w:val="center"/>
          </w:tcPr>
          <w:p w14:paraId="09565D35">
            <w:pPr>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业绩</w:t>
            </w:r>
          </w:p>
        </w:tc>
        <w:tc>
          <w:tcPr>
            <w:tcW w:w="5472" w:type="dxa"/>
            <w:noWrap w:val="0"/>
            <w:vAlign w:val="center"/>
          </w:tcPr>
          <w:p w14:paraId="29137863">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年1月1日至今，投标人中标的政府冻猪肉储备项目，每中标一个项目（或一个标段）得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分（提供中标通知书复印件）。</w:t>
            </w:r>
          </w:p>
        </w:tc>
        <w:tc>
          <w:tcPr>
            <w:tcW w:w="1758" w:type="dxa"/>
            <w:noWrap w:val="0"/>
            <w:vAlign w:val="center"/>
          </w:tcPr>
          <w:p w14:paraId="513BF8E2">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3分</w:t>
            </w:r>
          </w:p>
        </w:tc>
      </w:tr>
      <w:tr w14:paraId="3DDE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720" w:type="dxa"/>
            <w:vMerge w:val="restart"/>
            <w:noWrap w:val="0"/>
            <w:vAlign w:val="center"/>
          </w:tcPr>
          <w:p w14:paraId="5A946752">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548" w:type="dxa"/>
            <w:vMerge w:val="restart"/>
            <w:noWrap w:val="0"/>
            <w:vAlign w:val="center"/>
          </w:tcPr>
          <w:p w14:paraId="313B0132">
            <w:pPr>
              <w:jc w:val="center"/>
              <w:rPr>
                <w:rFonts w:hint="eastAsia" w:ascii="宋体" w:hAnsi="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SA"/>
              </w:rPr>
              <w:t>管理制度建设</w:t>
            </w:r>
          </w:p>
        </w:tc>
        <w:tc>
          <w:tcPr>
            <w:tcW w:w="5472" w:type="dxa"/>
            <w:noWrap w:val="0"/>
            <w:vAlign w:val="center"/>
          </w:tcPr>
          <w:p w14:paraId="1CBDB8AD">
            <w:pP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（1）建立冻猪肉储备管理责任制度、台账管理制度、节假日及特殊时期值班值守制度、应急调度机制等，冻猪肉出入库管理规范，根据制度综合评分（评分范围：</w:t>
            </w:r>
            <w:r>
              <w:rPr>
                <w:rFonts w:hint="eastAsia" w:ascii="宋体" w:hAnsi="宋体" w:cs="宋体"/>
                <w:color w:val="auto"/>
                <w:kern w:val="0"/>
                <w:szCs w:val="21"/>
                <w:highlight w:val="none"/>
                <w:lang w:val="en-US" w:eastAsia="zh-CN"/>
              </w:rPr>
              <w:t>6.0,5.0,4.0,3.0</w:t>
            </w:r>
            <w:r>
              <w:rPr>
                <w:rFonts w:hint="eastAsia" w:ascii="宋体" w:hAnsi="宋体" w:cs="宋体"/>
                <w:color w:val="auto"/>
                <w:kern w:val="0"/>
                <w:szCs w:val="21"/>
                <w:highlight w:val="none"/>
                <w:lang w:eastAsia="zh-CN"/>
              </w:rPr>
              <w:t>）；</w:t>
            </w:r>
          </w:p>
        </w:tc>
        <w:tc>
          <w:tcPr>
            <w:tcW w:w="1758" w:type="dxa"/>
            <w:noWrap w:val="0"/>
            <w:vAlign w:val="center"/>
          </w:tcPr>
          <w:p w14:paraId="5E03CE89">
            <w:pPr>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分</w:t>
            </w:r>
          </w:p>
        </w:tc>
      </w:tr>
      <w:tr w14:paraId="30C4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720" w:type="dxa"/>
            <w:vMerge w:val="continue"/>
            <w:noWrap w:val="0"/>
            <w:vAlign w:val="center"/>
          </w:tcPr>
          <w:p w14:paraId="30F37E1A">
            <w:pPr>
              <w:jc w:val="center"/>
              <w:rPr>
                <w:color w:val="auto"/>
                <w:highlight w:val="none"/>
              </w:rPr>
            </w:pPr>
          </w:p>
        </w:tc>
        <w:tc>
          <w:tcPr>
            <w:tcW w:w="1548" w:type="dxa"/>
            <w:vMerge w:val="continue"/>
            <w:noWrap w:val="0"/>
            <w:vAlign w:val="center"/>
          </w:tcPr>
          <w:p w14:paraId="5F7B391C">
            <w:pPr>
              <w:jc w:val="center"/>
              <w:rPr>
                <w:color w:val="auto"/>
                <w:highlight w:val="none"/>
              </w:rPr>
            </w:pPr>
          </w:p>
        </w:tc>
        <w:tc>
          <w:tcPr>
            <w:tcW w:w="5472" w:type="dxa"/>
            <w:noWrap w:val="0"/>
            <w:vAlign w:val="center"/>
          </w:tcPr>
          <w:p w14:paraId="6AD8DBEB">
            <w:pP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（2）冷库消防安全有保障，取得公安部门出具的消防验收合格意见书，建立冷库消防安全责任制、安全生产应急预案，根据制度综合评分（评分范围：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p>
        </w:tc>
        <w:tc>
          <w:tcPr>
            <w:tcW w:w="1758" w:type="dxa"/>
            <w:noWrap w:val="0"/>
            <w:vAlign w:val="center"/>
          </w:tcPr>
          <w:p w14:paraId="32D9775D">
            <w:pPr>
              <w:jc w:val="center"/>
              <w:rPr>
                <w:rFonts w:hint="eastAsia" w:ascii="宋体" w:hAnsi="宋体"/>
                <w:color w:val="auto"/>
                <w:kern w:val="0"/>
                <w:szCs w:val="21"/>
                <w:highlight w:val="none"/>
                <w:lang w:bidi="ar"/>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r>
      <w:tr w14:paraId="6AD3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20" w:type="dxa"/>
            <w:noWrap w:val="0"/>
            <w:vAlign w:val="center"/>
          </w:tcPr>
          <w:p w14:paraId="243F25AA">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548" w:type="dxa"/>
            <w:noWrap w:val="0"/>
            <w:vAlign w:val="center"/>
          </w:tcPr>
          <w:p w14:paraId="4CB2D811">
            <w:pPr>
              <w:widowControl/>
              <w:jc w:val="center"/>
              <w:textAlignment w:val="center"/>
              <w:rPr>
                <w:rFonts w:hint="default" w:ascii="宋体" w:hAnsi="宋体"/>
                <w:color w:val="auto"/>
                <w:kern w:val="0"/>
                <w:sz w:val="21"/>
                <w:szCs w:val="21"/>
                <w:highlight w:val="none"/>
                <w:lang w:val="en-US" w:eastAsia="zh-CN" w:bidi="ar"/>
              </w:rPr>
            </w:pPr>
            <w:r>
              <w:rPr>
                <w:rFonts w:hint="eastAsia" w:ascii="宋体" w:hAnsi="宋体"/>
                <w:color w:val="auto"/>
                <w:kern w:val="0"/>
                <w:sz w:val="21"/>
                <w:szCs w:val="21"/>
                <w:highlight w:val="none"/>
                <w:lang w:val="en-US" w:eastAsia="zh-CN" w:bidi="ar"/>
              </w:rPr>
              <w:t>企业实力</w:t>
            </w:r>
          </w:p>
        </w:tc>
        <w:tc>
          <w:tcPr>
            <w:tcW w:w="5472" w:type="dxa"/>
            <w:noWrap w:val="0"/>
            <w:vAlign w:val="center"/>
          </w:tcPr>
          <w:p w14:paraId="3AD9F7E0">
            <w:pPr>
              <w:rPr>
                <w:rFonts w:hint="eastAsia" w:ascii="宋体" w:hAnsi="宋体"/>
                <w:color w:val="auto"/>
                <w:kern w:val="0"/>
                <w:szCs w:val="21"/>
                <w:highlight w:val="none"/>
                <w:lang w:bidi="ar"/>
              </w:rPr>
            </w:pP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bidi="ar"/>
              </w:rPr>
              <w:t>投标人可提供冻猪肉</w:t>
            </w:r>
            <w:r>
              <w:rPr>
                <w:rFonts w:hint="eastAsia" w:ascii="宋体" w:hAnsi="宋体"/>
                <w:color w:val="auto"/>
                <w:kern w:val="0"/>
                <w:szCs w:val="21"/>
                <w:highlight w:val="none"/>
                <w:lang w:eastAsia="zh-CN" w:bidi="ar"/>
              </w:rPr>
              <w:t>储备</w:t>
            </w:r>
            <w:r>
              <w:rPr>
                <w:rFonts w:hint="eastAsia" w:ascii="宋体" w:hAnsi="宋体"/>
                <w:color w:val="auto"/>
                <w:kern w:val="0"/>
                <w:szCs w:val="21"/>
                <w:highlight w:val="none"/>
                <w:lang w:bidi="ar"/>
              </w:rPr>
              <w:t>专</w:t>
            </w:r>
            <w:r>
              <w:rPr>
                <w:rFonts w:hint="eastAsia" w:ascii="宋体" w:hAnsi="宋体"/>
                <w:color w:val="auto"/>
                <w:kern w:val="0"/>
                <w:szCs w:val="21"/>
                <w:highlight w:val="none"/>
                <w:lang w:eastAsia="zh-CN" w:bidi="ar"/>
              </w:rPr>
              <w:t>区</w:t>
            </w:r>
            <w:r>
              <w:rPr>
                <w:rFonts w:hint="eastAsia" w:ascii="宋体" w:hAnsi="宋体"/>
                <w:color w:val="auto"/>
                <w:kern w:val="0"/>
                <w:szCs w:val="21"/>
                <w:highlight w:val="none"/>
                <w:lang w:bidi="ar"/>
              </w:rPr>
              <w:t>冷库的单体冷库库容</w:t>
            </w:r>
            <w:r>
              <w:rPr>
                <w:rFonts w:hint="eastAsia" w:ascii="宋体" w:hAnsi="宋体"/>
                <w:color w:val="auto"/>
                <w:kern w:val="0"/>
                <w:szCs w:val="21"/>
                <w:highlight w:val="none"/>
                <w:lang w:eastAsia="zh-CN" w:bidi="ar"/>
              </w:rPr>
              <w:t>、库区干净整洁、专业化管理</w:t>
            </w:r>
            <w:r>
              <w:rPr>
                <w:rFonts w:hint="eastAsia" w:ascii="宋体" w:hAnsi="宋体"/>
                <w:color w:val="auto"/>
                <w:kern w:val="0"/>
                <w:szCs w:val="21"/>
                <w:highlight w:val="none"/>
                <w:lang w:val="en-US" w:eastAsia="zh-CN" w:bidi="ar"/>
              </w:rPr>
              <w:t>等情况综合评分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bidi="ar"/>
              </w:rPr>
              <w:t>。</w:t>
            </w:r>
          </w:p>
          <w:p w14:paraId="51AEDEAB">
            <w:pP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eastAsia="zh-CN" w:bidi="ar"/>
              </w:rPr>
              <w:t>注：需提供冷库产权证书、租赁合同或协议等佐证材料和现场多角度照片。</w:t>
            </w:r>
          </w:p>
        </w:tc>
        <w:tc>
          <w:tcPr>
            <w:tcW w:w="1758" w:type="dxa"/>
            <w:noWrap w:val="0"/>
            <w:vAlign w:val="center"/>
          </w:tcPr>
          <w:p w14:paraId="629074E1">
            <w:pPr>
              <w:jc w:val="center"/>
              <w:textAlignment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10</w:t>
            </w:r>
            <w:r>
              <w:rPr>
                <w:rFonts w:hint="eastAsia" w:ascii="宋体" w:hAnsi="宋体"/>
                <w:color w:val="auto"/>
                <w:kern w:val="0"/>
                <w:szCs w:val="21"/>
                <w:highlight w:val="none"/>
                <w:lang w:bidi="ar"/>
              </w:rPr>
              <w:t>分</w:t>
            </w:r>
          </w:p>
        </w:tc>
      </w:tr>
      <w:tr w14:paraId="7489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720" w:type="dxa"/>
            <w:vMerge w:val="restart"/>
            <w:noWrap w:val="0"/>
            <w:vAlign w:val="center"/>
          </w:tcPr>
          <w:p w14:paraId="5CD467D6">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548" w:type="dxa"/>
            <w:vMerge w:val="restart"/>
            <w:noWrap w:val="0"/>
            <w:vAlign w:val="center"/>
          </w:tcPr>
          <w:p w14:paraId="6905DD6E">
            <w:pPr>
              <w:widowControl/>
              <w:jc w:val="center"/>
              <w:textAlignment w:val="center"/>
              <w:rPr>
                <w:rFonts w:hint="eastAsia" w:ascii="宋体" w:hAnsi="宋体" w:eastAsia="宋体"/>
                <w:color w:val="auto"/>
                <w:kern w:val="2"/>
                <w:sz w:val="21"/>
                <w:szCs w:val="21"/>
                <w:highlight w:val="none"/>
                <w:lang w:val="en-US" w:eastAsia="zh-CN" w:bidi="ar-SA"/>
              </w:rPr>
            </w:pPr>
            <w:r>
              <w:rPr>
                <w:rFonts w:hint="eastAsia" w:ascii="宋体" w:hAnsi="宋体" w:cs="宋体"/>
                <w:color w:val="auto"/>
                <w:kern w:val="0"/>
                <w:szCs w:val="21"/>
                <w:highlight w:val="none"/>
                <w:lang w:eastAsia="zh-CN"/>
              </w:rPr>
              <w:t>应急投放、紧急调用能力</w:t>
            </w:r>
          </w:p>
        </w:tc>
        <w:tc>
          <w:tcPr>
            <w:tcW w:w="5472" w:type="dxa"/>
            <w:noWrap w:val="0"/>
            <w:vAlign w:val="center"/>
          </w:tcPr>
          <w:p w14:paraId="5090FF76">
            <w:pP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1</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应急响应时间： 投标人承诺自接到采购人应急供货通知之时起，在3小时（含）以内将货物送达指定地点的，得1分；承诺的响应时间在3小时基础上每减少半小时，加1分；本项最高得3分。</w:t>
            </w:r>
          </w:p>
        </w:tc>
        <w:tc>
          <w:tcPr>
            <w:tcW w:w="1758" w:type="dxa"/>
            <w:noWrap w:val="0"/>
            <w:vAlign w:val="center"/>
          </w:tcPr>
          <w:p w14:paraId="012664F0">
            <w:pPr>
              <w:jc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bidi="ar"/>
              </w:rPr>
              <w:t>分</w:t>
            </w:r>
          </w:p>
        </w:tc>
      </w:tr>
      <w:tr w14:paraId="6BDE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720" w:type="dxa"/>
            <w:vMerge w:val="continue"/>
            <w:noWrap w:val="0"/>
            <w:vAlign w:val="center"/>
          </w:tcPr>
          <w:p w14:paraId="15F09B67">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25090BBA">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781F1BD5">
            <w:pPr>
              <w:rPr>
                <w:rFonts w:hint="eastAsia" w:ascii="宋体" w:hAnsi="宋体"/>
                <w:color w:val="auto"/>
                <w:kern w:val="0"/>
                <w:szCs w:val="21"/>
                <w:highlight w:val="none"/>
                <w:lang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2</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eastAsia="zh-CN" w:bidi="ar"/>
              </w:rPr>
              <w:t>投标人</w:t>
            </w:r>
            <w:r>
              <w:rPr>
                <w:rFonts w:ascii="宋体" w:hAnsi="宋体"/>
                <w:color w:val="auto"/>
                <w:kern w:val="0"/>
                <w:szCs w:val="21"/>
                <w:highlight w:val="none"/>
                <w:lang w:bidi="ar"/>
              </w:rPr>
              <w:t>自有冷藏物流车</w:t>
            </w:r>
            <w:r>
              <w:rPr>
                <w:rFonts w:hint="eastAsia" w:ascii="宋体" w:hAnsi="宋体"/>
                <w:color w:val="auto"/>
                <w:kern w:val="0"/>
                <w:szCs w:val="21"/>
                <w:highlight w:val="none"/>
                <w:lang w:val="en-US" w:eastAsia="zh-CN" w:bidi="ar"/>
              </w:rPr>
              <w:t>数量</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单批次运载能力</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bidi="ar"/>
              </w:rPr>
              <w:t>长期</w:t>
            </w:r>
            <w:r>
              <w:rPr>
                <w:rFonts w:ascii="宋体" w:hAnsi="宋体"/>
                <w:color w:val="auto"/>
                <w:kern w:val="0"/>
                <w:szCs w:val="21"/>
                <w:highlight w:val="none"/>
                <w:lang w:bidi="ar"/>
              </w:rPr>
              <w:t>固定</w:t>
            </w:r>
            <w:r>
              <w:rPr>
                <w:rFonts w:hint="eastAsia" w:ascii="宋体" w:hAnsi="宋体"/>
                <w:color w:val="auto"/>
                <w:kern w:val="0"/>
                <w:szCs w:val="21"/>
                <w:highlight w:val="none"/>
                <w:lang w:bidi="ar"/>
              </w:rPr>
              <w:t>的</w:t>
            </w:r>
            <w:r>
              <w:rPr>
                <w:rFonts w:ascii="宋体" w:hAnsi="宋体"/>
                <w:color w:val="auto"/>
                <w:kern w:val="0"/>
                <w:szCs w:val="21"/>
                <w:highlight w:val="none"/>
                <w:lang w:bidi="ar"/>
              </w:rPr>
              <w:t>冷藏物流协作单位</w:t>
            </w:r>
            <w:r>
              <w:rPr>
                <w:rFonts w:hint="eastAsia" w:ascii="宋体" w:hAnsi="宋体"/>
                <w:color w:val="auto"/>
                <w:kern w:val="0"/>
                <w:szCs w:val="21"/>
                <w:highlight w:val="none"/>
                <w:lang w:val="en-US" w:eastAsia="zh-CN" w:bidi="ar"/>
              </w:rPr>
              <w:t>等情况综合评分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bidi="ar"/>
              </w:rPr>
              <w:t>。</w:t>
            </w:r>
          </w:p>
          <w:p w14:paraId="3B4AB5F8">
            <w:pPr>
              <w:rPr>
                <w:rFonts w:hint="eastAsia" w:ascii="宋体" w:hAnsi="宋体" w:eastAsia="宋体"/>
                <w:color w:val="auto"/>
                <w:kern w:val="0"/>
                <w:szCs w:val="21"/>
                <w:highlight w:val="none"/>
                <w:lang w:eastAsia="zh-CN" w:bidi="ar"/>
              </w:rPr>
            </w:pPr>
            <w:r>
              <w:rPr>
                <w:rFonts w:hint="eastAsia" w:ascii="宋体" w:hAnsi="宋体"/>
                <w:color w:val="auto"/>
                <w:kern w:val="0"/>
                <w:szCs w:val="21"/>
                <w:highlight w:val="none"/>
                <w:lang w:eastAsia="zh-CN" w:bidi="ar"/>
              </w:rPr>
              <w:t>注：需提供驾驶证、行驶证、合作合同或协议等佐证材料。</w:t>
            </w:r>
          </w:p>
        </w:tc>
        <w:tc>
          <w:tcPr>
            <w:tcW w:w="1758" w:type="dxa"/>
            <w:noWrap w:val="0"/>
            <w:vAlign w:val="center"/>
          </w:tcPr>
          <w:p w14:paraId="5E268584">
            <w:pPr>
              <w:jc w:val="cente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val="en-US" w:eastAsia="zh-CN" w:bidi="ar"/>
              </w:rPr>
              <w:t>10分</w:t>
            </w:r>
          </w:p>
        </w:tc>
      </w:tr>
      <w:tr w14:paraId="5EB0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20" w:type="dxa"/>
            <w:vMerge w:val="continue"/>
            <w:noWrap w:val="0"/>
            <w:vAlign w:val="center"/>
          </w:tcPr>
          <w:p w14:paraId="75B931F6">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16E6DB77">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1334636B">
            <w:pPr>
              <w:rPr>
                <w:rFonts w:hint="eastAsia" w:ascii="宋体" w:hAnsi="宋体" w:eastAsia="宋体"/>
                <w:color w:val="auto"/>
                <w:kern w:val="0"/>
                <w:szCs w:val="21"/>
                <w:highlight w:val="none"/>
                <w:lang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eastAsia="zh-CN" w:bidi="ar"/>
              </w:rPr>
              <w:t>）投标人</w:t>
            </w:r>
            <w:r>
              <w:rPr>
                <w:rFonts w:ascii="宋体" w:hAnsi="宋体"/>
                <w:color w:val="auto"/>
                <w:kern w:val="0"/>
                <w:szCs w:val="21"/>
                <w:highlight w:val="none"/>
                <w:lang w:bidi="ar"/>
              </w:rPr>
              <w:t>自有</w:t>
            </w:r>
            <w:r>
              <w:rPr>
                <w:rFonts w:hint="eastAsia" w:ascii="宋体" w:hAnsi="宋体"/>
                <w:color w:val="auto"/>
                <w:kern w:val="0"/>
                <w:szCs w:val="21"/>
                <w:highlight w:val="none"/>
                <w:lang w:eastAsia="zh-CN" w:bidi="ar"/>
              </w:rPr>
              <w:t>冻猪肉切割分包能力，方便应急投放和紧急调用的，根据分割时效</w:t>
            </w:r>
            <w:r>
              <w:rPr>
                <w:rFonts w:hint="eastAsia" w:ascii="宋体" w:hAnsi="宋体"/>
                <w:color w:val="auto"/>
                <w:kern w:val="0"/>
                <w:szCs w:val="21"/>
                <w:highlight w:val="none"/>
                <w:lang w:val="en-US" w:eastAsia="zh-CN" w:bidi="ar"/>
              </w:rPr>
              <w:t>综合</w:t>
            </w:r>
            <w:r>
              <w:rPr>
                <w:rFonts w:hint="eastAsia" w:ascii="宋体" w:hAnsi="宋体"/>
                <w:color w:val="auto"/>
                <w:kern w:val="0"/>
                <w:szCs w:val="21"/>
                <w:highlight w:val="none"/>
                <w:lang w:eastAsia="zh-CN" w:bidi="ar"/>
              </w:rPr>
              <w:t>打分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eastAsia="zh-CN" w:bidi="ar"/>
              </w:rPr>
              <w:t>。</w:t>
            </w:r>
          </w:p>
        </w:tc>
        <w:tc>
          <w:tcPr>
            <w:tcW w:w="1758" w:type="dxa"/>
            <w:noWrap w:val="0"/>
            <w:vAlign w:val="center"/>
          </w:tcPr>
          <w:p w14:paraId="2527182C">
            <w:pPr>
              <w:jc w:val="center"/>
              <w:rPr>
                <w:rFonts w:hint="eastAsia" w:ascii="宋体" w:hAnsi="宋体" w:eastAsia="宋体"/>
                <w:color w:val="auto"/>
                <w:kern w:val="0"/>
                <w:szCs w:val="21"/>
                <w:highlight w:val="none"/>
                <w:lang w:val="en-US" w:eastAsia="zh-CN" w:bidi="ar"/>
              </w:rPr>
            </w:pPr>
            <w:r>
              <w:rPr>
                <w:rFonts w:hint="eastAsia" w:ascii="宋体" w:hAnsi="宋体"/>
                <w:color w:val="auto"/>
                <w:kern w:val="0"/>
                <w:szCs w:val="21"/>
                <w:highlight w:val="none"/>
                <w:lang w:val="en-US" w:eastAsia="zh-CN" w:bidi="ar"/>
              </w:rPr>
              <w:t>5分</w:t>
            </w:r>
          </w:p>
        </w:tc>
      </w:tr>
      <w:tr w14:paraId="20F9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720" w:type="dxa"/>
            <w:vMerge w:val="continue"/>
            <w:noWrap w:val="0"/>
            <w:vAlign w:val="center"/>
          </w:tcPr>
          <w:p w14:paraId="31C88BF1">
            <w:pPr>
              <w:widowControl/>
              <w:jc w:val="center"/>
              <w:rPr>
                <w:rFonts w:hint="eastAsia" w:ascii="宋体" w:hAnsi="宋体" w:cs="宋体"/>
                <w:color w:val="auto"/>
                <w:kern w:val="0"/>
                <w:szCs w:val="21"/>
                <w:highlight w:val="none"/>
                <w:lang w:val="en-US" w:eastAsia="zh-CN"/>
              </w:rPr>
            </w:pPr>
          </w:p>
        </w:tc>
        <w:tc>
          <w:tcPr>
            <w:tcW w:w="1548" w:type="dxa"/>
            <w:vMerge w:val="continue"/>
            <w:noWrap w:val="0"/>
            <w:vAlign w:val="center"/>
          </w:tcPr>
          <w:p w14:paraId="3FB6C425">
            <w:pPr>
              <w:widowControl/>
              <w:jc w:val="center"/>
              <w:textAlignment w:val="center"/>
              <w:rPr>
                <w:rFonts w:hint="eastAsia" w:ascii="宋体" w:hAnsi="宋体" w:cs="宋体"/>
                <w:color w:val="auto"/>
                <w:kern w:val="0"/>
                <w:szCs w:val="21"/>
                <w:highlight w:val="none"/>
                <w:lang w:eastAsia="zh-CN"/>
              </w:rPr>
            </w:pPr>
          </w:p>
        </w:tc>
        <w:tc>
          <w:tcPr>
            <w:tcW w:w="5472" w:type="dxa"/>
            <w:noWrap w:val="0"/>
            <w:vAlign w:val="center"/>
          </w:tcPr>
          <w:p w14:paraId="410DDDDC">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4</w:t>
            </w:r>
            <w:r>
              <w:rPr>
                <w:rFonts w:hint="eastAsia" w:ascii="宋体" w:hAnsi="宋体"/>
                <w:color w:val="auto"/>
                <w:kern w:val="0"/>
                <w:szCs w:val="21"/>
                <w:highlight w:val="none"/>
                <w:lang w:eastAsia="zh-CN" w:bidi="ar"/>
              </w:rPr>
              <w:t>）</w:t>
            </w:r>
            <w:r>
              <w:rPr>
                <w:rFonts w:hint="eastAsia" w:ascii="宋体" w:hAnsi="宋体"/>
                <w:color w:val="auto"/>
                <w:kern w:val="0"/>
                <w:szCs w:val="21"/>
                <w:highlight w:val="none"/>
                <w:lang w:val="en-US" w:eastAsia="zh-CN" w:bidi="ar"/>
              </w:rPr>
              <w:t>根据</w:t>
            </w:r>
            <w:r>
              <w:rPr>
                <w:rFonts w:hint="eastAsia" w:ascii="宋体" w:hAnsi="宋体"/>
                <w:color w:val="auto"/>
                <w:kern w:val="0"/>
                <w:szCs w:val="21"/>
                <w:highlight w:val="none"/>
                <w:lang w:eastAsia="zh-CN" w:bidi="ar"/>
              </w:rPr>
              <w:t>投标人在</w:t>
            </w:r>
            <w:r>
              <w:rPr>
                <w:rFonts w:hint="eastAsia" w:ascii="宋体" w:hAnsi="宋体"/>
                <w:color w:val="auto"/>
                <w:kern w:val="0"/>
                <w:szCs w:val="21"/>
                <w:highlight w:val="none"/>
                <w:lang w:val="en-US" w:eastAsia="zh-CN" w:bidi="ar"/>
              </w:rPr>
              <w:t>嘉兴市域已有门店或承诺中标后设立</w:t>
            </w:r>
            <w:r>
              <w:rPr>
                <w:rFonts w:hint="eastAsia" w:ascii="宋体" w:hAnsi="宋体"/>
                <w:color w:val="auto"/>
                <w:kern w:val="0"/>
                <w:szCs w:val="21"/>
                <w:highlight w:val="none"/>
                <w:lang w:eastAsia="zh-CN" w:bidi="ar"/>
              </w:rPr>
              <w:t>可用于冻猪肉应急投放的</w:t>
            </w:r>
            <w:r>
              <w:rPr>
                <w:rFonts w:hint="eastAsia" w:ascii="宋体" w:hAnsi="宋体"/>
                <w:color w:val="auto"/>
                <w:kern w:val="0"/>
                <w:szCs w:val="21"/>
                <w:highlight w:val="none"/>
                <w:lang w:val="en-US" w:eastAsia="zh-CN" w:bidi="ar"/>
              </w:rPr>
              <w:t>冷库地点情况综合评分</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10.0,9.0,8.0,7.0,6.0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p w14:paraId="2917A0D3">
            <w:pP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注：已有门店需提供门店营业执照、产权证书、租赁合同、协议等佐证材料和门店现场多角度照片；承诺中标后设立的需提供承诺函。</w:t>
            </w:r>
          </w:p>
        </w:tc>
        <w:tc>
          <w:tcPr>
            <w:tcW w:w="1758" w:type="dxa"/>
            <w:noWrap w:val="0"/>
            <w:vAlign w:val="center"/>
          </w:tcPr>
          <w:p w14:paraId="756D790A">
            <w:pPr>
              <w:jc w:val="center"/>
              <w:rPr>
                <w:rFonts w:hint="default"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10分</w:t>
            </w:r>
          </w:p>
        </w:tc>
      </w:tr>
      <w:tr w14:paraId="0B60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restart"/>
            <w:noWrap w:val="0"/>
            <w:vAlign w:val="center"/>
          </w:tcPr>
          <w:p w14:paraId="07D48F07">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1548" w:type="dxa"/>
            <w:vMerge w:val="restart"/>
            <w:noWrap w:val="0"/>
            <w:vAlign w:val="center"/>
          </w:tcPr>
          <w:p w14:paraId="4E09525C">
            <w:pPr>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服务方案</w:t>
            </w:r>
          </w:p>
        </w:tc>
        <w:tc>
          <w:tcPr>
            <w:tcW w:w="5472" w:type="dxa"/>
            <w:noWrap w:val="0"/>
            <w:vAlign w:val="center"/>
          </w:tcPr>
          <w:p w14:paraId="708BDCC9">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（1）投标人做好日常监管工作，确保储备肉品质，严把进库关，严格执行准调证明制度，实行专区储存、专人管理、专账记载、挂牌明示和实时视频监控系统</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3911C8EE">
            <w:pPr>
              <w:jc w:val="center"/>
              <w:rPr>
                <w:rFonts w:hint="eastAsia" w:ascii="宋体" w:hAnsi="宋体"/>
                <w:color w:val="auto"/>
                <w:kern w:val="0"/>
                <w:sz w:val="21"/>
                <w:szCs w:val="21"/>
                <w:highlight w:val="none"/>
                <w:lang w:val="en-US"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r w14:paraId="53ED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2E847579">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44EB87A6">
            <w:pPr>
              <w:jc w:val="center"/>
              <w:rPr>
                <w:rFonts w:hint="eastAsia" w:ascii="宋体" w:hAnsi="宋体"/>
                <w:color w:val="auto"/>
                <w:kern w:val="0"/>
                <w:szCs w:val="21"/>
                <w:highlight w:val="none"/>
                <w:lang w:eastAsia="zh-CN" w:bidi="ar"/>
              </w:rPr>
            </w:pPr>
          </w:p>
        </w:tc>
        <w:tc>
          <w:tcPr>
            <w:tcW w:w="5472" w:type="dxa"/>
            <w:noWrap w:val="0"/>
            <w:vAlign w:val="center"/>
          </w:tcPr>
          <w:p w14:paraId="617EF650">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（2）投标人必须积极配合采购人及相关行政职能部门落实对储备肉的食品安全的要求，必须无条件接受采购人及相关职能部门对储备肉品种、数量、质量、安全和轮换等方面监督管理检查</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1C973AF0">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r w14:paraId="5166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6EF277AF">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75F97CFB">
            <w:pPr>
              <w:jc w:val="center"/>
              <w:rPr>
                <w:rFonts w:hint="eastAsia" w:ascii="宋体" w:hAnsi="宋体"/>
                <w:color w:val="auto"/>
                <w:kern w:val="0"/>
                <w:szCs w:val="21"/>
                <w:highlight w:val="none"/>
                <w:lang w:eastAsia="zh-CN" w:bidi="ar"/>
              </w:rPr>
            </w:pPr>
          </w:p>
        </w:tc>
        <w:tc>
          <w:tcPr>
            <w:tcW w:w="5472" w:type="dxa"/>
            <w:noWrap w:val="0"/>
            <w:vAlign w:val="center"/>
          </w:tcPr>
          <w:p w14:paraId="2B0DDB3A">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shd w:val="clear"/>
                <w:lang w:val="en-US" w:eastAsia="zh-CN" w:bidi="ar"/>
              </w:rPr>
              <w:t>（3）投标人在落实服务过程中必须满足《浙江省省级猪肉储备管理办法》（浙粮〔2023〕27号）</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3.0,2.5,2,1.5,1</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shd w:val="clear"/>
                <w:lang w:val="en-US" w:eastAsia="zh-CN" w:bidi="ar"/>
              </w:rPr>
              <w:t>；</w:t>
            </w:r>
          </w:p>
        </w:tc>
        <w:tc>
          <w:tcPr>
            <w:tcW w:w="1758" w:type="dxa"/>
            <w:noWrap w:val="0"/>
            <w:vAlign w:val="center"/>
          </w:tcPr>
          <w:p w14:paraId="56FA3CCB">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3</w:t>
            </w:r>
            <w:r>
              <w:rPr>
                <w:rFonts w:hint="eastAsia" w:ascii="宋体" w:hAnsi="宋体"/>
                <w:color w:val="auto"/>
                <w:kern w:val="0"/>
                <w:szCs w:val="21"/>
                <w:highlight w:val="none"/>
                <w:lang w:bidi="ar"/>
              </w:rPr>
              <w:t>分</w:t>
            </w:r>
          </w:p>
        </w:tc>
      </w:tr>
      <w:tr w14:paraId="2F49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20" w:type="dxa"/>
            <w:vMerge w:val="continue"/>
            <w:noWrap w:val="0"/>
            <w:vAlign w:val="center"/>
          </w:tcPr>
          <w:p w14:paraId="2B57B225">
            <w:pPr>
              <w:jc w:val="center"/>
              <w:rPr>
                <w:rFonts w:hint="eastAsia" w:ascii="宋体" w:hAnsi="宋体"/>
                <w:color w:val="auto"/>
                <w:kern w:val="0"/>
                <w:szCs w:val="21"/>
                <w:highlight w:val="none"/>
                <w:lang w:eastAsia="zh-CN" w:bidi="ar"/>
              </w:rPr>
            </w:pPr>
          </w:p>
        </w:tc>
        <w:tc>
          <w:tcPr>
            <w:tcW w:w="1548" w:type="dxa"/>
            <w:vMerge w:val="continue"/>
            <w:noWrap w:val="0"/>
            <w:vAlign w:val="center"/>
          </w:tcPr>
          <w:p w14:paraId="15A2DC9B">
            <w:pPr>
              <w:jc w:val="center"/>
              <w:rPr>
                <w:rFonts w:hint="eastAsia" w:ascii="宋体" w:hAnsi="宋体"/>
                <w:color w:val="auto"/>
                <w:kern w:val="0"/>
                <w:szCs w:val="21"/>
                <w:highlight w:val="none"/>
                <w:lang w:eastAsia="zh-CN" w:bidi="ar"/>
              </w:rPr>
            </w:pPr>
          </w:p>
        </w:tc>
        <w:tc>
          <w:tcPr>
            <w:tcW w:w="5472" w:type="dxa"/>
            <w:noWrap w:val="0"/>
            <w:vAlign w:val="center"/>
          </w:tcPr>
          <w:p w14:paraId="3E5950E3">
            <w:pPr>
              <w:rPr>
                <w:rFonts w:hint="eastAsia" w:ascii="宋体" w:hAnsi="宋体"/>
                <w:color w:val="auto"/>
                <w:kern w:val="0"/>
                <w:szCs w:val="21"/>
                <w:highlight w:val="none"/>
                <w:lang w:val="en-US" w:eastAsia="zh-CN" w:bidi="ar"/>
              </w:rPr>
            </w:pPr>
            <w:r>
              <w:rPr>
                <w:rFonts w:hint="eastAsia" w:ascii="宋体" w:hAnsi="宋体"/>
                <w:color w:val="auto"/>
                <w:kern w:val="0"/>
                <w:szCs w:val="21"/>
                <w:highlight w:val="none"/>
                <w:lang w:val="en-US" w:eastAsia="zh-CN" w:bidi="ar"/>
              </w:rPr>
              <w:t>（4）投标人应提供冻猪肉相关的质量合格证明和加盖公章的货物清单（送货单），按月报送冻猪肉在库数量、品类、保质期等明细、出入库清单等材料（月度终止后7日内）</w:t>
            </w:r>
            <w:r>
              <w:rPr>
                <w:rFonts w:hint="eastAsia" w:ascii="宋体" w:hAnsi="宋体" w:cs="宋体"/>
                <w:color w:val="auto"/>
                <w:kern w:val="0"/>
                <w:szCs w:val="21"/>
                <w:highlight w:val="none"/>
                <w:lang w:eastAsia="zh-CN"/>
              </w:rPr>
              <w:t>（评分范围：</w:t>
            </w:r>
            <w:r>
              <w:rPr>
                <w:rFonts w:hint="eastAsia" w:ascii="宋体" w:hAnsi="宋体" w:cs="宋体"/>
                <w:color w:val="auto"/>
                <w:kern w:val="0"/>
                <w:szCs w:val="21"/>
                <w:highlight w:val="none"/>
                <w:lang w:val="en-US" w:eastAsia="zh-CN"/>
              </w:rPr>
              <w:t>5.0,4.0,3.0,2.0</w:t>
            </w:r>
            <w:r>
              <w:rPr>
                <w:rFonts w:hint="eastAsia" w:ascii="宋体" w:hAnsi="宋体" w:cs="宋体"/>
                <w:color w:val="auto"/>
                <w:kern w:val="0"/>
                <w:szCs w:val="21"/>
                <w:highlight w:val="none"/>
                <w:lang w:eastAsia="zh-CN"/>
              </w:rPr>
              <w:t>）</w:t>
            </w:r>
            <w:r>
              <w:rPr>
                <w:rFonts w:hint="eastAsia" w:ascii="宋体" w:hAnsi="宋体"/>
                <w:color w:val="auto"/>
                <w:kern w:val="0"/>
                <w:szCs w:val="21"/>
                <w:highlight w:val="none"/>
                <w:lang w:val="en-US" w:eastAsia="zh-CN" w:bidi="ar"/>
              </w:rPr>
              <w:t>。</w:t>
            </w:r>
          </w:p>
        </w:tc>
        <w:tc>
          <w:tcPr>
            <w:tcW w:w="1758" w:type="dxa"/>
            <w:noWrap w:val="0"/>
            <w:vAlign w:val="center"/>
          </w:tcPr>
          <w:p w14:paraId="1EF9E4D3">
            <w:pPr>
              <w:jc w:val="center"/>
              <w:rPr>
                <w:rFonts w:hint="eastAsia" w:ascii="宋体" w:hAnsi="宋体"/>
                <w:color w:val="auto"/>
                <w:kern w:val="0"/>
                <w:szCs w:val="21"/>
                <w:highlight w:val="none"/>
                <w:lang w:eastAsia="zh-CN" w:bidi="ar"/>
              </w:rPr>
            </w:pPr>
            <w:r>
              <w:rPr>
                <w:rFonts w:hint="eastAsia" w:ascii="宋体" w:hAnsi="宋体"/>
                <w:color w:val="auto"/>
                <w:kern w:val="0"/>
                <w:szCs w:val="21"/>
                <w:highlight w:val="none"/>
                <w:lang w:val="en-US" w:eastAsia="zh-CN" w:bidi="ar"/>
              </w:rPr>
              <w:t>5</w:t>
            </w:r>
            <w:r>
              <w:rPr>
                <w:rFonts w:hint="eastAsia" w:ascii="宋体" w:hAnsi="宋体"/>
                <w:color w:val="auto"/>
                <w:kern w:val="0"/>
                <w:szCs w:val="21"/>
                <w:highlight w:val="none"/>
                <w:lang w:bidi="ar"/>
              </w:rPr>
              <w:t>分</w:t>
            </w:r>
          </w:p>
        </w:tc>
      </w:tr>
    </w:tbl>
    <w:p w14:paraId="10D4F741">
      <w:pPr>
        <w:rPr>
          <w:rFonts w:hint="eastAsia"/>
          <w:color w:val="auto"/>
          <w:highlight w:val="none"/>
          <w:lang w:val="en-US" w:eastAsia="zh-CN"/>
        </w:rPr>
      </w:pPr>
      <w:r>
        <w:rPr>
          <w:rFonts w:hint="eastAsia"/>
          <w:b/>
          <w:bCs/>
          <w:color w:val="auto"/>
          <w:highlight w:val="none"/>
          <w:lang w:val="en-US" w:eastAsia="zh-CN"/>
        </w:rPr>
        <w:t>若缺项，则该项为0分。</w:t>
      </w:r>
      <w:r>
        <w:rPr>
          <w:rFonts w:hint="eastAsia"/>
          <w:color w:val="auto"/>
          <w:highlight w:val="none"/>
          <w:lang w:val="en-US" w:eastAsia="zh-CN"/>
        </w:rPr>
        <w:br w:type="page"/>
      </w:r>
    </w:p>
    <w:p w14:paraId="60739F89">
      <w:pPr>
        <w:pStyle w:val="2"/>
        <w:rPr>
          <w:color w:val="auto"/>
          <w:highlight w:val="none"/>
        </w:rPr>
      </w:pPr>
      <w:bookmarkStart w:id="30" w:name="_Toc10436"/>
      <w:r>
        <w:rPr>
          <w:rFonts w:hint="eastAsia"/>
          <w:color w:val="auto"/>
          <w:highlight w:val="none"/>
          <w:lang w:val="en-US" w:eastAsia="zh-CN"/>
        </w:rPr>
        <w:t xml:space="preserve">第五章 </w:t>
      </w:r>
      <w:r>
        <w:rPr>
          <w:color w:val="auto"/>
          <w:highlight w:val="none"/>
        </w:rPr>
        <w:t>合同</w:t>
      </w:r>
      <w:r>
        <w:rPr>
          <w:rFonts w:hint="eastAsia"/>
          <w:color w:val="auto"/>
          <w:highlight w:val="none"/>
        </w:rPr>
        <w:t>主要条款</w:t>
      </w:r>
      <w:bookmarkEnd w:id="30"/>
    </w:p>
    <w:p w14:paraId="7B76584D">
      <w:pPr>
        <w:bidi w:val="0"/>
        <w:jc w:val="center"/>
        <w:rPr>
          <w:color w:val="auto"/>
          <w:highlight w:val="none"/>
        </w:rPr>
      </w:pPr>
      <w:r>
        <w:rPr>
          <w:rFonts w:hint="eastAsia"/>
          <w:color w:val="auto"/>
          <w:highlight w:val="none"/>
        </w:rPr>
        <w:t>（样稿，以实际签订为准）</w:t>
      </w:r>
    </w:p>
    <w:p w14:paraId="1A62A57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ascii="黑体" w:hAnsi="黑体" w:eastAsia="黑体" w:cs="Arial"/>
          <w:color w:val="auto"/>
          <w:kern w:val="0"/>
          <w:sz w:val="32"/>
          <w:szCs w:val="32"/>
          <w:highlight w:val="none"/>
        </w:rPr>
      </w:pPr>
      <w:r>
        <w:rPr>
          <w:rFonts w:hint="eastAsia" w:ascii="黑体" w:hAnsi="黑体" w:eastAsia="黑体" w:cs="Arial"/>
          <w:color w:val="auto"/>
          <w:kern w:val="0"/>
          <w:sz w:val="32"/>
          <w:szCs w:val="32"/>
          <w:highlight w:val="none"/>
        </w:rPr>
        <w:t>一、通用必备条款部分</w:t>
      </w:r>
    </w:p>
    <w:p w14:paraId="4120622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合同编号：</w:t>
      </w:r>
    </w:p>
    <w:p w14:paraId="3F8D044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计划（预算）确认号：</w:t>
      </w:r>
    </w:p>
    <w:p w14:paraId="6905003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w:t>
      </w:r>
    </w:p>
    <w:p w14:paraId="7FEC03C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采购人（以下称甲方）：</w:t>
      </w:r>
    </w:p>
    <w:p w14:paraId="0B4F9CB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供应商（以下称乙方）：</w:t>
      </w:r>
    </w:p>
    <w:p w14:paraId="530DAD2F">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u w:val="single"/>
        </w:rPr>
        <w:t>嘉兴市千秋工程咨询有限公司</w:t>
      </w:r>
    </w:p>
    <w:p w14:paraId="6732F91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left"/>
        <w:textAlignment w:val="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采购方式</w:t>
      </w:r>
      <w:r>
        <w:rPr>
          <w:rFonts w:hint="eastAsia" w:ascii="宋体" w:hAnsi="宋体" w:eastAsia="宋体" w:cs="宋体"/>
          <w:color w:val="auto"/>
          <w:kern w:val="0"/>
          <w:szCs w:val="21"/>
          <w:highlight w:val="none"/>
          <w:u w:val="single"/>
        </w:rPr>
        <w:t xml:space="preserve">：竞争性磋商   </w:t>
      </w:r>
    </w:p>
    <w:p w14:paraId="152C2795">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根据</w:t>
      </w:r>
      <w:r>
        <w:rPr>
          <w:rFonts w:hint="eastAsia" w:ascii="宋体" w:hAnsi="宋体" w:eastAsia="宋体" w:cs="宋体"/>
          <w:color w:val="auto"/>
          <w:kern w:val="0"/>
          <w:szCs w:val="21"/>
          <w:highlight w:val="none"/>
        </w:rPr>
        <w:t>《中华人民共和国政府采购法》、《中华人民共和国民法典》等法律法规的规定，甲乙双方按照采购结果签订本合同。</w:t>
      </w:r>
    </w:p>
    <w:p w14:paraId="09B02C7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合同组成</w:t>
      </w:r>
    </w:p>
    <w:p w14:paraId="65D126A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本次政府采购活动的相关文件为本合同的组成部分，这些文件包括但不限于：</w:t>
      </w:r>
    </w:p>
    <w:p w14:paraId="47E1B7F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（1）本合同文本；</w:t>
      </w:r>
    </w:p>
    <w:p w14:paraId="797B3D7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（2）采购文件与采购响应文件；</w:t>
      </w:r>
    </w:p>
    <w:p w14:paraId="046DC80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（3）中标或成交通知书；</w:t>
      </w:r>
    </w:p>
    <w:p w14:paraId="61BC9D8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组成本合同的所有文件必须为书面形式。政府采购合同备案时，须提供以上（1）、（3）两项，合同如有变更的，须提供变更协议。</w:t>
      </w:r>
    </w:p>
    <w:p w14:paraId="6EE1538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合同标的与相关属性</w:t>
      </w:r>
    </w:p>
    <w:p w14:paraId="5077F945">
      <w:pPr>
        <w:keepNext w:val="0"/>
        <w:keepLines w:val="0"/>
        <w:pageBreakBefore w:val="0"/>
        <w:kinsoku/>
        <w:wordWrap/>
        <w:overflowPunct/>
        <w:topLinePunct w:val="0"/>
        <w:bidi w:val="0"/>
        <w:adjustRightInd w:val="0"/>
        <w:snapToGrid w:val="0"/>
        <w:spacing w:line="400" w:lineRule="exact"/>
        <w:ind w:left="0" w:leftChars="0" w:firstLine="420" w:firstLineChars="200"/>
        <w:textAlignment w:val="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本次采购的是</w:t>
      </w:r>
      <w:r>
        <w:rPr>
          <w:rFonts w:hint="eastAsia" w:ascii="宋体" w:hAnsi="宋体" w:eastAsia="宋体" w:cs="宋体"/>
          <w:color w:val="auto"/>
          <w:kern w:val="0"/>
          <w:szCs w:val="21"/>
          <w:highlight w:val="none"/>
          <w:u w:val="single"/>
          <w:lang w:val="en-US" w:eastAsia="zh-CN"/>
        </w:rPr>
        <w:t xml:space="preserve">                     </w:t>
      </w:r>
    </w:p>
    <w:p w14:paraId="0E9FB2C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乙方是否属于中小微企业：□是□否</w:t>
      </w:r>
    </w:p>
    <w:p w14:paraId="294EFB9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合同价款</w:t>
      </w:r>
    </w:p>
    <w:p w14:paraId="5188143C">
      <w:pPr>
        <w:tabs>
          <w:tab w:val="left" w:pos="2310"/>
        </w:tabs>
        <w:spacing w:line="420" w:lineRule="atLeast"/>
        <w:ind w:firstLine="420" w:firstLineChars="200"/>
        <w:rPr>
          <w:rFonts w:hint="eastAsia" w:ascii="宋体" w:hAnsi="宋体"/>
          <w:color w:val="auto"/>
          <w:kern w:val="0"/>
          <w:highlight w:val="none"/>
        </w:rPr>
      </w:pPr>
      <w:r>
        <w:rPr>
          <w:rFonts w:hint="eastAsia" w:ascii="宋体" w:hAnsi="宋体"/>
          <w:color w:val="auto"/>
          <w:kern w:val="0"/>
          <w:highlight w:val="none"/>
        </w:rPr>
        <w:t>本合同约定的</w:t>
      </w:r>
      <w:r>
        <w:rPr>
          <w:rFonts w:hint="eastAsia" w:ascii="宋体" w:hAnsi="宋体"/>
          <w:color w:val="auto"/>
          <w:kern w:val="0"/>
          <w:highlight w:val="none"/>
          <w:u w:val="single"/>
        </w:rPr>
        <w:t>2025年平湖市冻猪肉动态储备服务项目（第三次）</w:t>
      </w:r>
      <w:r>
        <w:rPr>
          <w:rFonts w:hint="eastAsia" w:ascii="宋体" w:hAnsi="宋体"/>
          <w:color w:val="auto"/>
          <w:kern w:val="0"/>
          <w:highlight w:val="none"/>
        </w:rPr>
        <w:t>自2025年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月</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日起至2026年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月</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日止。</w:t>
      </w:r>
    </w:p>
    <w:p w14:paraId="317468D2">
      <w:pPr>
        <w:tabs>
          <w:tab w:val="left" w:pos="2310"/>
        </w:tabs>
        <w:spacing w:line="420" w:lineRule="atLeast"/>
        <w:ind w:firstLine="420" w:firstLineChars="200"/>
        <w:rPr>
          <w:rFonts w:hint="eastAsia" w:ascii="宋体" w:hAnsi="宋体"/>
          <w:color w:val="auto"/>
          <w:kern w:val="0"/>
          <w:highlight w:val="none"/>
        </w:rPr>
      </w:pPr>
      <w:r>
        <w:rPr>
          <w:rFonts w:hint="eastAsia" w:ascii="宋体" w:hAnsi="宋体"/>
          <w:color w:val="auto"/>
          <w:kern w:val="0"/>
          <w:highlight w:val="none"/>
        </w:rPr>
        <w:t>本合同总价为</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元</w:t>
      </w:r>
      <w:r>
        <w:rPr>
          <w:rFonts w:hint="eastAsia" w:ascii="宋体" w:hAnsi="宋体"/>
          <w:color w:val="auto"/>
          <w:kern w:val="0"/>
          <w:highlight w:val="none"/>
          <w:lang w:eastAsia="zh-CN"/>
        </w:rPr>
        <w:t>；</w:t>
      </w:r>
      <w:r>
        <w:rPr>
          <w:rFonts w:hint="eastAsia" w:ascii="宋体" w:hAnsi="宋体"/>
          <w:color w:val="auto"/>
          <w:kern w:val="0"/>
          <w:highlight w:val="none"/>
        </w:rPr>
        <w:t>（</w:t>
      </w:r>
      <w:r>
        <w:rPr>
          <w:rFonts w:hint="eastAsia" w:ascii="宋体" w:hAnsi="宋体"/>
          <w:color w:val="auto"/>
          <w:kern w:val="0"/>
          <w:highlight w:val="none"/>
          <w:lang w:val="en-US" w:eastAsia="zh-CN"/>
        </w:rPr>
        <w:t>大</w:t>
      </w:r>
      <w:r>
        <w:rPr>
          <w:rFonts w:hint="eastAsia" w:ascii="宋体" w:hAnsi="宋体"/>
          <w:color w:val="auto"/>
          <w:kern w:val="0"/>
          <w:highlight w:val="none"/>
        </w:rPr>
        <w:t xml:space="preserve">写）：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olor w:val="auto"/>
          <w:kern w:val="0"/>
          <w:highlight w:val="none"/>
        </w:rPr>
        <w:t>元整</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，包括但不限于储备轮换包干费（含检验检疫、包装、运输、装卸、保险等）、冷库租赁费、日常监督管理费及税费等全部费用（如有特殊情况，可根据相应条款另外结算或双方协商处置）。</w:t>
      </w:r>
    </w:p>
    <w:p w14:paraId="7948726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本合同付款方式</w:t>
      </w:r>
      <w:r>
        <w:rPr>
          <w:rFonts w:hint="eastAsia" w:ascii="宋体" w:hAnsi="宋体" w:eastAsia="宋体" w:cs="宋体"/>
          <w:b/>
          <w:bCs/>
          <w:color w:val="auto"/>
          <w:kern w:val="0"/>
          <w:szCs w:val="21"/>
          <w:highlight w:val="none"/>
          <w:lang w:val="en-US" w:eastAsia="zh-CN"/>
        </w:rPr>
        <w:t>如下</w:t>
      </w:r>
      <w:r>
        <w:rPr>
          <w:rFonts w:hint="eastAsia" w:ascii="宋体" w:hAnsi="宋体" w:eastAsia="宋体" w:cs="宋体"/>
          <w:b/>
          <w:bCs/>
          <w:color w:val="auto"/>
          <w:kern w:val="0"/>
          <w:szCs w:val="21"/>
          <w:highlight w:val="none"/>
        </w:rPr>
        <w:t>：</w:t>
      </w:r>
    </w:p>
    <w:p w14:paraId="1634E7B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kern w:val="0"/>
          <w:szCs w:val="21"/>
          <w:highlight w:val="none"/>
          <w:lang w:eastAsia="zh-CN"/>
        </w:rPr>
        <w:t>中标后，乙方按招标要求完成供货和储备任务，甲方在验收完成并具备实施条件7个工作日内支付给乙方本合同总价的</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0%作为首付款,满一年后付清余款（如有特殊情况，可根据相应条款另外结算或双方协商处置）。</w:t>
      </w:r>
    </w:p>
    <w:p w14:paraId="7F22F45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履约保证金</w:t>
      </w:r>
    </w:p>
    <w:p w14:paraId="0C4AC2C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本项目不设置履约保证金。</w:t>
      </w:r>
    </w:p>
    <w:p w14:paraId="4D092E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合同的变更和终止</w:t>
      </w:r>
    </w:p>
    <w:p w14:paraId="3318D39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除《政府采购法》第49条、第50条第二款规定的情形外，本合同一经签订，甲乙双方不得擅自终止合同或对合同实质性条款进行变更。</w:t>
      </w:r>
      <w:r>
        <w:rPr>
          <w:rFonts w:hint="eastAsia" w:ascii="宋体" w:hAnsi="宋体" w:eastAsia="宋体" w:cs="宋体"/>
          <w:color w:val="auto"/>
          <w:kern w:val="0"/>
          <w:szCs w:val="21"/>
          <w:highlight w:val="none"/>
          <w:lang w:eastAsia="zh-CN"/>
        </w:rPr>
        <w:t>本合同到期后，根据实际履约情况，可续签协议，最多续签</w:t>
      </w:r>
      <w:r>
        <w:rPr>
          <w:rFonts w:hint="eastAsia" w:ascii="宋体" w:hAnsi="宋体" w:eastAsia="宋体" w:cs="宋体"/>
          <w:color w:val="auto"/>
          <w:kern w:val="0"/>
          <w:szCs w:val="21"/>
          <w:highlight w:val="none"/>
          <w:lang w:val="en-US" w:eastAsia="zh-CN"/>
        </w:rPr>
        <w:t>2次，每次1年。</w:t>
      </w:r>
      <w:r>
        <w:rPr>
          <w:rFonts w:hint="eastAsia" w:ascii="宋体" w:hAnsi="宋体" w:eastAsia="宋体" w:cs="宋体"/>
          <w:color w:val="auto"/>
          <w:kern w:val="0"/>
          <w:szCs w:val="21"/>
          <w:highlight w:val="none"/>
        </w:rPr>
        <w:t>确有特殊情况的，须经相关部门备案同意。</w:t>
      </w:r>
    </w:p>
    <w:p w14:paraId="7F0E5165">
      <w:pPr>
        <w:keepNext w:val="0"/>
        <w:keepLines w:val="0"/>
        <w:pageBreakBefore w:val="0"/>
        <w:kinsoku/>
        <w:wordWrap/>
        <w:overflowPunct/>
        <w:topLinePunct w:val="0"/>
        <w:bidi w:val="0"/>
        <w:spacing w:line="40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如乙方在合同履行过程中未实质性响应招标需求中“▲”的条款，甲方均有权终止合同。</w:t>
      </w:r>
    </w:p>
    <w:p w14:paraId="46760A4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合同的转让与分包</w:t>
      </w:r>
    </w:p>
    <w:p w14:paraId="525B626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乙方不得擅自部分或全部转让其应履行的合同义务。乙方分包的，应经过甲方书面同意。</w:t>
      </w:r>
    </w:p>
    <w:p w14:paraId="5E01D6C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第七条 争议的解决</w:t>
      </w:r>
    </w:p>
    <w:p w14:paraId="6BE6D3B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种方式解决争议：</w:t>
      </w:r>
    </w:p>
    <w:p w14:paraId="4BE5DE2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（1）向甲方所在地有管辖权的人民法院提起诉讼；</w:t>
      </w:r>
    </w:p>
    <w:p w14:paraId="0177E4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（2）向仲裁委员申请仲裁。</w:t>
      </w:r>
    </w:p>
    <w:p w14:paraId="7AB35525">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2" w:firstLineChars="200"/>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第八条 合同备案及其他</w:t>
      </w:r>
    </w:p>
    <w:p w14:paraId="7807E2A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hAnsi="宋体"/>
          <w:color w:val="auto"/>
          <w:sz w:val="22"/>
          <w:szCs w:val="22"/>
          <w:highlight w:val="none"/>
        </w:rPr>
      </w:pPr>
      <w:r>
        <w:rPr>
          <w:rFonts w:hint="eastAsia" w:ascii="宋体" w:hAnsi="宋体" w:eastAsia="宋体" w:cs="宋体"/>
          <w:color w:val="auto"/>
          <w:kern w:val="0"/>
          <w:szCs w:val="21"/>
          <w:highlight w:val="none"/>
        </w:rPr>
        <w:t>本合同一式</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份，甲乙双方各执</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份，1份报送政府采购</w:t>
      </w:r>
      <w:r>
        <w:rPr>
          <w:rFonts w:hint="eastAsia" w:ascii="宋体" w:cs="Arial"/>
          <w:color w:val="auto"/>
          <w:kern w:val="0"/>
          <w:szCs w:val="21"/>
          <w:highlight w:val="none"/>
        </w:rPr>
        <w:t>监督管理部门备案。</w:t>
      </w:r>
    </w:p>
    <w:p w14:paraId="21EB7B42">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hint="eastAsia" w:ascii="黑体" w:hAnsi="黑体" w:eastAsia="黑体" w:cs="Arial"/>
          <w:color w:val="auto"/>
          <w:kern w:val="0"/>
          <w:sz w:val="28"/>
          <w:szCs w:val="28"/>
          <w:highlight w:val="none"/>
        </w:rPr>
      </w:pPr>
    </w:p>
    <w:p w14:paraId="35C9A42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jc w:val="center"/>
        <w:textAlignment w:val="auto"/>
        <w:rPr>
          <w:rFonts w:ascii="黑体" w:hAnsi="黑体" w:eastAsia="黑体" w:cs="Arial"/>
          <w:color w:val="auto"/>
          <w:kern w:val="0"/>
          <w:sz w:val="28"/>
          <w:szCs w:val="28"/>
          <w:highlight w:val="none"/>
        </w:rPr>
      </w:pPr>
      <w:r>
        <w:rPr>
          <w:rFonts w:hint="eastAsia" w:ascii="黑体" w:hAnsi="黑体" w:eastAsia="黑体" w:cs="Arial"/>
          <w:color w:val="auto"/>
          <w:kern w:val="0"/>
          <w:sz w:val="28"/>
          <w:szCs w:val="28"/>
          <w:highlight w:val="none"/>
        </w:rPr>
        <w:t>二、特殊专用条款部分</w:t>
      </w:r>
    </w:p>
    <w:p w14:paraId="52381CF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default" w:ascii="宋体" w:cs="Arial" w:eastAsiaTheme="minorEastAsia"/>
          <w:color w:val="auto"/>
          <w:kern w:val="0"/>
          <w:szCs w:val="21"/>
          <w:highlight w:val="none"/>
          <w:lang w:val="en-US" w:eastAsia="zh-CN"/>
        </w:rPr>
      </w:pPr>
      <w:r>
        <w:rPr>
          <w:rFonts w:hint="eastAsia" w:ascii="宋体" w:hAnsi="宋体" w:eastAsia="宋体" w:cs="宋体"/>
          <w:color w:val="auto"/>
          <w:kern w:val="0"/>
          <w:szCs w:val="21"/>
          <w:highlight w:val="none"/>
        </w:rPr>
        <w:t>采购人</w:t>
      </w:r>
      <w:r>
        <w:rPr>
          <w:rFonts w:hint="eastAsia" w:ascii="宋体" w:cs="Arial"/>
          <w:color w:val="auto"/>
          <w:kern w:val="0"/>
          <w:szCs w:val="21"/>
          <w:highlight w:val="none"/>
        </w:rPr>
        <w:t>(甲方)：</w:t>
      </w:r>
      <w:r>
        <w:rPr>
          <w:rFonts w:hint="eastAsia" w:ascii="宋体" w:cs="Arial"/>
          <w:color w:val="auto"/>
          <w:kern w:val="0"/>
          <w:szCs w:val="21"/>
          <w:highlight w:val="none"/>
          <w:u w:val="single"/>
          <w:lang w:val="en-US" w:eastAsia="zh-CN"/>
        </w:rPr>
        <w:t xml:space="preserve">                     </w:t>
      </w:r>
    </w:p>
    <w:p w14:paraId="3D4B38C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hAnsi="宋体" w:eastAsia="宋体" w:cs="宋体"/>
          <w:color w:val="auto"/>
          <w:kern w:val="0"/>
          <w:szCs w:val="21"/>
          <w:highlight w:val="none"/>
        </w:rPr>
        <w:t>供应商</w:t>
      </w:r>
      <w:r>
        <w:rPr>
          <w:rFonts w:hint="eastAsia" w:ascii="宋体" w:cs="Arial"/>
          <w:color w:val="auto"/>
          <w:kern w:val="0"/>
          <w:szCs w:val="21"/>
          <w:highlight w:val="none"/>
        </w:rPr>
        <w:t>(乙方)：</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rPr>
        <w:t xml:space="preserve">                        </w:t>
      </w:r>
    </w:p>
    <w:p w14:paraId="0B030F1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依照《中华人民共和国</w:t>
      </w:r>
      <w:r>
        <w:rPr>
          <w:rFonts w:hint="eastAsia" w:ascii="宋体" w:cs="Arial"/>
          <w:color w:val="auto"/>
          <w:kern w:val="0"/>
          <w:szCs w:val="21"/>
          <w:highlight w:val="none"/>
          <w:lang w:eastAsia="zh-CN"/>
        </w:rPr>
        <w:t>民法典</w:t>
      </w:r>
      <w:r>
        <w:rPr>
          <w:rFonts w:hint="eastAsia" w:ascii="宋体" w:cs="Arial"/>
          <w:color w:val="auto"/>
          <w:kern w:val="0"/>
          <w:szCs w:val="21"/>
          <w:highlight w:val="none"/>
        </w:rPr>
        <w:t xml:space="preserve">》及其他相关法律、法规，根据项目委托批准文件，就甲方委托乙方承担 </w:t>
      </w:r>
      <w:r>
        <w:rPr>
          <w:rFonts w:hint="eastAsia" w:ascii="宋体" w:cs="Arial"/>
          <w:color w:val="auto"/>
          <w:kern w:val="0"/>
          <w:szCs w:val="21"/>
          <w:highlight w:val="none"/>
          <w:u w:val="single"/>
          <w:lang w:val="en-US" w:eastAsia="zh-CN"/>
        </w:rPr>
        <w:t xml:space="preserve">                     </w:t>
      </w:r>
      <w:r>
        <w:rPr>
          <w:rFonts w:hint="eastAsia" w:ascii="宋体" w:cs="Arial"/>
          <w:color w:val="auto"/>
          <w:kern w:val="0"/>
          <w:szCs w:val="21"/>
          <w:highlight w:val="none"/>
        </w:rPr>
        <w:t>，双方协商一致，签订本合同。</w:t>
      </w:r>
    </w:p>
    <w:p w14:paraId="3AF1AD1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第1条 项目基本情况</w:t>
      </w:r>
    </w:p>
    <w:p w14:paraId="24513AB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eastAsia="宋体" w:cs="Arial"/>
          <w:color w:val="auto"/>
          <w:kern w:val="0"/>
          <w:szCs w:val="21"/>
          <w:highlight w:val="none"/>
          <w:u w:val="single"/>
          <w:lang w:eastAsia="zh-CN"/>
        </w:rPr>
      </w:pPr>
      <w:r>
        <w:rPr>
          <w:rFonts w:hint="eastAsia" w:ascii="宋体" w:cs="Arial"/>
          <w:color w:val="auto"/>
          <w:kern w:val="0"/>
          <w:szCs w:val="21"/>
          <w:highlight w:val="none"/>
        </w:rPr>
        <w:t>1.1项目名称：</w:t>
      </w:r>
      <w:r>
        <w:rPr>
          <w:rFonts w:hint="eastAsia" w:ascii="宋体" w:cs="Arial"/>
          <w:color w:val="auto"/>
          <w:kern w:val="0"/>
          <w:szCs w:val="21"/>
          <w:highlight w:val="none"/>
          <w:u w:val="single"/>
          <w:lang w:val="en-US" w:eastAsia="zh-CN"/>
        </w:rPr>
        <w:t xml:space="preserve">                     </w:t>
      </w:r>
    </w:p>
    <w:p w14:paraId="5BF2C6A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1.2</w:t>
      </w:r>
      <w:r>
        <w:rPr>
          <w:rFonts w:hint="eastAsia" w:ascii="宋体"/>
          <w:color w:val="auto"/>
          <w:szCs w:val="21"/>
          <w:highlight w:val="none"/>
        </w:rPr>
        <w:t>工作内容和要求：</w:t>
      </w:r>
    </w:p>
    <w:p w14:paraId="357AD8B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一</w:t>
      </w:r>
      <w:r>
        <w:rPr>
          <w:rFonts w:hint="eastAsia" w:ascii="宋体" w:cs="Arial"/>
          <w:color w:val="auto"/>
          <w:kern w:val="0"/>
          <w:szCs w:val="21"/>
          <w:highlight w:val="none"/>
        </w:rPr>
        <w:t>、储备肉的要求</w:t>
      </w:r>
    </w:p>
    <w:p w14:paraId="3E7243FD">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（一）储备肉数量为：270吨（根据储备任务可做相应调整）；</w:t>
      </w:r>
    </w:p>
    <w:p w14:paraId="0785748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（二）储备肉品种应为：四号肉、中方、后腿或六分体，必须符合《中华人民共和国产品质量法》、《中华人民共和国食品安全法》等相关法律法规规定；</w:t>
      </w:r>
    </w:p>
    <w:p w14:paraId="65902CF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（三）储备肉储备地点为：</w:t>
      </w:r>
    </w:p>
    <w:p w14:paraId="6AAFA82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（四）储备肉质量要求</w:t>
      </w:r>
    </w:p>
    <w:p w14:paraId="4CA1D60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1.储备肉入库生产日期须在6个月内，剩余保质期须不少于6个月；</w:t>
      </w:r>
    </w:p>
    <w:p w14:paraId="6F7A00D0">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储备肉必须是国家有关标准的带皮、去皮去膘猪肉、预冷猪肉及其分割产品，质量必须符合《鲜、冻片猪肉》（GB／T9959.1-2021）、《分割鲜、冻猪瘦肉》（GB9959.2-2008）等国家有关卫生质量安全标准（遇国家修改标准，自新标准施行之日起采用新标准）。所提供的储备肉应为无变质无异味、无腐败、无杂质，无过保质期，非病死畜制品。兽类肌肉有光泽，红色或暗红色，脂肪白色。</w:t>
      </w:r>
    </w:p>
    <w:p w14:paraId="3AA8CD3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（五）储备肉包装要求</w:t>
      </w:r>
    </w:p>
    <w:p w14:paraId="040D099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1.外包装为瓦楞纸箱，瓦楞纸箱按国家标准GB6543规定执行；内包装为塑料薄膜，塑料薄膜按国家标准GB4456规定执行；</w:t>
      </w:r>
    </w:p>
    <w:p w14:paraId="2849A56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 xml:space="preserve">2.包装规格统一，完好无破损。外包装瓦楞纸箱外两侧应清晰标注以下内容：产品名称、级别、净含量（千克）、加工企业依法登记注册的名称和地址、产品执行的标准号、生产日期、保质期，并注明贮存条件。                                               </w:t>
      </w:r>
    </w:p>
    <w:p w14:paraId="0AC71B0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二</w:t>
      </w:r>
      <w:r>
        <w:rPr>
          <w:rFonts w:hint="eastAsia" w:ascii="宋体" w:cs="Arial"/>
          <w:color w:val="auto"/>
          <w:kern w:val="0"/>
          <w:szCs w:val="21"/>
          <w:highlight w:val="none"/>
        </w:rPr>
        <w:t>、合同履行过程中的服务要求</w:t>
      </w:r>
    </w:p>
    <w:p w14:paraId="5836E3A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（一）乙方自行准备储备肉用于供应甲方储备，供应商确定后在本合同有效期内不得无故变更，乙方要严格遵守约定的采购标准，并做好储备肉的验收工作；</w:t>
      </w:r>
    </w:p>
    <w:p w14:paraId="5FBBF2E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乙方必须按照要求建立健全储备肉管理制度，严格遵守《浙江省省级猪肉储备管理办法》《浙江省省级重要商品应急储备管理办法》。做好日常监管工作，确保储备肉品质，严把进库关，严格执行准调证明制度，实行专区储存、专人管理、专账记载、挂牌明示和实时视频监控系统；</w:t>
      </w:r>
    </w:p>
    <w:p w14:paraId="73C95FB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动态轮换：由乙方按规定在保质期内自行组织轮换，储备轮出后应当及时、保质、等量轮入，轮换前须向甲方报备（提前1天告知甲方轮换品类、数量、补库时间等信息）。轮换期间最低库存量不得低于储备任务的70%，轮换时间不得超过30个自然日。因不可抗力（如自然灾害等）导致无法按时完成的，乙方应立即书面通知甲方，双方协商确定处置方案。</w:t>
      </w:r>
    </w:p>
    <w:p w14:paraId="05AF720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应急投放：乙方根据甲方的应急投放指令，及时、高效地完成投放工作，并在应急投放后的45个工作日内保质、等量地入储被调用的储备肉，确保储备的储备肉数量不变。因应急投放指令出库而产生的有关费用，经核准后，由甲方予以补助。有关费用包括出入库、运输等费用，根据动用情况据实结算。出入库每次各补贴50元／吨，运输补贴100元／吨；</w:t>
      </w:r>
    </w:p>
    <w:p w14:paraId="6DCAD5B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紧急调用：如遇疫情、灾害、战争等情况，需紧急调用储备储备肉，乙方根据甲方的紧急调用指令，及时、高效地将储备肉配送至指定位置，并在应紧急调用后的45个工作日内保质、等量地入储被调用的储备肉，确保储备的储备肉数量不变。因紧急调用指令出库而产生的有关费用，经核准后，由甲方予以补助。有关费用包括储备肉采购、出入库、运输等费用，根据动用情况据实结算。储备肉采购价参考浙江省肉类协会最新一期</w:t>
      </w:r>
      <w:r>
        <w:rPr>
          <w:rFonts w:hint="eastAsia" w:ascii="宋体" w:cs="Arial"/>
          <w:color w:val="auto"/>
          <w:kern w:val="0"/>
          <w:szCs w:val="21"/>
          <w:highlight w:val="none"/>
          <w:lang w:val="en-US" w:eastAsia="zh-CN"/>
        </w:rPr>
        <w:t>进口</w:t>
      </w:r>
      <w:r>
        <w:rPr>
          <w:rFonts w:hint="eastAsia" w:ascii="宋体" w:cs="Arial"/>
          <w:color w:val="auto"/>
          <w:kern w:val="0"/>
          <w:szCs w:val="21"/>
          <w:highlight w:val="none"/>
        </w:rPr>
        <w:t>冻猪肉（与储备肉相同品类）的公示价格，出入库每次各补贴50元／吨，运输补贴100元／吨；</w:t>
      </w:r>
    </w:p>
    <w:p w14:paraId="3F16C82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（六）储备肉的包装和存放应当符合相应的标准，乙方应当保证冻库库温稳定，库内空气温度应保持在-18℃以下，昼夜库内空气温度波动幅度不超过1℃；</w:t>
      </w:r>
    </w:p>
    <w:p w14:paraId="65C9AB8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（七）乙方必须积极配合甲方及相关行政职能部门落实对储备肉的食品安全的要求，必须无条件接受甲方及相关职能部门对储备肉品种、数量、质量、安全和轮换等方面监督管理检查；</w:t>
      </w:r>
    </w:p>
    <w:p w14:paraId="60B090F7">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八）乙方违反本管理办法规定义务的，甲方有权责令其限期改正；存在下列任一情形的，甲方有权依据本合同约定，采取扣减储备管理补贴、单方解除承储协议等救济措施，且该等救济措施之实施不构成甲方违约行为：</w:t>
      </w:r>
    </w:p>
    <w:p w14:paraId="0F3DE82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因法律法规变动、国家政策调整、上级主管部门规范性文件要求、不可抗力或其他非因乙方故意或重大过失导致的客观原因，导致本合同无法继续履行或需调整储备管理相关事项的（包括提前终止本合同），甲方提前1个月告知乙方，双方协商确定变更或终止事宜；若提前终止的，甲方应根据合同实际履行天数与约定总期限的比例折算结算剩余合同价款，甲方不承担因此产生的违约金或赔偿责任。</w:t>
      </w:r>
    </w:p>
    <w:p w14:paraId="2A01FEA2">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2.承储主体经营资质发生重大变更，或乙方连续出现财务亏损导致生产经营异常，实质上丧失储备任务履行能力的；</w:t>
      </w:r>
    </w:p>
    <w:p w14:paraId="2CDE20FA">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3.乙方拒不执行或未有效执行储备应急动用指令，导致应急处置工作迟延并产生严重社会影响的；</w:t>
      </w:r>
    </w:p>
    <w:p w14:paraId="09F26CE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4.乙方在承储期间存在虚报瞒报、账实不符等欺诈行为，或拒不接受监管核查的；</w:t>
      </w:r>
    </w:p>
    <w:p w14:paraId="47C48D55">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5.实际存储品种、数量、质量标准及仓储地点与承储协议约定要件存在实质性偏差的；</w:t>
      </w:r>
    </w:p>
    <w:p w14:paraId="489B40A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6.乙方未经轮换报备（提前1天告知甲方轮换品类、数量、补库时间等信息），擅自轮换出售或动用市级猪肉储备超过规定的最低库存数量要求及规定补库时间的；</w:t>
      </w:r>
    </w:p>
    <w:p w14:paraId="3D72326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7.乙方擅自将市级储备肉对外担保或用于债务清偿等处分行为的；</w:t>
      </w:r>
    </w:p>
    <w:p w14:paraId="7AE08B1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8.乙方违反本管理办法及承储协议约定的其他作为或不作为义务的。</w:t>
      </w:r>
    </w:p>
    <w:p w14:paraId="6BDDCF5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（九）对于乙方涉嫌违反国家法律法规的行为，甲方有权将违法线索移送有权机关依法处理；如相关行为涉嫌构成犯罪的，甲方应当依法移送司法机关追究刑事责任。</w:t>
      </w:r>
    </w:p>
    <w:p w14:paraId="791B708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（十）乙方在落实服务过程中必须满足《浙江省省级猪肉储备管理办法》（浙粮〔2023〕27号。）</w:t>
      </w:r>
    </w:p>
    <w:p w14:paraId="3FF020D6">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三</w:t>
      </w:r>
      <w:r>
        <w:rPr>
          <w:rFonts w:hint="eastAsia" w:ascii="宋体" w:cs="Arial"/>
          <w:color w:val="auto"/>
          <w:kern w:val="0"/>
          <w:szCs w:val="21"/>
          <w:highlight w:val="none"/>
        </w:rPr>
        <w:t>、送货及验收方式</w:t>
      </w:r>
    </w:p>
    <w:p w14:paraId="682CB167">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（一）储备肉到位</w:t>
      </w:r>
    </w:p>
    <w:p w14:paraId="363C26A9">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1.乙方对入库的储备肉，应按国家有关标准进行运输，不得出现以次充好，缺斤短两、偷梁换柱等情况。储备肉送货至储备点时，应提供该批次产品相关的质量合格证明和加盖公章的货物清单（送货单），相关费用等由乙方自行承担。</w:t>
      </w:r>
    </w:p>
    <w:p w14:paraId="3BD6E2F3">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2.整个运输过程应保证科学合理，运输必须采用符合卫生要求的外包装和运载工具，并且要保持清洁和定期消毒，车厢内无不良气味、异味。</w:t>
      </w:r>
    </w:p>
    <w:p w14:paraId="4D55E01C">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3.储备肉首批入库（含后期动态轮换），乙方应提前1天告知甲方入库储备肉品类、数量、产地、保质期等信息，并将入库单、出库单、相关质量合格证明等材料整理成册备查。乙方除不可抗力（如自然灾害等），不得因其他任何理由延迟。</w:t>
      </w:r>
    </w:p>
    <w:p w14:paraId="1DC9772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甲方如遇特殊情况需推迟送货，应提前通知乙方。乙方不能按时、按质、按量供应储备肉，导致储备肉储备不足、质量不符或影响应急投放、紧急调用的，甲方有权追究乙方的责任，由此造成的经济损失和责任均由乙方承担，并承担违约责任。</w:t>
      </w:r>
    </w:p>
    <w:p w14:paraId="65CF109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（二）验收方式</w:t>
      </w:r>
    </w:p>
    <w:p w14:paraId="168FE2DF">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储备肉到达指定地点后，由乙方按相关约定标准进行质量验收。如验收不合格的，不得入储，并重新提供合格的货物入储。由此造成的经济损失和责任均由乙方承担，造成入储时间延迟的，乙方还应承担违约责任。甲方有权不定期对储备肉进行抽检或突击检查。</w:t>
      </w:r>
    </w:p>
    <w:p w14:paraId="0E89E39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lang w:val="en-US" w:eastAsia="zh-CN"/>
        </w:rPr>
        <w:t>四</w:t>
      </w:r>
      <w:r>
        <w:rPr>
          <w:rFonts w:hint="eastAsia" w:ascii="宋体" w:cs="Arial"/>
          <w:color w:val="auto"/>
          <w:kern w:val="0"/>
          <w:szCs w:val="21"/>
          <w:highlight w:val="none"/>
        </w:rPr>
        <w:t>、违约责任</w:t>
      </w:r>
    </w:p>
    <w:p w14:paraId="67D47E51">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一）如果乙方未能按合同规定的储备数量、质量和时间完成储备入库任务的，甲方有权选择是否延长交付期。甲方同意延长交付期的，延期交付的时间由双方另行确定，但甲方有权从未付的合同款中扣除延期交付违约金，延期交付违约金为每迟交1天10000元（壹万元）。</w:t>
      </w:r>
    </w:p>
    <w:p w14:paraId="598FC438">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二）若发生上述情形，双方另行约定延期交付日期后，乙方仍未能按时交付，从而影响甲方储备任务完成的，视为乙方根本违约，甲方有权单方解除本合同，乙方应向甲方偿付合同款的20％的违约金。违约金不足以补偿损失的，甲方有权要求乙方赔偿损失。</w:t>
      </w:r>
    </w:p>
    <w:p w14:paraId="1BB6B36A">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三）乙方必须无条件接受甲方及相关职能部门对储备数量、食品安全方面的日常监督管理、检查，乙方所储备的储备肉不符合甲方储备数量要求或国家有关卫生质量安全标准，且不及时整改到位，甲方有权解除合同，乙方应向甲方偿付合同款的20％的违约金。违约金不足以补偿损失的，甲方有权要求乙方赔偿损失。</w:t>
      </w:r>
    </w:p>
    <w:p w14:paraId="5F8CF904">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（四）如因乙方原因造成食物中毒等事件，经相关职能部门认定为乙方责任后，甲方有权要求解除合同，乙方应向甲方偿付合同款的20％的违约金。违约金不足以补偿损失的，甲方有权要求乙方赔偿损失。</w:t>
      </w:r>
    </w:p>
    <w:p w14:paraId="542A7AAE">
      <w:pPr>
        <w:keepNext w:val="0"/>
        <w:keepLines w:val="0"/>
        <w:pageBreakBefore w:val="0"/>
        <w:kinsoku/>
        <w:wordWrap/>
        <w:overflowPunct/>
        <w:topLinePunct w:val="0"/>
        <w:bidi w:val="0"/>
        <w:spacing w:line="400" w:lineRule="exact"/>
        <w:ind w:left="0" w:leftChars="0" w:firstLine="420" w:firstLineChars="200"/>
        <w:textAlignment w:val="auto"/>
        <w:rPr>
          <w:rFonts w:hint="eastAsia" w:ascii="宋体" w:cs="Arial"/>
          <w:color w:val="auto"/>
          <w:kern w:val="0"/>
          <w:szCs w:val="21"/>
          <w:highlight w:val="none"/>
        </w:rPr>
      </w:pPr>
      <w:r>
        <w:rPr>
          <w:rFonts w:hint="eastAsia" w:ascii="宋体" w:cs="Arial"/>
          <w:color w:val="auto"/>
          <w:kern w:val="0"/>
          <w:szCs w:val="21"/>
          <w:highlight w:val="none"/>
        </w:rPr>
        <w:t>（五）乙方不得给予甲方人员或其他相关人员任何形式不正当利益，在合同履行过程中，发现乙方有行贿等违法行为，乙方应当按照情节轻重明确承担责任，直至甲方提出解除合同，并追究法律责任。</w:t>
      </w:r>
    </w:p>
    <w:p w14:paraId="226138C8">
      <w:pPr>
        <w:keepNext w:val="0"/>
        <w:keepLines w:val="0"/>
        <w:pageBreakBefore w:val="0"/>
        <w:kinsoku/>
        <w:wordWrap/>
        <w:overflowPunct/>
        <w:topLinePunct w:val="0"/>
        <w:bidi w:val="0"/>
        <w:spacing w:line="400" w:lineRule="exact"/>
        <w:ind w:left="0" w:leftChars="0" w:firstLine="420" w:firstLineChars="200"/>
        <w:textAlignment w:val="auto"/>
        <w:rPr>
          <w:color w:val="auto"/>
          <w:szCs w:val="21"/>
          <w:highlight w:val="none"/>
        </w:rPr>
      </w:pPr>
      <w:r>
        <w:rPr>
          <w:rFonts w:hint="eastAsia" w:ascii="宋体" w:cs="Arial"/>
          <w:color w:val="auto"/>
          <w:kern w:val="0"/>
          <w:szCs w:val="21"/>
          <w:highlight w:val="none"/>
        </w:rPr>
        <w:t>（六）合同履行期间，乙方不得拿储备储备肉对外进行质押、担保或者清偿债务，否则视为乙方违约。乙方违约，甲方有权要求解除合同并追回已付费用，乙方应向甲方偿付合同款的20％的的违约金。违约金不足以补偿损失的，甲方有权要求乙方赔偿损失。</w:t>
      </w:r>
    </w:p>
    <w:p w14:paraId="2AFF3352">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lang w:val="en-US" w:eastAsia="zh-CN"/>
        </w:rPr>
        <w:t>2</w:t>
      </w:r>
      <w:r>
        <w:rPr>
          <w:rFonts w:hint="eastAsia" w:ascii="宋体" w:cs="Arial"/>
          <w:color w:val="auto"/>
          <w:kern w:val="0"/>
          <w:szCs w:val="21"/>
          <w:highlight w:val="none"/>
        </w:rPr>
        <w:t>条</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未尽事宜，由双方协商签订补充协议。补充协议与本合同具有同等法律效力。</w:t>
      </w:r>
    </w:p>
    <w:p w14:paraId="62330921">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jc w:val="left"/>
        <w:textAlignment w:val="auto"/>
        <w:rPr>
          <w:rFonts w:ascii="宋体" w:cs="Arial"/>
          <w:color w:val="auto"/>
          <w:kern w:val="0"/>
          <w:szCs w:val="21"/>
          <w:highlight w:val="none"/>
        </w:rPr>
      </w:pPr>
      <w:r>
        <w:rPr>
          <w:rFonts w:hint="eastAsia" w:ascii="宋体" w:cs="Arial"/>
          <w:color w:val="auto"/>
          <w:kern w:val="0"/>
          <w:szCs w:val="21"/>
          <w:highlight w:val="none"/>
        </w:rPr>
        <w:t>第</w:t>
      </w:r>
      <w:r>
        <w:rPr>
          <w:rFonts w:hint="eastAsia" w:ascii="宋体" w:cs="Arial"/>
          <w:color w:val="auto"/>
          <w:kern w:val="0"/>
          <w:szCs w:val="21"/>
          <w:highlight w:val="none"/>
          <w:lang w:val="en-US" w:eastAsia="zh-CN"/>
        </w:rPr>
        <w:t>3</w:t>
      </w:r>
      <w:r>
        <w:rPr>
          <w:rFonts w:hint="eastAsia" w:ascii="宋体" w:cs="Arial"/>
          <w:color w:val="auto"/>
          <w:kern w:val="0"/>
          <w:szCs w:val="21"/>
          <w:highlight w:val="none"/>
        </w:rPr>
        <w:t>条</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本合同自双方签订之日起生效。</w:t>
      </w:r>
    </w:p>
    <w:p w14:paraId="69FF2AF4">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cs="Arial"/>
          <w:color w:val="auto"/>
          <w:kern w:val="0"/>
          <w:szCs w:val="21"/>
          <w:highlight w:val="none"/>
        </w:rPr>
      </w:pPr>
    </w:p>
    <w:p w14:paraId="3F17572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hint="eastAsia" w:ascii="宋体" w:cs="Arial"/>
          <w:color w:val="auto"/>
          <w:kern w:val="0"/>
          <w:szCs w:val="21"/>
          <w:highlight w:val="none"/>
        </w:rPr>
      </w:pPr>
    </w:p>
    <w:p w14:paraId="60ADEAB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hAnsi="宋体" w:eastAsia="宋体" w:cs="宋体"/>
          <w:color w:val="auto"/>
          <w:kern w:val="0"/>
          <w:szCs w:val="21"/>
          <w:highlight w:val="none"/>
        </w:rPr>
        <w:t>采购人</w:t>
      </w:r>
      <w:r>
        <w:rPr>
          <w:rFonts w:hint="eastAsia" w:ascii="宋体" w:cs="Arial"/>
          <w:color w:val="auto"/>
          <w:kern w:val="0"/>
          <w:szCs w:val="21"/>
          <w:highlight w:val="none"/>
        </w:rPr>
        <w:t xml:space="preserve">（甲方）名称：（盖章）    </w:t>
      </w:r>
      <w:r>
        <w:rPr>
          <w:rFonts w:hint="eastAsia" w:ascii="宋体" w:cs="Arial"/>
          <w:color w:val="auto"/>
          <w:kern w:val="0"/>
          <w:szCs w:val="21"/>
          <w:highlight w:val="none"/>
          <w:lang w:val="en-US" w:eastAsia="zh-CN"/>
        </w:rPr>
        <w:t xml:space="preserve">    </w:t>
      </w:r>
      <w:r>
        <w:rPr>
          <w:rFonts w:hint="eastAsia" w:ascii="宋体" w:cs="Arial"/>
          <w:color w:val="auto"/>
          <w:kern w:val="0"/>
          <w:szCs w:val="21"/>
          <w:highlight w:val="none"/>
        </w:rPr>
        <w:t xml:space="preserve">       </w:t>
      </w:r>
      <w:r>
        <w:rPr>
          <w:rFonts w:hint="eastAsia" w:ascii="宋体" w:hAnsi="宋体" w:eastAsia="宋体" w:cs="宋体"/>
          <w:color w:val="auto"/>
          <w:kern w:val="0"/>
          <w:szCs w:val="21"/>
          <w:highlight w:val="none"/>
        </w:rPr>
        <w:t>供应商</w:t>
      </w:r>
      <w:r>
        <w:rPr>
          <w:rFonts w:hint="eastAsia" w:ascii="宋体" w:cs="Arial"/>
          <w:color w:val="auto"/>
          <w:kern w:val="0"/>
          <w:szCs w:val="21"/>
          <w:highlight w:val="none"/>
        </w:rPr>
        <w:t>（乙方）名称：（盖章）</w:t>
      </w:r>
    </w:p>
    <w:p w14:paraId="68D3EA33">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法定代表人：       　　　    　            法定代表人：</w:t>
      </w:r>
    </w:p>
    <w:p w14:paraId="671E5A5B">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委托代理人：       　　　    　            委托代理人：</w:t>
      </w:r>
    </w:p>
    <w:p w14:paraId="768980E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住　　所：        　　　　　               住　　所：　　　　　　　　               </w:t>
      </w:r>
    </w:p>
    <w:p w14:paraId="5EC41C5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邮政编码：　　　　　　　　               　邮政编码： </w:t>
      </w:r>
    </w:p>
    <w:p w14:paraId="2D55A989">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电　　话：　　　　　　　　　               电　　话：  </w:t>
      </w:r>
    </w:p>
    <w:p w14:paraId="66E38CAD">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传　　真：　　　　　　　　　               传　　真：  </w:t>
      </w:r>
    </w:p>
    <w:p w14:paraId="093E5ECA">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开户银行：　　　　　　　　　               开户银行：  </w:t>
      </w:r>
    </w:p>
    <w:p w14:paraId="3101618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银行帐号：　　　　　　　　　               银行帐号：  </w:t>
      </w:r>
    </w:p>
    <w:p w14:paraId="4ED9393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line="400" w:lineRule="exact"/>
        <w:ind w:left="0" w:leftChars="0" w:firstLine="420" w:firstLineChars="200"/>
        <w:jc w:val="left"/>
        <w:textAlignment w:val="auto"/>
        <w:rPr>
          <w:rFonts w:ascii="宋体" w:cs="Arial"/>
          <w:color w:val="auto"/>
          <w:kern w:val="0"/>
          <w:szCs w:val="21"/>
          <w:highlight w:val="none"/>
        </w:rPr>
      </w:pPr>
      <w:r>
        <w:rPr>
          <w:rFonts w:hint="eastAsia" w:ascii="宋体" w:cs="Arial"/>
          <w:color w:val="auto"/>
          <w:kern w:val="0"/>
          <w:szCs w:val="21"/>
          <w:highlight w:val="none"/>
        </w:rPr>
        <w:t xml:space="preserve">  年  月  日　　                             年   月  日</w:t>
      </w:r>
    </w:p>
    <w:p w14:paraId="1B96C1A4">
      <w:pPr>
        <w:pStyle w:val="10"/>
        <w:keepNext w:val="0"/>
        <w:keepLines w:val="0"/>
        <w:pageBreakBefore w:val="0"/>
        <w:kinsoku/>
        <w:wordWrap/>
        <w:overflowPunct/>
        <w:topLinePunct w:val="0"/>
        <w:bidi w:val="0"/>
        <w:snapToGrid w:val="0"/>
        <w:spacing w:line="400" w:lineRule="exact"/>
        <w:ind w:left="0" w:leftChars="0"/>
        <w:textAlignment w:val="auto"/>
        <w:rPr>
          <w:rFonts w:hint="eastAsia" w:cs="Arial"/>
          <w:color w:val="auto"/>
          <w:sz w:val="21"/>
          <w:szCs w:val="21"/>
          <w:highlight w:val="none"/>
        </w:rPr>
      </w:pPr>
    </w:p>
    <w:p w14:paraId="2705A1E4">
      <w:pPr>
        <w:snapToGrid w:val="0"/>
        <w:spacing w:line="360" w:lineRule="auto"/>
        <w:jc w:val="center"/>
        <w:rPr>
          <w:rFonts w:ascii="宋体" w:hAnsi="宋体" w:eastAsia="宋体"/>
          <w:color w:val="auto"/>
          <w:szCs w:val="21"/>
          <w:highlight w:val="none"/>
        </w:rPr>
      </w:pPr>
    </w:p>
    <w:p w14:paraId="33DBCD2E">
      <w:pPr>
        <w:snapToGrid w:val="0"/>
        <w:spacing w:line="360" w:lineRule="auto"/>
        <w:jc w:val="center"/>
        <w:rPr>
          <w:rFonts w:ascii="宋体" w:hAnsi="宋体" w:eastAsia="宋体"/>
          <w:color w:val="auto"/>
          <w:szCs w:val="21"/>
          <w:highlight w:val="none"/>
        </w:rPr>
      </w:pPr>
    </w:p>
    <w:p w14:paraId="1DC56603">
      <w:pPr>
        <w:snapToGrid w:val="0"/>
        <w:spacing w:line="360" w:lineRule="auto"/>
        <w:jc w:val="center"/>
        <w:rPr>
          <w:rFonts w:ascii="宋体" w:hAnsi="宋体" w:eastAsia="宋体"/>
          <w:color w:val="auto"/>
          <w:szCs w:val="21"/>
          <w:highlight w:val="none"/>
        </w:rPr>
      </w:pPr>
    </w:p>
    <w:p w14:paraId="6F95159F">
      <w:pPr>
        <w:snapToGrid w:val="0"/>
        <w:spacing w:line="360" w:lineRule="auto"/>
        <w:jc w:val="center"/>
        <w:rPr>
          <w:rFonts w:ascii="宋体" w:hAnsi="宋体" w:eastAsia="宋体"/>
          <w:color w:val="auto"/>
          <w:szCs w:val="21"/>
          <w:highlight w:val="none"/>
        </w:rPr>
      </w:pPr>
    </w:p>
    <w:p w14:paraId="1AB85418">
      <w:pPr>
        <w:snapToGrid w:val="0"/>
        <w:spacing w:line="360" w:lineRule="auto"/>
        <w:jc w:val="center"/>
        <w:rPr>
          <w:rFonts w:ascii="宋体" w:hAnsi="宋体" w:eastAsia="宋体"/>
          <w:color w:val="auto"/>
          <w:szCs w:val="21"/>
          <w:highlight w:val="none"/>
        </w:rPr>
      </w:pPr>
    </w:p>
    <w:p w14:paraId="3653219C">
      <w:pPr>
        <w:snapToGrid w:val="0"/>
        <w:spacing w:line="360" w:lineRule="auto"/>
        <w:jc w:val="center"/>
        <w:rPr>
          <w:rFonts w:ascii="宋体" w:hAnsi="宋体" w:eastAsia="宋体"/>
          <w:color w:val="auto"/>
          <w:szCs w:val="21"/>
          <w:highlight w:val="none"/>
        </w:rPr>
      </w:pPr>
    </w:p>
    <w:p w14:paraId="474AD07A">
      <w:pPr>
        <w:snapToGrid w:val="0"/>
        <w:spacing w:line="360" w:lineRule="auto"/>
        <w:jc w:val="center"/>
        <w:rPr>
          <w:rFonts w:ascii="宋体" w:hAnsi="宋体" w:eastAsia="宋体"/>
          <w:color w:val="auto"/>
          <w:szCs w:val="21"/>
          <w:highlight w:val="none"/>
        </w:rPr>
      </w:pPr>
    </w:p>
    <w:p w14:paraId="653EDE97">
      <w:pPr>
        <w:snapToGrid w:val="0"/>
        <w:spacing w:line="360" w:lineRule="auto"/>
        <w:jc w:val="center"/>
        <w:rPr>
          <w:rFonts w:ascii="宋体" w:hAnsi="宋体" w:eastAsia="宋体"/>
          <w:color w:val="auto"/>
          <w:szCs w:val="21"/>
          <w:highlight w:val="none"/>
        </w:rPr>
      </w:pPr>
    </w:p>
    <w:p w14:paraId="0A693E3A">
      <w:pPr>
        <w:snapToGrid w:val="0"/>
        <w:spacing w:line="360" w:lineRule="auto"/>
        <w:jc w:val="center"/>
        <w:rPr>
          <w:rFonts w:ascii="宋体" w:hAnsi="宋体" w:eastAsia="宋体"/>
          <w:color w:val="auto"/>
          <w:szCs w:val="21"/>
          <w:highlight w:val="none"/>
        </w:rPr>
      </w:pPr>
    </w:p>
    <w:p w14:paraId="547BC730">
      <w:pPr>
        <w:pStyle w:val="7"/>
        <w:rPr>
          <w:rFonts w:ascii="宋体" w:hAnsi="宋体" w:eastAsia="宋体"/>
          <w:color w:val="auto"/>
          <w:szCs w:val="21"/>
          <w:highlight w:val="none"/>
        </w:rPr>
      </w:pPr>
    </w:p>
    <w:p w14:paraId="364F516F">
      <w:pPr>
        <w:rPr>
          <w:rFonts w:ascii="宋体" w:hAnsi="宋体" w:eastAsia="宋体"/>
          <w:color w:val="auto"/>
          <w:szCs w:val="21"/>
          <w:highlight w:val="none"/>
        </w:rPr>
      </w:pPr>
    </w:p>
    <w:p w14:paraId="0AB14988">
      <w:pPr>
        <w:pStyle w:val="7"/>
        <w:rPr>
          <w:rFonts w:ascii="宋体" w:hAnsi="宋体" w:eastAsia="宋体"/>
          <w:color w:val="auto"/>
          <w:szCs w:val="21"/>
          <w:highlight w:val="none"/>
        </w:rPr>
      </w:pPr>
    </w:p>
    <w:p w14:paraId="08ADE8EA">
      <w:pPr>
        <w:rPr>
          <w:rFonts w:ascii="宋体" w:hAnsi="宋体" w:eastAsia="宋体"/>
          <w:color w:val="auto"/>
          <w:szCs w:val="21"/>
          <w:highlight w:val="none"/>
        </w:rPr>
      </w:pPr>
    </w:p>
    <w:p w14:paraId="0A8FB013">
      <w:pPr>
        <w:pStyle w:val="7"/>
        <w:rPr>
          <w:rFonts w:ascii="宋体" w:hAnsi="宋体" w:eastAsia="宋体"/>
          <w:color w:val="auto"/>
          <w:szCs w:val="21"/>
          <w:highlight w:val="none"/>
        </w:rPr>
      </w:pPr>
    </w:p>
    <w:p w14:paraId="58D8986B">
      <w:pPr>
        <w:rPr>
          <w:rFonts w:ascii="宋体" w:hAnsi="宋体" w:eastAsia="宋体"/>
          <w:color w:val="auto"/>
          <w:szCs w:val="21"/>
          <w:highlight w:val="none"/>
        </w:rPr>
      </w:pPr>
    </w:p>
    <w:p w14:paraId="1ECFDF34">
      <w:pPr>
        <w:pStyle w:val="7"/>
        <w:rPr>
          <w:rFonts w:ascii="宋体" w:hAnsi="宋体" w:eastAsia="宋体"/>
          <w:color w:val="auto"/>
          <w:szCs w:val="21"/>
          <w:highlight w:val="none"/>
        </w:rPr>
      </w:pPr>
    </w:p>
    <w:p w14:paraId="78CAD928">
      <w:pPr>
        <w:rPr>
          <w:rFonts w:ascii="宋体" w:hAnsi="宋体" w:eastAsia="宋体"/>
          <w:color w:val="auto"/>
          <w:szCs w:val="21"/>
          <w:highlight w:val="none"/>
        </w:rPr>
      </w:pPr>
    </w:p>
    <w:p w14:paraId="3650B765">
      <w:pPr>
        <w:pStyle w:val="7"/>
        <w:rPr>
          <w:rFonts w:ascii="宋体" w:hAnsi="宋体" w:eastAsia="宋体"/>
          <w:color w:val="auto"/>
          <w:szCs w:val="21"/>
          <w:highlight w:val="none"/>
        </w:rPr>
      </w:pPr>
    </w:p>
    <w:p w14:paraId="667E1B6A">
      <w:pPr>
        <w:rPr>
          <w:rFonts w:ascii="宋体" w:hAnsi="宋体" w:eastAsia="宋体"/>
          <w:color w:val="auto"/>
          <w:szCs w:val="21"/>
          <w:highlight w:val="none"/>
        </w:rPr>
      </w:pPr>
    </w:p>
    <w:p w14:paraId="03B1A3B7">
      <w:pPr>
        <w:pStyle w:val="7"/>
        <w:rPr>
          <w:rFonts w:ascii="宋体" w:hAnsi="宋体" w:eastAsia="宋体"/>
          <w:color w:val="auto"/>
          <w:szCs w:val="21"/>
          <w:highlight w:val="none"/>
        </w:rPr>
      </w:pPr>
    </w:p>
    <w:p w14:paraId="4D5029B3">
      <w:pPr>
        <w:rPr>
          <w:rFonts w:ascii="宋体" w:hAnsi="宋体" w:eastAsia="宋体"/>
          <w:color w:val="auto"/>
          <w:szCs w:val="21"/>
          <w:highlight w:val="none"/>
        </w:rPr>
      </w:pPr>
    </w:p>
    <w:p w14:paraId="44171F1A">
      <w:pPr>
        <w:pStyle w:val="7"/>
        <w:rPr>
          <w:rFonts w:ascii="宋体" w:hAnsi="宋体" w:eastAsia="宋体"/>
          <w:color w:val="auto"/>
          <w:szCs w:val="21"/>
          <w:highlight w:val="none"/>
        </w:rPr>
      </w:pPr>
    </w:p>
    <w:p w14:paraId="57BB8C3F">
      <w:pPr>
        <w:rPr>
          <w:rFonts w:ascii="宋体" w:hAnsi="宋体" w:eastAsia="宋体"/>
          <w:color w:val="auto"/>
          <w:szCs w:val="21"/>
          <w:highlight w:val="none"/>
        </w:rPr>
      </w:pPr>
    </w:p>
    <w:p w14:paraId="03FD2CDE">
      <w:pPr>
        <w:pStyle w:val="7"/>
        <w:rPr>
          <w:rFonts w:ascii="宋体" w:hAnsi="宋体" w:eastAsia="宋体"/>
          <w:color w:val="auto"/>
          <w:szCs w:val="21"/>
          <w:highlight w:val="none"/>
        </w:rPr>
      </w:pPr>
    </w:p>
    <w:p w14:paraId="147C7415">
      <w:pPr>
        <w:rPr>
          <w:rFonts w:ascii="宋体" w:hAnsi="宋体" w:eastAsia="宋体"/>
          <w:color w:val="auto"/>
          <w:szCs w:val="21"/>
          <w:highlight w:val="none"/>
        </w:rPr>
      </w:pPr>
    </w:p>
    <w:p w14:paraId="208C069C">
      <w:pPr>
        <w:pStyle w:val="7"/>
        <w:rPr>
          <w:rFonts w:ascii="宋体" w:hAnsi="宋体" w:eastAsia="宋体"/>
          <w:color w:val="auto"/>
          <w:szCs w:val="21"/>
          <w:highlight w:val="none"/>
        </w:rPr>
      </w:pPr>
    </w:p>
    <w:p w14:paraId="1E5CF350">
      <w:pPr>
        <w:rPr>
          <w:rFonts w:ascii="宋体" w:hAnsi="宋体" w:eastAsia="宋体"/>
          <w:color w:val="auto"/>
          <w:szCs w:val="21"/>
          <w:highlight w:val="none"/>
        </w:rPr>
      </w:pPr>
    </w:p>
    <w:p w14:paraId="71DF1DC2">
      <w:pPr>
        <w:pStyle w:val="7"/>
        <w:rPr>
          <w:color w:val="auto"/>
          <w:highlight w:val="none"/>
        </w:rPr>
      </w:pPr>
    </w:p>
    <w:p w14:paraId="5CAEF464">
      <w:pPr>
        <w:snapToGrid w:val="0"/>
        <w:spacing w:line="360" w:lineRule="auto"/>
        <w:jc w:val="center"/>
        <w:rPr>
          <w:rFonts w:ascii="宋体" w:hAnsi="宋体" w:eastAsia="宋体"/>
          <w:color w:val="auto"/>
          <w:szCs w:val="21"/>
          <w:highlight w:val="none"/>
        </w:rPr>
      </w:pPr>
    </w:p>
    <w:p w14:paraId="637F457F">
      <w:pPr>
        <w:pStyle w:val="6"/>
        <w:spacing w:after="0" w:line="360" w:lineRule="auto"/>
        <w:rPr>
          <w:rFonts w:hint="eastAsia" w:ascii="宋体" w:hAnsi="宋体" w:eastAsiaTheme="minorEastAsia"/>
          <w:color w:val="auto"/>
          <w:sz w:val="21"/>
          <w:szCs w:val="21"/>
          <w:highlight w:val="none"/>
          <w:lang w:val="en-US" w:eastAsia="zh-CN"/>
        </w:rPr>
      </w:pPr>
      <w:bookmarkStart w:id="31" w:name="_Toc14059"/>
      <w:r>
        <w:rPr>
          <w:rFonts w:hint="eastAsia" w:ascii="宋体" w:hAnsi="宋体"/>
          <w:color w:val="auto"/>
          <w:sz w:val="21"/>
          <w:szCs w:val="21"/>
          <w:highlight w:val="none"/>
        </w:rPr>
        <w:t>附件</w:t>
      </w:r>
      <w:r>
        <w:rPr>
          <w:rFonts w:hint="eastAsia" w:ascii="宋体" w:hAnsi="宋体"/>
          <w:color w:val="auto"/>
          <w:sz w:val="21"/>
          <w:szCs w:val="21"/>
          <w:highlight w:val="none"/>
          <w:lang w:val="en-US" w:eastAsia="zh-CN"/>
        </w:rPr>
        <w:t>1</w:t>
      </w:r>
    </w:p>
    <w:p w14:paraId="0B20FCD0">
      <w:pPr>
        <w:pStyle w:val="6"/>
        <w:spacing w:after="0" w:line="360" w:lineRule="auto"/>
        <w:jc w:val="center"/>
        <w:rPr>
          <w:rFonts w:ascii="宋体" w:hAnsi="宋体"/>
          <w:b/>
          <w:color w:val="auto"/>
          <w:sz w:val="21"/>
          <w:szCs w:val="21"/>
          <w:highlight w:val="none"/>
        </w:rPr>
      </w:pPr>
      <w:r>
        <w:rPr>
          <w:rFonts w:hint="eastAsia" w:ascii="宋体" w:hAnsi="宋体"/>
          <w:b/>
          <w:color w:val="auto"/>
          <w:sz w:val="21"/>
          <w:szCs w:val="21"/>
          <w:highlight w:val="none"/>
        </w:rPr>
        <w:t>平湖市级冻猪肉储备管理检查及工作内容清单</w:t>
      </w:r>
    </w:p>
    <w:p w14:paraId="03E7CCEE">
      <w:pPr>
        <w:pStyle w:val="6"/>
        <w:spacing w:after="0" w:line="360" w:lineRule="auto"/>
        <w:jc w:val="center"/>
        <w:rPr>
          <w:rFonts w:ascii="宋体" w:hAnsi="宋体"/>
          <w:b/>
          <w:color w:val="auto"/>
          <w:sz w:val="21"/>
          <w:szCs w:val="21"/>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490"/>
        <w:gridCol w:w="2056"/>
      </w:tblGrid>
      <w:tr w14:paraId="034B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76" w:type="dxa"/>
            <w:noWrap w:val="0"/>
            <w:vAlign w:val="center"/>
          </w:tcPr>
          <w:p w14:paraId="2BBA934A">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编号</w:t>
            </w:r>
          </w:p>
        </w:tc>
        <w:tc>
          <w:tcPr>
            <w:tcW w:w="5490" w:type="dxa"/>
            <w:noWrap w:val="0"/>
            <w:vAlign w:val="center"/>
          </w:tcPr>
          <w:p w14:paraId="235F8AFE">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检查和工作内容</w:t>
            </w:r>
          </w:p>
        </w:tc>
        <w:tc>
          <w:tcPr>
            <w:tcW w:w="2056" w:type="dxa"/>
            <w:noWrap w:val="0"/>
            <w:vAlign w:val="center"/>
          </w:tcPr>
          <w:p w14:paraId="2EC5B08F">
            <w:pPr>
              <w:pStyle w:val="6"/>
              <w:spacing w:after="0"/>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30FA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76" w:type="dxa"/>
            <w:noWrap w:val="0"/>
            <w:vAlign w:val="center"/>
          </w:tcPr>
          <w:p w14:paraId="1E65E91E">
            <w:pPr>
              <w:pStyle w:val="6"/>
              <w:spacing w:after="0"/>
              <w:jc w:val="center"/>
              <w:rPr>
                <w:rFonts w:ascii="宋体" w:hAnsi="宋体"/>
                <w:color w:val="auto"/>
                <w:sz w:val="21"/>
                <w:szCs w:val="21"/>
                <w:highlight w:val="none"/>
              </w:rPr>
            </w:pPr>
            <w:r>
              <w:rPr>
                <w:rFonts w:ascii="宋体" w:hAnsi="宋体"/>
                <w:color w:val="auto"/>
                <w:sz w:val="21"/>
                <w:szCs w:val="21"/>
                <w:highlight w:val="none"/>
              </w:rPr>
              <w:t>1</w:t>
            </w:r>
          </w:p>
        </w:tc>
        <w:tc>
          <w:tcPr>
            <w:tcW w:w="5490" w:type="dxa"/>
            <w:noWrap w:val="0"/>
            <w:vAlign w:val="center"/>
          </w:tcPr>
          <w:p w14:paraId="04237245">
            <w:pPr>
              <w:pStyle w:val="6"/>
              <w:spacing w:after="0"/>
              <w:rPr>
                <w:rFonts w:ascii="宋体" w:hAnsi="宋体"/>
                <w:color w:val="auto"/>
                <w:sz w:val="21"/>
                <w:szCs w:val="21"/>
                <w:highlight w:val="none"/>
              </w:rPr>
            </w:pPr>
            <w:r>
              <w:rPr>
                <w:rFonts w:hint="eastAsia" w:ascii="宋体" w:hAnsi="宋体"/>
                <w:color w:val="auto"/>
                <w:sz w:val="21"/>
                <w:szCs w:val="21"/>
                <w:highlight w:val="none"/>
              </w:rPr>
              <w:t>建立健全内部管理制度和应急工作机制</w:t>
            </w:r>
          </w:p>
        </w:tc>
        <w:tc>
          <w:tcPr>
            <w:tcW w:w="2056" w:type="dxa"/>
            <w:noWrap w:val="0"/>
            <w:vAlign w:val="top"/>
          </w:tcPr>
          <w:p w14:paraId="23BC32C0">
            <w:pPr>
              <w:pStyle w:val="6"/>
              <w:spacing w:after="0"/>
              <w:jc w:val="center"/>
              <w:rPr>
                <w:rFonts w:ascii="宋体" w:hAnsi="宋体"/>
                <w:color w:val="auto"/>
                <w:sz w:val="21"/>
                <w:szCs w:val="21"/>
                <w:highlight w:val="none"/>
              </w:rPr>
            </w:pPr>
          </w:p>
        </w:tc>
      </w:tr>
      <w:tr w14:paraId="221F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6" w:type="dxa"/>
            <w:noWrap w:val="0"/>
            <w:vAlign w:val="center"/>
          </w:tcPr>
          <w:p w14:paraId="1D644089">
            <w:pPr>
              <w:pStyle w:val="6"/>
              <w:spacing w:after="0"/>
              <w:jc w:val="center"/>
              <w:rPr>
                <w:rFonts w:ascii="宋体" w:hAnsi="宋体"/>
                <w:color w:val="auto"/>
                <w:sz w:val="21"/>
                <w:szCs w:val="21"/>
                <w:highlight w:val="none"/>
              </w:rPr>
            </w:pPr>
            <w:r>
              <w:rPr>
                <w:rFonts w:ascii="宋体" w:hAnsi="宋体"/>
                <w:color w:val="auto"/>
                <w:sz w:val="21"/>
                <w:szCs w:val="21"/>
                <w:highlight w:val="none"/>
              </w:rPr>
              <w:t>2</w:t>
            </w:r>
          </w:p>
        </w:tc>
        <w:tc>
          <w:tcPr>
            <w:tcW w:w="5490" w:type="dxa"/>
            <w:noWrap w:val="0"/>
            <w:vAlign w:val="center"/>
          </w:tcPr>
          <w:p w14:paraId="25C293B2">
            <w:pPr>
              <w:pStyle w:val="6"/>
              <w:spacing w:after="0"/>
              <w:rPr>
                <w:rFonts w:ascii="宋体" w:hAnsi="宋体"/>
                <w:color w:val="auto"/>
                <w:sz w:val="21"/>
                <w:szCs w:val="21"/>
                <w:highlight w:val="none"/>
              </w:rPr>
            </w:pPr>
            <w:r>
              <w:rPr>
                <w:rFonts w:hint="eastAsia" w:ascii="宋体" w:hAnsi="宋体"/>
                <w:color w:val="auto"/>
                <w:sz w:val="21"/>
                <w:szCs w:val="21"/>
                <w:highlight w:val="none"/>
              </w:rPr>
              <w:t>建立储备冻猪肉保管制度和财务制度</w:t>
            </w:r>
          </w:p>
        </w:tc>
        <w:tc>
          <w:tcPr>
            <w:tcW w:w="2056" w:type="dxa"/>
            <w:noWrap w:val="0"/>
            <w:vAlign w:val="top"/>
          </w:tcPr>
          <w:p w14:paraId="51735246">
            <w:pPr>
              <w:pStyle w:val="6"/>
              <w:spacing w:after="0"/>
              <w:jc w:val="center"/>
              <w:rPr>
                <w:rFonts w:ascii="宋体" w:hAnsi="宋体"/>
                <w:color w:val="auto"/>
                <w:sz w:val="21"/>
                <w:szCs w:val="21"/>
                <w:highlight w:val="none"/>
              </w:rPr>
            </w:pPr>
          </w:p>
        </w:tc>
      </w:tr>
      <w:tr w14:paraId="1DB5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7D6693A0">
            <w:pPr>
              <w:pStyle w:val="6"/>
              <w:spacing w:after="0"/>
              <w:jc w:val="center"/>
              <w:rPr>
                <w:rFonts w:ascii="宋体" w:hAnsi="宋体"/>
                <w:color w:val="auto"/>
                <w:sz w:val="21"/>
                <w:szCs w:val="21"/>
                <w:highlight w:val="none"/>
              </w:rPr>
            </w:pPr>
            <w:r>
              <w:rPr>
                <w:rFonts w:ascii="宋体" w:hAnsi="宋体"/>
                <w:color w:val="auto"/>
                <w:sz w:val="21"/>
                <w:szCs w:val="21"/>
                <w:highlight w:val="none"/>
              </w:rPr>
              <w:t>3</w:t>
            </w:r>
          </w:p>
        </w:tc>
        <w:tc>
          <w:tcPr>
            <w:tcW w:w="5490" w:type="dxa"/>
            <w:noWrap w:val="0"/>
            <w:vAlign w:val="center"/>
          </w:tcPr>
          <w:p w14:paraId="5F0FB4F7">
            <w:pPr>
              <w:rPr>
                <w:rFonts w:ascii="宋体" w:hAnsi="宋体"/>
                <w:color w:val="auto"/>
                <w:szCs w:val="21"/>
                <w:highlight w:val="none"/>
              </w:rPr>
            </w:pPr>
            <w:r>
              <w:rPr>
                <w:rFonts w:hint="eastAsia" w:ascii="宋体" w:hAnsi="宋体"/>
                <w:color w:val="auto"/>
                <w:szCs w:val="21"/>
                <w:highlight w:val="none"/>
              </w:rPr>
              <w:t>依据本协议确定的储备计划及时足额组织货源，专帐记载和挂牌明示</w:t>
            </w:r>
          </w:p>
        </w:tc>
        <w:tc>
          <w:tcPr>
            <w:tcW w:w="2056" w:type="dxa"/>
            <w:noWrap w:val="0"/>
            <w:vAlign w:val="top"/>
          </w:tcPr>
          <w:p w14:paraId="2C4DEDA8">
            <w:pPr>
              <w:pStyle w:val="6"/>
              <w:spacing w:after="0"/>
              <w:jc w:val="center"/>
              <w:rPr>
                <w:rFonts w:ascii="宋体" w:hAnsi="宋体"/>
                <w:color w:val="auto"/>
                <w:sz w:val="21"/>
                <w:szCs w:val="21"/>
                <w:highlight w:val="none"/>
              </w:rPr>
            </w:pPr>
          </w:p>
        </w:tc>
      </w:tr>
      <w:tr w14:paraId="3880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3CFCAADC">
            <w:pPr>
              <w:pStyle w:val="6"/>
              <w:spacing w:after="0"/>
              <w:jc w:val="center"/>
              <w:rPr>
                <w:rFonts w:ascii="宋体" w:hAnsi="宋体"/>
                <w:color w:val="auto"/>
                <w:sz w:val="21"/>
                <w:szCs w:val="21"/>
                <w:highlight w:val="none"/>
              </w:rPr>
            </w:pPr>
            <w:r>
              <w:rPr>
                <w:rFonts w:ascii="宋体" w:hAnsi="宋体"/>
                <w:color w:val="auto"/>
                <w:sz w:val="21"/>
                <w:szCs w:val="21"/>
                <w:highlight w:val="none"/>
              </w:rPr>
              <w:t>4</w:t>
            </w:r>
          </w:p>
        </w:tc>
        <w:tc>
          <w:tcPr>
            <w:tcW w:w="5490" w:type="dxa"/>
            <w:noWrap w:val="0"/>
            <w:vAlign w:val="center"/>
          </w:tcPr>
          <w:p w14:paraId="65FE3035">
            <w:pPr>
              <w:pStyle w:val="6"/>
              <w:spacing w:after="0"/>
              <w:rPr>
                <w:rFonts w:ascii="宋体" w:hAnsi="宋体"/>
                <w:color w:val="auto"/>
                <w:sz w:val="21"/>
                <w:szCs w:val="21"/>
                <w:highlight w:val="none"/>
              </w:rPr>
            </w:pPr>
            <w:r>
              <w:rPr>
                <w:rFonts w:hint="eastAsia" w:ascii="宋体" w:hAnsi="宋体"/>
                <w:color w:val="auto"/>
                <w:sz w:val="21"/>
                <w:szCs w:val="21"/>
                <w:highlight w:val="none"/>
              </w:rPr>
              <w:t>储备冻猪肉应按生产日期先后、不同品种分垛堆码，按照《国家储备冻肉储存冷库资质条件》（</w:t>
            </w:r>
            <w:r>
              <w:rPr>
                <w:rFonts w:ascii="宋体" w:hAnsi="宋体"/>
                <w:color w:val="auto"/>
                <w:sz w:val="21"/>
                <w:szCs w:val="21"/>
                <w:highlight w:val="none"/>
              </w:rPr>
              <w:t>SB/T 10408-2007</w:t>
            </w:r>
            <w:r>
              <w:rPr>
                <w:rFonts w:hint="eastAsia" w:ascii="宋体" w:hAnsi="宋体"/>
                <w:color w:val="auto"/>
                <w:sz w:val="21"/>
                <w:szCs w:val="21"/>
                <w:highlight w:val="none"/>
              </w:rPr>
              <w:t>）第</w:t>
            </w:r>
            <w:r>
              <w:rPr>
                <w:rFonts w:ascii="宋体" w:hAnsi="宋体"/>
                <w:color w:val="auto"/>
                <w:sz w:val="21"/>
                <w:szCs w:val="21"/>
                <w:highlight w:val="none"/>
              </w:rPr>
              <w:t>7.2</w:t>
            </w:r>
            <w:r>
              <w:rPr>
                <w:rFonts w:hint="eastAsia" w:ascii="宋体" w:hAnsi="宋体"/>
                <w:color w:val="auto"/>
                <w:sz w:val="21"/>
                <w:szCs w:val="21"/>
                <w:highlight w:val="none"/>
              </w:rPr>
              <w:t>款储存管理规范执行</w:t>
            </w:r>
          </w:p>
        </w:tc>
        <w:tc>
          <w:tcPr>
            <w:tcW w:w="2056" w:type="dxa"/>
            <w:noWrap w:val="0"/>
            <w:vAlign w:val="top"/>
          </w:tcPr>
          <w:p w14:paraId="7200819B">
            <w:pPr>
              <w:pStyle w:val="6"/>
              <w:spacing w:after="0"/>
              <w:jc w:val="center"/>
              <w:rPr>
                <w:rFonts w:ascii="宋体" w:hAnsi="宋体"/>
                <w:color w:val="auto"/>
                <w:sz w:val="21"/>
                <w:szCs w:val="21"/>
                <w:highlight w:val="none"/>
              </w:rPr>
            </w:pPr>
          </w:p>
        </w:tc>
      </w:tr>
      <w:tr w14:paraId="57C2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76" w:type="dxa"/>
            <w:noWrap w:val="0"/>
            <w:vAlign w:val="center"/>
          </w:tcPr>
          <w:p w14:paraId="58DEAB6A">
            <w:pPr>
              <w:pStyle w:val="6"/>
              <w:spacing w:after="0"/>
              <w:jc w:val="center"/>
              <w:rPr>
                <w:rFonts w:ascii="宋体" w:hAnsi="宋体"/>
                <w:color w:val="auto"/>
                <w:sz w:val="21"/>
                <w:szCs w:val="21"/>
                <w:highlight w:val="none"/>
              </w:rPr>
            </w:pPr>
            <w:r>
              <w:rPr>
                <w:rFonts w:ascii="宋体" w:hAnsi="宋体"/>
                <w:color w:val="auto"/>
                <w:sz w:val="21"/>
                <w:szCs w:val="21"/>
                <w:highlight w:val="none"/>
              </w:rPr>
              <w:t>5</w:t>
            </w:r>
          </w:p>
        </w:tc>
        <w:tc>
          <w:tcPr>
            <w:tcW w:w="5490" w:type="dxa"/>
            <w:noWrap w:val="0"/>
            <w:vAlign w:val="center"/>
          </w:tcPr>
          <w:p w14:paraId="4AC7348A">
            <w:pPr>
              <w:pStyle w:val="6"/>
              <w:spacing w:after="0"/>
              <w:rPr>
                <w:rFonts w:ascii="宋体" w:hAnsi="宋体"/>
                <w:color w:val="auto"/>
                <w:sz w:val="21"/>
                <w:szCs w:val="21"/>
                <w:highlight w:val="none"/>
              </w:rPr>
            </w:pPr>
            <w:r>
              <w:rPr>
                <w:rFonts w:hint="eastAsia" w:ascii="宋体" w:hAnsi="宋体"/>
                <w:color w:val="auto"/>
                <w:sz w:val="21"/>
                <w:szCs w:val="21"/>
                <w:highlight w:val="none"/>
              </w:rPr>
              <w:t>建立储备冻猪肉轮出库工作流程</w:t>
            </w:r>
          </w:p>
        </w:tc>
        <w:tc>
          <w:tcPr>
            <w:tcW w:w="2056" w:type="dxa"/>
            <w:noWrap w:val="0"/>
            <w:vAlign w:val="center"/>
          </w:tcPr>
          <w:p w14:paraId="5BE7F8E8">
            <w:pPr>
              <w:pStyle w:val="6"/>
              <w:spacing w:after="0"/>
              <w:jc w:val="left"/>
              <w:rPr>
                <w:rFonts w:ascii="宋体" w:hAnsi="宋体"/>
                <w:color w:val="auto"/>
                <w:sz w:val="21"/>
                <w:szCs w:val="21"/>
                <w:highlight w:val="none"/>
              </w:rPr>
            </w:pPr>
          </w:p>
        </w:tc>
      </w:tr>
      <w:tr w14:paraId="551B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43FBF226">
            <w:pPr>
              <w:pStyle w:val="6"/>
              <w:spacing w:after="0"/>
              <w:jc w:val="center"/>
              <w:rPr>
                <w:rFonts w:ascii="宋体" w:hAnsi="宋体"/>
                <w:color w:val="auto"/>
                <w:sz w:val="21"/>
                <w:szCs w:val="21"/>
                <w:highlight w:val="none"/>
              </w:rPr>
            </w:pPr>
            <w:r>
              <w:rPr>
                <w:rFonts w:ascii="宋体" w:hAnsi="宋体"/>
                <w:color w:val="auto"/>
                <w:sz w:val="21"/>
                <w:szCs w:val="21"/>
                <w:highlight w:val="none"/>
              </w:rPr>
              <w:t>6</w:t>
            </w:r>
          </w:p>
        </w:tc>
        <w:tc>
          <w:tcPr>
            <w:tcW w:w="5490" w:type="dxa"/>
            <w:noWrap w:val="0"/>
            <w:vAlign w:val="center"/>
          </w:tcPr>
          <w:p w14:paraId="55993487">
            <w:pPr>
              <w:pStyle w:val="6"/>
              <w:spacing w:after="0"/>
              <w:rPr>
                <w:rFonts w:ascii="宋体" w:hAnsi="宋体"/>
                <w:color w:val="auto"/>
                <w:sz w:val="21"/>
                <w:szCs w:val="21"/>
                <w:highlight w:val="none"/>
              </w:rPr>
            </w:pPr>
            <w:r>
              <w:rPr>
                <w:rFonts w:hint="eastAsia" w:ascii="宋体" w:hAnsi="宋体"/>
                <w:color w:val="auto"/>
                <w:sz w:val="21"/>
                <w:szCs w:val="21"/>
                <w:highlight w:val="none"/>
              </w:rPr>
              <w:t>储备轮出后应当及时、保质、同品种、等量轮入，轮换期间最低库存数量不得低于储备计划的</w:t>
            </w:r>
            <w:r>
              <w:rPr>
                <w:rFonts w:ascii="宋体" w:hAnsi="宋体"/>
                <w:color w:val="auto"/>
                <w:sz w:val="21"/>
                <w:szCs w:val="21"/>
                <w:highlight w:val="none"/>
              </w:rPr>
              <w:t>70</w:t>
            </w:r>
            <w:r>
              <w:rPr>
                <w:rFonts w:hint="eastAsia" w:ascii="宋体" w:hAnsi="宋体"/>
                <w:color w:val="auto"/>
                <w:sz w:val="21"/>
                <w:szCs w:val="21"/>
                <w:highlight w:val="none"/>
              </w:rPr>
              <w:t>％。特殊情况不能按时轮入的，须报批准同意，否则按擅自动用储备处理</w:t>
            </w:r>
          </w:p>
        </w:tc>
        <w:tc>
          <w:tcPr>
            <w:tcW w:w="2056" w:type="dxa"/>
            <w:noWrap w:val="0"/>
            <w:vAlign w:val="center"/>
          </w:tcPr>
          <w:p w14:paraId="59CE09BE">
            <w:pPr>
              <w:pStyle w:val="6"/>
              <w:spacing w:after="0"/>
              <w:jc w:val="left"/>
              <w:rPr>
                <w:rFonts w:ascii="宋体" w:hAnsi="宋体"/>
                <w:color w:val="auto"/>
                <w:sz w:val="21"/>
                <w:szCs w:val="21"/>
                <w:highlight w:val="none"/>
              </w:rPr>
            </w:pPr>
          </w:p>
        </w:tc>
      </w:tr>
      <w:tr w14:paraId="3727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14:paraId="075F2DE9">
            <w:pPr>
              <w:pStyle w:val="6"/>
              <w:spacing w:after="0"/>
              <w:jc w:val="center"/>
              <w:rPr>
                <w:rFonts w:ascii="宋体" w:hAnsi="宋体"/>
                <w:color w:val="auto"/>
                <w:sz w:val="21"/>
                <w:szCs w:val="21"/>
                <w:highlight w:val="none"/>
              </w:rPr>
            </w:pPr>
            <w:r>
              <w:rPr>
                <w:rFonts w:ascii="宋体" w:hAnsi="宋体"/>
                <w:color w:val="auto"/>
                <w:sz w:val="21"/>
                <w:szCs w:val="21"/>
                <w:highlight w:val="none"/>
              </w:rPr>
              <w:t>7</w:t>
            </w:r>
          </w:p>
        </w:tc>
        <w:tc>
          <w:tcPr>
            <w:tcW w:w="5490" w:type="dxa"/>
            <w:noWrap w:val="0"/>
            <w:vAlign w:val="center"/>
          </w:tcPr>
          <w:p w14:paraId="0D7A5E66">
            <w:pPr>
              <w:pStyle w:val="6"/>
              <w:spacing w:after="0"/>
              <w:rPr>
                <w:rFonts w:ascii="宋体" w:hAnsi="宋体"/>
                <w:color w:val="auto"/>
                <w:sz w:val="21"/>
                <w:szCs w:val="21"/>
                <w:highlight w:val="none"/>
              </w:rPr>
            </w:pPr>
            <w:r>
              <w:rPr>
                <w:rFonts w:hint="eastAsia" w:ascii="宋体" w:hAnsi="宋体"/>
                <w:color w:val="auto"/>
                <w:sz w:val="21"/>
                <w:szCs w:val="21"/>
                <w:highlight w:val="none"/>
              </w:rPr>
              <w:t>按月编制报送储备冻猪肉数量和金额报表（月度终止后</w:t>
            </w:r>
            <w:r>
              <w:rPr>
                <w:rFonts w:ascii="宋体" w:hAnsi="宋体"/>
                <w:color w:val="auto"/>
                <w:sz w:val="21"/>
                <w:szCs w:val="21"/>
                <w:highlight w:val="none"/>
              </w:rPr>
              <w:t>7</w:t>
            </w:r>
            <w:r>
              <w:rPr>
                <w:rFonts w:hint="eastAsia" w:ascii="宋体" w:hAnsi="宋体"/>
                <w:color w:val="auto"/>
                <w:sz w:val="21"/>
                <w:szCs w:val="21"/>
                <w:highlight w:val="none"/>
              </w:rPr>
              <w:t>日内）</w:t>
            </w:r>
          </w:p>
        </w:tc>
        <w:tc>
          <w:tcPr>
            <w:tcW w:w="2056" w:type="dxa"/>
            <w:noWrap w:val="0"/>
            <w:vAlign w:val="center"/>
          </w:tcPr>
          <w:p w14:paraId="3AC70A7C">
            <w:pPr>
              <w:pStyle w:val="6"/>
              <w:spacing w:after="0"/>
              <w:jc w:val="left"/>
              <w:rPr>
                <w:rFonts w:ascii="宋体" w:hAnsi="宋体"/>
                <w:color w:val="auto"/>
                <w:sz w:val="21"/>
                <w:szCs w:val="21"/>
                <w:highlight w:val="none"/>
              </w:rPr>
            </w:pPr>
          </w:p>
        </w:tc>
      </w:tr>
      <w:tr w14:paraId="4ED5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6" w:type="dxa"/>
            <w:noWrap w:val="0"/>
            <w:vAlign w:val="center"/>
          </w:tcPr>
          <w:p w14:paraId="74AEB871">
            <w:pPr>
              <w:pStyle w:val="6"/>
              <w:spacing w:after="0"/>
              <w:jc w:val="center"/>
              <w:rPr>
                <w:rFonts w:ascii="宋体" w:hAnsi="宋体"/>
                <w:color w:val="auto"/>
                <w:sz w:val="21"/>
                <w:szCs w:val="21"/>
                <w:highlight w:val="none"/>
              </w:rPr>
            </w:pPr>
            <w:r>
              <w:rPr>
                <w:rFonts w:ascii="宋体" w:hAnsi="宋体"/>
                <w:color w:val="auto"/>
                <w:sz w:val="21"/>
                <w:szCs w:val="21"/>
                <w:highlight w:val="none"/>
              </w:rPr>
              <w:t>8</w:t>
            </w:r>
          </w:p>
        </w:tc>
        <w:tc>
          <w:tcPr>
            <w:tcW w:w="5490" w:type="dxa"/>
            <w:noWrap w:val="0"/>
            <w:vAlign w:val="center"/>
          </w:tcPr>
          <w:p w14:paraId="5DFDF24E">
            <w:pPr>
              <w:pStyle w:val="6"/>
              <w:spacing w:after="0"/>
              <w:rPr>
                <w:rFonts w:ascii="宋体" w:hAnsi="宋体"/>
                <w:color w:val="auto"/>
                <w:sz w:val="21"/>
                <w:szCs w:val="21"/>
                <w:highlight w:val="none"/>
              </w:rPr>
            </w:pPr>
            <w:r>
              <w:rPr>
                <w:rFonts w:hint="eastAsia" w:ascii="宋体" w:hAnsi="宋体"/>
                <w:color w:val="auto"/>
                <w:sz w:val="21"/>
                <w:szCs w:val="21"/>
                <w:highlight w:val="none"/>
              </w:rPr>
              <w:t>承储单位不得以储备肉对外进行质押、担保或清偿债务</w:t>
            </w:r>
          </w:p>
        </w:tc>
        <w:tc>
          <w:tcPr>
            <w:tcW w:w="2056" w:type="dxa"/>
            <w:noWrap w:val="0"/>
            <w:vAlign w:val="center"/>
          </w:tcPr>
          <w:p w14:paraId="2D076AFA">
            <w:pPr>
              <w:pStyle w:val="6"/>
              <w:spacing w:after="0"/>
              <w:jc w:val="left"/>
              <w:rPr>
                <w:rFonts w:ascii="宋体" w:hAnsi="宋体"/>
                <w:color w:val="auto"/>
                <w:sz w:val="21"/>
                <w:szCs w:val="21"/>
                <w:highlight w:val="none"/>
              </w:rPr>
            </w:pPr>
          </w:p>
        </w:tc>
      </w:tr>
    </w:tbl>
    <w:p w14:paraId="66850FDE">
      <w:pPr>
        <w:pStyle w:val="2"/>
        <w:pageBreakBefore/>
        <w:snapToGrid w:val="0"/>
        <w:spacing w:before="240" w:after="240" w:line="240" w:lineRule="auto"/>
        <w:jc w:val="center"/>
        <w:rPr>
          <w:rFonts w:ascii="宋体" w:hAnsi="宋体" w:eastAsia="宋体"/>
          <w:color w:val="auto"/>
          <w:sz w:val="32"/>
          <w:highlight w:val="none"/>
        </w:rPr>
      </w:pPr>
      <w:r>
        <w:rPr>
          <w:rFonts w:hint="eastAsia" w:ascii="宋体" w:hAnsi="宋体" w:eastAsia="宋体"/>
          <w:color w:val="auto"/>
          <w:sz w:val="32"/>
          <w:highlight w:val="none"/>
        </w:rPr>
        <w:t>第</w:t>
      </w:r>
      <w:r>
        <w:rPr>
          <w:rFonts w:hint="eastAsia" w:ascii="宋体" w:hAnsi="宋体" w:eastAsia="宋体"/>
          <w:color w:val="auto"/>
          <w:sz w:val="32"/>
          <w:highlight w:val="none"/>
          <w:lang w:val="en-US" w:eastAsia="zh-CN"/>
        </w:rPr>
        <w:t>六</w:t>
      </w:r>
      <w:bookmarkStart w:id="32" w:name="_Toc118516258"/>
      <w:r>
        <w:rPr>
          <w:rFonts w:hint="eastAsia" w:ascii="宋体" w:hAnsi="宋体" w:eastAsia="宋体"/>
          <w:color w:val="auto"/>
          <w:sz w:val="32"/>
          <w:highlight w:val="none"/>
          <w:lang w:val="en-US" w:eastAsia="zh-CN"/>
        </w:rPr>
        <w:t>章</w:t>
      </w:r>
      <w:r>
        <w:rPr>
          <w:rFonts w:hint="eastAsia" w:ascii="宋体" w:hAnsi="宋体" w:eastAsia="宋体"/>
          <w:color w:val="auto"/>
          <w:sz w:val="32"/>
          <w:highlight w:val="none"/>
        </w:rPr>
        <w:t xml:space="preserve"> 附件(响应文件格式)</w:t>
      </w:r>
      <w:bookmarkEnd w:id="31"/>
      <w:bookmarkEnd w:id="32"/>
    </w:p>
    <w:p w14:paraId="67BDFA98">
      <w:pPr>
        <w:pStyle w:val="10"/>
        <w:spacing w:line="360" w:lineRule="auto"/>
        <w:ind w:firstLine="480" w:firstLineChars="200"/>
        <w:rPr>
          <w:color w:val="auto"/>
          <w:sz w:val="24"/>
          <w:highlight w:val="none"/>
        </w:rPr>
      </w:pPr>
      <w:r>
        <w:rPr>
          <w:color w:val="auto"/>
          <w:sz w:val="24"/>
          <w:highlight w:val="none"/>
        </w:rPr>
        <w:t>说明：</w:t>
      </w:r>
    </w:p>
    <w:p w14:paraId="11D26F09">
      <w:pPr>
        <w:pStyle w:val="10"/>
        <w:spacing w:line="360" w:lineRule="auto"/>
        <w:ind w:firstLine="480" w:firstLineChars="200"/>
        <w:rPr>
          <w:color w:val="auto"/>
          <w:sz w:val="24"/>
          <w:highlight w:val="none"/>
        </w:rPr>
      </w:pPr>
      <w:r>
        <w:rPr>
          <w:color w:val="auto"/>
          <w:sz w:val="24"/>
          <w:highlight w:val="none"/>
        </w:rPr>
        <w:t>1.响应文件由磋商供应商根据照磋商文件要求</w:t>
      </w:r>
      <w:r>
        <w:rPr>
          <w:rFonts w:hint="eastAsia"/>
          <w:color w:val="auto"/>
          <w:sz w:val="24"/>
          <w:highlight w:val="none"/>
          <w:lang w:eastAsia="zh-CN"/>
        </w:rPr>
        <w:t>根据</w:t>
      </w:r>
      <w:r>
        <w:rPr>
          <w:color w:val="auto"/>
          <w:sz w:val="24"/>
          <w:highlight w:val="none"/>
        </w:rPr>
        <w:t>附件格式编制。</w:t>
      </w:r>
    </w:p>
    <w:p w14:paraId="3C5B69AA">
      <w:pPr>
        <w:pStyle w:val="10"/>
        <w:spacing w:line="360" w:lineRule="auto"/>
        <w:ind w:firstLine="480" w:firstLineChars="200"/>
        <w:rPr>
          <w:color w:val="auto"/>
          <w:sz w:val="24"/>
          <w:highlight w:val="none"/>
        </w:rPr>
      </w:pPr>
      <w:r>
        <w:rPr>
          <w:color w:val="auto"/>
          <w:sz w:val="24"/>
          <w:highlight w:val="none"/>
        </w:rPr>
        <w:t>2.附件中有参考格式的，</w:t>
      </w:r>
      <w:r>
        <w:rPr>
          <w:rFonts w:hint="eastAsia"/>
          <w:color w:val="auto"/>
          <w:sz w:val="24"/>
          <w:highlight w:val="none"/>
          <w:lang w:eastAsia="zh-CN"/>
        </w:rPr>
        <w:t>根据</w:t>
      </w:r>
      <w:r>
        <w:rPr>
          <w:color w:val="auto"/>
          <w:sz w:val="24"/>
          <w:highlight w:val="none"/>
        </w:rPr>
        <w:t>格式，没有参考格式的，自行编制。</w:t>
      </w:r>
    </w:p>
    <w:p w14:paraId="2492257F">
      <w:pPr>
        <w:rPr>
          <w:color w:val="auto"/>
          <w:highlight w:val="none"/>
        </w:rPr>
      </w:pPr>
      <w:r>
        <w:rPr>
          <w:color w:val="auto"/>
          <w:highlight w:val="none"/>
        </w:rPr>
        <w:br w:type="page"/>
      </w:r>
      <w:bookmarkStart w:id="33" w:name="_Toc441751183"/>
      <w:bookmarkStart w:id="34" w:name="_Toc440358277"/>
    </w:p>
    <w:p w14:paraId="577CB051">
      <w:pPr>
        <w:bidi w:val="0"/>
        <w:rPr>
          <w:rFonts w:hint="eastAsia"/>
          <w:color w:val="auto"/>
          <w:highlight w:val="none"/>
        </w:rPr>
      </w:pPr>
      <w:bookmarkStart w:id="35" w:name="_Toc17912"/>
      <w:bookmarkStart w:id="36" w:name="_Toc20492"/>
      <w:bookmarkStart w:id="37" w:name="_Toc17306"/>
      <w:bookmarkStart w:id="38" w:name="_Toc31669"/>
      <w:r>
        <w:rPr>
          <w:rFonts w:hint="eastAsia"/>
          <w:color w:val="auto"/>
          <w:highlight w:val="none"/>
        </w:rPr>
        <w:t>一、政府采购活动现场确认声明书</w:t>
      </w:r>
      <w:bookmarkEnd w:id="35"/>
      <w:bookmarkEnd w:id="36"/>
      <w:bookmarkEnd w:id="37"/>
      <w:bookmarkEnd w:id="38"/>
    </w:p>
    <w:p w14:paraId="619CF699">
      <w:pPr>
        <w:pStyle w:val="28"/>
        <w:snapToGrid w:val="0"/>
        <w:spacing w:line="400" w:lineRule="exact"/>
        <w:jc w:val="left"/>
        <w:rPr>
          <w:rFonts w:asciiTheme="minorHAnsi" w:hAnsiTheme="minorHAnsi" w:eastAsiaTheme="minorEastAsia" w:cstheme="minorBidi"/>
          <w:color w:val="auto"/>
          <w:kern w:val="2"/>
          <w:sz w:val="21"/>
          <w:szCs w:val="21"/>
          <w:highlight w:val="none"/>
          <w:lang w:val="en-US" w:eastAsia="zh-CN" w:bidi="ar-SA"/>
        </w:rPr>
      </w:pPr>
      <w:r>
        <w:rPr>
          <w:rFonts w:asciiTheme="minorHAnsi" w:hAnsiTheme="minorHAnsi" w:eastAsiaTheme="minorEastAsia" w:cstheme="minorBidi"/>
          <w:color w:val="auto"/>
          <w:kern w:val="2"/>
          <w:sz w:val="21"/>
          <w:szCs w:val="21"/>
          <w:highlight w:val="none"/>
          <w:lang w:val="en-US" w:eastAsia="zh-CN" w:bidi="ar-SA"/>
        </w:rPr>
        <w:t>（要求</w:t>
      </w:r>
      <w:r>
        <w:rPr>
          <w:rFonts w:hint="eastAsia" w:asciiTheme="minorHAnsi" w:hAnsiTheme="minorHAnsi" w:eastAsiaTheme="minorEastAsia" w:cstheme="minorBidi"/>
          <w:color w:val="auto"/>
          <w:kern w:val="2"/>
          <w:sz w:val="21"/>
          <w:szCs w:val="21"/>
          <w:highlight w:val="none"/>
          <w:lang w:val="en-US" w:eastAsia="zh-CN" w:bidi="ar-SA"/>
        </w:rPr>
        <w:t>在电子投标文件解密后，将以下表格填写完成后，在通过邮件方式将照片传给代理公司（邮箱：1848505373@qq。Com）</w:t>
      </w:r>
      <w:r>
        <w:rPr>
          <w:rFonts w:asciiTheme="minorHAnsi" w:hAnsiTheme="minorHAnsi" w:eastAsiaTheme="minorEastAsia" w:cstheme="minorBidi"/>
          <w:color w:val="auto"/>
          <w:kern w:val="2"/>
          <w:sz w:val="21"/>
          <w:szCs w:val="21"/>
          <w:highlight w:val="none"/>
          <w:lang w:val="en-US" w:eastAsia="zh-CN" w:bidi="ar-SA"/>
        </w:rPr>
        <w:t>，不要封存于投标文件里）</w:t>
      </w:r>
    </w:p>
    <w:p w14:paraId="26C319FA">
      <w:pPr>
        <w:pStyle w:val="6"/>
        <w:adjustRightInd w:val="0"/>
        <w:snapToGrid w:val="0"/>
        <w:spacing w:after="0" w:line="360" w:lineRule="auto"/>
        <w:ind w:firstLine="105" w:firstLineChars="50"/>
        <w:rPr>
          <w:rFonts w:hint="eastAsia"/>
          <w:b/>
          <w:color w:val="auto"/>
          <w:highlight w:val="none"/>
          <w:u w:val="single"/>
          <w:lang w:eastAsia="zh-CN"/>
        </w:rPr>
      </w:pPr>
    </w:p>
    <w:p w14:paraId="0703F1D6">
      <w:pPr>
        <w:pStyle w:val="6"/>
        <w:adjustRightInd w:val="0"/>
        <w:snapToGrid w:val="0"/>
        <w:spacing w:after="0" w:line="360" w:lineRule="auto"/>
        <w:ind w:firstLine="105" w:firstLineChars="50"/>
        <w:rPr>
          <w:color w:val="auto"/>
          <w:szCs w:val="21"/>
          <w:highlight w:val="none"/>
        </w:rPr>
      </w:pPr>
      <w:r>
        <w:rPr>
          <w:rFonts w:hint="eastAsia"/>
          <w:b/>
          <w:color w:val="auto"/>
          <w:highlight w:val="none"/>
          <w:u w:val="single"/>
          <w:lang w:eastAsia="zh-CN"/>
        </w:rPr>
        <w:t>平湖市商务局</w:t>
      </w:r>
      <w:r>
        <w:rPr>
          <w:rFonts w:hint="eastAsia"/>
          <w:b/>
          <w:color w:val="auto"/>
          <w:highlight w:val="none"/>
          <w:u w:val="single"/>
        </w:rPr>
        <w:t xml:space="preserve"> </w:t>
      </w:r>
      <w:r>
        <w:rPr>
          <w:color w:val="auto"/>
          <w:szCs w:val="21"/>
          <w:highlight w:val="none"/>
        </w:rPr>
        <w:t>：</w:t>
      </w:r>
    </w:p>
    <w:p w14:paraId="128B1260">
      <w:pPr>
        <w:pStyle w:val="6"/>
        <w:adjustRightInd w:val="0"/>
        <w:snapToGrid w:val="0"/>
        <w:spacing w:after="0" w:line="360" w:lineRule="auto"/>
        <w:ind w:firstLine="440" w:firstLineChars="200"/>
        <w:rPr>
          <w:color w:val="auto"/>
          <w:szCs w:val="21"/>
          <w:highlight w:val="none"/>
        </w:rPr>
      </w:pPr>
      <w:r>
        <w:rPr>
          <w:color w:val="auto"/>
          <w:spacing w:val="5"/>
          <w:szCs w:val="21"/>
          <w:highlight w:val="none"/>
        </w:rPr>
        <w:t>本</w:t>
      </w:r>
      <w:r>
        <w:rPr>
          <w:color w:val="auto"/>
          <w:szCs w:val="21"/>
          <w:highlight w:val="none"/>
        </w:rPr>
        <w:t>人</w:t>
      </w:r>
      <w:r>
        <w:rPr>
          <w:color w:val="auto"/>
          <w:szCs w:val="21"/>
          <w:highlight w:val="none"/>
          <w:u w:val="single"/>
        </w:rPr>
        <w:tab/>
      </w:r>
      <w:r>
        <w:rPr>
          <w:color w:val="auto"/>
          <w:spacing w:val="5"/>
          <w:szCs w:val="21"/>
          <w:highlight w:val="none"/>
        </w:rPr>
        <w:t>（授权代表姓名），经</w:t>
      </w:r>
      <w:r>
        <w:rPr>
          <w:color w:val="auto"/>
          <w:szCs w:val="21"/>
          <w:highlight w:val="none"/>
        </w:rPr>
        <w:t>由</w:t>
      </w:r>
      <w:r>
        <w:rPr>
          <w:rFonts w:hint="eastAsia"/>
          <w:color w:val="auto"/>
          <w:szCs w:val="21"/>
          <w:highlight w:val="none"/>
          <w:lang w:val="en-US" w:eastAsia="zh-CN"/>
        </w:rPr>
        <w:t xml:space="preserve">  </w:t>
      </w:r>
      <w:r>
        <w:rPr>
          <w:color w:val="auto"/>
          <w:szCs w:val="21"/>
          <w:highlight w:val="none"/>
          <w:u w:val="single"/>
        </w:rPr>
        <w:tab/>
      </w:r>
      <w:r>
        <w:rPr>
          <w:color w:val="auto"/>
          <w:spacing w:val="5"/>
          <w:szCs w:val="21"/>
          <w:highlight w:val="none"/>
        </w:rPr>
        <w:t>（单位</w:t>
      </w:r>
      <w:r>
        <w:rPr>
          <w:color w:val="auto"/>
          <w:szCs w:val="21"/>
          <w:highlight w:val="none"/>
        </w:rPr>
        <w:t>）</w:t>
      </w:r>
      <w:r>
        <w:rPr>
          <w:rFonts w:eastAsia="Times New Roman"/>
          <w:color w:val="auto"/>
          <w:szCs w:val="21"/>
          <w:highlight w:val="none"/>
          <w:u w:val="single"/>
        </w:rPr>
        <w:tab/>
      </w:r>
      <w:r>
        <w:rPr>
          <w:color w:val="auto"/>
          <w:szCs w:val="21"/>
          <w:highlight w:val="none"/>
        </w:rPr>
        <w:t>（法定代表人姓名）合法授权参加 （编号：  ）政府采购活动，经与本单位法人代表</w:t>
      </w:r>
      <w:r>
        <w:rPr>
          <w:rFonts w:hint="eastAsia"/>
          <w:color w:val="auto"/>
          <w:szCs w:val="21"/>
          <w:highlight w:val="none"/>
          <w:u w:val="single"/>
          <w:lang w:val="en-US" w:eastAsia="zh-CN"/>
        </w:rPr>
        <w:t xml:space="preserve">    </w:t>
      </w:r>
      <w:r>
        <w:rPr>
          <w:color w:val="auto"/>
          <w:szCs w:val="21"/>
          <w:highlight w:val="none"/>
        </w:rPr>
        <w:t>（负责人）联系确认，现就有关公平竞争事项郑重声明如下：</w:t>
      </w:r>
    </w:p>
    <w:p w14:paraId="4C835F6A">
      <w:pPr>
        <w:pStyle w:val="6"/>
        <w:adjustRightInd w:val="0"/>
        <w:snapToGrid w:val="0"/>
        <w:spacing w:after="0" w:line="360" w:lineRule="auto"/>
        <w:ind w:left="574"/>
        <w:rPr>
          <w:color w:val="auto"/>
          <w:szCs w:val="21"/>
          <w:highlight w:val="none"/>
        </w:rPr>
      </w:pPr>
      <w:r>
        <w:rPr>
          <w:color w:val="auto"/>
          <w:szCs w:val="21"/>
          <w:highlight w:val="none"/>
        </w:rPr>
        <w:t>一、本单位与采购人之间</w:t>
      </w:r>
      <w:r>
        <w:rPr>
          <w:rFonts w:hint="eastAsia" w:ascii="宋体" w:hAnsi="宋体" w:cs="宋体"/>
          <w:color w:val="auto"/>
          <w:szCs w:val="21"/>
          <w:highlight w:val="none"/>
        </w:rPr>
        <w:t>□</w:t>
      </w:r>
      <w:r>
        <w:rPr>
          <w:color w:val="auto"/>
          <w:szCs w:val="21"/>
          <w:highlight w:val="none"/>
        </w:rPr>
        <w:t>不存在利害关系</w:t>
      </w:r>
      <w:r>
        <w:rPr>
          <w:rFonts w:hint="eastAsia" w:ascii="宋体" w:hAnsi="宋体" w:cs="宋体"/>
          <w:color w:val="auto"/>
          <w:szCs w:val="21"/>
          <w:highlight w:val="none"/>
        </w:rPr>
        <w:sym w:font="Wingdings 2" w:char="00A3"/>
      </w:r>
      <w:r>
        <w:rPr>
          <w:color w:val="auto"/>
          <w:szCs w:val="21"/>
          <w:highlight w:val="none"/>
        </w:rPr>
        <w:t>存在下列利害关系 ：</w:t>
      </w:r>
    </w:p>
    <w:p w14:paraId="219E8E72">
      <w:pPr>
        <w:pStyle w:val="6"/>
        <w:tabs>
          <w:tab w:val="left" w:pos="2639"/>
          <w:tab w:val="left" w:pos="5159"/>
        </w:tabs>
        <w:adjustRightInd w:val="0"/>
        <w:snapToGrid w:val="0"/>
        <w:spacing w:after="0" w:line="360" w:lineRule="auto"/>
        <w:ind w:left="600"/>
        <w:rPr>
          <w:color w:val="auto"/>
          <w:szCs w:val="21"/>
          <w:highlight w:val="none"/>
        </w:rPr>
      </w:pPr>
      <w:r>
        <w:rPr>
          <w:color w:val="auto"/>
          <w:szCs w:val="21"/>
          <w:highlight w:val="none"/>
        </w:rPr>
        <w:t>A. 投资关系</w:t>
      </w:r>
      <w:r>
        <w:rPr>
          <w:color w:val="auto"/>
          <w:szCs w:val="21"/>
          <w:highlight w:val="none"/>
        </w:rPr>
        <w:tab/>
      </w:r>
      <w:r>
        <w:rPr>
          <w:color w:val="auto"/>
          <w:szCs w:val="21"/>
          <w:highlight w:val="none"/>
        </w:rPr>
        <w:t>B. 行政隶属关系</w:t>
      </w:r>
      <w:r>
        <w:rPr>
          <w:color w:val="auto"/>
          <w:szCs w:val="21"/>
          <w:highlight w:val="none"/>
        </w:rPr>
        <w:tab/>
      </w:r>
      <w:r>
        <w:rPr>
          <w:color w:val="auto"/>
          <w:szCs w:val="21"/>
          <w:highlight w:val="none"/>
        </w:rPr>
        <w:t>C. 业务指导关系</w:t>
      </w:r>
    </w:p>
    <w:p w14:paraId="68C8F384">
      <w:pPr>
        <w:pStyle w:val="6"/>
        <w:adjustRightInd w:val="0"/>
        <w:snapToGrid w:val="0"/>
        <w:spacing w:after="0" w:line="360" w:lineRule="auto"/>
        <w:ind w:left="600"/>
        <w:rPr>
          <w:color w:val="auto"/>
          <w:szCs w:val="21"/>
          <w:highlight w:val="none"/>
        </w:rPr>
      </w:pPr>
      <w:r>
        <w:rPr>
          <w:color w:val="auto"/>
          <w:szCs w:val="21"/>
          <w:highlight w:val="none"/>
        </w:rPr>
        <w:t>D. 其他可能影响采购公正的利害关系（如有，请如实说明）。</w:t>
      </w:r>
    </w:p>
    <w:p w14:paraId="39538249">
      <w:pPr>
        <w:pStyle w:val="6"/>
        <w:tabs>
          <w:tab w:val="left" w:pos="7223"/>
        </w:tabs>
        <w:adjustRightInd w:val="0"/>
        <w:snapToGrid w:val="0"/>
        <w:spacing w:after="0" w:line="360" w:lineRule="auto"/>
        <w:ind w:right="131" w:firstLine="574"/>
        <w:rPr>
          <w:color w:val="auto"/>
          <w:szCs w:val="21"/>
          <w:highlight w:val="none"/>
        </w:rPr>
      </w:pPr>
      <w:r>
        <w:rPr>
          <w:color w:val="auto"/>
          <w:szCs w:val="21"/>
          <w:highlight w:val="none"/>
        </w:rPr>
        <w:t>二、</w:t>
      </w:r>
      <w:r>
        <w:rPr>
          <w:color w:val="auto"/>
          <w:spacing w:val="3"/>
          <w:szCs w:val="21"/>
          <w:highlight w:val="none"/>
        </w:rPr>
        <w:t>现已清楚知道参加本项目采购活动的其他所有供应商名称，本单</w:t>
      </w:r>
      <w:r>
        <w:rPr>
          <w:color w:val="auto"/>
          <w:szCs w:val="21"/>
          <w:highlight w:val="none"/>
        </w:rPr>
        <w:t>位</w:t>
      </w:r>
      <w:r>
        <w:rPr>
          <w:rFonts w:hint="eastAsia" w:ascii="宋体" w:hAnsi="宋体" w:cs="宋体"/>
          <w:color w:val="auto"/>
          <w:szCs w:val="21"/>
          <w:highlight w:val="none"/>
        </w:rPr>
        <w:t>□</w:t>
      </w:r>
      <w:r>
        <w:rPr>
          <w:color w:val="auto"/>
          <w:szCs w:val="21"/>
          <w:highlight w:val="none"/>
        </w:rPr>
        <w:t>与其他所有供应商之间均不存在利害关系</w:t>
      </w:r>
      <w:r>
        <w:rPr>
          <w:rFonts w:hint="eastAsia" w:ascii="宋体" w:hAnsi="宋体" w:cs="宋体"/>
          <w:color w:val="auto"/>
          <w:szCs w:val="21"/>
          <w:highlight w:val="none"/>
        </w:rPr>
        <w:t>□</w:t>
      </w:r>
      <w:r>
        <w:rPr>
          <w:color w:val="auto"/>
          <w:szCs w:val="21"/>
          <w:highlight w:val="none"/>
        </w:rPr>
        <w:t>与</w:t>
      </w:r>
      <w:r>
        <w:rPr>
          <w:color w:val="auto"/>
          <w:szCs w:val="21"/>
          <w:highlight w:val="none"/>
          <w:u w:val="single"/>
        </w:rPr>
        <w:tab/>
      </w:r>
      <w:r>
        <w:rPr>
          <w:color w:val="auto"/>
          <w:szCs w:val="21"/>
          <w:highlight w:val="none"/>
        </w:rPr>
        <w:t>（供应商</w:t>
      </w:r>
      <w:r>
        <w:rPr>
          <w:color w:val="auto"/>
          <w:spacing w:val="-11"/>
          <w:szCs w:val="21"/>
          <w:highlight w:val="none"/>
        </w:rPr>
        <w:t>名</w:t>
      </w:r>
      <w:r>
        <w:rPr>
          <w:color w:val="auto"/>
          <w:szCs w:val="21"/>
          <w:highlight w:val="none"/>
        </w:rPr>
        <w:t>称）之间存在下列利害关系：</w:t>
      </w:r>
    </w:p>
    <w:p w14:paraId="04C4C4CD">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法定代表人或负责人或实际控制人是同一人</w:t>
      </w:r>
      <w:r>
        <w:rPr>
          <w:rFonts w:hint="eastAsia"/>
          <w:color w:val="auto"/>
          <w:szCs w:val="21"/>
          <w:highlight w:val="none"/>
        </w:rPr>
        <w:t>；</w:t>
      </w:r>
    </w:p>
    <w:p w14:paraId="6EFC8A77">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法定代表人或负责人或实际控制人是夫妻关系</w:t>
      </w:r>
      <w:r>
        <w:rPr>
          <w:rFonts w:hint="eastAsia"/>
          <w:color w:val="auto"/>
          <w:szCs w:val="21"/>
          <w:highlight w:val="none"/>
        </w:rPr>
        <w:t>；</w:t>
      </w:r>
    </w:p>
    <w:p w14:paraId="5CE9C155">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法定代表人或负责人或实际控制人是直系血亲关系</w:t>
      </w:r>
      <w:r>
        <w:rPr>
          <w:rFonts w:hint="eastAsia"/>
          <w:color w:val="auto"/>
          <w:szCs w:val="21"/>
          <w:highlight w:val="none"/>
        </w:rPr>
        <w:t>；</w:t>
      </w:r>
    </w:p>
    <w:p w14:paraId="76FB4352">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法定代表人或负责人或实际控制人存在三代以内旁系血亲关系</w:t>
      </w:r>
      <w:r>
        <w:rPr>
          <w:rFonts w:hint="eastAsia"/>
          <w:color w:val="auto"/>
          <w:szCs w:val="21"/>
          <w:highlight w:val="none"/>
        </w:rPr>
        <w:t>；</w:t>
      </w:r>
    </w:p>
    <w:p w14:paraId="46222953">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法定代表人或负责人或实际控制人存在近姻亲关系</w:t>
      </w:r>
      <w:r>
        <w:rPr>
          <w:rFonts w:hint="eastAsia"/>
          <w:color w:val="auto"/>
          <w:szCs w:val="21"/>
          <w:highlight w:val="none"/>
        </w:rPr>
        <w:t>；</w:t>
      </w:r>
    </w:p>
    <w:p w14:paraId="3C6027E5">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法定代表人或负责人或实际控制人存在股份控制或实际控制关系</w:t>
      </w:r>
      <w:r>
        <w:rPr>
          <w:rFonts w:hint="eastAsia"/>
          <w:color w:val="auto"/>
          <w:szCs w:val="21"/>
          <w:highlight w:val="none"/>
        </w:rPr>
        <w:t>；</w:t>
      </w:r>
    </w:p>
    <w:p w14:paraId="5577577F">
      <w:pPr>
        <w:pStyle w:val="29"/>
        <w:numPr>
          <w:ilvl w:val="0"/>
          <w:numId w:val="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存在共同直接或间接投资设立子公司、联营企业和合营企业情况</w:t>
      </w:r>
      <w:r>
        <w:rPr>
          <w:rFonts w:hint="eastAsia"/>
          <w:color w:val="auto"/>
          <w:szCs w:val="21"/>
          <w:highlight w:val="none"/>
        </w:rPr>
        <w:t>；</w:t>
      </w:r>
    </w:p>
    <w:p w14:paraId="707EA5E6">
      <w:pPr>
        <w:pStyle w:val="29"/>
        <w:numPr>
          <w:ilvl w:val="0"/>
          <w:numId w:val="3"/>
        </w:numPr>
        <w:tabs>
          <w:tab w:val="left" w:pos="960"/>
        </w:tabs>
        <w:adjustRightInd w:val="0"/>
        <w:snapToGrid w:val="0"/>
        <w:spacing w:line="360" w:lineRule="auto"/>
        <w:ind w:left="17" w:leftChars="8" w:firstLine="595" w:firstLineChars="301"/>
        <w:jc w:val="left"/>
        <w:rPr>
          <w:color w:val="auto"/>
          <w:spacing w:val="-6"/>
          <w:szCs w:val="21"/>
          <w:highlight w:val="none"/>
        </w:rPr>
      </w:pPr>
      <w:r>
        <w:rPr>
          <w:color w:val="auto"/>
          <w:spacing w:val="-6"/>
          <w:szCs w:val="21"/>
          <w:highlight w:val="none"/>
        </w:rPr>
        <w:t>存在分级代理或代销关系、同一生产制造商关系、 管理关系、重要业务（占主营业务收入 50% 以上）或重要财务往来关系（如融资）等其他实质性控制关系</w:t>
      </w:r>
      <w:r>
        <w:rPr>
          <w:rFonts w:hint="eastAsia"/>
          <w:color w:val="auto"/>
          <w:spacing w:val="-6"/>
          <w:szCs w:val="21"/>
          <w:highlight w:val="none"/>
        </w:rPr>
        <w:t>。</w:t>
      </w:r>
    </w:p>
    <w:p w14:paraId="601841D6">
      <w:pPr>
        <w:pStyle w:val="6"/>
        <w:tabs>
          <w:tab w:val="left" w:pos="6809"/>
        </w:tabs>
        <w:adjustRightInd w:val="0"/>
        <w:snapToGrid w:val="0"/>
        <w:spacing w:after="0" w:line="360" w:lineRule="auto"/>
        <w:ind w:left="600"/>
        <w:rPr>
          <w:color w:val="auto"/>
          <w:szCs w:val="21"/>
          <w:highlight w:val="none"/>
        </w:rPr>
      </w:pPr>
      <w:r>
        <w:rPr>
          <w:color w:val="auto"/>
          <w:szCs w:val="21"/>
          <w:highlight w:val="none"/>
        </w:rPr>
        <w:t>I .其他利害关系情况</w:t>
      </w:r>
      <w:r>
        <w:rPr>
          <w:color w:val="auto"/>
          <w:szCs w:val="21"/>
          <w:highlight w:val="none"/>
          <w:u w:val="single"/>
        </w:rPr>
        <w:tab/>
      </w:r>
      <w:r>
        <w:rPr>
          <w:color w:val="auto"/>
          <w:szCs w:val="21"/>
          <w:highlight w:val="none"/>
        </w:rPr>
        <w:t>。</w:t>
      </w:r>
    </w:p>
    <w:p w14:paraId="0563E07D">
      <w:pPr>
        <w:pStyle w:val="6"/>
        <w:adjustRightInd w:val="0"/>
        <w:snapToGrid w:val="0"/>
        <w:spacing w:after="0" w:line="360" w:lineRule="auto"/>
        <w:ind w:left="574"/>
        <w:rPr>
          <w:color w:val="auto"/>
          <w:szCs w:val="21"/>
          <w:highlight w:val="none"/>
        </w:rPr>
      </w:pPr>
      <w:r>
        <w:rPr>
          <w:color w:val="auto"/>
          <w:szCs w:val="21"/>
          <w:highlight w:val="none"/>
        </w:rPr>
        <w:t>三、现已清楚知道并 严格遵守政府采购法律法规和现场纪律。</w:t>
      </w:r>
    </w:p>
    <w:p w14:paraId="3CA21D9E">
      <w:pPr>
        <w:pStyle w:val="6"/>
        <w:tabs>
          <w:tab w:val="left" w:pos="1543"/>
          <w:tab w:val="left" w:pos="4345"/>
        </w:tabs>
        <w:adjustRightInd w:val="0"/>
        <w:snapToGrid w:val="0"/>
        <w:spacing w:after="0" w:line="360" w:lineRule="auto"/>
        <w:ind w:right="137" w:firstLine="574"/>
        <w:jc w:val="left"/>
        <w:rPr>
          <w:color w:val="auto"/>
          <w:szCs w:val="21"/>
          <w:highlight w:val="none"/>
        </w:rPr>
      </w:pPr>
      <w:r>
        <w:rPr>
          <w:color w:val="auto"/>
          <w:szCs w:val="21"/>
          <w:highlight w:val="none"/>
        </w:rPr>
        <w:t>四、我发现</w:t>
      </w:r>
      <w:r>
        <w:rPr>
          <w:color w:val="auto"/>
          <w:szCs w:val="21"/>
          <w:highlight w:val="none"/>
          <w:u w:val="single"/>
        </w:rPr>
        <w:tab/>
      </w:r>
      <w:r>
        <w:rPr>
          <w:color w:val="auto"/>
          <w:szCs w:val="21"/>
          <w:highlight w:val="none"/>
        </w:rPr>
        <w:t>供应商之间存在或可能存在上述第二</w:t>
      </w:r>
      <w:r>
        <w:rPr>
          <w:color w:val="auto"/>
          <w:spacing w:val="-17"/>
          <w:szCs w:val="21"/>
          <w:highlight w:val="none"/>
        </w:rPr>
        <w:t>条</w:t>
      </w:r>
      <w:r>
        <w:rPr>
          <w:color w:val="auto"/>
          <w:szCs w:val="21"/>
          <w:highlight w:val="none"/>
        </w:rPr>
        <w:t>第</w:t>
      </w:r>
      <w:r>
        <w:rPr>
          <w:color w:val="auto"/>
          <w:szCs w:val="21"/>
          <w:highlight w:val="none"/>
          <w:u w:val="single"/>
        </w:rPr>
        <w:tab/>
      </w:r>
      <w:r>
        <w:rPr>
          <w:color w:val="auto"/>
          <w:szCs w:val="21"/>
          <w:highlight w:val="none"/>
        </w:rPr>
        <w:t>项利害关系。</w:t>
      </w:r>
    </w:p>
    <w:p w14:paraId="3CB89B7D">
      <w:pPr>
        <w:pStyle w:val="6"/>
        <w:adjustRightInd w:val="0"/>
        <w:snapToGrid w:val="0"/>
        <w:spacing w:after="0" w:line="360" w:lineRule="auto"/>
        <w:ind w:right="1003"/>
        <w:rPr>
          <w:color w:val="auto"/>
          <w:szCs w:val="21"/>
          <w:highlight w:val="none"/>
        </w:rPr>
      </w:pPr>
    </w:p>
    <w:p w14:paraId="7E1B80F3">
      <w:pPr>
        <w:pStyle w:val="6"/>
        <w:adjustRightInd w:val="0"/>
        <w:snapToGrid w:val="0"/>
        <w:spacing w:after="0" w:line="360" w:lineRule="auto"/>
        <w:ind w:right="1003" w:firstLine="4200" w:firstLineChars="2000"/>
        <w:rPr>
          <w:color w:val="auto"/>
          <w:szCs w:val="21"/>
          <w:highlight w:val="none"/>
        </w:rPr>
      </w:pPr>
      <w:r>
        <w:rPr>
          <w:color w:val="auto"/>
          <w:szCs w:val="21"/>
          <w:highlight w:val="none"/>
        </w:rPr>
        <w:t xml:space="preserve">（供应商代表签名）： </w:t>
      </w:r>
    </w:p>
    <w:p w14:paraId="7CB584F3">
      <w:pPr>
        <w:pStyle w:val="6"/>
        <w:adjustRightInd w:val="0"/>
        <w:snapToGrid w:val="0"/>
        <w:spacing w:after="0" w:line="360" w:lineRule="auto"/>
        <w:ind w:right="1003"/>
        <w:rPr>
          <w:color w:val="auto"/>
          <w:szCs w:val="21"/>
          <w:highlight w:val="none"/>
        </w:rPr>
      </w:pPr>
    </w:p>
    <w:p w14:paraId="5E33CC18">
      <w:pPr>
        <w:jc w:val="right"/>
        <w:rPr>
          <w:color w:val="auto"/>
          <w:highlight w:val="none"/>
        </w:rPr>
      </w:pP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1E4481F0">
      <w:pPr>
        <w:pStyle w:val="8"/>
        <w:rPr>
          <w:color w:val="auto"/>
          <w:highlight w:val="none"/>
        </w:rPr>
      </w:pPr>
    </w:p>
    <w:p w14:paraId="055B093C">
      <w:pPr>
        <w:autoSpaceDE w:val="0"/>
        <w:autoSpaceDN w:val="0"/>
        <w:adjustRightInd w:val="0"/>
        <w:snapToGrid w:val="0"/>
        <w:spacing w:line="360" w:lineRule="auto"/>
        <w:outlineLvl w:val="1"/>
        <w:rPr>
          <w:rFonts w:ascii="宋体" w:hAnsi="宋体"/>
          <w:b/>
          <w:color w:val="auto"/>
          <w:szCs w:val="21"/>
          <w:highlight w:val="none"/>
        </w:rPr>
      </w:pPr>
      <w:r>
        <w:rPr>
          <w:rFonts w:ascii="宋体" w:hAnsi="宋体"/>
          <w:b/>
          <w:color w:val="auto"/>
          <w:szCs w:val="21"/>
          <w:highlight w:val="none"/>
        </w:rPr>
        <w:br w:type="page"/>
      </w:r>
      <w:bookmarkStart w:id="39" w:name="_Toc31871"/>
      <w:bookmarkStart w:id="40" w:name="_Toc12683"/>
      <w:bookmarkStart w:id="41" w:name="_Toc18794"/>
      <w:bookmarkStart w:id="42" w:name="_Toc32233"/>
    </w:p>
    <w:p w14:paraId="305E2CB4">
      <w:pPr>
        <w:bidi w:val="0"/>
        <w:rPr>
          <w:color w:val="auto"/>
          <w:highlight w:val="none"/>
        </w:rPr>
      </w:pPr>
      <w:r>
        <w:rPr>
          <w:rFonts w:hint="eastAsia"/>
          <w:color w:val="auto"/>
          <w:highlight w:val="none"/>
        </w:rPr>
        <w:t>二、响应文件封面</w:t>
      </w:r>
      <w:bookmarkEnd w:id="33"/>
      <w:bookmarkEnd w:id="34"/>
      <w:bookmarkEnd w:id="39"/>
      <w:bookmarkEnd w:id="40"/>
      <w:bookmarkEnd w:id="41"/>
      <w:bookmarkEnd w:id="42"/>
    </w:p>
    <w:p w14:paraId="38688FD4">
      <w:pPr>
        <w:autoSpaceDE w:val="0"/>
        <w:autoSpaceDN w:val="0"/>
        <w:adjustRightInd w:val="0"/>
        <w:rPr>
          <w:rFonts w:ascii="宋体" w:hAnsi="宋体"/>
          <w:bCs/>
          <w:color w:val="auto"/>
          <w:highlight w:val="none"/>
        </w:rPr>
      </w:pPr>
    </w:p>
    <w:p w14:paraId="0ADD3F99">
      <w:pPr>
        <w:autoSpaceDE w:val="0"/>
        <w:autoSpaceDN w:val="0"/>
        <w:adjustRightInd w:val="0"/>
        <w:spacing w:line="360" w:lineRule="auto"/>
        <w:jc w:val="right"/>
        <w:rPr>
          <w:rFonts w:ascii="宋体" w:hAnsi="宋体"/>
          <w:b/>
          <w:color w:val="auto"/>
          <w:sz w:val="28"/>
          <w:szCs w:val="28"/>
          <w:highlight w:val="none"/>
        </w:rPr>
      </w:pPr>
    </w:p>
    <w:p w14:paraId="5F9465DD">
      <w:pPr>
        <w:autoSpaceDE w:val="0"/>
        <w:autoSpaceDN w:val="0"/>
        <w:adjustRightInd w:val="0"/>
        <w:spacing w:line="360" w:lineRule="auto"/>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 xml:space="preserve">    （项目名称） </w:t>
      </w:r>
    </w:p>
    <w:p w14:paraId="193C11EA">
      <w:pPr>
        <w:autoSpaceDE w:val="0"/>
        <w:autoSpaceDN w:val="0"/>
        <w:adjustRightInd w:val="0"/>
        <w:spacing w:line="360" w:lineRule="auto"/>
        <w:jc w:val="center"/>
        <w:rPr>
          <w:rFonts w:ascii="宋体" w:hAnsi="宋体"/>
          <w:b/>
          <w:color w:val="auto"/>
          <w:sz w:val="44"/>
          <w:szCs w:val="44"/>
          <w:highlight w:val="none"/>
        </w:rPr>
      </w:pPr>
    </w:p>
    <w:p w14:paraId="111F849D">
      <w:pPr>
        <w:spacing w:line="360" w:lineRule="auto"/>
        <w:jc w:val="center"/>
        <w:rPr>
          <w:rFonts w:ascii="宋体" w:hAnsi="宋体" w:cs="Angsana New"/>
          <w:color w:val="auto"/>
          <w:spacing w:val="40"/>
          <w:w w:val="90"/>
          <w:sz w:val="72"/>
          <w:szCs w:val="72"/>
          <w:highlight w:val="none"/>
          <w:lang w:bidi="th-TH"/>
        </w:rPr>
      </w:pPr>
      <w:r>
        <w:rPr>
          <w:rFonts w:hint="eastAsia" w:ascii="宋体" w:hAnsi="宋体" w:cs="Angsana New"/>
          <w:color w:val="auto"/>
          <w:spacing w:val="40"/>
          <w:w w:val="90"/>
          <w:sz w:val="72"/>
          <w:szCs w:val="72"/>
          <w:highlight w:val="none"/>
          <w:lang w:bidi="th-TH"/>
        </w:rPr>
        <w:t>磋商响应文件</w:t>
      </w:r>
    </w:p>
    <w:p w14:paraId="78D7D707">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w:t>
      </w:r>
      <w:r>
        <w:rPr>
          <w:rFonts w:hint="eastAsia" w:ascii="宋体" w:hAnsi="宋体"/>
          <w:b/>
          <w:color w:val="auto"/>
          <w:sz w:val="36"/>
          <w:szCs w:val="36"/>
          <w:highlight w:val="none"/>
          <w:lang w:val="en-US" w:eastAsia="zh-CN"/>
        </w:rPr>
        <w:t>资格响应文件/</w:t>
      </w:r>
      <w:r>
        <w:rPr>
          <w:rFonts w:hint="eastAsia" w:ascii="宋体" w:hAnsi="宋体"/>
          <w:b/>
          <w:color w:val="auto"/>
          <w:sz w:val="36"/>
          <w:szCs w:val="36"/>
          <w:highlight w:val="none"/>
        </w:rPr>
        <w:t>商务及技术响应文件/报价响应文件）</w:t>
      </w:r>
    </w:p>
    <w:p w14:paraId="08C8BEED">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采购编号：  </w:t>
      </w:r>
    </w:p>
    <w:p w14:paraId="5872A516">
      <w:pPr>
        <w:autoSpaceDE w:val="0"/>
        <w:autoSpaceDN w:val="0"/>
        <w:adjustRightInd w:val="0"/>
        <w:spacing w:line="360" w:lineRule="auto"/>
        <w:rPr>
          <w:rFonts w:ascii="宋体" w:hAnsi="宋体"/>
          <w:b/>
          <w:color w:val="auto"/>
          <w:sz w:val="32"/>
          <w:szCs w:val="32"/>
          <w:highlight w:val="none"/>
        </w:rPr>
      </w:pPr>
    </w:p>
    <w:p w14:paraId="23DF5B72">
      <w:pPr>
        <w:autoSpaceDE w:val="0"/>
        <w:autoSpaceDN w:val="0"/>
        <w:adjustRightInd w:val="0"/>
        <w:spacing w:line="360" w:lineRule="auto"/>
        <w:rPr>
          <w:rFonts w:ascii="宋体" w:hAnsi="宋体"/>
          <w:b/>
          <w:color w:val="auto"/>
          <w:sz w:val="32"/>
          <w:szCs w:val="32"/>
          <w:highlight w:val="none"/>
        </w:rPr>
      </w:pPr>
    </w:p>
    <w:p w14:paraId="1408C7E8">
      <w:pPr>
        <w:autoSpaceDE w:val="0"/>
        <w:autoSpaceDN w:val="0"/>
        <w:adjustRightInd w:val="0"/>
        <w:spacing w:line="360" w:lineRule="auto"/>
        <w:rPr>
          <w:rFonts w:ascii="宋体" w:hAnsi="宋体"/>
          <w:b/>
          <w:color w:val="auto"/>
          <w:sz w:val="32"/>
          <w:szCs w:val="32"/>
          <w:highlight w:val="none"/>
        </w:rPr>
      </w:pPr>
    </w:p>
    <w:p w14:paraId="3FF3673B">
      <w:pPr>
        <w:autoSpaceDE w:val="0"/>
        <w:autoSpaceDN w:val="0"/>
        <w:adjustRightInd w:val="0"/>
        <w:spacing w:line="360" w:lineRule="auto"/>
        <w:rPr>
          <w:rFonts w:ascii="宋体" w:hAnsi="宋体"/>
          <w:b/>
          <w:color w:val="auto"/>
          <w:sz w:val="32"/>
          <w:szCs w:val="32"/>
          <w:highlight w:val="none"/>
        </w:rPr>
      </w:pPr>
    </w:p>
    <w:p w14:paraId="4CE16827">
      <w:pPr>
        <w:autoSpaceDE w:val="0"/>
        <w:autoSpaceDN w:val="0"/>
        <w:adjustRightInd w:val="0"/>
        <w:spacing w:line="360" w:lineRule="auto"/>
        <w:rPr>
          <w:rFonts w:ascii="宋体" w:hAnsi="宋体"/>
          <w:b/>
          <w:color w:val="auto"/>
          <w:sz w:val="32"/>
          <w:szCs w:val="32"/>
          <w:highlight w:val="none"/>
        </w:rPr>
      </w:pPr>
    </w:p>
    <w:p w14:paraId="785BA5BC">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14:paraId="005D31E9">
      <w:pPr>
        <w:autoSpaceDE w:val="0"/>
        <w:autoSpaceDN w:val="0"/>
        <w:adjustRightInd w:val="0"/>
        <w:spacing w:line="360" w:lineRule="auto"/>
        <w:rPr>
          <w:rFonts w:ascii="宋体" w:hAnsi="宋体"/>
          <w:b/>
          <w:color w:val="auto"/>
          <w:sz w:val="32"/>
          <w:szCs w:val="32"/>
          <w:highlight w:val="none"/>
        </w:rPr>
      </w:pPr>
    </w:p>
    <w:p w14:paraId="7CF6F0CD">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14:paraId="46DA98C1">
      <w:pPr>
        <w:autoSpaceDE w:val="0"/>
        <w:autoSpaceDN w:val="0"/>
        <w:adjustRightInd w:val="0"/>
        <w:spacing w:line="360" w:lineRule="auto"/>
        <w:rPr>
          <w:rFonts w:ascii="宋体" w:hAnsi="宋体"/>
          <w:b/>
          <w:color w:val="auto"/>
          <w:sz w:val="32"/>
          <w:szCs w:val="32"/>
          <w:highlight w:val="none"/>
        </w:rPr>
      </w:pPr>
    </w:p>
    <w:p w14:paraId="5B98767C">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14:paraId="482BEAE9">
      <w:pPr>
        <w:autoSpaceDE w:val="0"/>
        <w:autoSpaceDN w:val="0"/>
        <w:adjustRightInd w:val="0"/>
        <w:snapToGrid w:val="0"/>
        <w:spacing w:line="360" w:lineRule="auto"/>
        <w:outlineLvl w:val="1"/>
        <w:rPr>
          <w:rFonts w:hint="eastAsia" w:ascii="宋体" w:hAnsi="宋体"/>
          <w:b/>
          <w:bCs/>
          <w:color w:val="auto"/>
          <w:szCs w:val="21"/>
          <w:highlight w:val="none"/>
        </w:rPr>
      </w:pPr>
      <w:r>
        <w:rPr>
          <w:rFonts w:hint="eastAsia" w:ascii="宋体" w:hAnsi="宋体"/>
          <w:b/>
          <w:bCs/>
          <w:color w:val="auto"/>
          <w:szCs w:val="21"/>
          <w:highlight w:val="none"/>
        </w:rPr>
        <w:br w:type="page"/>
      </w:r>
      <w:bookmarkStart w:id="43" w:name="_Toc29420"/>
      <w:bookmarkStart w:id="44" w:name="_Toc24429"/>
      <w:bookmarkStart w:id="45" w:name="_Toc6991"/>
      <w:bookmarkStart w:id="46" w:name="_Toc25497"/>
    </w:p>
    <w:p w14:paraId="62D72CE1">
      <w:pPr>
        <w:bidi w:val="0"/>
        <w:rPr>
          <w:rFonts w:hint="default" w:eastAsiaTheme="minorEastAsia"/>
          <w:color w:val="auto"/>
          <w:highlight w:val="none"/>
          <w:lang w:val="en-US" w:eastAsia="zh-CN"/>
        </w:rPr>
      </w:pPr>
      <w:r>
        <w:rPr>
          <w:rFonts w:hint="eastAsia"/>
          <w:color w:val="auto"/>
          <w:highlight w:val="none"/>
        </w:rPr>
        <w:t>三、</w:t>
      </w:r>
      <w:bookmarkEnd w:id="43"/>
      <w:bookmarkEnd w:id="44"/>
      <w:r>
        <w:rPr>
          <w:rFonts w:hint="eastAsia"/>
          <w:color w:val="auto"/>
          <w:highlight w:val="none"/>
          <w:lang w:val="en-US" w:eastAsia="zh-CN"/>
        </w:rPr>
        <w:t>资格响应文件部分格式</w:t>
      </w:r>
    </w:p>
    <w:p w14:paraId="24DB87B5">
      <w:pPr>
        <w:jc w:val="center"/>
        <w:rPr>
          <w:rFonts w:hint="default" w:eastAsiaTheme="minorEastAsia"/>
          <w:color w:val="auto"/>
          <w:highlight w:val="none"/>
          <w:lang w:val="en-US" w:eastAsia="zh-CN"/>
        </w:rPr>
      </w:pPr>
      <w:r>
        <w:rPr>
          <w:rFonts w:hint="eastAsia"/>
          <w:b/>
          <w:bCs/>
          <w:color w:val="auto"/>
          <w:sz w:val="32"/>
          <w:szCs w:val="40"/>
          <w:highlight w:val="none"/>
          <w:lang w:val="en-US" w:eastAsia="zh-CN"/>
        </w:rPr>
        <w:t>资格证明文件</w:t>
      </w:r>
    </w:p>
    <w:p w14:paraId="56AA5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各供应商须按磋商须知</w:t>
      </w:r>
      <w:r>
        <w:rPr>
          <w:rFonts w:hint="eastAsia"/>
          <w:b/>
          <w:bCs/>
          <w:color w:val="auto"/>
          <w:highlight w:val="none"/>
        </w:rPr>
        <w:t>三、响应文件编制要求</w:t>
      </w:r>
      <w:r>
        <w:rPr>
          <w:rFonts w:hint="eastAsia"/>
          <w:color w:val="auto"/>
          <w:highlight w:val="none"/>
        </w:rPr>
        <w:t>的要求出具全部资格证明材料</w:t>
      </w:r>
    </w:p>
    <w:p w14:paraId="03C9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lang w:val="en-US" w:eastAsia="zh-CN"/>
        </w:rPr>
      </w:pPr>
    </w:p>
    <w:p w14:paraId="472A1814">
      <w:pPr>
        <w:rPr>
          <w:rFonts w:hint="eastAsia"/>
          <w:b/>
          <w:bCs/>
          <w:color w:val="auto"/>
          <w:highlight w:val="none"/>
          <w:lang w:val="en-US" w:eastAsia="zh-CN"/>
        </w:rPr>
      </w:pPr>
      <w:bookmarkStart w:id="47" w:name="_Toc27938"/>
      <w:bookmarkStart w:id="48" w:name="_Toc21945"/>
      <w:r>
        <w:rPr>
          <w:rFonts w:hint="eastAsia"/>
          <w:b/>
          <w:bCs/>
          <w:color w:val="auto"/>
          <w:highlight w:val="none"/>
          <w:lang w:val="en-US" w:eastAsia="zh-CN"/>
        </w:rPr>
        <w:t>注：供应商以联合体方式投标的，联合体各方均需提供营业执照及中小企业声明函。</w:t>
      </w:r>
    </w:p>
    <w:p w14:paraId="66FD79CA">
      <w:pPr>
        <w:rPr>
          <w:rFonts w:hint="eastAsia"/>
          <w:color w:val="auto"/>
          <w:sz w:val="28"/>
          <w:szCs w:val="36"/>
          <w:highlight w:val="none"/>
        </w:rPr>
      </w:pPr>
      <w:r>
        <w:rPr>
          <w:rFonts w:hint="eastAsia"/>
          <w:color w:val="auto"/>
          <w:sz w:val="28"/>
          <w:szCs w:val="36"/>
          <w:highlight w:val="none"/>
        </w:rPr>
        <w:br w:type="page"/>
      </w:r>
    </w:p>
    <w:p w14:paraId="42A4DCE4">
      <w:pPr>
        <w:bidi w:val="0"/>
        <w:rPr>
          <w:rFonts w:ascii="宋体" w:hAnsi="宋体" w:eastAsia="宋体" w:cs="宋体"/>
          <w:b w:val="0"/>
          <w:bCs/>
          <w:color w:val="auto"/>
          <w:szCs w:val="21"/>
          <w:highlight w:val="none"/>
        </w:rPr>
      </w:pPr>
      <w:r>
        <w:rPr>
          <w:rFonts w:hint="eastAsia"/>
          <w:color w:val="auto"/>
          <w:sz w:val="28"/>
          <w:szCs w:val="36"/>
          <w:highlight w:val="none"/>
        </w:rPr>
        <w:t>（1）符合参加政府采购活动应当具备的一般条件的承诺函：</w:t>
      </w:r>
      <w:bookmarkEnd w:id="47"/>
      <w:bookmarkEnd w:id="48"/>
    </w:p>
    <w:p w14:paraId="0C4CD53C">
      <w:pPr>
        <w:pStyle w:val="18"/>
        <w:rPr>
          <w:color w:val="auto"/>
          <w:highlight w:val="none"/>
        </w:rPr>
      </w:pPr>
    </w:p>
    <w:p w14:paraId="03E8A5B0">
      <w:pPr>
        <w:spacing w:line="360" w:lineRule="auto"/>
        <w:jc w:val="center"/>
        <w:rPr>
          <w:rFonts w:hint="eastAsia" w:ascii="宋体" w:hAnsi="宋体"/>
          <w:b/>
          <w:color w:val="auto"/>
          <w:sz w:val="32"/>
          <w:szCs w:val="32"/>
          <w:highlight w:val="none"/>
        </w:rPr>
      </w:pPr>
      <w:bookmarkStart w:id="49" w:name="_Toc18280"/>
      <w:bookmarkStart w:id="50" w:name="_Toc1989"/>
      <w:r>
        <w:rPr>
          <w:rFonts w:hint="eastAsia" w:ascii="宋体" w:hAnsi="宋体"/>
          <w:b/>
          <w:color w:val="auto"/>
          <w:sz w:val="32"/>
          <w:szCs w:val="32"/>
          <w:highlight w:val="none"/>
        </w:rPr>
        <w:t>符合参加政府采购活动应当具备的一般条件的承诺函</w:t>
      </w:r>
    </w:p>
    <w:p w14:paraId="1E81C72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p>
    <w:p w14:paraId="5908EBD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2"/>
          <w:szCs w:val="22"/>
          <w:highlight w:val="none"/>
        </w:rPr>
      </w:pPr>
      <w:r>
        <w:rPr>
          <w:rFonts w:hint="eastAsia" w:ascii="宋体" w:hAnsi="宋体"/>
          <w:color w:val="auto"/>
          <w:szCs w:val="21"/>
          <w:highlight w:val="none"/>
          <w:u w:val="single"/>
        </w:rPr>
        <w:t>（采购单位名称）：</w:t>
      </w:r>
      <w:r>
        <w:rPr>
          <w:rFonts w:ascii="宋体" w:hAnsi="宋体" w:cs="宋体"/>
          <w:color w:val="auto"/>
          <w:sz w:val="22"/>
          <w:szCs w:val="22"/>
          <w:highlight w:val="none"/>
        </w:rPr>
        <w:br w:type="textWrapping"/>
      </w:r>
      <w:r>
        <w:rPr>
          <w:rFonts w:ascii="宋体" w:hAnsi="宋体" w:cs="宋体"/>
          <w:color w:val="auto"/>
          <w:sz w:val="22"/>
          <w:szCs w:val="22"/>
          <w:highlight w:val="none"/>
        </w:rPr>
        <w:t>我方参与项目【招标编号：】采购活动，郑重承诺：</w:t>
      </w:r>
      <w:r>
        <w:rPr>
          <w:rFonts w:ascii="宋体" w:hAnsi="宋体" w:cs="宋体"/>
          <w:color w:val="auto"/>
          <w:sz w:val="22"/>
          <w:szCs w:val="22"/>
          <w:highlight w:val="none"/>
        </w:rPr>
        <w:br w:type="textWrapping"/>
      </w:r>
      <w:r>
        <w:rPr>
          <w:rFonts w:ascii="宋体" w:hAnsi="宋体" w:cs="宋体"/>
          <w:color w:val="auto"/>
          <w:sz w:val="22"/>
          <w:szCs w:val="22"/>
          <w:highlight w:val="none"/>
        </w:rPr>
        <w:t>（一）具备《中华人民共和国政府采购法》第二十二条第一款规定的条件：</w:t>
      </w:r>
      <w:r>
        <w:rPr>
          <w:rFonts w:ascii="宋体" w:hAnsi="宋体" w:cs="宋体"/>
          <w:color w:val="auto"/>
          <w:sz w:val="22"/>
          <w:szCs w:val="22"/>
          <w:highlight w:val="none"/>
        </w:rPr>
        <w:br w:type="textWrapping"/>
      </w:r>
      <w:r>
        <w:rPr>
          <w:rFonts w:ascii="宋体" w:hAnsi="宋体" w:cs="宋体"/>
          <w:color w:val="auto"/>
          <w:sz w:val="22"/>
          <w:szCs w:val="22"/>
          <w:highlight w:val="none"/>
        </w:rPr>
        <w:t>1、具有独立承担民事责任的能力；</w:t>
      </w:r>
      <w:r>
        <w:rPr>
          <w:rFonts w:ascii="宋体" w:hAnsi="宋体" w:cs="宋体"/>
          <w:color w:val="auto"/>
          <w:sz w:val="22"/>
          <w:szCs w:val="22"/>
          <w:highlight w:val="none"/>
        </w:rPr>
        <w:br w:type="textWrapping"/>
      </w:r>
      <w:r>
        <w:rPr>
          <w:rFonts w:ascii="宋体" w:hAnsi="宋体" w:cs="宋体"/>
          <w:color w:val="auto"/>
          <w:sz w:val="22"/>
          <w:szCs w:val="22"/>
          <w:highlight w:val="none"/>
        </w:rPr>
        <w:t>2、具有良好的商业信誉和健全的财务会计制度； </w:t>
      </w:r>
      <w:r>
        <w:rPr>
          <w:rFonts w:ascii="宋体" w:hAnsi="宋体" w:cs="宋体"/>
          <w:color w:val="auto"/>
          <w:sz w:val="22"/>
          <w:szCs w:val="22"/>
          <w:highlight w:val="none"/>
        </w:rPr>
        <w:br w:type="textWrapping"/>
      </w:r>
      <w:r>
        <w:rPr>
          <w:rFonts w:ascii="宋体" w:hAnsi="宋体" w:cs="宋体"/>
          <w:color w:val="auto"/>
          <w:sz w:val="22"/>
          <w:szCs w:val="22"/>
          <w:highlight w:val="none"/>
        </w:rPr>
        <w:t>3、具有履行合同所必需的设备和专业技术能力；</w:t>
      </w:r>
      <w:r>
        <w:rPr>
          <w:rFonts w:ascii="宋体" w:hAnsi="宋体" w:cs="宋体"/>
          <w:color w:val="auto"/>
          <w:sz w:val="22"/>
          <w:szCs w:val="22"/>
          <w:highlight w:val="none"/>
        </w:rPr>
        <w:br w:type="textWrapping"/>
      </w:r>
      <w:r>
        <w:rPr>
          <w:rFonts w:ascii="宋体" w:hAnsi="宋体" w:cs="宋体"/>
          <w:color w:val="auto"/>
          <w:sz w:val="22"/>
          <w:szCs w:val="22"/>
          <w:highlight w:val="none"/>
        </w:rPr>
        <w:t>4、有依法缴纳税收和社会保障资金的良好记录；</w:t>
      </w:r>
      <w:r>
        <w:rPr>
          <w:rFonts w:ascii="宋体" w:hAnsi="宋体" w:cs="宋体"/>
          <w:color w:val="auto"/>
          <w:sz w:val="22"/>
          <w:szCs w:val="22"/>
          <w:highlight w:val="none"/>
        </w:rPr>
        <w:br w:type="textWrapping"/>
      </w:r>
      <w:r>
        <w:rPr>
          <w:rFonts w:ascii="宋体" w:hAnsi="宋体" w:cs="宋体"/>
          <w:color w:val="auto"/>
          <w:sz w:val="22"/>
          <w:szCs w:val="22"/>
          <w:highlight w:val="none"/>
        </w:rPr>
        <w:t>5、参加政府采购活动前三年内，在经营活动中没有重大违法记录；</w:t>
      </w:r>
      <w:r>
        <w:rPr>
          <w:rFonts w:ascii="宋体" w:hAnsi="宋体" w:cs="宋体"/>
          <w:color w:val="auto"/>
          <w:sz w:val="22"/>
          <w:szCs w:val="22"/>
          <w:highlight w:val="none"/>
        </w:rPr>
        <w:br w:type="textWrapping"/>
      </w:r>
      <w:r>
        <w:rPr>
          <w:rFonts w:ascii="宋体" w:hAnsi="宋体" w:cs="宋体"/>
          <w:color w:val="auto"/>
          <w:sz w:val="22"/>
          <w:szCs w:val="22"/>
          <w:highlight w:val="none"/>
        </w:rPr>
        <w:t>6、具有法律、行政法规规定的其他条件。</w:t>
      </w:r>
      <w:r>
        <w:rPr>
          <w:rFonts w:ascii="宋体" w:hAnsi="宋体" w:cs="宋体"/>
          <w:color w:val="auto"/>
          <w:sz w:val="22"/>
          <w:szCs w:val="22"/>
          <w:highlight w:val="none"/>
        </w:rPr>
        <w:br w:type="textWrapping"/>
      </w:r>
      <w:r>
        <w:rPr>
          <w:rFonts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r>
        <w:rPr>
          <w:rFonts w:ascii="宋体" w:hAnsi="宋体" w:cs="宋体"/>
          <w:color w:val="auto"/>
          <w:sz w:val="22"/>
          <w:szCs w:val="22"/>
          <w:highlight w:val="none"/>
        </w:rPr>
        <w:br w:type="textWrapping"/>
      </w:r>
      <w:r>
        <w:rPr>
          <w:rFonts w:ascii="宋体" w:hAnsi="宋体" w:cs="宋体"/>
          <w:color w:val="auto"/>
          <w:sz w:val="22"/>
          <w:szCs w:val="22"/>
          <w:highlight w:val="none"/>
        </w:rPr>
        <w:t>（三）不存在以下情况：</w:t>
      </w:r>
      <w:r>
        <w:rPr>
          <w:rFonts w:ascii="宋体" w:hAnsi="宋体" w:cs="宋体"/>
          <w:color w:val="auto"/>
          <w:sz w:val="22"/>
          <w:szCs w:val="22"/>
          <w:highlight w:val="none"/>
        </w:rPr>
        <w:br w:type="textWrapping"/>
      </w:r>
      <w:r>
        <w:rPr>
          <w:rFonts w:ascii="宋体" w:hAnsi="宋体" w:cs="宋体"/>
          <w:color w:val="auto"/>
          <w:sz w:val="22"/>
          <w:szCs w:val="22"/>
          <w:highlight w:val="none"/>
        </w:rPr>
        <w:t>1、单位负责人为同一人或者存在直接控股、管理关系的不同供应商参加同一合同项下的政府采购活动的；</w:t>
      </w:r>
      <w:r>
        <w:rPr>
          <w:rFonts w:ascii="宋体" w:hAnsi="宋体" w:cs="宋体"/>
          <w:color w:val="auto"/>
          <w:sz w:val="22"/>
          <w:szCs w:val="22"/>
          <w:highlight w:val="none"/>
        </w:rPr>
        <w:br w:type="textWrapping"/>
      </w:r>
      <w:r>
        <w:rPr>
          <w:rFonts w:ascii="宋体" w:hAnsi="宋体" w:cs="宋体"/>
          <w:color w:val="auto"/>
          <w:sz w:val="22"/>
          <w:szCs w:val="22"/>
          <w:highlight w:val="none"/>
        </w:rPr>
        <w:t>2、为采购项目提供整体设计、规范编制或者项目管理、监理、检测等服务后再参加该采购项目的其他采购活动的。</w:t>
      </w:r>
      <w:r>
        <w:rPr>
          <w:rFonts w:ascii="宋体" w:hAnsi="宋体" w:cs="宋体"/>
          <w:color w:val="auto"/>
          <w:sz w:val="22"/>
          <w:szCs w:val="22"/>
          <w:highlight w:val="none"/>
        </w:rPr>
        <w:br w:type="textWrapping"/>
      </w:r>
      <w:bookmarkEnd w:id="49"/>
      <w:bookmarkEnd w:id="50"/>
    </w:p>
    <w:p w14:paraId="526CDAAE">
      <w:pPr>
        <w:keepNext w:val="0"/>
        <w:keepLines w:val="0"/>
        <w:pageBreakBefore w:val="0"/>
        <w:widowControl w:val="0"/>
        <w:tabs>
          <w:tab w:val="left" w:pos="1418"/>
        </w:tabs>
        <w:kinsoku/>
        <w:wordWrap/>
        <w:overflowPunct/>
        <w:topLinePunct w:val="0"/>
        <w:autoSpaceDE/>
        <w:autoSpaceDN/>
        <w:bidi w:val="0"/>
        <w:adjustRightInd/>
        <w:snapToGrid/>
        <w:spacing w:line="400" w:lineRule="exact"/>
        <w:ind w:firstLine="420"/>
        <w:textAlignment w:val="auto"/>
        <w:rPr>
          <w:rFonts w:ascii="宋体" w:hAnsi="宋体"/>
          <w:bCs/>
          <w:color w:val="auto"/>
          <w:szCs w:val="21"/>
          <w:highlight w:val="none"/>
        </w:rPr>
      </w:pPr>
      <w:r>
        <w:rPr>
          <w:rFonts w:hint="eastAsia" w:ascii="宋体" w:hAnsi="宋体"/>
          <w:bCs/>
          <w:color w:val="auto"/>
          <w:szCs w:val="21"/>
          <w:highlight w:val="none"/>
        </w:rPr>
        <w:t>法定代表人或授权代表（签字或盖章）</w:t>
      </w:r>
      <w:r>
        <w:rPr>
          <w:rFonts w:ascii="宋体" w:hAnsi="宋体"/>
          <w:color w:val="auto"/>
          <w:szCs w:val="21"/>
          <w:highlight w:val="none"/>
        </w:rPr>
        <w:t>：</w:t>
      </w:r>
    </w:p>
    <w:p w14:paraId="15CE2286">
      <w:pPr>
        <w:keepNext w:val="0"/>
        <w:keepLines w:val="0"/>
        <w:pageBreakBefore w:val="0"/>
        <w:widowControl w:val="0"/>
        <w:tabs>
          <w:tab w:val="left" w:pos="1418"/>
        </w:tabs>
        <w:kinsoku/>
        <w:wordWrap/>
        <w:overflowPunct/>
        <w:topLinePunct w:val="0"/>
        <w:autoSpaceDE/>
        <w:autoSpaceDN/>
        <w:bidi w:val="0"/>
        <w:adjustRightInd/>
        <w:snapToGrid/>
        <w:spacing w:line="400" w:lineRule="exact"/>
        <w:ind w:firstLine="420"/>
        <w:textAlignment w:val="auto"/>
        <w:rPr>
          <w:rFonts w:ascii="宋体" w:hAnsi="宋体"/>
          <w:b/>
          <w:bCs/>
          <w:color w:val="auto"/>
          <w:szCs w:val="21"/>
          <w:highlight w:val="none"/>
        </w:rPr>
      </w:pPr>
      <w:r>
        <w:rPr>
          <w:rFonts w:hint="eastAsia" w:ascii="宋体" w:hAnsi="宋体"/>
          <w:bCs/>
          <w:color w:val="auto"/>
          <w:szCs w:val="21"/>
          <w:highlight w:val="none"/>
        </w:rPr>
        <w:t xml:space="preserve">投 标 人（盖章）：                    </w:t>
      </w:r>
    </w:p>
    <w:p w14:paraId="0A829E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bCs/>
          <w:color w:val="auto"/>
          <w:szCs w:val="21"/>
          <w:highlight w:val="none"/>
        </w:rPr>
      </w:pPr>
      <w:r>
        <w:rPr>
          <w:rFonts w:hint="eastAsia" w:ascii="宋体" w:hAnsi="宋体"/>
          <w:bCs/>
          <w:color w:val="auto"/>
          <w:szCs w:val="21"/>
          <w:highlight w:val="none"/>
        </w:rPr>
        <w:t xml:space="preserve">          年  月  日</w:t>
      </w:r>
    </w:p>
    <w:p w14:paraId="177DC62C">
      <w:pPr>
        <w:rPr>
          <w:rFonts w:ascii="宋体" w:hAnsi="宋体"/>
          <w:bCs/>
          <w:color w:val="auto"/>
          <w:szCs w:val="21"/>
          <w:highlight w:val="none"/>
        </w:rPr>
      </w:pPr>
      <w:r>
        <w:rPr>
          <w:rFonts w:hint="eastAsia" w:ascii="宋体" w:hAnsi="宋体"/>
          <w:bCs/>
          <w:color w:val="auto"/>
          <w:szCs w:val="21"/>
          <w:highlight w:val="none"/>
        </w:rPr>
        <w:br w:type="page"/>
      </w:r>
    </w:p>
    <w:p w14:paraId="23420462">
      <w:pPr>
        <w:bidi w:val="0"/>
        <w:rPr>
          <w:rFonts w:hint="eastAsia"/>
          <w:color w:val="auto"/>
          <w:sz w:val="28"/>
          <w:szCs w:val="36"/>
          <w:highlight w:val="none"/>
        </w:rPr>
      </w:pPr>
      <w:r>
        <w:rPr>
          <w:rFonts w:hint="eastAsia"/>
          <w:color w:val="auto"/>
          <w:sz w:val="28"/>
          <w:szCs w:val="36"/>
          <w:highlight w:val="none"/>
          <w:lang w:val="en-US" w:eastAsia="zh-CN"/>
        </w:rPr>
        <w:t>（2）</w:t>
      </w:r>
      <w:r>
        <w:rPr>
          <w:rFonts w:hint="eastAsia"/>
          <w:color w:val="auto"/>
          <w:sz w:val="28"/>
          <w:szCs w:val="36"/>
          <w:highlight w:val="none"/>
        </w:rPr>
        <w:t>中小企业声明函（服务）</w:t>
      </w:r>
    </w:p>
    <w:p w14:paraId="54CEC53E">
      <w:pPr>
        <w:jc w:val="center"/>
        <w:rPr>
          <w:rFonts w:hint="eastAsia" w:ascii="宋体" w:hAnsi="宋体" w:cs="宋体"/>
          <w:b/>
          <w:bCs/>
          <w:color w:val="auto"/>
          <w:szCs w:val="21"/>
          <w:highlight w:val="none"/>
        </w:rPr>
      </w:pPr>
    </w:p>
    <w:p w14:paraId="65ECDF13">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中小企业声明函（服务）</w:t>
      </w:r>
    </w:p>
    <w:p w14:paraId="26017E36">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采购活动，服务全部由符合政策要求的中小企业承接。相关企业的具体情况如下：</w:t>
      </w:r>
    </w:p>
    <w:p w14:paraId="7ADDDFC2">
      <w:pPr>
        <w:snapToGrid w:val="0"/>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万元¹，属于（中型企业、小型企业、微型企业）；</w:t>
      </w:r>
    </w:p>
    <w:p w14:paraId="3C6B5F50">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370AF82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472E74C3">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58EA80E">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本企业对上述声明内容的真实性负责。如有虚假，将依法承担相应责任。 </w:t>
      </w:r>
    </w:p>
    <w:p w14:paraId="55E5FAA8">
      <w:pPr>
        <w:spacing w:line="360" w:lineRule="auto"/>
        <w:rPr>
          <w:rFonts w:hint="eastAsia" w:ascii="宋体" w:hAnsi="宋体" w:cs="宋体"/>
          <w:color w:val="auto"/>
          <w:szCs w:val="21"/>
          <w:highlight w:val="none"/>
        </w:rPr>
      </w:pPr>
    </w:p>
    <w:p w14:paraId="54CE966F">
      <w:pPr>
        <w:snapToGrid w:val="0"/>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14:paraId="641BE53C">
      <w:pPr>
        <w:snapToGrid w:val="0"/>
        <w:spacing w:line="360" w:lineRule="auto"/>
        <w:ind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日 期：</w:t>
      </w:r>
    </w:p>
    <w:p w14:paraId="4E0EA2F4">
      <w:pPr>
        <w:pStyle w:val="2"/>
        <w:keepNext w:val="0"/>
        <w:keepLines w:val="0"/>
        <w:tabs>
          <w:tab w:val="left" w:pos="432"/>
        </w:tabs>
        <w:spacing w:before="0" w:after="0" w:line="360" w:lineRule="auto"/>
        <w:ind w:left="0" w:firstLine="420" w:firstLineChars="200"/>
        <w:rPr>
          <w:rFonts w:hint="eastAsia" w:ascii="宋体" w:hAnsi="宋体" w:cs="宋体"/>
          <w:b w:val="0"/>
          <w:bCs w:val="0"/>
          <w:color w:val="auto"/>
          <w:kern w:val="2"/>
          <w:sz w:val="21"/>
          <w:szCs w:val="21"/>
          <w:highlight w:val="none"/>
        </w:rPr>
      </w:pPr>
    </w:p>
    <w:p w14:paraId="0930DB3E">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注：从业人员、营业收入、资产总额填报上一年度数据，无上一年度数据的新成立企业可不填报。</w:t>
      </w:r>
    </w:p>
    <w:p w14:paraId="76E8078D">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中小企业应当按照《政府采购促进中小企业发展管理办法》规定和《中小企业划型标准规定》（工信部联企业〔2011〕300 号），如实填写并提交《中小企业声明函》。未按要求出具声明函的，投标报价不予扣减。</w:t>
      </w:r>
    </w:p>
    <w:p w14:paraId="2D0650E5">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中小企业对其声明内容的真实性负责，声明函内容不实的，属于提供虚假材料谋取中标、成交，依照《中华人民共和国政府采购法》等国家有关规定追究相应责任</w:t>
      </w:r>
    </w:p>
    <w:p w14:paraId="068961A7">
      <w:pPr>
        <w:rPr>
          <w:rFonts w:hint="eastAsia" w:ascii="宋体" w:hAnsi="宋体" w:cs="宋体"/>
          <w:color w:val="auto"/>
          <w:highlight w:val="none"/>
        </w:rPr>
      </w:pPr>
    </w:p>
    <w:p w14:paraId="1DADEC13">
      <w:pPr>
        <w:spacing w:line="588" w:lineRule="exact"/>
        <w:jc w:val="center"/>
        <w:rPr>
          <w:rFonts w:hint="eastAsia" w:ascii="宋体" w:hAnsi="宋体" w:cs="宋体"/>
          <w:b/>
          <w:color w:val="auto"/>
          <w:spacing w:val="6"/>
          <w:sz w:val="22"/>
          <w:szCs w:val="22"/>
          <w:highlight w:val="none"/>
        </w:rPr>
      </w:pPr>
    </w:p>
    <w:p w14:paraId="6B89FBAA">
      <w:pPr>
        <w:spacing w:line="588" w:lineRule="exact"/>
        <w:jc w:val="center"/>
        <w:rPr>
          <w:rFonts w:hint="eastAsia" w:ascii="宋体" w:hAnsi="宋体" w:cs="宋体"/>
          <w:b/>
          <w:color w:val="auto"/>
          <w:spacing w:val="6"/>
          <w:sz w:val="22"/>
          <w:szCs w:val="22"/>
          <w:highlight w:val="none"/>
        </w:rPr>
      </w:pPr>
    </w:p>
    <w:p w14:paraId="5FE96C6A">
      <w:pPr>
        <w:pStyle w:val="17"/>
        <w:rPr>
          <w:rFonts w:hint="eastAsia"/>
          <w:color w:val="auto"/>
          <w:highlight w:val="none"/>
        </w:rPr>
      </w:pPr>
    </w:p>
    <w:p w14:paraId="4308A574">
      <w:pPr>
        <w:spacing w:line="588" w:lineRule="exact"/>
        <w:jc w:val="center"/>
        <w:rPr>
          <w:rFonts w:hint="eastAsia" w:ascii="宋体" w:hAnsi="宋体" w:cs="宋体"/>
          <w:b/>
          <w:color w:val="auto"/>
          <w:spacing w:val="6"/>
          <w:sz w:val="22"/>
          <w:szCs w:val="22"/>
          <w:highlight w:val="none"/>
        </w:rPr>
      </w:pPr>
    </w:p>
    <w:p w14:paraId="32AA6542">
      <w:pPr>
        <w:spacing w:line="588" w:lineRule="exact"/>
        <w:jc w:val="center"/>
        <w:rPr>
          <w:rFonts w:hint="eastAsia" w:ascii="宋体" w:hAnsi="宋体" w:cs="宋体"/>
          <w:b/>
          <w:color w:val="auto"/>
          <w:spacing w:val="6"/>
          <w:sz w:val="22"/>
          <w:szCs w:val="22"/>
          <w:highlight w:val="none"/>
        </w:rPr>
      </w:pPr>
    </w:p>
    <w:p w14:paraId="293FDD35">
      <w:pPr>
        <w:spacing w:line="588" w:lineRule="exact"/>
        <w:jc w:val="center"/>
        <w:rPr>
          <w:rFonts w:hint="eastAsia" w:ascii="宋体" w:hAnsi="宋体" w:cs="宋体"/>
          <w:b/>
          <w:color w:val="auto"/>
          <w:spacing w:val="6"/>
          <w:sz w:val="22"/>
          <w:szCs w:val="22"/>
          <w:highlight w:val="none"/>
        </w:rPr>
      </w:pPr>
    </w:p>
    <w:p w14:paraId="6CF39130">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1C43814B">
      <w:pPr>
        <w:spacing w:line="588" w:lineRule="exact"/>
        <w:rPr>
          <w:rFonts w:hint="eastAsia" w:ascii="宋体" w:hAnsi="宋体" w:cs="宋体"/>
          <w:b/>
          <w:color w:val="auto"/>
          <w:spacing w:val="6"/>
          <w:sz w:val="22"/>
          <w:szCs w:val="22"/>
          <w:highlight w:val="none"/>
        </w:rPr>
      </w:pPr>
    </w:p>
    <w:p w14:paraId="1AA2E25D">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0CEB1A">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本单位对上述声明的真实性负责。如有虚假，将依法承担相应责任。</w:t>
      </w:r>
    </w:p>
    <w:p w14:paraId="51933167">
      <w:pPr>
        <w:spacing w:line="588" w:lineRule="exact"/>
        <w:rPr>
          <w:rFonts w:hint="eastAsia" w:ascii="宋体" w:hAnsi="宋体" w:cs="宋体"/>
          <w:color w:val="auto"/>
          <w:spacing w:val="6"/>
          <w:sz w:val="22"/>
          <w:szCs w:val="22"/>
          <w:highlight w:val="none"/>
        </w:rPr>
      </w:pPr>
    </w:p>
    <w:p w14:paraId="17BFB708">
      <w:pPr>
        <w:spacing w:line="360" w:lineRule="auto"/>
        <w:ind w:firstLine="464" w:firstLineChars="200"/>
        <w:jc w:val="right"/>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 xml:space="preserve">         </w:t>
      </w:r>
      <w:r>
        <w:rPr>
          <w:rFonts w:hint="eastAsia" w:ascii="宋体" w:hAnsi="宋体" w:cs="宋体"/>
          <w:color w:val="auto"/>
          <w:sz w:val="22"/>
          <w:szCs w:val="22"/>
          <w:highlight w:val="none"/>
        </w:rPr>
        <w:t xml:space="preserve">    单位名称（盖章）：</w:t>
      </w:r>
    </w:p>
    <w:p w14:paraId="52BA0A7B">
      <w:pPr>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日  期：</w:t>
      </w:r>
    </w:p>
    <w:p w14:paraId="2CB8CA18">
      <w:pPr>
        <w:rPr>
          <w:rFonts w:hint="eastAsia" w:ascii="宋体" w:hAnsi="宋体" w:cs="宋体"/>
          <w:color w:val="auto"/>
          <w:highlight w:val="none"/>
        </w:rPr>
      </w:pPr>
    </w:p>
    <w:p w14:paraId="3739A55C">
      <w:pPr>
        <w:pStyle w:val="2"/>
        <w:jc w:val="left"/>
        <w:rPr>
          <w:rFonts w:hint="eastAsia" w:ascii="宋体" w:hAnsi="宋体" w:eastAsia="宋体" w:cs="宋体"/>
          <w:b w:val="0"/>
          <w:bCs/>
          <w:color w:val="auto"/>
          <w:sz w:val="28"/>
          <w:szCs w:val="21"/>
          <w:highlight w:val="none"/>
        </w:rPr>
      </w:pPr>
    </w:p>
    <w:p w14:paraId="6E5070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br w:type="page"/>
      </w:r>
    </w:p>
    <w:p w14:paraId="679F13BD">
      <w:pPr>
        <w:bidi w:val="0"/>
        <w:rPr>
          <w:rFonts w:hint="eastAsia"/>
          <w:color w:val="auto"/>
          <w:sz w:val="28"/>
          <w:szCs w:val="36"/>
          <w:highlight w:val="none"/>
        </w:rPr>
      </w:pPr>
      <w:r>
        <w:rPr>
          <w:rFonts w:hint="eastAsia"/>
          <w:color w:val="auto"/>
          <w:sz w:val="28"/>
          <w:szCs w:val="36"/>
          <w:highlight w:val="none"/>
          <w:lang w:val="en-US" w:eastAsia="zh-CN"/>
        </w:rPr>
        <w:t>（3）</w:t>
      </w:r>
      <w:r>
        <w:rPr>
          <w:rFonts w:hint="eastAsia"/>
          <w:color w:val="auto"/>
          <w:sz w:val="28"/>
          <w:szCs w:val="36"/>
          <w:highlight w:val="none"/>
        </w:rPr>
        <w:t>联合体协议书</w:t>
      </w:r>
    </w:p>
    <w:p w14:paraId="0C07FE69">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联合体协议书</w:t>
      </w:r>
    </w:p>
    <w:p w14:paraId="28A88C13">
      <w:pPr>
        <w:pageBreakBefore w:val="0"/>
        <w:kinsoku/>
        <w:wordWrap w:val="0"/>
        <w:overflowPunct/>
        <w:topLinePunct w:val="0"/>
        <w:bidi w:val="0"/>
        <w:spacing w:line="400" w:lineRule="exact"/>
        <w:jc w:val="center"/>
        <w:outlineLvl w:val="9"/>
        <w:rPr>
          <w:rFonts w:eastAsia="宋体" w:cs="Times New Roman"/>
          <w:b/>
          <w:color w:val="auto"/>
          <w:sz w:val="24"/>
          <w:szCs w:val="24"/>
          <w:highlight w:val="none"/>
        </w:rPr>
      </w:pPr>
      <w:r>
        <w:rPr>
          <w:rFonts w:hint="eastAsia" w:eastAsia="宋体" w:cs="Times New Roman"/>
          <w:b/>
          <w:color w:val="auto"/>
          <w:sz w:val="24"/>
          <w:szCs w:val="24"/>
          <w:highlight w:val="none"/>
          <w:shd w:val="clear" w:color="auto" w:fill="BEBEBE"/>
        </w:rPr>
        <w:t>（供应商以联合体方式投标的必须提供联合体协议书，否则作无效标处理）</w:t>
      </w:r>
    </w:p>
    <w:p w14:paraId="0956631C">
      <w:pPr>
        <w:pageBreakBefore w:val="0"/>
        <w:kinsoku/>
        <w:overflowPunct/>
        <w:topLinePunct w:val="0"/>
        <w:bidi w:val="0"/>
        <w:spacing w:line="400" w:lineRule="exact"/>
        <w:jc w:val="left"/>
        <w:outlineLvl w:val="9"/>
        <w:rPr>
          <w:rFonts w:eastAsia="宋体" w:cs="Times New Roman"/>
          <w:b/>
          <w:color w:val="auto"/>
          <w:highlight w:val="none"/>
        </w:rPr>
      </w:pPr>
    </w:p>
    <w:p w14:paraId="2ED3F763">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（所有成员单位名称）</w:t>
      </w:r>
      <w:r>
        <w:rPr>
          <w:rFonts w:hint="eastAsia" w:ascii="宋体" w:hAnsi="宋体" w:eastAsia="宋体" w:cs="宋体"/>
          <w:color w:val="auto"/>
          <w:sz w:val="21"/>
          <w:szCs w:val="21"/>
          <w:highlight w:val="none"/>
        </w:rPr>
        <w:t>自愿组成</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联合体，共同参加</w:t>
      </w:r>
      <w:r>
        <w:rPr>
          <w:rFonts w:hint="eastAsia" w:ascii="宋体" w:hAnsi="宋体" w:eastAsia="宋体" w:cs="宋体"/>
          <w:color w:val="auto"/>
          <w:sz w:val="21"/>
          <w:szCs w:val="21"/>
          <w:highlight w:val="none"/>
          <w:u w:val="single"/>
        </w:rPr>
        <w:t xml:space="preserve">          （项目编号）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的投标。现就联合体投标事宜订立如下协议。</w:t>
      </w:r>
    </w:p>
    <w:p w14:paraId="21D37427">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（某成员单位名称）</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（联合体名称）</w:t>
      </w:r>
      <w:r>
        <w:rPr>
          <w:rFonts w:hint="eastAsia" w:ascii="宋体" w:hAnsi="宋体" w:eastAsia="宋体" w:cs="宋体"/>
          <w:color w:val="auto"/>
          <w:sz w:val="21"/>
          <w:szCs w:val="21"/>
          <w:highlight w:val="none"/>
        </w:rPr>
        <w:t>牵头人。</w:t>
      </w:r>
    </w:p>
    <w:p w14:paraId="2134CBF2">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牵头人合法代表联合体各成员负责本采购项目磋商响应文件编制，参加采购活动，代表联合体提交和接收相关的资料、信息及指示，并处理与之有关的一切事务，负责合同实施阶段的主办、组织和协调工作。</w:t>
      </w:r>
    </w:p>
    <w:p w14:paraId="0850FFEF">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3.联合体将严格按照采购文件的各项要求，递交磋商响应文件，履行合同，并对外承担连带责任。</w:t>
      </w:r>
    </w:p>
    <w:p w14:paraId="1A083F06">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4.联合体各成员单位内部的职责分工如下：</w:t>
      </w:r>
    </w:p>
    <w:p w14:paraId="7DF6865B">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（联合体牵头人名称）</w:t>
      </w:r>
      <w:r>
        <w:rPr>
          <w:rFonts w:hint="eastAsia" w:ascii="宋体" w:hAnsi="宋体" w:eastAsia="宋体" w:cs="宋体"/>
          <w:color w:val="auto"/>
          <w:sz w:val="21"/>
          <w:szCs w:val="21"/>
          <w:highlight w:val="none"/>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，占项目合同金额的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CAB794">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（联合体成员一名称）</w:t>
      </w:r>
      <w:r>
        <w:rPr>
          <w:rFonts w:hint="eastAsia" w:ascii="宋体" w:hAnsi="宋体" w:eastAsia="宋体" w:cs="宋体"/>
          <w:color w:val="auto"/>
          <w:sz w:val="21"/>
          <w:szCs w:val="21"/>
          <w:highlight w:val="none"/>
        </w:rPr>
        <w:t>承担的工作和义务为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，占项目合同金额的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3C2773B">
      <w:pPr>
        <w:pageBreakBefore w:val="0"/>
        <w:kinsoku/>
        <w:wordWrap w:val="0"/>
        <w:overflowPunct/>
        <w:topLinePunct w:val="0"/>
        <w:bidi w:val="0"/>
        <w:spacing w:line="400" w:lineRule="exact"/>
        <w:ind w:firstLine="422" w:firstLineChars="200"/>
        <w:outlineLvl w:val="9"/>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rPr>
        <w:t>......（如有多个联合体成员的，按同格式增加）</w:t>
      </w:r>
    </w:p>
    <w:p w14:paraId="456D53B7">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5.联合体所有成员单位之间</w:t>
      </w:r>
      <w:r>
        <w:rPr>
          <w:rFonts w:hint="eastAsia" w:ascii="宋体" w:hAnsi="宋体" w:eastAsia="宋体" w:cs="宋体"/>
          <w:color w:val="auto"/>
          <w:sz w:val="21"/>
          <w:szCs w:val="21"/>
          <w:highlight w:val="none"/>
          <w:u w:val="single"/>
        </w:rPr>
        <w:t xml:space="preserve">          （存在或不存在）</w:t>
      </w:r>
      <w:r>
        <w:rPr>
          <w:rFonts w:hint="eastAsia" w:ascii="宋体" w:hAnsi="宋体" w:eastAsia="宋体" w:cs="宋体"/>
          <w:color w:val="auto"/>
          <w:sz w:val="21"/>
          <w:szCs w:val="21"/>
          <w:highlight w:val="none"/>
        </w:rPr>
        <w:t>直接控股、管理关系的情形。</w:t>
      </w:r>
    </w:p>
    <w:p w14:paraId="173BDFA1">
      <w:pPr>
        <w:pageBreakBefore w:val="0"/>
        <w:kinsoku/>
        <w:wordWrap w:val="0"/>
        <w:overflowPunct/>
        <w:topLinePunct w:val="0"/>
        <w:bidi w:val="0"/>
        <w:spacing w:line="4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6.本协议书自签署之日起生效，合同履行完毕后自动失效。</w:t>
      </w:r>
    </w:p>
    <w:p w14:paraId="3747FCB0">
      <w:pPr>
        <w:pageBreakBefore w:val="0"/>
        <w:kinsoku/>
        <w:wordWrap w:val="0"/>
        <w:overflowPunct/>
        <w:topLinePunct w:val="0"/>
        <w:bidi w:val="0"/>
        <w:spacing w:line="400" w:lineRule="exact"/>
        <w:outlineLvl w:val="9"/>
        <w:rPr>
          <w:rFonts w:hint="eastAsia" w:ascii="宋体" w:hAnsi="宋体" w:eastAsia="宋体" w:cs="宋体"/>
          <w:color w:val="auto"/>
          <w:sz w:val="21"/>
          <w:szCs w:val="21"/>
          <w:highlight w:val="none"/>
        </w:rPr>
      </w:pPr>
    </w:p>
    <w:p w14:paraId="1A9BE7D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联合体牵头人（盖公章）：</w:t>
      </w:r>
      <w:r>
        <w:rPr>
          <w:rFonts w:hint="eastAsia" w:ascii="宋体" w:hAnsi="宋体" w:eastAsia="宋体" w:cs="宋体"/>
          <w:color w:val="auto"/>
          <w:sz w:val="21"/>
          <w:szCs w:val="21"/>
          <w:highlight w:val="none"/>
          <w:u w:val="single"/>
        </w:rPr>
        <w:t xml:space="preserve">          </w:t>
      </w:r>
    </w:p>
    <w:p w14:paraId="0A7BAB8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14:paraId="04A32B3A">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p>
    <w:p w14:paraId="29092287">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联合体成员一（盖公章）：</w:t>
      </w:r>
      <w:r>
        <w:rPr>
          <w:rFonts w:hint="eastAsia" w:ascii="宋体" w:hAnsi="宋体" w:eastAsia="宋体" w:cs="宋体"/>
          <w:color w:val="auto"/>
          <w:sz w:val="21"/>
          <w:szCs w:val="21"/>
          <w:highlight w:val="none"/>
          <w:u w:val="single"/>
        </w:rPr>
        <w:t xml:space="preserve">          </w:t>
      </w:r>
    </w:p>
    <w:p w14:paraId="40D91214">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39946E50">
      <w:pPr>
        <w:pageBreakBefore w:val="0"/>
        <w:kinsoku/>
        <w:wordWrap w:val="0"/>
        <w:overflowPunct/>
        <w:topLinePunct w:val="0"/>
        <w:bidi w:val="0"/>
        <w:spacing w:line="400" w:lineRule="exact"/>
        <w:ind w:firstLine="2530" w:firstLineChars="1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......（如有多个联合体成员的，按同格式增加）</w:t>
      </w:r>
    </w:p>
    <w:p w14:paraId="10F9442D">
      <w:pPr>
        <w:pageBreakBefore w:val="0"/>
        <w:kinsoku/>
        <w:wordWrap w:val="0"/>
        <w:overflowPunct/>
        <w:topLinePunct w:val="0"/>
        <w:bidi w:val="0"/>
        <w:spacing w:line="400" w:lineRule="exact"/>
        <w:ind w:firstLine="2520" w:firstLineChars="1200"/>
        <w:outlineLvl w:val="9"/>
        <w:rPr>
          <w:rFonts w:hint="eastAsia" w:ascii="宋体" w:hAnsi="宋体" w:eastAsia="宋体" w:cs="宋体"/>
          <w:color w:val="auto"/>
          <w:sz w:val="21"/>
          <w:szCs w:val="21"/>
          <w:highlight w:val="none"/>
        </w:rPr>
      </w:pPr>
    </w:p>
    <w:p w14:paraId="2063CCD7">
      <w:pPr>
        <w:pStyle w:val="18"/>
        <w:pageBreakBefore w:val="0"/>
        <w:tabs>
          <w:tab w:val="left" w:pos="0"/>
          <w:tab w:val="left" w:pos="1260"/>
          <w:tab w:val="left" w:pos="1365"/>
        </w:tabs>
        <w:kinsoku/>
        <w:overflowPunct/>
        <w:topLinePunct w:val="0"/>
        <w:bidi w:val="0"/>
        <w:ind w:left="420" w:firstLine="400"/>
        <w:jc w:val="righ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406FB7D">
      <w:pPr>
        <w:pStyle w:val="32"/>
        <w:pageBreakBefore w:val="0"/>
        <w:kinsoku/>
        <w:overflowPunct/>
        <w:topLinePunct w:val="0"/>
        <w:bidi w:val="0"/>
        <w:outlineLvl w:val="9"/>
        <w:rPr>
          <w:rFonts w:hint="eastAsia" w:ascii="宋体" w:hAnsi="宋体" w:eastAsia="宋体" w:cs="宋体"/>
          <w:color w:val="auto"/>
          <w:sz w:val="21"/>
          <w:szCs w:val="21"/>
          <w:highlight w:val="none"/>
        </w:rPr>
      </w:pPr>
    </w:p>
    <w:p w14:paraId="2EA2BF2F">
      <w:pPr>
        <w:pStyle w:val="32"/>
        <w:pageBreakBefore w:val="0"/>
        <w:kinsoku/>
        <w:overflowPunct/>
        <w:topLinePunct w:val="0"/>
        <w:bidi w:val="0"/>
        <w:outlineLvl w:val="9"/>
        <w:rPr>
          <w:rFonts w:hint="eastAsia" w:ascii="宋体" w:hAnsi="宋体" w:eastAsia="宋体" w:cs="宋体"/>
          <w:color w:val="auto"/>
          <w:sz w:val="21"/>
          <w:szCs w:val="21"/>
          <w:highlight w:val="none"/>
        </w:rPr>
      </w:pPr>
    </w:p>
    <w:p w14:paraId="459F4003">
      <w:pPr>
        <w:pStyle w:val="32"/>
        <w:ind w:firstLine="422" w:firstLineChars="200"/>
        <w:rPr>
          <w:rFonts w:hint="eastAsia" w:ascii="宋体" w:hAnsi="宋体" w:eastAsia="宋体" w:cs="宋体"/>
          <w:color w:val="auto"/>
          <w:sz w:val="21"/>
          <w:szCs w:val="21"/>
          <w:highlight w:val="none"/>
        </w:rPr>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
          <w:bCs/>
          <w:color w:val="auto"/>
          <w:sz w:val="21"/>
          <w:szCs w:val="21"/>
          <w:highlight w:val="none"/>
        </w:rPr>
        <w:t>签字说明：1、完整填写本函并打印，线下完成手写签字</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加盖公章</w:t>
      </w:r>
      <w:r>
        <w:rPr>
          <w:rFonts w:hint="eastAsia" w:ascii="宋体" w:hAnsi="宋体" w:eastAsia="宋体" w:cs="宋体"/>
          <w:b/>
          <w:bCs/>
          <w:color w:val="auto"/>
          <w:sz w:val="21"/>
          <w:szCs w:val="21"/>
          <w:highlight w:val="none"/>
        </w:rPr>
        <w:t>后，扫描或拍照后上传政采云平台。内容必须清晰，否则无效！</w:t>
      </w:r>
    </w:p>
    <w:p w14:paraId="00BCDD8A">
      <w:pPr>
        <w:bidi w:val="0"/>
        <w:rPr>
          <w:color w:val="auto"/>
          <w:highlight w:val="none"/>
        </w:rPr>
      </w:pPr>
      <w:r>
        <w:rPr>
          <w:rFonts w:hint="eastAsia"/>
          <w:color w:val="auto"/>
          <w:highlight w:val="none"/>
        </w:rPr>
        <w:t>三、商务及技术响应文件</w:t>
      </w:r>
      <w:r>
        <w:rPr>
          <w:rFonts w:hint="eastAsia"/>
          <w:color w:val="auto"/>
          <w:highlight w:val="none"/>
          <w:lang w:val="en-US" w:eastAsia="zh-CN"/>
        </w:rPr>
        <w:t>部分格式</w:t>
      </w:r>
      <w:bookmarkEnd w:id="45"/>
      <w:bookmarkEnd w:id="46"/>
    </w:p>
    <w:p w14:paraId="6A4F7783">
      <w:pPr>
        <w:bidi w:val="0"/>
        <w:rPr>
          <w:rFonts w:hint="eastAsia"/>
          <w:color w:val="auto"/>
          <w:sz w:val="24"/>
          <w:szCs w:val="32"/>
          <w:highlight w:val="none"/>
          <w:lang w:eastAsia="zh-CN"/>
        </w:rPr>
      </w:pPr>
    </w:p>
    <w:p w14:paraId="4A4180D5">
      <w:pPr>
        <w:bidi w:val="0"/>
        <w:rPr>
          <w:rFonts w:ascii="宋体" w:hAnsi="宋体" w:eastAsia="宋体" w:cs="宋体"/>
          <w:b w:val="0"/>
          <w:bCs/>
          <w:color w:val="auto"/>
          <w:szCs w:val="21"/>
          <w:highlight w:val="none"/>
        </w:rPr>
      </w:pPr>
      <w:r>
        <w:rPr>
          <w:rFonts w:hint="eastAsia"/>
          <w:color w:val="auto"/>
          <w:sz w:val="24"/>
          <w:szCs w:val="32"/>
          <w:highlight w:val="none"/>
          <w:lang w:eastAsia="zh-CN"/>
        </w:rPr>
        <w:t>（</w:t>
      </w:r>
      <w:r>
        <w:rPr>
          <w:rFonts w:hint="eastAsia"/>
          <w:color w:val="auto"/>
          <w:sz w:val="24"/>
          <w:szCs w:val="32"/>
          <w:highlight w:val="none"/>
          <w:lang w:val="en-US" w:eastAsia="zh-CN"/>
        </w:rPr>
        <w:t>1</w:t>
      </w:r>
      <w:r>
        <w:rPr>
          <w:rFonts w:hint="eastAsia"/>
          <w:color w:val="auto"/>
          <w:sz w:val="24"/>
          <w:szCs w:val="32"/>
          <w:highlight w:val="none"/>
          <w:lang w:eastAsia="zh-CN"/>
        </w:rPr>
        <w:t>）</w:t>
      </w:r>
      <w:r>
        <w:rPr>
          <w:rFonts w:hint="eastAsia"/>
          <w:color w:val="auto"/>
          <w:sz w:val="24"/>
          <w:szCs w:val="32"/>
          <w:highlight w:val="none"/>
        </w:rPr>
        <w:t>磋商响应函</w:t>
      </w:r>
      <w:r>
        <w:rPr>
          <w:rFonts w:hint="eastAsia" w:ascii="宋体" w:hAnsi="宋体" w:eastAsia="宋体" w:cs="宋体"/>
          <w:b w:val="0"/>
          <w:bCs/>
          <w:color w:val="auto"/>
          <w:szCs w:val="21"/>
          <w:highlight w:val="none"/>
        </w:rPr>
        <w:t xml:space="preserve"> </w:t>
      </w:r>
    </w:p>
    <w:p w14:paraId="6E766D0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磋商响应函</w:t>
      </w:r>
    </w:p>
    <w:p w14:paraId="5AF8F7D4">
      <w:pPr>
        <w:spacing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b/>
          <w:color w:val="auto"/>
          <w:highlight w:val="none"/>
          <w:u w:val="single"/>
          <w:lang w:eastAsia="zh-CN"/>
        </w:rPr>
        <w:t>平湖市商务局</w:t>
      </w:r>
      <w:r>
        <w:rPr>
          <w:rFonts w:hint="eastAsia"/>
          <w:b/>
          <w:color w:val="auto"/>
          <w:highlight w:val="none"/>
          <w:u w:val="single"/>
        </w:rPr>
        <w:t xml:space="preserve"> </w:t>
      </w:r>
    </w:p>
    <w:p w14:paraId="3DCB8FD8">
      <w:pPr>
        <w:spacing w:before="32" w:beforeLines="10" w:line="360" w:lineRule="auto"/>
        <w:ind w:firstLine="735" w:firstLineChars="35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授权</w:t>
      </w:r>
      <w:r>
        <w:rPr>
          <w:rFonts w:hint="eastAsia" w:ascii="宋体" w:hAnsi="宋体"/>
          <w:color w:val="auto"/>
          <w:szCs w:val="21"/>
          <w:highlight w:val="none"/>
          <w:u w:val="single"/>
        </w:rPr>
        <w:t>(全权代表姓名)(职务、职称)</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(采购编号：</w:t>
      </w:r>
      <w:r>
        <w:rPr>
          <w:rFonts w:hint="eastAsia" w:ascii="宋体" w:hAnsi="宋体"/>
          <w:color w:val="auto"/>
          <w:szCs w:val="21"/>
          <w:highlight w:val="none"/>
          <w:u w:val="single"/>
          <w:lang w:val="en-US" w:eastAsia="zh-CN"/>
        </w:rPr>
        <w:t xml:space="preserve">           </w:t>
      </w:r>
      <w:r>
        <w:rPr>
          <w:rFonts w:hint="eastAsia" w:ascii="宋体" w:hAnsi="宋体" w:cs="仿宋_GB2312"/>
          <w:color w:val="auto"/>
          <w:szCs w:val="21"/>
          <w:highlight w:val="none"/>
          <w:lang w:val="zh-CN"/>
        </w:rPr>
        <w:t>)</w:t>
      </w:r>
      <w:r>
        <w:rPr>
          <w:rFonts w:hint="eastAsia" w:ascii="宋体" w:hAnsi="宋体"/>
          <w:color w:val="auto"/>
          <w:szCs w:val="21"/>
          <w:highlight w:val="none"/>
        </w:rPr>
        <w:t>磋商的有关活动。为此：</w:t>
      </w:r>
    </w:p>
    <w:p w14:paraId="541E53F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1、我方同意在供应商</w:t>
      </w:r>
      <w:r>
        <w:rPr>
          <w:rFonts w:hint="eastAsia" w:ascii="宋体" w:hAnsi="宋体"/>
          <w:color w:val="auto"/>
          <w:kern w:val="44"/>
          <w:szCs w:val="21"/>
          <w:highlight w:val="none"/>
        </w:rPr>
        <w:t>编制和提交响应文件须知</w:t>
      </w:r>
      <w:r>
        <w:rPr>
          <w:rFonts w:hint="eastAsia" w:ascii="宋体" w:hAnsi="宋体"/>
          <w:color w:val="auto"/>
          <w:szCs w:val="21"/>
          <w:highlight w:val="none"/>
        </w:rPr>
        <w:t>规定的响应文件开启日期起遵守本响应函中的承诺且在响应有效期满之前均具有约束力。</w:t>
      </w:r>
    </w:p>
    <w:p w14:paraId="519A6C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2、提供磋商须知规定的全部响应文件。具体内容为：</w:t>
      </w:r>
    </w:p>
    <w:p w14:paraId="493638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(1)资信商务</w:t>
      </w:r>
      <w:r>
        <w:rPr>
          <w:rFonts w:hint="eastAsia" w:ascii="宋体" w:hAnsi="宋体"/>
          <w:bCs/>
          <w:color w:val="auto"/>
          <w:sz w:val="22"/>
          <w:highlight w:val="none"/>
        </w:rPr>
        <w:t>及技术响应文件</w:t>
      </w:r>
      <w:r>
        <w:rPr>
          <w:rFonts w:hint="eastAsia" w:ascii="宋体" w:hAnsi="宋体"/>
          <w:color w:val="auto"/>
          <w:szCs w:val="21"/>
          <w:highlight w:val="none"/>
        </w:rPr>
        <w:t xml:space="preserve">； </w:t>
      </w:r>
    </w:p>
    <w:p w14:paraId="61FD0A1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(2)报价响应文件；</w:t>
      </w:r>
    </w:p>
    <w:p w14:paraId="56E276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(3)磋商须知要求供应商提交的全部文件；</w:t>
      </w:r>
    </w:p>
    <w:p w14:paraId="5674BD5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(4)保证忠实地执行双方所签订的合同，并承担合同规定的责任和义务；</w:t>
      </w:r>
    </w:p>
    <w:p w14:paraId="2536F89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(5)保证遵守磋商文件中的其他有关规定。</w:t>
      </w:r>
    </w:p>
    <w:p w14:paraId="598D148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、我方完全理解贵方不一定要接受最低价的响应。</w:t>
      </w:r>
    </w:p>
    <w:p w14:paraId="727421C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、我方愿意向贵方提供任何与该项响应有关的数据、情况和服务资料。若贵方需要，我方愿意提供我方作出的一切承诺的证明材料。</w:t>
      </w:r>
    </w:p>
    <w:p w14:paraId="1249423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、我方已详细审核全部磋商文件，包括磋商文件修改书（如有的话）、参考资料及有关附件，确认无误。我方完全理解并接受磋商文件的各项规定和要求，对磋商文件的合理性、合法性不再有异议。</w:t>
      </w:r>
    </w:p>
    <w:p w14:paraId="4DD01A35">
      <w:pPr>
        <w:adjustRightInd w:val="0"/>
        <w:snapToGrid w:val="0"/>
        <w:spacing w:line="360" w:lineRule="auto"/>
        <w:ind w:firstLine="420" w:firstLineChars="200"/>
        <w:rPr>
          <w:rFonts w:ascii="宋体" w:hAnsi="宋体"/>
          <w:color w:val="auto"/>
          <w:szCs w:val="21"/>
          <w:highlight w:val="none"/>
        </w:rPr>
      </w:pPr>
    </w:p>
    <w:p w14:paraId="43D8650B">
      <w:pPr>
        <w:adjustRightInd w:val="0"/>
        <w:snapToGrid w:val="0"/>
        <w:spacing w:line="360" w:lineRule="auto"/>
        <w:ind w:firstLine="420" w:firstLineChars="200"/>
        <w:rPr>
          <w:rFonts w:ascii="宋体" w:hAnsi="宋体"/>
          <w:color w:val="auto"/>
          <w:szCs w:val="21"/>
          <w:highlight w:val="none"/>
        </w:rPr>
      </w:pPr>
    </w:p>
    <w:p w14:paraId="21431526">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法定（授权）代表人（签字或盖章）：</w:t>
      </w:r>
      <w:r>
        <w:rPr>
          <w:rFonts w:hint="eastAsia" w:ascii="宋体" w:hAnsi="宋体" w:cs="宋体"/>
          <w:color w:val="auto"/>
          <w:szCs w:val="21"/>
          <w:highlight w:val="none"/>
        </w:rPr>
        <w:tab/>
      </w:r>
    </w:p>
    <w:p w14:paraId="23371CE3">
      <w:pPr>
        <w:adjustRightInd w:val="0"/>
        <w:snapToGrid w:val="0"/>
        <w:spacing w:line="360" w:lineRule="auto"/>
        <w:ind w:left="420" w:left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 xml:space="preserve">供应商盖章：  </w:t>
      </w:r>
    </w:p>
    <w:p w14:paraId="01B29647">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 xml:space="preserve">联系电话：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传真：   电子邮件：</w:t>
      </w:r>
    </w:p>
    <w:p w14:paraId="6AF5F11C">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开户银行：</w:t>
      </w:r>
    </w:p>
    <w:p w14:paraId="02D6A7AA">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银行账号：</w:t>
      </w:r>
    </w:p>
    <w:p w14:paraId="0B93D840">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联系地址：</w:t>
      </w:r>
    </w:p>
    <w:p w14:paraId="470BE07B">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邮政编码：</w:t>
      </w:r>
    </w:p>
    <w:p w14:paraId="7D790CC9">
      <w:pPr>
        <w:wordWrap w:val="0"/>
        <w:spacing w:line="360" w:lineRule="auto"/>
        <w:jc w:val="right"/>
        <w:rPr>
          <w:rFonts w:ascii="宋体" w:hAnsi="宋体"/>
          <w:color w:val="auto"/>
          <w:sz w:val="24"/>
          <w:highlight w:val="none"/>
        </w:rPr>
        <w:sectPr>
          <w:headerReference r:id="rId8" w:type="default"/>
          <w:footerReference r:id="rId9" w:type="default"/>
          <w:pgSz w:w="11906" w:h="16838"/>
          <w:pgMar w:top="1417" w:right="1134" w:bottom="1134" w:left="1134" w:header="851" w:footer="992" w:gutter="0"/>
          <w:pgNumType w:fmt="decimal"/>
          <w:cols w:space="720" w:num="1"/>
          <w:docGrid w:type="lines" w:linePitch="325" w:charSpace="0"/>
        </w:sectPr>
      </w:pPr>
      <w:r>
        <w:rPr>
          <w:rFonts w:hint="eastAsia" w:ascii="宋体" w:hAnsi="宋体" w:cs="宋体"/>
          <w:color w:val="auto"/>
          <w:szCs w:val="21"/>
          <w:highlight w:val="none"/>
          <w:lang w:val="zh-CN"/>
        </w:rPr>
        <w:t>日期</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ab/>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zh-CN"/>
        </w:rPr>
        <w:t>日</w:t>
      </w:r>
    </w:p>
    <w:p w14:paraId="23162BEE">
      <w:pPr>
        <w:bidi w:val="0"/>
        <w:rPr>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2</w:t>
      </w:r>
      <w:r>
        <w:rPr>
          <w:rFonts w:hint="eastAsia"/>
          <w:color w:val="auto"/>
          <w:sz w:val="28"/>
          <w:szCs w:val="36"/>
          <w:highlight w:val="none"/>
        </w:rPr>
        <w:t>）法定代表人资格证明及法定代表人授权书（如为法定代表人参加磋商，则只需提供法定代表人资格证明书）</w:t>
      </w:r>
    </w:p>
    <w:p w14:paraId="08D0430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（1）法定代表人资格证明书</w:t>
      </w:r>
    </w:p>
    <w:p w14:paraId="713DBBB8">
      <w:pPr>
        <w:adjustRightInd w:val="0"/>
        <w:snapToGrid w:val="0"/>
        <w:spacing w:line="360" w:lineRule="auto"/>
        <w:rPr>
          <w:rFonts w:ascii="宋体" w:hAnsi="宋体"/>
          <w:color w:val="auto"/>
          <w:highlight w:val="none"/>
          <w:u w:val="single"/>
        </w:rPr>
      </w:pPr>
      <w:r>
        <w:rPr>
          <w:rFonts w:hint="eastAsia" w:ascii="宋体" w:hAnsi="宋体"/>
          <w:color w:val="auto"/>
          <w:highlight w:val="none"/>
        </w:rPr>
        <w:t>单位名称：</w:t>
      </w:r>
    </w:p>
    <w:p w14:paraId="548D00C2">
      <w:pPr>
        <w:adjustRightInd w:val="0"/>
        <w:snapToGrid w:val="0"/>
        <w:spacing w:line="360" w:lineRule="auto"/>
        <w:rPr>
          <w:rFonts w:ascii="宋体" w:hAnsi="宋体"/>
          <w:color w:val="auto"/>
          <w:highlight w:val="none"/>
        </w:rPr>
      </w:pPr>
      <w:r>
        <w:rPr>
          <w:rFonts w:hint="eastAsia" w:ascii="宋体" w:hAnsi="宋体"/>
          <w:color w:val="auto"/>
          <w:highlight w:val="none"/>
        </w:rPr>
        <w:t>单位性质：</w:t>
      </w:r>
    </w:p>
    <w:p w14:paraId="468D51E4">
      <w:pPr>
        <w:adjustRightInd w:val="0"/>
        <w:snapToGrid w:val="0"/>
        <w:spacing w:line="360" w:lineRule="auto"/>
        <w:rPr>
          <w:rFonts w:ascii="宋体" w:hAnsi="宋体"/>
          <w:color w:val="auto"/>
          <w:highlight w:val="none"/>
          <w:u w:val="single"/>
        </w:rPr>
      </w:pPr>
      <w:r>
        <w:rPr>
          <w:rFonts w:hint="eastAsia" w:ascii="宋体" w:hAnsi="宋体"/>
          <w:color w:val="auto"/>
          <w:highlight w:val="none"/>
        </w:rPr>
        <w:t>地址：</w:t>
      </w:r>
    </w:p>
    <w:p w14:paraId="4483E099">
      <w:pPr>
        <w:adjustRightInd w:val="0"/>
        <w:snapToGrid w:val="0"/>
        <w:spacing w:line="360" w:lineRule="auto"/>
        <w:rPr>
          <w:rFonts w:ascii="宋体" w:hAnsi="宋体"/>
          <w:color w:val="auto"/>
          <w:highlight w:val="none"/>
        </w:rPr>
      </w:pPr>
      <w:r>
        <w:rPr>
          <w:rFonts w:hint="eastAsia" w:ascii="宋体" w:hAnsi="宋体"/>
          <w:color w:val="auto"/>
          <w:highlight w:val="none"/>
        </w:rPr>
        <w:t>成立时间： 年  月  日</w:t>
      </w:r>
    </w:p>
    <w:p w14:paraId="242BBFCF">
      <w:pPr>
        <w:adjustRightInd w:val="0"/>
        <w:snapToGrid w:val="0"/>
        <w:spacing w:line="360" w:lineRule="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性别：年龄：</w:t>
      </w:r>
      <w:r>
        <w:rPr>
          <w:rFonts w:hint="eastAsia" w:ascii="宋体" w:hAnsi="宋体"/>
          <w:color w:val="auto"/>
          <w:highlight w:val="none"/>
          <w:u w:val="single"/>
        </w:rPr>
        <w:t xml:space="preserve"> 　　 </w:t>
      </w:r>
      <w:r>
        <w:rPr>
          <w:rFonts w:hint="eastAsia" w:ascii="宋体" w:hAnsi="宋体"/>
          <w:color w:val="auto"/>
          <w:highlight w:val="none"/>
        </w:rPr>
        <w:t>职务：，身份证号：系（供应商名称）的法定代表人。</w:t>
      </w:r>
    </w:p>
    <w:p w14:paraId="6DFE764C">
      <w:pPr>
        <w:tabs>
          <w:tab w:val="left" w:pos="864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特此证明。</w:t>
      </w:r>
    </w:p>
    <w:p w14:paraId="6146C5C1">
      <w:pPr>
        <w:tabs>
          <w:tab w:val="left" w:pos="8640"/>
        </w:tabs>
        <w:adjustRightInd w:val="0"/>
        <w:snapToGrid w:val="0"/>
        <w:spacing w:line="360" w:lineRule="auto"/>
        <w:jc w:val="right"/>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（公章）</w:t>
      </w:r>
    </w:p>
    <w:p w14:paraId="6827F51D">
      <w:pPr>
        <w:spacing w:line="360" w:lineRule="auto"/>
        <w:jc w:val="right"/>
        <w:rPr>
          <w:rFonts w:ascii="宋体" w:hAnsi="宋体"/>
          <w:color w:val="auto"/>
          <w:szCs w:val="21"/>
          <w:highlight w:val="none"/>
        </w:rPr>
      </w:pPr>
      <w:r>
        <w:rPr>
          <w:rFonts w:hint="eastAsia" w:ascii="宋体" w:hAnsi="宋体"/>
          <w:color w:val="auto"/>
          <w:szCs w:val="21"/>
          <w:highlight w:val="none"/>
        </w:rPr>
        <w:t>日期：年月日</w:t>
      </w:r>
    </w:p>
    <w:p w14:paraId="7305F91D">
      <w:pPr>
        <w:spacing w:line="360" w:lineRule="auto"/>
        <w:ind w:left="4070" w:leftChars="1881" w:hanging="120" w:hangingChars="50"/>
        <w:rPr>
          <w:rFonts w:ascii="宋体" w:hAnsi="宋体"/>
          <w:color w:val="auto"/>
          <w:sz w:val="24"/>
          <w:highlight w:val="none"/>
        </w:rPr>
      </w:pPr>
    </w:p>
    <w:p w14:paraId="27AB7DDE">
      <w:pPr>
        <w:spacing w:line="360" w:lineRule="atLeast"/>
        <w:ind w:left="-6" w:leftChars="-3" w:firstLine="480" w:firstLineChars="200"/>
        <w:rPr>
          <w:rFonts w:ascii="宋体" w:hAnsi="宋体"/>
          <w:color w:val="auto"/>
          <w:sz w:val="24"/>
          <w:highlight w:val="none"/>
        </w:rPr>
      </w:pPr>
    </w:p>
    <w:p w14:paraId="660FF46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（2）法定代表人授权书</w:t>
      </w:r>
    </w:p>
    <w:p w14:paraId="5E0D7A84">
      <w:pPr>
        <w:tabs>
          <w:tab w:val="left" w:pos="8100"/>
          <w:tab w:val="left" w:pos="8280"/>
        </w:tabs>
        <w:adjustRightInd w:val="0"/>
        <w:snapToGrid w:val="0"/>
        <w:spacing w:line="360" w:lineRule="auto"/>
        <w:ind w:right="32" w:firstLine="420" w:firstLineChars="200"/>
        <w:rPr>
          <w:rFonts w:ascii="宋体" w:hAnsi="宋体"/>
          <w:color w:val="auto"/>
          <w:highlight w:val="none"/>
        </w:rPr>
      </w:pPr>
    </w:p>
    <w:p w14:paraId="3FC5698F">
      <w:pPr>
        <w:tabs>
          <w:tab w:val="left" w:pos="8100"/>
          <w:tab w:val="left" w:pos="8280"/>
        </w:tabs>
        <w:adjustRightInd w:val="0"/>
        <w:snapToGrid w:val="0"/>
        <w:spacing w:line="360" w:lineRule="auto"/>
        <w:ind w:right="32" w:firstLine="420" w:firstLineChars="200"/>
        <w:rPr>
          <w:color w:val="auto"/>
          <w:szCs w:val="21"/>
          <w:highlight w:val="none"/>
        </w:rPr>
      </w:pPr>
      <w:r>
        <w:rPr>
          <w:rFonts w:hint="eastAsia" w:ascii="宋体" w:hAnsi="宋体"/>
          <w:color w:val="auto"/>
          <w:highlight w:val="none"/>
        </w:rPr>
        <w:t>本人</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（供应商名称）</w:t>
      </w:r>
      <w:r>
        <w:rPr>
          <w:rFonts w:hint="eastAsia" w:ascii="宋体" w:hAnsi="宋体"/>
          <w:color w:val="auto"/>
          <w:highlight w:val="none"/>
        </w:rPr>
        <w:t>的法定代表人，现委托</w:t>
      </w:r>
      <w:r>
        <w:rPr>
          <w:rFonts w:hint="eastAsia" w:ascii="宋体" w:hAnsi="宋体"/>
          <w:color w:val="auto"/>
          <w:highlight w:val="none"/>
          <w:u w:val="single"/>
        </w:rPr>
        <w:t>（姓名、身份证号）</w:t>
      </w:r>
      <w:r>
        <w:rPr>
          <w:rFonts w:hint="eastAsia" w:ascii="宋体" w:hAnsi="宋体"/>
          <w:color w:val="auto"/>
          <w:highlight w:val="none"/>
        </w:rPr>
        <w:t>为我方代理人。代理人根据授权，以我方名义签署、</w:t>
      </w:r>
      <w:r>
        <w:rPr>
          <w:rFonts w:hint="eastAsia"/>
          <w:color w:val="auto"/>
          <w:szCs w:val="21"/>
          <w:highlight w:val="none"/>
        </w:rPr>
        <w:t>签署、澄清、说明、补正、递交、撤回、修改</w:t>
      </w:r>
      <w:r>
        <w:rPr>
          <w:rFonts w:hint="eastAsia"/>
          <w:color w:val="auto"/>
          <w:szCs w:val="21"/>
          <w:highlight w:val="none"/>
          <w:u w:val="single"/>
        </w:rPr>
        <w:t xml:space="preserve"> (项目名称)</w:t>
      </w:r>
      <w:r>
        <w:rPr>
          <w:rFonts w:hint="eastAsia"/>
          <w:color w:val="auto"/>
          <w:szCs w:val="21"/>
          <w:highlight w:val="none"/>
        </w:rPr>
        <w:t>响应文件、签订合同和处理有关事宜，其法律后果由我方承担。</w:t>
      </w:r>
    </w:p>
    <w:p w14:paraId="6F0C3FEE">
      <w:pPr>
        <w:adjustRightInd w:val="0"/>
        <w:snapToGrid w:val="0"/>
        <w:spacing w:line="360" w:lineRule="auto"/>
        <w:ind w:right="567" w:firstLine="425"/>
        <w:rPr>
          <w:color w:val="auto"/>
          <w:szCs w:val="21"/>
          <w:highlight w:val="none"/>
        </w:rPr>
      </w:pPr>
      <w:r>
        <w:rPr>
          <w:rFonts w:hint="eastAsia"/>
          <w:color w:val="auto"/>
          <w:szCs w:val="21"/>
          <w:highlight w:val="none"/>
        </w:rPr>
        <w:t>委托期限：</w:t>
      </w:r>
      <w:r>
        <w:rPr>
          <w:rFonts w:hint="eastAsia"/>
          <w:color w:val="auto"/>
          <w:szCs w:val="21"/>
          <w:highlight w:val="none"/>
          <w:u w:val="single"/>
          <w:lang w:val="en-US" w:eastAsia="zh-CN"/>
        </w:rPr>
        <w:t xml:space="preserve">               </w:t>
      </w:r>
      <w:r>
        <w:rPr>
          <w:rFonts w:hint="eastAsia"/>
          <w:color w:val="auto"/>
          <w:szCs w:val="21"/>
          <w:highlight w:val="none"/>
        </w:rPr>
        <w:t>。</w:t>
      </w:r>
    </w:p>
    <w:p w14:paraId="1EF6E437">
      <w:pPr>
        <w:adjustRightInd w:val="0"/>
        <w:snapToGrid w:val="0"/>
        <w:spacing w:line="360" w:lineRule="auto"/>
        <w:ind w:right="567" w:firstLine="425"/>
        <w:rPr>
          <w:color w:val="auto"/>
          <w:szCs w:val="21"/>
          <w:highlight w:val="none"/>
        </w:rPr>
      </w:pPr>
      <w:r>
        <w:rPr>
          <w:rFonts w:hint="eastAsia"/>
          <w:color w:val="auto"/>
          <w:szCs w:val="21"/>
          <w:highlight w:val="none"/>
        </w:rPr>
        <w:t>代理人无转委托权。</w:t>
      </w:r>
    </w:p>
    <w:p w14:paraId="0D3B9966">
      <w:pPr>
        <w:adjustRightInd w:val="0"/>
        <w:snapToGrid w:val="0"/>
        <w:spacing w:line="360" w:lineRule="auto"/>
        <w:ind w:left="3060" w:leftChars="1457" w:firstLine="1079" w:firstLineChars="514"/>
        <w:rPr>
          <w:color w:val="auto"/>
          <w:szCs w:val="21"/>
          <w:highlight w:val="none"/>
        </w:rPr>
      </w:pPr>
      <w:r>
        <w:rPr>
          <w:rFonts w:hint="eastAsia" w:ascii="宋体" w:hAnsi="宋体"/>
          <w:color w:val="auto"/>
          <w:highlight w:val="none"/>
        </w:rPr>
        <w:t>供应商</w:t>
      </w:r>
      <w:r>
        <w:rPr>
          <w:rFonts w:hint="eastAsia"/>
          <w:color w:val="auto"/>
          <w:szCs w:val="21"/>
          <w:highlight w:val="none"/>
        </w:rPr>
        <w:t>：（单位盖章）</w:t>
      </w:r>
    </w:p>
    <w:p w14:paraId="60E04F18">
      <w:pPr>
        <w:adjustRightInd w:val="0"/>
        <w:snapToGrid w:val="0"/>
        <w:spacing w:line="360" w:lineRule="auto"/>
        <w:rPr>
          <w:color w:val="auto"/>
          <w:szCs w:val="21"/>
          <w:highlight w:val="none"/>
        </w:rPr>
      </w:pPr>
      <w:r>
        <w:rPr>
          <w:rFonts w:hint="eastAsia"/>
          <w:color w:val="auto"/>
          <w:szCs w:val="21"/>
          <w:highlight w:val="none"/>
        </w:rPr>
        <w:t xml:space="preserve">                                       法定代表人：（签字或盖章） </w:t>
      </w:r>
    </w:p>
    <w:p w14:paraId="281452D8">
      <w:pPr>
        <w:adjustRightInd w:val="0"/>
        <w:snapToGrid w:val="0"/>
        <w:spacing w:line="360" w:lineRule="auto"/>
        <w:ind w:firstLine="4139" w:firstLineChars="1971"/>
        <w:rPr>
          <w:color w:val="auto"/>
          <w:szCs w:val="21"/>
          <w:highlight w:val="none"/>
        </w:rPr>
      </w:pPr>
      <w:r>
        <w:rPr>
          <w:rFonts w:hint="eastAsia"/>
          <w:color w:val="auto"/>
          <w:szCs w:val="21"/>
          <w:highlight w:val="none"/>
        </w:rPr>
        <w:t>身份证号码：</w:t>
      </w:r>
    </w:p>
    <w:p w14:paraId="0762C867">
      <w:pPr>
        <w:adjustRightInd w:val="0"/>
        <w:snapToGrid w:val="0"/>
        <w:spacing w:line="360" w:lineRule="auto"/>
        <w:rPr>
          <w:color w:val="auto"/>
          <w:szCs w:val="21"/>
          <w:highlight w:val="none"/>
        </w:rPr>
      </w:pPr>
      <w:r>
        <w:rPr>
          <w:rFonts w:hint="eastAsia"/>
          <w:color w:val="auto"/>
          <w:szCs w:val="21"/>
          <w:highlight w:val="none"/>
        </w:rPr>
        <w:t xml:space="preserve">                                       委托代理人：（签字）</w:t>
      </w:r>
    </w:p>
    <w:p w14:paraId="45EBB1D3">
      <w:pPr>
        <w:adjustRightInd w:val="0"/>
        <w:snapToGrid w:val="0"/>
        <w:spacing w:line="360" w:lineRule="auto"/>
        <w:ind w:firstLine="4200" w:firstLineChars="2000"/>
        <w:rPr>
          <w:color w:val="auto"/>
          <w:szCs w:val="21"/>
          <w:highlight w:val="none"/>
        </w:rPr>
      </w:pPr>
      <w:r>
        <w:rPr>
          <w:rFonts w:hint="eastAsia"/>
          <w:color w:val="auto"/>
          <w:szCs w:val="21"/>
          <w:highlight w:val="none"/>
        </w:rPr>
        <w:t>身份证号码：</w:t>
      </w:r>
    </w:p>
    <w:p w14:paraId="310933D7">
      <w:pPr>
        <w:spacing w:line="360" w:lineRule="auto"/>
        <w:ind w:firstLine="4200" w:firstLineChars="2000"/>
        <w:rPr>
          <w:rFonts w:ascii="宋体" w:hAnsi="宋体"/>
          <w:color w:val="auto"/>
          <w:sz w:val="24"/>
          <w:highlight w:val="none"/>
        </w:rPr>
      </w:pPr>
      <w:r>
        <w:rPr>
          <w:rFonts w:hint="eastAsia"/>
          <w:color w:val="auto"/>
          <w:highlight w:val="none"/>
        </w:rPr>
        <w:t>日   期：年月日</w:t>
      </w:r>
      <w:r>
        <w:rPr>
          <w:rFonts w:hint="eastAsia" w:ascii="宋体" w:hAnsi="宋体"/>
          <w:color w:val="auto"/>
          <w:sz w:val="24"/>
          <w:highlight w:val="none"/>
        </w:rPr>
        <w:t>：</w:t>
      </w:r>
    </w:p>
    <w:p w14:paraId="36456436">
      <w:pPr>
        <w:spacing w:line="360" w:lineRule="auto"/>
        <w:rPr>
          <w:rFonts w:ascii="宋体" w:hAnsi="宋体"/>
          <w:color w:val="auto"/>
          <w:sz w:val="24"/>
          <w:highlight w:val="none"/>
        </w:rPr>
      </w:pPr>
    </w:p>
    <w:p w14:paraId="4907176A">
      <w:pPr>
        <w:spacing w:line="360" w:lineRule="auto"/>
        <w:rPr>
          <w:rFonts w:ascii="宋体" w:hAnsi="宋体"/>
          <w:b/>
          <w:bCs/>
          <w:color w:val="auto"/>
          <w:sz w:val="24"/>
          <w:highlight w:val="none"/>
        </w:rPr>
      </w:pPr>
      <w:r>
        <w:rPr>
          <w:rFonts w:hint="eastAsia" w:ascii="宋体" w:hAnsi="宋体"/>
          <w:b/>
          <w:bCs/>
          <w:color w:val="auto"/>
          <w:sz w:val="24"/>
          <w:highlight w:val="none"/>
        </w:rPr>
        <w:t>法定代表人和授权委托人的身份证复印件附后。（正反面）</w:t>
      </w:r>
    </w:p>
    <w:p w14:paraId="4BCC594E">
      <w:pPr>
        <w:pStyle w:val="6"/>
        <w:rPr>
          <w:color w:val="auto"/>
          <w:highlight w:val="none"/>
        </w:rPr>
      </w:pPr>
    </w:p>
    <w:p w14:paraId="2ADB306D">
      <w:pPr>
        <w:bidi w:val="0"/>
        <w:rPr>
          <w:rFonts w:hint="eastAsia"/>
          <w:color w:val="auto"/>
          <w:highlight w:val="none"/>
        </w:rPr>
      </w:pPr>
    </w:p>
    <w:p w14:paraId="718E2A17">
      <w:pPr>
        <w:bidi w:val="0"/>
        <w:rPr>
          <w:rFonts w:hint="eastAsia"/>
          <w:color w:val="auto"/>
          <w:highlight w:val="none"/>
        </w:rPr>
      </w:pPr>
    </w:p>
    <w:p w14:paraId="33426528">
      <w:pPr>
        <w:pStyle w:val="8"/>
        <w:rPr>
          <w:rFonts w:ascii="宋体" w:hAnsi="宋体" w:eastAsia="宋体" w:cs="宋体"/>
          <w:b w:val="0"/>
          <w:bCs/>
          <w:color w:val="auto"/>
          <w:szCs w:val="21"/>
          <w:highlight w:val="none"/>
        </w:rPr>
      </w:pPr>
      <w:r>
        <w:rPr>
          <w:rFonts w:hint="eastAsia"/>
          <w:color w:val="auto"/>
          <w:sz w:val="28"/>
          <w:szCs w:val="36"/>
          <w:highlight w:val="none"/>
          <w:lang w:val="en-US" w:eastAsia="zh-CN"/>
        </w:rPr>
        <w:t>（3</w:t>
      </w:r>
      <w:r>
        <w:rPr>
          <w:rFonts w:hint="eastAsia"/>
          <w:color w:val="auto"/>
          <w:sz w:val="28"/>
          <w:szCs w:val="36"/>
          <w:highlight w:val="none"/>
        </w:rPr>
        <w:t>）</w:t>
      </w:r>
      <w:r>
        <w:rPr>
          <w:rFonts w:hint="eastAsia"/>
          <w:color w:val="auto"/>
          <w:sz w:val="28"/>
          <w:szCs w:val="36"/>
          <w:highlight w:val="none"/>
          <w:lang w:val="en-US" w:eastAsia="zh-CN"/>
        </w:rPr>
        <w:t>技术、</w:t>
      </w:r>
      <w:r>
        <w:rPr>
          <w:rFonts w:hint="eastAsia"/>
          <w:color w:val="auto"/>
          <w:sz w:val="32"/>
          <w:szCs w:val="40"/>
          <w:highlight w:val="none"/>
        </w:rPr>
        <w:t>商务响应（偏离）表</w:t>
      </w:r>
    </w:p>
    <w:p w14:paraId="6FF97DAF">
      <w:pPr>
        <w:pStyle w:val="28"/>
        <w:spacing w:line="276" w:lineRule="auto"/>
        <w:jc w:val="both"/>
        <w:rPr>
          <w:rFonts w:ascii="宋体" w:hAnsi="宋体" w:eastAsiaTheme="minorEastAsia"/>
          <w:color w:val="auto"/>
          <w:szCs w:val="21"/>
          <w:highlight w:val="none"/>
        </w:rPr>
      </w:pPr>
    </w:p>
    <w:p w14:paraId="5B01DBD0">
      <w:pPr>
        <w:adjustRightInd w:val="0"/>
        <w:snapToGrid w:val="0"/>
        <w:spacing w:line="360" w:lineRule="auto"/>
        <w:jc w:val="center"/>
        <w:rPr>
          <w:rFonts w:ascii="宋体" w:hAnsi="宋体" w:eastAsia="宋体" w:cs="宋体"/>
          <w:b/>
          <w:color w:val="auto"/>
          <w:sz w:val="28"/>
          <w:szCs w:val="28"/>
          <w:highlight w:val="none"/>
        </w:rPr>
      </w:pPr>
      <w:r>
        <w:rPr>
          <w:rFonts w:hint="eastAsia" w:ascii="宋体" w:hAnsi="宋体" w:cs="宋体"/>
          <w:b/>
          <w:color w:val="auto"/>
          <w:sz w:val="30"/>
          <w:szCs w:val="30"/>
          <w:highlight w:val="none"/>
          <w:lang w:val="en-US" w:eastAsia="zh-CN"/>
        </w:rPr>
        <w:t>技术、</w:t>
      </w:r>
      <w:r>
        <w:rPr>
          <w:rFonts w:hint="eastAsia" w:ascii="宋体" w:hAnsi="宋体" w:cs="宋体"/>
          <w:b/>
          <w:color w:val="auto"/>
          <w:sz w:val="30"/>
          <w:szCs w:val="30"/>
          <w:highlight w:val="none"/>
        </w:rPr>
        <w:t>商务</w:t>
      </w:r>
      <w:r>
        <w:rPr>
          <w:rFonts w:hint="eastAsia" w:ascii="宋体" w:hAnsi="宋体" w:cs="宋体"/>
          <w:b/>
          <w:color w:val="auto"/>
          <w:sz w:val="30"/>
          <w:szCs w:val="30"/>
          <w:highlight w:val="none"/>
          <w:lang w:val="en-US" w:eastAsia="zh-CN"/>
        </w:rPr>
        <w:t>响应（偏离）</w:t>
      </w:r>
      <w:r>
        <w:rPr>
          <w:rFonts w:hint="eastAsia" w:ascii="宋体" w:hAnsi="宋体" w:cs="宋体"/>
          <w:b/>
          <w:color w:val="auto"/>
          <w:sz w:val="30"/>
          <w:szCs w:val="30"/>
          <w:highlight w:val="none"/>
        </w:rPr>
        <w:t>表</w:t>
      </w:r>
    </w:p>
    <w:tbl>
      <w:tblPr>
        <w:tblStyle w:val="19"/>
        <w:tblW w:w="0" w:type="auto"/>
        <w:tblInd w:w="2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56EF5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noWrap/>
          </w:tcPr>
          <w:p w14:paraId="662E46FC">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noWrap/>
          </w:tcPr>
          <w:p w14:paraId="2710DB04">
            <w:pPr>
              <w:spacing w:before="240" w:after="240"/>
              <w:ind w:firstLine="480"/>
              <w:jc w:val="both"/>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noWrap/>
          </w:tcPr>
          <w:p w14:paraId="1B88786A">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响应文件对应条款</w:t>
            </w:r>
          </w:p>
        </w:tc>
        <w:tc>
          <w:tcPr>
            <w:tcW w:w="2107" w:type="dxa"/>
            <w:noWrap/>
          </w:tcPr>
          <w:p w14:paraId="010F6651">
            <w:pPr>
              <w:spacing w:before="240" w:after="240"/>
              <w:ind w:firstLine="480"/>
              <w:jc w:val="both"/>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91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noWrap/>
          </w:tcPr>
          <w:p w14:paraId="0232E21B">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noWrap/>
            <w:vAlign w:val="center"/>
          </w:tcPr>
          <w:p w14:paraId="69E072DF">
            <w:pPr>
              <w:spacing w:before="159" w:beforeLines="50" w:after="159" w:afterLines="50" w:line="300" w:lineRule="auto"/>
              <w:jc w:val="center"/>
              <w:rPr>
                <w:rFonts w:ascii="宋体" w:hAnsi="宋体" w:cs="宋体"/>
                <w:color w:val="auto"/>
                <w:sz w:val="24"/>
                <w:highlight w:val="none"/>
              </w:rPr>
            </w:pPr>
          </w:p>
        </w:tc>
        <w:tc>
          <w:tcPr>
            <w:tcW w:w="3086" w:type="dxa"/>
            <w:noWrap/>
          </w:tcPr>
          <w:p w14:paraId="47E1242B">
            <w:pPr>
              <w:spacing w:before="159" w:beforeLines="50" w:after="159" w:afterLines="50" w:line="276" w:lineRule="auto"/>
              <w:ind w:firstLine="480"/>
              <w:rPr>
                <w:rFonts w:ascii="宋体" w:hAnsi="宋体" w:cs="宋体"/>
                <w:color w:val="auto"/>
                <w:sz w:val="24"/>
                <w:highlight w:val="none"/>
              </w:rPr>
            </w:pPr>
          </w:p>
        </w:tc>
        <w:tc>
          <w:tcPr>
            <w:tcW w:w="2107" w:type="dxa"/>
            <w:noWrap/>
          </w:tcPr>
          <w:p w14:paraId="50E07707">
            <w:pPr>
              <w:spacing w:before="159" w:beforeLines="50" w:after="159" w:afterLines="50" w:line="276" w:lineRule="auto"/>
              <w:ind w:firstLine="480"/>
              <w:rPr>
                <w:rFonts w:ascii="宋体" w:hAnsi="宋体" w:cs="宋体"/>
                <w:color w:val="auto"/>
                <w:sz w:val="24"/>
                <w:highlight w:val="none"/>
              </w:rPr>
            </w:pPr>
          </w:p>
        </w:tc>
      </w:tr>
      <w:tr w14:paraId="78F3A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noWrap/>
          </w:tcPr>
          <w:p w14:paraId="1B99E2E7">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noWrap/>
            <w:vAlign w:val="center"/>
          </w:tcPr>
          <w:p w14:paraId="09C5EF71">
            <w:pPr>
              <w:spacing w:before="159" w:beforeLines="50" w:after="159" w:afterLines="50" w:line="300" w:lineRule="auto"/>
              <w:jc w:val="center"/>
              <w:rPr>
                <w:rFonts w:ascii="宋体" w:hAnsi="宋体" w:cs="宋体"/>
                <w:color w:val="auto"/>
                <w:sz w:val="24"/>
                <w:highlight w:val="none"/>
              </w:rPr>
            </w:pPr>
          </w:p>
        </w:tc>
        <w:tc>
          <w:tcPr>
            <w:tcW w:w="3086" w:type="dxa"/>
            <w:noWrap/>
          </w:tcPr>
          <w:p w14:paraId="51C584E2">
            <w:pPr>
              <w:spacing w:before="159" w:beforeLines="50" w:after="159" w:afterLines="50" w:line="276" w:lineRule="auto"/>
              <w:ind w:firstLine="480"/>
              <w:rPr>
                <w:rFonts w:ascii="宋体" w:hAnsi="宋体" w:cs="宋体"/>
                <w:color w:val="auto"/>
                <w:sz w:val="24"/>
                <w:highlight w:val="none"/>
              </w:rPr>
            </w:pPr>
          </w:p>
        </w:tc>
        <w:tc>
          <w:tcPr>
            <w:tcW w:w="2107" w:type="dxa"/>
            <w:noWrap/>
          </w:tcPr>
          <w:p w14:paraId="5E13D1BD">
            <w:pPr>
              <w:spacing w:before="159" w:beforeLines="50" w:after="159" w:afterLines="50" w:line="276" w:lineRule="auto"/>
              <w:ind w:firstLine="480"/>
              <w:rPr>
                <w:rFonts w:ascii="宋体" w:hAnsi="宋体" w:cs="宋体"/>
                <w:color w:val="auto"/>
                <w:sz w:val="24"/>
                <w:highlight w:val="none"/>
              </w:rPr>
            </w:pPr>
          </w:p>
        </w:tc>
      </w:tr>
      <w:tr w14:paraId="68BF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tcPr>
          <w:p w14:paraId="73BE188C">
            <w:pPr>
              <w:spacing w:before="159" w:beforeLines="50" w:after="159" w:afterLines="50" w:line="276" w:lineRule="auto"/>
              <w:ind w:firstLine="480"/>
              <w:rPr>
                <w:rFonts w:ascii="宋体" w:hAnsi="宋体" w:cs="宋体"/>
                <w:color w:val="auto"/>
                <w:sz w:val="24"/>
                <w:highlight w:val="none"/>
              </w:rPr>
            </w:pPr>
          </w:p>
        </w:tc>
        <w:tc>
          <w:tcPr>
            <w:tcW w:w="3086" w:type="dxa"/>
            <w:noWrap/>
          </w:tcPr>
          <w:p w14:paraId="5398E79A">
            <w:pPr>
              <w:spacing w:before="159" w:beforeLines="50" w:after="159" w:afterLines="50" w:line="276" w:lineRule="auto"/>
              <w:ind w:firstLine="480"/>
              <w:rPr>
                <w:rFonts w:ascii="宋体" w:hAnsi="宋体" w:cs="宋体"/>
                <w:color w:val="auto"/>
                <w:sz w:val="24"/>
                <w:highlight w:val="none"/>
              </w:rPr>
            </w:pPr>
          </w:p>
        </w:tc>
        <w:tc>
          <w:tcPr>
            <w:tcW w:w="3086" w:type="dxa"/>
            <w:noWrap/>
          </w:tcPr>
          <w:p w14:paraId="19899FAD">
            <w:pPr>
              <w:spacing w:before="159" w:beforeLines="50" w:after="159" w:afterLines="50" w:line="276" w:lineRule="auto"/>
              <w:ind w:firstLine="480"/>
              <w:rPr>
                <w:rFonts w:ascii="宋体" w:hAnsi="宋体" w:cs="宋体"/>
                <w:color w:val="auto"/>
                <w:sz w:val="24"/>
                <w:highlight w:val="none"/>
              </w:rPr>
            </w:pPr>
          </w:p>
        </w:tc>
        <w:tc>
          <w:tcPr>
            <w:tcW w:w="2107" w:type="dxa"/>
            <w:noWrap/>
          </w:tcPr>
          <w:p w14:paraId="0C91BA98">
            <w:pPr>
              <w:spacing w:before="159" w:beforeLines="50" w:after="159" w:afterLines="50" w:line="276" w:lineRule="auto"/>
              <w:ind w:firstLine="480"/>
              <w:rPr>
                <w:rFonts w:ascii="宋体" w:hAnsi="宋体" w:cs="宋体"/>
                <w:color w:val="auto"/>
                <w:sz w:val="24"/>
                <w:highlight w:val="none"/>
              </w:rPr>
            </w:pPr>
          </w:p>
        </w:tc>
      </w:tr>
      <w:tr w14:paraId="0BE08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noWrap/>
            <w:vAlign w:val="center"/>
          </w:tcPr>
          <w:p w14:paraId="5AFE97EF">
            <w:pPr>
              <w:spacing w:before="159" w:beforeLines="50" w:after="159"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noWrap/>
            <w:vAlign w:val="center"/>
          </w:tcPr>
          <w:p w14:paraId="5EBE6B21">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noWrap/>
            <w:vAlign w:val="center"/>
          </w:tcPr>
          <w:p w14:paraId="36520979">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noWrap/>
            <w:vAlign w:val="center"/>
          </w:tcPr>
          <w:p w14:paraId="44D0DAC9">
            <w:pPr>
              <w:spacing w:before="159" w:beforeLines="50" w:after="159"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1BAD5D2">
      <w:pPr>
        <w:spacing w:line="360" w:lineRule="auto"/>
        <w:rPr>
          <w:rFonts w:hint="default" w:ascii="宋体" w:hAnsi="宋体" w:cs="宋体" w:eastAsiaTheme="minorEastAsia"/>
          <w:color w:val="auto"/>
          <w:szCs w:val="21"/>
          <w:highlight w:val="none"/>
          <w:lang w:val="en-US" w:eastAsia="zh-CN"/>
        </w:rPr>
      </w:pPr>
      <w:r>
        <w:rPr>
          <w:rFonts w:hint="eastAsia" w:ascii="宋体" w:hAnsi="宋体" w:cs="宋体"/>
          <w:b/>
          <w:color w:val="auto"/>
          <w:sz w:val="24"/>
          <w:highlight w:val="none"/>
        </w:rPr>
        <w:t>注：</w:t>
      </w:r>
      <w:r>
        <w:rPr>
          <w:rFonts w:hint="eastAsia" w:ascii="宋体" w:hAnsi="宋体" w:cs="宋体"/>
          <w:color w:val="auto"/>
          <w:szCs w:val="21"/>
          <w:highlight w:val="none"/>
        </w:rPr>
        <w:t>1、投标人的投标文件与招标文件之规定存在偏离的，应在此表中如实说明。未在上表中说明的，将被认为完全响应招标文件的规定。</w:t>
      </w:r>
      <w:r>
        <w:rPr>
          <w:rFonts w:hint="eastAsia" w:ascii="宋体" w:hAnsi="宋体" w:cs="宋体"/>
          <w:color w:val="auto"/>
          <w:szCs w:val="21"/>
          <w:highlight w:val="none"/>
          <w:lang w:val="en-US" w:eastAsia="zh-CN"/>
        </w:rPr>
        <w:t>在偏离说明栏注明“正偏离”或“负偏离”或“无偏离”。</w:t>
      </w:r>
    </w:p>
    <w:p w14:paraId="05789004">
      <w:pPr>
        <w:spacing w:line="360" w:lineRule="atLeast"/>
        <w:rPr>
          <w:rFonts w:ascii="宋体" w:hAnsi="宋体" w:cs="宋体"/>
          <w:color w:val="auto"/>
          <w:sz w:val="24"/>
          <w:highlight w:val="none"/>
        </w:rPr>
      </w:pPr>
    </w:p>
    <w:p w14:paraId="36E3227E">
      <w:pPr>
        <w:spacing w:line="360" w:lineRule="atLeast"/>
        <w:rPr>
          <w:rFonts w:ascii="宋体" w:hAnsi="宋体" w:cs="宋体"/>
          <w:color w:val="auto"/>
          <w:sz w:val="24"/>
          <w:highlight w:val="none"/>
        </w:rPr>
      </w:pPr>
    </w:p>
    <w:p w14:paraId="5BF58F86">
      <w:pPr>
        <w:spacing w:line="360" w:lineRule="atLeast"/>
        <w:ind w:firstLine="2880" w:firstLineChars="1200"/>
        <w:rPr>
          <w:rFonts w:ascii="宋体" w:hAnsi="宋体" w:cs="宋体"/>
          <w:color w:val="auto"/>
          <w:sz w:val="24"/>
          <w:highlight w:val="none"/>
        </w:rPr>
      </w:pPr>
      <w:r>
        <w:rPr>
          <w:rFonts w:hint="eastAsia" w:ascii="宋体" w:hAnsi="宋体" w:cs="宋体"/>
          <w:color w:val="auto"/>
          <w:sz w:val="24"/>
          <w:highlight w:val="none"/>
        </w:rPr>
        <w:t>磋商供应商(盖章)：</w:t>
      </w:r>
    </w:p>
    <w:p w14:paraId="593E27D3">
      <w:pPr>
        <w:spacing w:line="360" w:lineRule="atLeast"/>
        <w:ind w:firstLine="1920" w:firstLineChars="8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14:paraId="17600141">
      <w:pPr>
        <w:pStyle w:val="8"/>
        <w:rPr>
          <w:color w:val="auto"/>
          <w:highlight w:val="none"/>
        </w:rPr>
      </w:pPr>
      <w:r>
        <w:rPr>
          <w:rFonts w:hint="eastAsia" w:cs="宋体"/>
          <w:color w:val="auto"/>
          <w:highlight w:val="none"/>
        </w:rPr>
        <w:t xml:space="preserve">            日期：    </w:t>
      </w:r>
    </w:p>
    <w:p w14:paraId="0B0C0EBD">
      <w:pPr>
        <w:pStyle w:val="8"/>
        <w:rPr>
          <w:color w:val="auto"/>
          <w:highlight w:val="none"/>
        </w:rPr>
      </w:pPr>
    </w:p>
    <w:p w14:paraId="3CF85D68">
      <w:pPr>
        <w:pStyle w:val="8"/>
        <w:rPr>
          <w:color w:val="auto"/>
          <w:highlight w:val="none"/>
        </w:rPr>
      </w:pPr>
    </w:p>
    <w:p w14:paraId="0F4CEF45">
      <w:pPr>
        <w:rPr>
          <w:rFonts w:ascii="宋体" w:hAnsi="宋体"/>
          <w:b/>
          <w:color w:val="auto"/>
          <w:highlight w:val="none"/>
        </w:rPr>
      </w:pPr>
      <w:r>
        <w:rPr>
          <w:rFonts w:hint="eastAsia" w:ascii="宋体" w:hAnsi="宋体"/>
          <w:b/>
          <w:color w:val="auto"/>
          <w:highlight w:val="none"/>
        </w:rPr>
        <w:br w:type="page"/>
      </w:r>
    </w:p>
    <w:p w14:paraId="008A0BC4">
      <w:pPr>
        <w:bidi w:val="0"/>
        <w:rPr>
          <w:rFonts w:ascii="宋体" w:hAnsi="宋体" w:eastAsia="宋体" w:cs="宋体"/>
          <w:b w:val="0"/>
          <w:bCs/>
          <w:color w:val="auto"/>
          <w:szCs w:val="21"/>
          <w:highlight w:val="none"/>
        </w:rPr>
      </w:pPr>
      <w:r>
        <w:rPr>
          <w:rFonts w:hint="eastAsia"/>
          <w:color w:val="auto"/>
          <w:sz w:val="28"/>
          <w:szCs w:val="36"/>
          <w:highlight w:val="none"/>
        </w:rPr>
        <w:t>（</w:t>
      </w:r>
      <w:r>
        <w:rPr>
          <w:rFonts w:hint="eastAsia"/>
          <w:color w:val="auto"/>
          <w:sz w:val="28"/>
          <w:szCs w:val="36"/>
          <w:highlight w:val="none"/>
          <w:lang w:val="en-US" w:eastAsia="zh-CN"/>
        </w:rPr>
        <w:t>4</w:t>
      </w:r>
      <w:r>
        <w:rPr>
          <w:rFonts w:hint="eastAsia"/>
          <w:color w:val="auto"/>
          <w:sz w:val="28"/>
          <w:szCs w:val="36"/>
          <w:highlight w:val="none"/>
        </w:rPr>
        <w:t>）供应商基本情况表</w:t>
      </w:r>
    </w:p>
    <w:p w14:paraId="7CA12208">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供应商基本情况表</w:t>
      </w:r>
    </w:p>
    <w:tbl>
      <w:tblPr>
        <w:tblStyle w:val="19"/>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692"/>
        <w:gridCol w:w="1256"/>
        <w:gridCol w:w="750"/>
        <w:gridCol w:w="379"/>
        <w:gridCol w:w="490"/>
        <w:gridCol w:w="1154"/>
        <w:gridCol w:w="742"/>
      </w:tblGrid>
      <w:tr w14:paraId="50432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1D80F71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14:paraId="287359C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1AEAC3C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单位地址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13C8BDD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74EE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3E2C721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14:paraId="19625AE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3A2E90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联系人</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3D34242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CAB0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6CEAD3EA">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14:paraId="494AAF5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5BA0CC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14:paraId="697F3E0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2023" w:type="dxa"/>
            <w:gridSpan w:val="3"/>
            <w:tcBorders>
              <w:top w:val="single" w:color="auto" w:sz="4" w:space="0"/>
              <w:left w:val="single" w:color="auto" w:sz="4" w:space="0"/>
              <w:bottom w:val="single" w:color="auto" w:sz="4" w:space="0"/>
              <w:right w:val="single" w:color="auto" w:sz="4" w:space="0"/>
            </w:tcBorders>
            <w:vAlign w:val="center"/>
          </w:tcPr>
          <w:p w14:paraId="65E0B1B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14:paraId="372D9FB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351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1049D90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14:paraId="0C81835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F30925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技术负责人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145FBBD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12E3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14:paraId="65E68A8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证书情况 </w:t>
            </w:r>
          </w:p>
        </w:tc>
        <w:tc>
          <w:tcPr>
            <w:tcW w:w="1693" w:type="dxa"/>
            <w:tcBorders>
              <w:top w:val="single" w:color="auto" w:sz="4" w:space="0"/>
              <w:left w:val="single" w:color="auto" w:sz="4" w:space="0"/>
              <w:bottom w:val="single" w:color="auto" w:sz="4" w:space="0"/>
              <w:right w:val="single" w:color="auto" w:sz="4" w:space="0"/>
            </w:tcBorders>
            <w:vAlign w:val="center"/>
          </w:tcPr>
          <w:p w14:paraId="010A7EB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证书名称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A770CB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颁发部门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13B384F3">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7FFA7604">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资质等级（如有）</w:t>
            </w:r>
          </w:p>
        </w:tc>
      </w:tr>
      <w:tr w14:paraId="04D23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77960F65">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FB1A9B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43099A4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13762DF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030B495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75565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030BB70F">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6F64C0C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gridSpan w:val="2"/>
            <w:tcBorders>
              <w:top w:val="single" w:color="auto" w:sz="4" w:space="0"/>
              <w:left w:val="single" w:color="auto" w:sz="4" w:space="0"/>
              <w:bottom w:val="single" w:color="auto" w:sz="4" w:space="0"/>
              <w:right w:val="single" w:color="auto" w:sz="4" w:space="0"/>
            </w:tcBorders>
            <w:vAlign w:val="center"/>
          </w:tcPr>
          <w:p w14:paraId="280394D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3"/>
            <w:tcBorders>
              <w:top w:val="single" w:color="auto" w:sz="4" w:space="0"/>
              <w:left w:val="single" w:color="auto" w:sz="4" w:space="0"/>
              <w:bottom w:val="single" w:color="auto" w:sz="4" w:space="0"/>
              <w:right w:val="single" w:color="auto" w:sz="4" w:space="0"/>
            </w:tcBorders>
            <w:vAlign w:val="center"/>
          </w:tcPr>
          <w:p w14:paraId="5997974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049736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BACA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4"/>
            <w:tcBorders>
              <w:top w:val="single" w:color="auto" w:sz="4" w:space="0"/>
              <w:left w:val="single" w:color="auto" w:sz="4" w:space="0"/>
              <w:bottom w:val="single" w:color="auto" w:sz="4" w:space="0"/>
              <w:right w:val="single" w:color="auto" w:sz="4" w:space="0"/>
            </w:tcBorders>
            <w:vAlign w:val="center"/>
          </w:tcPr>
          <w:p w14:paraId="028C764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供应商近三年有无不良记录或因招投标违规涉及司法诉讼情况 </w:t>
            </w:r>
          </w:p>
        </w:tc>
        <w:tc>
          <w:tcPr>
            <w:tcW w:w="3515" w:type="dxa"/>
            <w:gridSpan w:val="5"/>
            <w:tcBorders>
              <w:top w:val="single" w:color="auto" w:sz="4" w:space="0"/>
              <w:left w:val="single" w:color="auto" w:sz="4" w:space="0"/>
              <w:bottom w:val="single" w:color="auto" w:sz="4" w:space="0"/>
              <w:right w:val="single" w:color="auto" w:sz="4" w:space="0"/>
            </w:tcBorders>
            <w:vAlign w:val="center"/>
          </w:tcPr>
          <w:p w14:paraId="74E752C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有（   ），无（   ） </w:t>
            </w:r>
          </w:p>
        </w:tc>
      </w:tr>
      <w:tr w14:paraId="1AA49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709" w:type="dxa"/>
            <w:tcBorders>
              <w:top w:val="single" w:color="auto" w:sz="4" w:space="0"/>
              <w:left w:val="single" w:color="auto" w:sz="4" w:space="0"/>
              <w:right w:val="single" w:color="auto" w:sz="4" w:space="0"/>
            </w:tcBorders>
            <w:vAlign w:val="center"/>
          </w:tcPr>
          <w:p w14:paraId="33A4BFC7">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供应商基本情</w:t>
            </w:r>
          </w:p>
          <w:p w14:paraId="17FB72D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况说明</w:t>
            </w:r>
          </w:p>
        </w:tc>
        <w:tc>
          <w:tcPr>
            <w:tcW w:w="7156" w:type="dxa"/>
            <w:gridSpan w:val="8"/>
            <w:tcBorders>
              <w:top w:val="single" w:color="auto" w:sz="4" w:space="0"/>
              <w:left w:val="single" w:color="auto" w:sz="4" w:space="0"/>
              <w:right w:val="single" w:color="auto" w:sz="4" w:space="0"/>
            </w:tcBorders>
            <w:vAlign w:val="center"/>
          </w:tcPr>
          <w:p w14:paraId="124154D5">
            <w:pPr>
              <w:widowControl/>
              <w:adjustRightInd w:val="0"/>
              <w:snapToGrid w:val="0"/>
              <w:spacing w:before="100" w:beforeAutospacing="1" w:after="100" w:afterAutospacing="1"/>
              <w:jc w:val="both"/>
              <w:rPr>
                <w:rFonts w:ascii="宋体" w:hAnsi="宋体" w:cs="宋体"/>
                <w:color w:val="auto"/>
                <w:sz w:val="24"/>
                <w:highlight w:val="none"/>
              </w:rPr>
            </w:pPr>
            <w:r>
              <w:rPr>
                <w:rFonts w:hint="eastAsia" w:ascii="宋体" w:hAnsi="宋体"/>
                <w:color w:val="auto"/>
                <w:sz w:val="22"/>
                <w:highlight w:val="none"/>
              </w:rPr>
              <w:t xml:space="preserve">   可另附页说明    </w:t>
            </w:r>
          </w:p>
        </w:tc>
      </w:tr>
      <w:tr w14:paraId="79C17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7100F3B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其他有竞争力 </w:t>
            </w:r>
          </w:p>
          <w:p w14:paraId="7FA3098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的说明 </w:t>
            </w: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76D511A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3B48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1709" w:type="dxa"/>
            <w:vMerge w:val="restart"/>
            <w:tcBorders>
              <w:top w:val="single" w:color="auto" w:sz="4" w:space="0"/>
              <w:left w:val="single" w:color="auto" w:sz="4" w:space="0"/>
              <w:right w:val="single" w:color="auto" w:sz="4" w:space="0"/>
            </w:tcBorders>
            <w:vAlign w:val="center"/>
          </w:tcPr>
          <w:p w14:paraId="7BBDACFA">
            <w:pPr>
              <w:widowControl/>
              <w:jc w:val="center"/>
              <w:textAlignment w:val="top"/>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企业冻猪肉销售量（吨）</w:t>
            </w: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5F022DF7">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22</w:t>
            </w:r>
            <w:r>
              <w:rPr>
                <w:rFonts w:hint="eastAsia" w:ascii="宋体" w:hAnsi="宋体"/>
                <w:color w:val="auto"/>
                <w:sz w:val="22"/>
                <w:highlight w:val="none"/>
              </w:rPr>
              <w:t>年</w:t>
            </w: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34C06C6A">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23</w:t>
            </w:r>
            <w:r>
              <w:rPr>
                <w:rFonts w:hint="eastAsia" w:ascii="宋体" w:hAnsi="宋体"/>
                <w:color w:val="auto"/>
                <w:sz w:val="22"/>
                <w:highlight w:val="none"/>
              </w:rPr>
              <w:t>年</w:t>
            </w: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1551F08E">
            <w:pPr>
              <w:widowControl/>
              <w:adjustRightInd w:val="0"/>
              <w:snapToGrid w:val="0"/>
              <w:spacing w:before="100" w:beforeAutospacing="1" w:after="100" w:afterAutospacing="1"/>
              <w:jc w:val="center"/>
              <w:rPr>
                <w:rFonts w:hint="eastAsia" w:ascii="宋体" w:hAnsi="宋体"/>
                <w:color w:val="auto"/>
                <w:sz w:val="22"/>
                <w:highlight w:val="none"/>
              </w:rPr>
            </w:pPr>
            <w:r>
              <w:rPr>
                <w:rFonts w:hint="eastAsia" w:ascii="宋体" w:hAnsi="宋体"/>
                <w:color w:val="auto"/>
                <w:sz w:val="22"/>
                <w:highlight w:val="none"/>
              </w:rPr>
              <w:t>20</w:t>
            </w:r>
            <w:r>
              <w:rPr>
                <w:rFonts w:hint="eastAsia" w:ascii="宋体" w:hAnsi="宋体"/>
                <w:color w:val="auto"/>
                <w:sz w:val="22"/>
                <w:highlight w:val="none"/>
                <w:lang w:val="en-US" w:eastAsia="zh-CN"/>
              </w:rPr>
              <w:t>24</w:t>
            </w:r>
            <w:r>
              <w:rPr>
                <w:rFonts w:hint="eastAsia" w:ascii="宋体" w:hAnsi="宋体"/>
                <w:color w:val="auto"/>
                <w:sz w:val="22"/>
                <w:highlight w:val="none"/>
              </w:rPr>
              <w:t>年</w:t>
            </w:r>
          </w:p>
        </w:tc>
      </w:tr>
      <w:tr w14:paraId="323C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709" w:type="dxa"/>
            <w:vMerge w:val="continue"/>
            <w:tcBorders>
              <w:left w:val="single" w:color="auto" w:sz="4" w:space="0"/>
              <w:bottom w:val="single" w:color="auto" w:sz="4" w:space="0"/>
              <w:right w:val="single" w:color="auto" w:sz="4" w:space="0"/>
            </w:tcBorders>
            <w:vAlign w:val="center"/>
          </w:tcPr>
          <w:p w14:paraId="61E6D84A">
            <w:pPr>
              <w:widowControl/>
              <w:adjustRightInd w:val="0"/>
              <w:snapToGrid w:val="0"/>
              <w:spacing w:before="100" w:beforeAutospacing="1" w:after="100" w:afterAutospacing="1"/>
              <w:jc w:val="center"/>
              <w:rPr>
                <w:color w:val="auto"/>
                <w:highlight w:val="none"/>
              </w:rPr>
            </w:pPr>
          </w:p>
        </w:tc>
        <w:tc>
          <w:tcPr>
            <w:tcW w:w="2385" w:type="dxa"/>
            <w:gridSpan w:val="2"/>
            <w:tcBorders>
              <w:top w:val="single" w:color="auto" w:sz="4" w:space="0"/>
              <w:left w:val="single" w:color="auto" w:sz="4" w:space="0"/>
              <w:bottom w:val="single" w:color="auto" w:sz="4" w:space="0"/>
              <w:right w:val="single" w:color="auto" w:sz="4" w:space="0"/>
            </w:tcBorders>
            <w:vAlign w:val="center"/>
          </w:tcPr>
          <w:p w14:paraId="34DC0A70">
            <w:pPr>
              <w:widowControl/>
              <w:adjustRightInd w:val="0"/>
              <w:snapToGrid w:val="0"/>
              <w:spacing w:before="100" w:beforeAutospacing="1" w:after="100" w:afterAutospacing="1"/>
              <w:jc w:val="center"/>
              <w:rPr>
                <w:rFonts w:hint="eastAsia" w:ascii="宋体" w:hAnsi="宋体"/>
                <w:color w:val="auto"/>
                <w:sz w:val="22"/>
                <w:highlight w:val="none"/>
              </w:rPr>
            </w:pP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021E93C8">
            <w:pPr>
              <w:widowControl/>
              <w:adjustRightInd w:val="0"/>
              <w:snapToGrid w:val="0"/>
              <w:spacing w:before="100" w:beforeAutospacing="1" w:after="100" w:afterAutospacing="1"/>
              <w:jc w:val="center"/>
              <w:rPr>
                <w:rFonts w:hint="eastAsia" w:ascii="宋体" w:hAnsi="宋体"/>
                <w:color w:val="auto"/>
                <w:sz w:val="22"/>
                <w:highlight w:val="none"/>
              </w:rPr>
            </w:pPr>
          </w:p>
        </w:tc>
        <w:tc>
          <w:tcPr>
            <w:tcW w:w="2386" w:type="dxa"/>
            <w:gridSpan w:val="3"/>
            <w:tcBorders>
              <w:top w:val="single" w:color="auto" w:sz="4" w:space="0"/>
              <w:left w:val="single" w:color="auto" w:sz="4" w:space="0"/>
              <w:bottom w:val="single" w:color="auto" w:sz="4" w:space="0"/>
              <w:right w:val="single" w:color="auto" w:sz="4" w:space="0"/>
            </w:tcBorders>
            <w:vAlign w:val="center"/>
          </w:tcPr>
          <w:p w14:paraId="24735E53">
            <w:pPr>
              <w:widowControl/>
              <w:adjustRightInd w:val="0"/>
              <w:snapToGrid w:val="0"/>
              <w:spacing w:before="100" w:beforeAutospacing="1" w:after="100" w:afterAutospacing="1"/>
              <w:jc w:val="center"/>
              <w:rPr>
                <w:rFonts w:hint="eastAsia" w:ascii="宋体" w:hAnsi="宋体"/>
                <w:color w:val="auto"/>
                <w:sz w:val="22"/>
                <w:highlight w:val="none"/>
              </w:rPr>
            </w:pPr>
          </w:p>
        </w:tc>
      </w:tr>
      <w:tr w14:paraId="65B4A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305E00B9">
            <w:pPr>
              <w:widowControl/>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是否拥有物流（冷藏）车</w:t>
            </w: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135C58D7">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是□       否 □</w:t>
            </w:r>
          </w:p>
        </w:tc>
      </w:tr>
      <w:tr w14:paraId="128F8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0495238B">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p>
          <w:p w14:paraId="596D6058">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p>
          <w:p w14:paraId="52C58A78">
            <w:pPr>
              <w:widowControl/>
              <w:jc w:val="center"/>
              <w:textAlignment w:val="center"/>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是否参与承担政府                冻猪肉保供任务</w:t>
            </w:r>
          </w:p>
          <w:p w14:paraId="48E0EFC3">
            <w:pPr>
              <w:widowControl/>
              <w:jc w:val="center"/>
              <w:textAlignment w:val="center"/>
              <w:rPr>
                <w:rFonts w:hint="eastAsia" w:asciiTheme="minorEastAsia" w:hAnsiTheme="minorEastAsia" w:eastAsiaTheme="minorEastAsia" w:cstheme="minorEastAsia"/>
                <w:color w:val="auto"/>
                <w:sz w:val="22"/>
                <w:szCs w:val="22"/>
                <w:highlight w:val="none"/>
              </w:rPr>
            </w:pPr>
          </w:p>
        </w:tc>
        <w:tc>
          <w:tcPr>
            <w:tcW w:w="7156" w:type="dxa"/>
            <w:gridSpan w:val="8"/>
            <w:tcBorders>
              <w:top w:val="single" w:color="auto" w:sz="4" w:space="0"/>
              <w:left w:val="single" w:color="auto" w:sz="4" w:space="0"/>
              <w:bottom w:val="single" w:color="auto" w:sz="4" w:space="0"/>
              <w:right w:val="single" w:color="auto" w:sz="4" w:space="0"/>
            </w:tcBorders>
            <w:vAlign w:val="center"/>
          </w:tcPr>
          <w:p w14:paraId="7A66EB36">
            <w:pPr>
              <w:jc w:val="center"/>
              <w:rPr>
                <w:rFonts w:hint="eastAsia" w:asciiTheme="minorEastAsia" w:hAnsiTheme="minorEastAsia" w:eastAsiaTheme="minorEastAsia" w:cstheme="minorEastAsia"/>
                <w:color w:val="auto"/>
                <w:kern w:val="0"/>
                <w:sz w:val="22"/>
                <w:szCs w:val="22"/>
                <w:highlight w:val="none"/>
                <w:lang w:bidi="ar"/>
              </w:rPr>
            </w:pPr>
          </w:p>
          <w:p w14:paraId="6A45E1AF">
            <w:pPr>
              <w:jc w:val="center"/>
              <w:rPr>
                <w:rFonts w:hint="eastAsia" w:asciiTheme="minorEastAsia" w:hAnsiTheme="minorEastAsia" w:eastAsiaTheme="minorEastAsia" w:cstheme="minorEastAsia"/>
                <w:color w:val="auto"/>
                <w:kern w:val="0"/>
                <w:sz w:val="22"/>
                <w:szCs w:val="22"/>
                <w:highlight w:val="none"/>
                <w:lang w:bidi="ar"/>
              </w:rPr>
            </w:pPr>
          </w:p>
          <w:p w14:paraId="1DE117DA">
            <w:pPr>
              <w:jc w:val="center"/>
              <w:rPr>
                <w:rFonts w:hint="eastAsia" w:asciiTheme="minorEastAsia" w:hAnsiTheme="minorEastAsia" w:eastAsiaTheme="minorEastAsia" w:cstheme="minorEastAsia"/>
                <w:color w:val="auto"/>
                <w:kern w:val="0"/>
                <w:sz w:val="22"/>
                <w:szCs w:val="22"/>
                <w:highlight w:val="none"/>
                <w:lang w:bidi="ar"/>
              </w:rPr>
            </w:pPr>
          </w:p>
          <w:p w14:paraId="52C97616">
            <w:pPr>
              <w:jc w:val="center"/>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（简要说明何时在何事件中承担何具体任务）</w:t>
            </w:r>
          </w:p>
          <w:p w14:paraId="4BE27033">
            <w:pPr>
              <w:jc w:val="center"/>
              <w:rPr>
                <w:rFonts w:hint="eastAsia" w:asciiTheme="minorEastAsia" w:hAnsiTheme="minorEastAsia" w:eastAsiaTheme="minorEastAsia" w:cstheme="minorEastAsia"/>
                <w:color w:val="auto"/>
                <w:kern w:val="0"/>
                <w:sz w:val="22"/>
                <w:szCs w:val="22"/>
                <w:highlight w:val="none"/>
                <w:lang w:bidi="ar"/>
              </w:rPr>
            </w:pPr>
          </w:p>
          <w:p w14:paraId="1A5B8F0D">
            <w:pPr>
              <w:jc w:val="center"/>
              <w:rPr>
                <w:rFonts w:hint="eastAsia" w:asciiTheme="minorEastAsia" w:hAnsiTheme="minorEastAsia" w:eastAsiaTheme="minorEastAsia" w:cstheme="minorEastAsia"/>
                <w:color w:val="auto"/>
                <w:sz w:val="22"/>
                <w:szCs w:val="22"/>
                <w:highlight w:val="none"/>
              </w:rPr>
            </w:pPr>
          </w:p>
          <w:p w14:paraId="7771CF2F">
            <w:pPr>
              <w:jc w:val="center"/>
              <w:rPr>
                <w:rFonts w:hint="eastAsia" w:asciiTheme="minorEastAsia" w:hAnsiTheme="minorEastAsia" w:eastAsiaTheme="minorEastAsia" w:cstheme="minorEastAsia"/>
                <w:color w:val="auto"/>
                <w:sz w:val="22"/>
                <w:szCs w:val="22"/>
                <w:highlight w:val="none"/>
              </w:rPr>
            </w:pPr>
          </w:p>
        </w:tc>
      </w:tr>
    </w:tbl>
    <w:p w14:paraId="197EF30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Cs/>
          <w:color w:val="auto"/>
          <w:sz w:val="22"/>
          <w:szCs w:val="22"/>
          <w:highlight w:val="none"/>
        </w:rPr>
        <w:t>在填写时，如本表格不适合投标人的实际情况，可根据本表格格式自行划表填写。</w:t>
      </w:r>
    </w:p>
    <w:p w14:paraId="4AF908BB">
      <w:pPr>
        <w:rPr>
          <w:rFonts w:hint="eastAsia"/>
          <w:color w:val="auto"/>
          <w:sz w:val="32"/>
          <w:szCs w:val="40"/>
          <w:highlight w:val="none"/>
        </w:rPr>
      </w:pPr>
      <w:r>
        <w:rPr>
          <w:rFonts w:hint="eastAsia"/>
          <w:color w:val="auto"/>
          <w:sz w:val="32"/>
          <w:szCs w:val="40"/>
          <w:highlight w:val="none"/>
        </w:rPr>
        <w:br w:type="page"/>
      </w:r>
    </w:p>
    <w:p w14:paraId="62CD7C85">
      <w:pPr>
        <w:bidi w:val="0"/>
        <w:rPr>
          <w:rFonts w:hint="eastAsia"/>
          <w:color w:val="auto"/>
          <w:sz w:val="28"/>
          <w:szCs w:val="36"/>
          <w:highlight w:val="none"/>
        </w:rPr>
      </w:pPr>
      <w:r>
        <w:rPr>
          <w:rFonts w:hint="eastAsia"/>
          <w:color w:val="auto"/>
          <w:sz w:val="28"/>
          <w:szCs w:val="36"/>
          <w:highlight w:val="none"/>
        </w:rPr>
        <w:t>（</w:t>
      </w:r>
      <w:r>
        <w:rPr>
          <w:rFonts w:hint="eastAsia"/>
          <w:color w:val="auto"/>
          <w:sz w:val="28"/>
          <w:szCs w:val="36"/>
          <w:highlight w:val="none"/>
          <w:lang w:val="en-US" w:eastAsia="zh-CN"/>
        </w:rPr>
        <w:t>5</w:t>
      </w:r>
      <w:r>
        <w:rPr>
          <w:rFonts w:hint="eastAsia"/>
          <w:color w:val="auto"/>
          <w:sz w:val="28"/>
          <w:szCs w:val="36"/>
          <w:highlight w:val="none"/>
        </w:rPr>
        <w:t>）项目负责人简历表</w:t>
      </w:r>
    </w:p>
    <w:p w14:paraId="34755506">
      <w:pPr>
        <w:pStyle w:val="17"/>
        <w:rPr>
          <w:rFonts w:hint="eastAsia"/>
          <w:color w:val="auto"/>
          <w:highlight w:val="none"/>
        </w:rPr>
      </w:pPr>
      <w:r>
        <w:rPr>
          <w:rFonts w:hint="eastAsia"/>
          <w:color w:val="auto"/>
          <w:sz w:val="28"/>
          <w:szCs w:val="36"/>
          <w:highlight w:val="none"/>
        </w:rPr>
        <w:t>项目负责人简历表</w:t>
      </w:r>
    </w:p>
    <w:tbl>
      <w:tblPr>
        <w:tblStyle w:val="19"/>
        <w:tblW w:w="9713" w:type="dxa"/>
        <w:tblInd w:w="8" w:type="dxa"/>
        <w:tblLayout w:type="fixed"/>
        <w:tblCellMar>
          <w:top w:w="57" w:type="dxa"/>
          <w:left w:w="57" w:type="dxa"/>
          <w:bottom w:w="57" w:type="dxa"/>
          <w:right w:w="57" w:type="dxa"/>
        </w:tblCellMar>
      </w:tblPr>
      <w:tblGrid>
        <w:gridCol w:w="1483"/>
        <w:gridCol w:w="205"/>
        <w:gridCol w:w="1575"/>
        <w:gridCol w:w="1106"/>
        <w:gridCol w:w="424"/>
        <w:gridCol w:w="296"/>
        <w:gridCol w:w="720"/>
        <w:gridCol w:w="180"/>
        <w:gridCol w:w="1204"/>
        <w:gridCol w:w="1155"/>
        <w:gridCol w:w="1365"/>
      </w:tblGrid>
      <w:tr w14:paraId="4D0348D1">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71660AEE">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14:paraId="707027E5">
            <w:pPr>
              <w:jc w:val="center"/>
              <w:rPr>
                <w:rFonts w:hint="eastAsia" w:ascii="宋体" w:hAnsi="宋体" w:eastAsia="宋体" w:cs="宋体"/>
                <w:color w:val="auto"/>
                <w:sz w:val="21"/>
                <w:szCs w:val="21"/>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14:paraId="3F1C48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5EEEE3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别</w:t>
            </w:r>
          </w:p>
        </w:tc>
        <w:tc>
          <w:tcPr>
            <w:tcW w:w="720" w:type="dxa"/>
            <w:gridSpan w:val="2"/>
            <w:tcBorders>
              <w:top w:val="single" w:color="auto" w:sz="6" w:space="0"/>
              <w:left w:val="single" w:color="auto" w:sz="6" w:space="0"/>
              <w:bottom w:val="single" w:color="auto" w:sz="6" w:space="0"/>
              <w:right w:val="single" w:color="auto" w:sz="6" w:space="0"/>
            </w:tcBorders>
            <w:noWrap w:val="0"/>
            <w:vAlign w:val="center"/>
          </w:tcPr>
          <w:p w14:paraId="299E9AD8">
            <w:pPr>
              <w:jc w:val="center"/>
              <w:rPr>
                <w:rFonts w:hint="eastAsia" w:ascii="宋体" w:hAnsi="宋体" w:eastAsia="宋体" w:cs="宋体"/>
                <w:color w:val="auto"/>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center"/>
          </w:tcPr>
          <w:p w14:paraId="7F6B66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p w14:paraId="0515EE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龄</w:t>
            </w:r>
          </w:p>
        </w:tc>
        <w:tc>
          <w:tcPr>
            <w:tcW w:w="1384" w:type="dxa"/>
            <w:gridSpan w:val="2"/>
            <w:tcBorders>
              <w:top w:val="single" w:color="auto" w:sz="6" w:space="0"/>
              <w:left w:val="single" w:color="auto" w:sz="6" w:space="0"/>
              <w:bottom w:val="single" w:color="auto" w:sz="6" w:space="0"/>
              <w:right w:val="single" w:color="auto" w:sz="6" w:space="0"/>
            </w:tcBorders>
            <w:noWrap w:val="0"/>
            <w:vAlign w:val="center"/>
          </w:tcPr>
          <w:p w14:paraId="6F962A94">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203294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w:t>
            </w:r>
          </w:p>
          <w:p w14:paraId="253D43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6CB55405">
            <w:pPr>
              <w:jc w:val="center"/>
              <w:rPr>
                <w:rFonts w:hint="eastAsia" w:ascii="宋体" w:hAnsi="宋体" w:eastAsia="宋体" w:cs="宋体"/>
                <w:color w:val="auto"/>
                <w:sz w:val="21"/>
                <w:szCs w:val="21"/>
                <w:highlight w:val="none"/>
              </w:rPr>
            </w:pPr>
          </w:p>
        </w:tc>
      </w:tr>
      <w:tr w14:paraId="6678EEAC">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492F8DE9">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14:paraId="248F83A8">
            <w:pPr>
              <w:jc w:val="center"/>
              <w:rPr>
                <w:rFonts w:hint="eastAsia" w:ascii="宋体" w:hAnsi="宋体" w:eastAsia="宋体" w:cs="宋体"/>
                <w:color w:val="auto"/>
                <w:sz w:val="21"/>
                <w:szCs w:val="21"/>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14:paraId="601CCA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2824" w:type="dxa"/>
            <w:gridSpan w:val="5"/>
            <w:tcBorders>
              <w:top w:val="single" w:color="auto" w:sz="6" w:space="0"/>
              <w:left w:val="single" w:color="auto" w:sz="6" w:space="0"/>
              <w:bottom w:val="single" w:color="auto" w:sz="6" w:space="0"/>
              <w:right w:val="single" w:color="auto" w:sz="6" w:space="0"/>
            </w:tcBorders>
            <w:noWrap w:val="0"/>
            <w:vAlign w:val="center"/>
          </w:tcPr>
          <w:p w14:paraId="1DFAAC6C">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3BF4B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专业年限</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0414F53">
            <w:pPr>
              <w:jc w:val="center"/>
              <w:rPr>
                <w:rFonts w:hint="eastAsia" w:ascii="宋体" w:hAnsi="宋体" w:eastAsia="宋体" w:cs="宋体"/>
                <w:color w:val="auto"/>
                <w:sz w:val="21"/>
                <w:szCs w:val="21"/>
                <w:highlight w:val="none"/>
              </w:rPr>
            </w:pPr>
          </w:p>
        </w:tc>
      </w:tr>
      <w:tr w14:paraId="48C219C5">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70506D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 作 单 位</w:t>
            </w:r>
          </w:p>
        </w:tc>
        <w:tc>
          <w:tcPr>
            <w:tcW w:w="5710" w:type="dxa"/>
            <w:gridSpan w:val="8"/>
            <w:tcBorders>
              <w:top w:val="single" w:color="auto" w:sz="6" w:space="0"/>
              <w:left w:val="single" w:color="auto" w:sz="6" w:space="0"/>
              <w:bottom w:val="single" w:color="auto" w:sz="6" w:space="0"/>
              <w:right w:val="single" w:color="auto" w:sz="6" w:space="0"/>
            </w:tcBorders>
            <w:noWrap w:val="0"/>
            <w:vAlign w:val="center"/>
          </w:tcPr>
          <w:p w14:paraId="4EF30ACF">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6BEEC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20EDD254">
            <w:pPr>
              <w:jc w:val="center"/>
              <w:rPr>
                <w:rFonts w:hint="eastAsia" w:ascii="宋体" w:hAnsi="宋体" w:eastAsia="宋体" w:cs="宋体"/>
                <w:color w:val="auto"/>
                <w:sz w:val="21"/>
                <w:szCs w:val="21"/>
                <w:highlight w:val="none"/>
              </w:rPr>
            </w:pPr>
          </w:p>
        </w:tc>
      </w:tr>
      <w:tr w14:paraId="707FBEC4">
        <w:tblPrEx>
          <w:tblCellMar>
            <w:top w:w="57" w:type="dxa"/>
            <w:left w:w="57" w:type="dxa"/>
            <w:bottom w:w="57" w:type="dxa"/>
            <w:right w:w="57" w:type="dxa"/>
          </w:tblCellMar>
        </w:tblPrEx>
        <w:trPr>
          <w:trHeight w:val="340" w:hRule="atLeast"/>
        </w:trPr>
        <w:tc>
          <w:tcPr>
            <w:tcW w:w="1483" w:type="dxa"/>
            <w:tcBorders>
              <w:top w:val="single" w:color="auto" w:sz="6" w:space="0"/>
              <w:left w:val="single" w:color="auto" w:sz="6" w:space="0"/>
              <w:bottom w:val="single" w:color="auto" w:sz="6" w:space="0"/>
              <w:right w:val="single" w:color="auto" w:sz="6" w:space="0"/>
            </w:tcBorders>
            <w:noWrap w:val="0"/>
            <w:vAlign w:val="center"/>
          </w:tcPr>
          <w:p w14:paraId="487E6292">
            <w:pPr>
              <w:jc w:val="distribut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5710" w:type="dxa"/>
            <w:gridSpan w:val="8"/>
            <w:tcBorders>
              <w:top w:val="single" w:color="auto" w:sz="6" w:space="0"/>
              <w:left w:val="single" w:color="auto" w:sz="6" w:space="0"/>
              <w:bottom w:val="single" w:color="auto" w:sz="6" w:space="0"/>
              <w:right w:val="single" w:color="auto" w:sz="6" w:space="0"/>
            </w:tcBorders>
            <w:noWrap w:val="0"/>
            <w:vAlign w:val="center"/>
          </w:tcPr>
          <w:p w14:paraId="0E98B698">
            <w:pPr>
              <w:jc w:val="center"/>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14:paraId="789465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tc>
        <w:tc>
          <w:tcPr>
            <w:tcW w:w="1365" w:type="dxa"/>
            <w:tcBorders>
              <w:top w:val="single" w:color="auto" w:sz="6" w:space="0"/>
              <w:left w:val="single" w:color="auto" w:sz="6" w:space="0"/>
              <w:bottom w:val="single" w:color="auto" w:sz="6" w:space="0"/>
              <w:right w:val="single" w:color="auto" w:sz="6" w:space="0"/>
            </w:tcBorders>
            <w:noWrap w:val="0"/>
            <w:vAlign w:val="center"/>
          </w:tcPr>
          <w:p w14:paraId="52F15EF1">
            <w:pPr>
              <w:jc w:val="center"/>
              <w:rPr>
                <w:rFonts w:hint="eastAsia" w:ascii="宋体" w:hAnsi="宋体" w:eastAsia="宋体" w:cs="宋体"/>
                <w:color w:val="auto"/>
                <w:sz w:val="21"/>
                <w:szCs w:val="21"/>
                <w:highlight w:val="none"/>
              </w:rPr>
            </w:pPr>
          </w:p>
        </w:tc>
      </w:tr>
      <w:tr w14:paraId="5A2DBB65">
        <w:tblPrEx>
          <w:tblCellMar>
            <w:top w:w="57" w:type="dxa"/>
            <w:left w:w="57" w:type="dxa"/>
            <w:bottom w:w="57" w:type="dxa"/>
            <w:right w:w="57" w:type="dxa"/>
          </w:tblCellMar>
        </w:tblPrEx>
        <w:trPr>
          <w:trHeight w:val="340" w:hRule="atLeast"/>
        </w:trPr>
        <w:tc>
          <w:tcPr>
            <w:tcW w:w="9713" w:type="dxa"/>
            <w:gridSpan w:val="11"/>
            <w:tcBorders>
              <w:top w:val="single" w:color="auto" w:sz="6" w:space="0"/>
              <w:left w:val="single" w:color="auto" w:sz="6" w:space="0"/>
              <w:bottom w:val="nil"/>
              <w:right w:val="single" w:color="auto" w:sz="6" w:space="0"/>
            </w:tcBorders>
            <w:noWrap w:val="0"/>
            <w:vAlign w:val="center"/>
          </w:tcPr>
          <w:p w14:paraId="402CA397">
            <w:pPr>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主要经历</w:t>
            </w:r>
          </w:p>
        </w:tc>
      </w:tr>
      <w:tr w14:paraId="4A7462DC">
        <w:tblPrEx>
          <w:tblCellMar>
            <w:top w:w="57" w:type="dxa"/>
            <w:left w:w="57" w:type="dxa"/>
            <w:bottom w:w="57" w:type="dxa"/>
            <w:right w:w="57" w:type="dxa"/>
          </w:tblCellMar>
        </w:tblPrEx>
        <w:trPr>
          <w:trHeight w:val="340"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3D822D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65EA5B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29C1A4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C530D0C">
            <w:pPr>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p>
        </w:tc>
      </w:tr>
      <w:tr w14:paraId="5EA98D25">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67661050">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79D311FB">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58B4F46">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1EEA835A">
            <w:pPr>
              <w:jc w:val="center"/>
              <w:rPr>
                <w:rFonts w:hint="eastAsia" w:ascii="宋体" w:hAnsi="宋体" w:eastAsia="宋体" w:cs="宋体"/>
                <w:color w:val="auto"/>
                <w:sz w:val="21"/>
                <w:szCs w:val="21"/>
                <w:highlight w:val="none"/>
              </w:rPr>
            </w:pPr>
          </w:p>
        </w:tc>
      </w:tr>
      <w:tr w14:paraId="7C7F6770">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1AE424A9">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1C8584F7">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CF3DAC3">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2BC53B4C">
            <w:pPr>
              <w:jc w:val="center"/>
              <w:rPr>
                <w:rFonts w:hint="eastAsia" w:ascii="宋体" w:hAnsi="宋体" w:eastAsia="宋体" w:cs="宋体"/>
                <w:color w:val="auto"/>
                <w:sz w:val="21"/>
                <w:szCs w:val="21"/>
                <w:highlight w:val="none"/>
              </w:rPr>
            </w:pPr>
          </w:p>
        </w:tc>
      </w:tr>
      <w:tr w14:paraId="1E851263">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41A859F9">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2404D873">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664218F1">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1A82FE2">
            <w:pPr>
              <w:jc w:val="center"/>
              <w:rPr>
                <w:rFonts w:hint="eastAsia" w:ascii="宋体" w:hAnsi="宋体" w:eastAsia="宋体" w:cs="宋体"/>
                <w:color w:val="auto"/>
                <w:sz w:val="21"/>
                <w:szCs w:val="21"/>
                <w:highlight w:val="none"/>
              </w:rPr>
            </w:pPr>
          </w:p>
        </w:tc>
      </w:tr>
      <w:tr w14:paraId="33292521">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56C1900B">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46734B69">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56DAA528">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17F578DB">
            <w:pPr>
              <w:jc w:val="center"/>
              <w:rPr>
                <w:rFonts w:hint="eastAsia" w:ascii="宋体" w:hAnsi="宋体" w:eastAsia="宋体" w:cs="宋体"/>
                <w:color w:val="auto"/>
                <w:sz w:val="21"/>
                <w:szCs w:val="21"/>
                <w:highlight w:val="none"/>
              </w:rPr>
            </w:pPr>
          </w:p>
        </w:tc>
      </w:tr>
      <w:tr w14:paraId="3FC4E7DF">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7E96B5AB">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0B955857">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48ED3E45">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5F077A9A">
            <w:pPr>
              <w:jc w:val="center"/>
              <w:rPr>
                <w:rFonts w:hint="eastAsia" w:ascii="宋体" w:hAnsi="宋体" w:eastAsia="宋体" w:cs="宋体"/>
                <w:color w:val="auto"/>
                <w:sz w:val="21"/>
                <w:szCs w:val="21"/>
                <w:highlight w:val="none"/>
              </w:rPr>
            </w:pPr>
          </w:p>
        </w:tc>
      </w:tr>
      <w:tr w14:paraId="4EC828F3">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56331A0C">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0D7E9EC2">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64994FF8">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0C090124">
            <w:pPr>
              <w:jc w:val="center"/>
              <w:rPr>
                <w:rFonts w:hint="eastAsia" w:ascii="宋体" w:hAnsi="宋体" w:eastAsia="宋体" w:cs="宋体"/>
                <w:color w:val="auto"/>
                <w:sz w:val="21"/>
                <w:szCs w:val="21"/>
                <w:highlight w:val="none"/>
              </w:rPr>
            </w:pPr>
          </w:p>
        </w:tc>
      </w:tr>
      <w:tr w14:paraId="2EBB96BD">
        <w:tblPrEx>
          <w:tblCellMar>
            <w:top w:w="57" w:type="dxa"/>
            <w:left w:w="57" w:type="dxa"/>
            <w:bottom w:w="57" w:type="dxa"/>
            <w:right w:w="57" w:type="dxa"/>
          </w:tblCellMar>
        </w:tblPrEx>
        <w:trPr>
          <w:cantSplit/>
          <w:trHeight w:val="591" w:hRule="atLeast"/>
        </w:trPr>
        <w:tc>
          <w:tcPr>
            <w:tcW w:w="1688" w:type="dxa"/>
            <w:gridSpan w:val="2"/>
            <w:tcBorders>
              <w:top w:val="single" w:color="auto" w:sz="6" w:space="0"/>
              <w:left w:val="single" w:color="auto" w:sz="6" w:space="0"/>
              <w:bottom w:val="single" w:color="auto" w:sz="6" w:space="0"/>
              <w:right w:val="single" w:color="auto" w:sz="6" w:space="0"/>
            </w:tcBorders>
            <w:noWrap w:val="0"/>
            <w:vAlign w:val="center"/>
          </w:tcPr>
          <w:p w14:paraId="0C084A1F">
            <w:pPr>
              <w:jc w:val="center"/>
              <w:rPr>
                <w:rFonts w:hint="eastAsia" w:ascii="宋体" w:hAnsi="宋体" w:eastAsia="宋体" w:cs="宋体"/>
                <w:color w:val="auto"/>
                <w:sz w:val="21"/>
                <w:szCs w:val="21"/>
                <w:highlight w:val="none"/>
              </w:rPr>
            </w:pPr>
          </w:p>
        </w:tc>
        <w:tc>
          <w:tcPr>
            <w:tcW w:w="3105" w:type="dxa"/>
            <w:gridSpan w:val="3"/>
            <w:tcBorders>
              <w:top w:val="single" w:color="auto" w:sz="6" w:space="0"/>
              <w:left w:val="single" w:color="auto" w:sz="6" w:space="0"/>
              <w:bottom w:val="single" w:color="auto" w:sz="6" w:space="0"/>
              <w:right w:val="single" w:color="auto" w:sz="6" w:space="0"/>
            </w:tcBorders>
            <w:noWrap w:val="0"/>
            <w:vAlign w:val="center"/>
          </w:tcPr>
          <w:p w14:paraId="781785CC">
            <w:pPr>
              <w:rPr>
                <w:rFonts w:hint="eastAsia" w:ascii="宋体" w:hAnsi="宋体" w:eastAsia="宋体" w:cs="宋体"/>
                <w:color w:val="auto"/>
                <w:sz w:val="21"/>
                <w:szCs w:val="21"/>
                <w:highlight w:val="none"/>
              </w:rPr>
            </w:pPr>
          </w:p>
        </w:tc>
        <w:tc>
          <w:tcPr>
            <w:tcW w:w="1196" w:type="dxa"/>
            <w:gridSpan w:val="3"/>
            <w:tcBorders>
              <w:top w:val="single" w:color="auto" w:sz="6" w:space="0"/>
              <w:left w:val="single" w:color="auto" w:sz="6" w:space="0"/>
              <w:bottom w:val="single" w:color="auto" w:sz="6" w:space="0"/>
              <w:right w:val="single" w:color="auto" w:sz="6" w:space="0"/>
            </w:tcBorders>
            <w:noWrap w:val="0"/>
            <w:vAlign w:val="center"/>
          </w:tcPr>
          <w:p w14:paraId="5854FD5E">
            <w:pPr>
              <w:jc w:val="center"/>
              <w:rPr>
                <w:rFonts w:hint="eastAsia" w:ascii="宋体" w:hAnsi="宋体" w:eastAsia="宋体" w:cs="宋体"/>
                <w:color w:val="auto"/>
                <w:sz w:val="21"/>
                <w:szCs w:val="21"/>
                <w:highlight w:val="none"/>
              </w:rPr>
            </w:pPr>
          </w:p>
        </w:tc>
        <w:tc>
          <w:tcPr>
            <w:tcW w:w="3724" w:type="dxa"/>
            <w:gridSpan w:val="3"/>
            <w:tcBorders>
              <w:top w:val="single" w:color="auto" w:sz="6" w:space="0"/>
              <w:left w:val="single" w:color="auto" w:sz="6" w:space="0"/>
              <w:bottom w:val="single" w:color="auto" w:sz="6" w:space="0"/>
              <w:right w:val="single" w:color="auto" w:sz="6" w:space="0"/>
            </w:tcBorders>
            <w:noWrap w:val="0"/>
            <w:vAlign w:val="center"/>
          </w:tcPr>
          <w:p w14:paraId="6832FF65">
            <w:pPr>
              <w:jc w:val="center"/>
              <w:rPr>
                <w:rFonts w:hint="eastAsia" w:ascii="宋体" w:hAnsi="宋体" w:eastAsia="宋体" w:cs="宋体"/>
                <w:color w:val="auto"/>
                <w:sz w:val="21"/>
                <w:szCs w:val="21"/>
                <w:highlight w:val="none"/>
              </w:rPr>
            </w:pPr>
          </w:p>
        </w:tc>
      </w:tr>
    </w:tbl>
    <w:p w14:paraId="1FAF7E53">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b/>
          <w:bCs/>
          <w:color w:val="auto"/>
          <w:szCs w:val="21"/>
          <w:highlight w:val="none"/>
          <w:lang w:val="en-US" w:eastAsia="zh-CN"/>
        </w:rPr>
        <w:t>注：1、</w:t>
      </w:r>
      <w:r>
        <w:rPr>
          <w:rFonts w:hint="eastAsia" w:ascii="宋体" w:hAnsi="宋体" w:cs="宋体"/>
          <w:b/>
          <w:bCs/>
          <w:color w:val="auto"/>
          <w:szCs w:val="21"/>
          <w:highlight w:val="none"/>
        </w:rPr>
        <w:t>提供项目负责人在投标单位缴纳的</w:t>
      </w:r>
      <w:r>
        <w:rPr>
          <w:rFonts w:hint="eastAsia" w:ascii="宋体" w:hAnsi="宋体" w:cs="宋体"/>
          <w:b/>
          <w:bCs/>
          <w:color w:val="auto"/>
          <w:szCs w:val="21"/>
          <w:highlight w:val="none"/>
          <w:lang w:val="en-US" w:eastAsia="zh-CN"/>
        </w:rPr>
        <w:t>近三</w:t>
      </w:r>
      <w:r>
        <w:rPr>
          <w:rFonts w:hint="eastAsia" w:ascii="宋体" w:hAnsi="宋体" w:cs="宋体"/>
          <w:b/>
          <w:bCs/>
          <w:color w:val="auto"/>
          <w:szCs w:val="21"/>
          <w:highlight w:val="none"/>
        </w:rPr>
        <w:t>个月或以上的加盖县市级以上养老保险机构章的养老保险证明原件</w:t>
      </w:r>
      <w:r>
        <w:rPr>
          <w:rFonts w:hint="eastAsia" w:ascii="宋体" w:hAnsi="宋体" w:cs="宋体"/>
          <w:b/>
          <w:bCs/>
          <w:color w:val="auto"/>
          <w:szCs w:val="21"/>
          <w:highlight w:val="none"/>
          <w:lang w:eastAsia="zh-CN"/>
        </w:rPr>
        <w:t>扫描件</w:t>
      </w:r>
      <w:r>
        <w:rPr>
          <w:rFonts w:hint="eastAsia" w:ascii="宋体" w:hAnsi="宋体" w:cs="宋体"/>
          <w:b/>
          <w:bCs/>
          <w:color w:val="auto"/>
          <w:szCs w:val="21"/>
          <w:highlight w:val="none"/>
        </w:rPr>
        <w:t>，由投标人所属社保机构于投标截止日当月出具（如投标截止日在每月的上旬的，上月或当月出具的均予认可）（格式不作要求）。</w:t>
      </w:r>
    </w:p>
    <w:p w14:paraId="39302C1F">
      <w:pPr>
        <w:tabs>
          <w:tab w:val="left" w:pos="1418"/>
        </w:tabs>
        <w:spacing w:line="400" w:lineRule="exact"/>
        <w:ind w:firstLine="42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2、在填写时，如本表格不适合投标单位的实际情况，可根据本表格式自行划表填写。</w:t>
      </w:r>
    </w:p>
    <w:p w14:paraId="672B1734">
      <w:pPr>
        <w:bidi w:val="0"/>
        <w:rPr>
          <w:rFonts w:hint="eastAsia"/>
          <w:color w:val="auto"/>
          <w:sz w:val="32"/>
          <w:szCs w:val="40"/>
          <w:highlight w:val="none"/>
        </w:rPr>
      </w:pPr>
    </w:p>
    <w:p w14:paraId="2E3C6976">
      <w:pPr>
        <w:spacing w:line="360" w:lineRule="auto"/>
        <w:ind w:firstLine="4827" w:firstLineChars="2299"/>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14D74F16">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6D5B294">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2094CBC9">
      <w:pPr>
        <w:rPr>
          <w:rFonts w:hint="eastAsia"/>
          <w:color w:val="auto"/>
          <w:sz w:val="32"/>
          <w:szCs w:val="40"/>
          <w:highlight w:val="none"/>
        </w:rPr>
      </w:pPr>
    </w:p>
    <w:p w14:paraId="08BB1936">
      <w:pPr>
        <w:bidi w:val="0"/>
        <w:rPr>
          <w:rFonts w:ascii="宋体" w:hAnsi="宋体" w:eastAsia="宋体" w:cs="宋体"/>
          <w:b w:val="0"/>
          <w:bCs/>
          <w:color w:val="auto"/>
          <w:szCs w:val="21"/>
          <w:highlight w:val="none"/>
        </w:rPr>
      </w:pPr>
      <w:r>
        <w:rPr>
          <w:rFonts w:hint="eastAsia"/>
          <w:color w:val="auto"/>
          <w:sz w:val="32"/>
          <w:szCs w:val="40"/>
          <w:highlight w:val="none"/>
          <w:lang w:val="en-US" w:eastAsia="zh-CN"/>
        </w:rPr>
        <w:t>（6）人员</w:t>
      </w:r>
      <w:r>
        <w:rPr>
          <w:rFonts w:hint="eastAsia"/>
          <w:color w:val="auto"/>
          <w:sz w:val="32"/>
          <w:szCs w:val="40"/>
          <w:highlight w:val="none"/>
        </w:rPr>
        <w:t>备情况表</w:t>
      </w:r>
    </w:p>
    <w:p w14:paraId="76F060EE">
      <w:pPr>
        <w:rPr>
          <w:color w:val="auto"/>
          <w:highlight w:val="none"/>
        </w:rPr>
      </w:pPr>
    </w:p>
    <w:p w14:paraId="536AA001">
      <w:pPr>
        <w:adjustRightIn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人员</w:t>
      </w:r>
      <w:r>
        <w:rPr>
          <w:rFonts w:hint="eastAsia" w:ascii="宋体" w:hAnsi="宋体" w:cs="宋体"/>
          <w:b/>
          <w:color w:val="auto"/>
          <w:sz w:val="30"/>
          <w:szCs w:val="30"/>
          <w:highlight w:val="none"/>
        </w:rPr>
        <w:t>配备情况表</w:t>
      </w:r>
    </w:p>
    <w:tbl>
      <w:tblPr>
        <w:tblStyle w:val="19"/>
        <w:tblW w:w="0" w:type="auto"/>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387F75F8">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noWrap/>
            <w:vAlign w:val="center"/>
          </w:tcPr>
          <w:p w14:paraId="7B204F03">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noWrap/>
            <w:vAlign w:val="center"/>
          </w:tcPr>
          <w:p w14:paraId="55C0833A">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noWrap/>
            <w:vAlign w:val="center"/>
          </w:tcPr>
          <w:p w14:paraId="3E445F62">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noWrap/>
            <w:vAlign w:val="center"/>
          </w:tcPr>
          <w:p w14:paraId="6CE9ABC7">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noWrap/>
            <w:vAlign w:val="center"/>
          </w:tcPr>
          <w:p w14:paraId="1BF9C1DD">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noWrap/>
            <w:vAlign w:val="center"/>
          </w:tcPr>
          <w:p w14:paraId="704B0AAF">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noWrap/>
            <w:vAlign w:val="center"/>
          </w:tcPr>
          <w:p w14:paraId="16FFE0FE">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noWrap/>
            <w:vAlign w:val="center"/>
          </w:tcPr>
          <w:p w14:paraId="2336D4CE">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职务和职称</w:t>
            </w:r>
          </w:p>
        </w:tc>
        <w:tc>
          <w:tcPr>
            <w:tcW w:w="1134" w:type="dxa"/>
            <w:tcBorders>
              <w:top w:val="single" w:color="auto" w:sz="12" w:space="0"/>
              <w:left w:val="single" w:color="auto" w:sz="6" w:space="0"/>
              <w:bottom w:val="single" w:color="auto" w:sz="12" w:space="0"/>
              <w:right w:val="single" w:color="auto" w:sz="12" w:space="0"/>
            </w:tcBorders>
            <w:noWrap/>
            <w:vAlign w:val="center"/>
          </w:tcPr>
          <w:p w14:paraId="5D7AB26D">
            <w:pPr>
              <w:autoSpaceDE w:val="0"/>
              <w:autoSpaceDN w:val="0"/>
              <w:adjustRightInd w:val="0"/>
              <w:jc w:val="center"/>
              <w:rPr>
                <w:rFonts w:ascii="宋体" w:hAnsi="宋体" w:cs="宋体"/>
                <w:color w:val="auto"/>
                <w:szCs w:val="21"/>
                <w:highlight w:val="none"/>
                <w:lang w:val="zh-CN"/>
              </w:rPr>
            </w:pPr>
            <w:r>
              <w:rPr>
                <w:rFonts w:hint="eastAsia" w:ascii="宋体" w:hAnsi="宋体" w:cs="宋体"/>
                <w:color w:val="auto"/>
                <w:szCs w:val="21"/>
                <w:highlight w:val="none"/>
                <w:lang w:val="zh-CN"/>
              </w:rPr>
              <w:t>备注</w:t>
            </w:r>
          </w:p>
        </w:tc>
      </w:tr>
      <w:tr w14:paraId="30ACD617">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noWrap/>
            <w:vAlign w:val="center"/>
          </w:tcPr>
          <w:p w14:paraId="37DD1760">
            <w:pPr>
              <w:autoSpaceDE w:val="0"/>
              <w:autoSpaceDN w:val="0"/>
              <w:adjustRightInd w:val="0"/>
              <w:rPr>
                <w:rFonts w:ascii="宋体" w:hAnsi="宋体" w:cs="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noWrap/>
          </w:tcPr>
          <w:p w14:paraId="48D4DB16">
            <w:pPr>
              <w:autoSpaceDE w:val="0"/>
              <w:autoSpaceDN w:val="0"/>
              <w:adjustRightInd w:val="0"/>
              <w:rPr>
                <w:rFonts w:ascii="宋体" w:hAnsi="宋体" w:cs="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noWrap/>
            <w:vAlign w:val="center"/>
          </w:tcPr>
          <w:p w14:paraId="2E9EA195">
            <w:pPr>
              <w:autoSpaceDE w:val="0"/>
              <w:autoSpaceDN w:val="0"/>
              <w:adjustRightInd w:val="0"/>
              <w:rPr>
                <w:rFonts w:ascii="宋体" w:hAnsi="宋体" w:cs="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noWrap/>
            <w:vAlign w:val="center"/>
          </w:tcPr>
          <w:p w14:paraId="78A5C682">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421EFC6D">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1BF86DD4">
            <w:pPr>
              <w:autoSpaceDE w:val="0"/>
              <w:autoSpaceDN w:val="0"/>
              <w:adjustRightInd w:val="0"/>
              <w:rPr>
                <w:rFonts w:ascii="宋体" w:hAnsi="宋体" w:cs="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noWrap/>
            <w:vAlign w:val="center"/>
          </w:tcPr>
          <w:p w14:paraId="5F963ABA">
            <w:pPr>
              <w:autoSpaceDE w:val="0"/>
              <w:autoSpaceDN w:val="0"/>
              <w:adjustRightInd w:val="0"/>
              <w:rPr>
                <w:rFonts w:ascii="宋体" w:hAnsi="宋体" w:cs="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noWrap/>
            <w:vAlign w:val="center"/>
          </w:tcPr>
          <w:p w14:paraId="084DC6DF">
            <w:pPr>
              <w:autoSpaceDE w:val="0"/>
              <w:autoSpaceDN w:val="0"/>
              <w:adjustRightInd w:val="0"/>
              <w:ind w:left="5250"/>
              <w:rPr>
                <w:rFonts w:ascii="宋体" w:hAnsi="宋体" w:cs="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noWrap/>
            <w:vAlign w:val="center"/>
          </w:tcPr>
          <w:p w14:paraId="7C855226">
            <w:pPr>
              <w:autoSpaceDE w:val="0"/>
              <w:autoSpaceDN w:val="0"/>
              <w:adjustRightInd w:val="0"/>
              <w:rPr>
                <w:rFonts w:ascii="宋体" w:hAnsi="宋体" w:cs="宋体"/>
                <w:color w:val="auto"/>
                <w:szCs w:val="21"/>
                <w:highlight w:val="none"/>
              </w:rPr>
            </w:pPr>
          </w:p>
        </w:tc>
      </w:tr>
      <w:tr w14:paraId="010A4025">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6E47B79C">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072680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5201CE7E">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CF30F5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8829E5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21A16C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0EE7D24">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091DCD5">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8AE6194">
            <w:pPr>
              <w:autoSpaceDE w:val="0"/>
              <w:autoSpaceDN w:val="0"/>
              <w:adjustRightInd w:val="0"/>
              <w:ind w:left="5250"/>
              <w:rPr>
                <w:rFonts w:ascii="宋体" w:hAnsi="宋体" w:cs="宋体"/>
                <w:color w:val="auto"/>
                <w:szCs w:val="21"/>
                <w:highlight w:val="none"/>
              </w:rPr>
            </w:pPr>
          </w:p>
        </w:tc>
      </w:tr>
      <w:tr w14:paraId="5790E77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1382B5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0D485C5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F11D45D">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6B2F226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12D1EE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2EE8AF3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BDDF0B">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4495DCE">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66F6C71">
            <w:pPr>
              <w:autoSpaceDE w:val="0"/>
              <w:autoSpaceDN w:val="0"/>
              <w:adjustRightInd w:val="0"/>
              <w:rPr>
                <w:rFonts w:ascii="宋体" w:hAnsi="宋体" w:cs="宋体"/>
                <w:color w:val="auto"/>
                <w:szCs w:val="21"/>
                <w:highlight w:val="none"/>
              </w:rPr>
            </w:pPr>
          </w:p>
        </w:tc>
      </w:tr>
      <w:tr w14:paraId="671D68D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CF27A3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B9CE0D5">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83E1C0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471FF58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49F342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0943E6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D21EE59">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FA10A6D">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F759352">
            <w:pPr>
              <w:autoSpaceDE w:val="0"/>
              <w:autoSpaceDN w:val="0"/>
              <w:adjustRightInd w:val="0"/>
              <w:rPr>
                <w:rFonts w:ascii="宋体" w:hAnsi="宋体" w:cs="宋体"/>
                <w:color w:val="auto"/>
                <w:szCs w:val="21"/>
                <w:highlight w:val="none"/>
              </w:rPr>
            </w:pPr>
          </w:p>
        </w:tc>
      </w:tr>
      <w:tr w14:paraId="7AE373BE">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66D568F">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3399E50">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77EB364">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5274809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308359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BDAA36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32C2271">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8A1406A">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EA4CB0A">
            <w:pPr>
              <w:autoSpaceDE w:val="0"/>
              <w:autoSpaceDN w:val="0"/>
              <w:adjustRightInd w:val="0"/>
              <w:rPr>
                <w:rFonts w:ascii="宋体" w:hAnsi="宋体" w:cs="宋体"/>
                <w:color w:val="auto"/>
                <w:szCs w:val="21"/>
                <w:highlight w:val="none"/>
              </w:rPr>
            </w:pPr>
          </w:p>
        </w:tc>
      </w:tr>
      <w:tr w14:paraId="3F3E89A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375E09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43935DE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7982D9A9">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2B7C302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17BF8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236757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A5A6EC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7EEBEC6E">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B763170">
            <w:pPr>
              <w:autoSpaceDE w:val="0"/>
              <w:autoSpaceDN w:val="0"/>
              <w:adjustRightInd w:val="0"/>
              <w:rPr>
                <w:rFonts w:ascii="宋体" w:hAnsi="宋体" w:cs="宋体"/>
                <w:color w:val="auto"/>
                <w:szCs w:val="21"/>
                <w:highlight w:val="none"/>
              </w:rPr>
            </w:pPr>
          </w:p>
        </w:tc>
      </w:tr>
      <w:tr w14:paraId="3DDD5B6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75456B73">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9630956">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8515AF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8DCDE0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897AD0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720AC4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82D6CA4">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1930C25F">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FB651AF">
            <w:pPr>
              <w:autoSpaceDE w:val="0"/>
              <w:autoSpaceDN w:val="0"/>
              <w:adjustRightInd w:val="0"/>
              <w:rPr>
                <w:rFonts w:ascii="宋体" w:hAnsi="宋体" w:cs="宋体"/>
                <w:color w:val="auto"/>
                <w:szCs w:val="21"/>
                <w:highlight w:val="none"/>
              </w:rPr>
            </w:pPr>
          </w:p>
        </w:tc>
      </w:tr>
      <w:tr w14:paraId="0E3A127B">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576AF0E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B746EE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1AEB6E6">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578A9282">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3E592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134E1F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8048475">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6B73E606">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278D39A">
            <w:pPr>
              <w:autoSpaceDE w:val="0"/>
              <w:autoSpaceDN w:val="0"/>
              <w:adjustRightInd w:val="0"/>
              <w:rPr>
                <w:rFonts w:ascii="宋体" w:hAnsi="宋体" w:cs="宋体"/>
                <w:color w:val="auto"/>
                <w:szCs w:val="21"/>
                <w:highlight w:val="none"/>
              </w:rPr>
            </w:pPr>
          </w:p>
        </w:tc>
      </w:tr>
      <w:tr w14:paraId="690BCEB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0D8217B">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A4180B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3D08126C">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0F16511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11746E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2C37D0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215DC2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8CFE2E2">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75FA0EE2">
            <w:pPr>
              <w:autoSpaceDE w:val="0"/>
              <w:autoSpaceDN w:val="0"/>
              <w:adjustRightInd w:val="0"/>
              <w:rPr>
                <w:rFonts w:ascii="宋体" w:hAnsi="宋体" w:cs="宋体"/>
                <w:color w:val="auto"/>
                <w:szCs w:val="21"/>
                <w:highlight w:val="none"/>
              </w:rPr>
            </w:pPr>
          </w:p>
        </w:tc>
      </w:tr>
      <w:tr w14:paraId="6207C322">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26E06EB7">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64F80CDC">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43091CF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49E70D7">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52F40ABA">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AC52AF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9E97458">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083D57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8BCA712">
            <w:pPr>
              <w:autoSpaceDE w:val="0"/>
              <w:autoSpaceDN w:val="0"/>
              <w:adjustRightInd w:val="0"/>
              <w:rPr>
                <w:rFonts w:ascii="宋体" w:hAnsi="宋体" w:cs="宋体"/>
                <w:color w:val="auto"/>
                <w:szCs w:val="21"/>
                <w:highlight w:val="none"/>
              </w:rPr>
            </w:pPr>
          </w:p>
        </w:tc>
      </w:tr>
      <w:tr w14:paraId="0C09B6F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12B23C98">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285C96D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4346A947">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EDBE12E">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C81EE5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C23954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C80E62E">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4D1C7B1B">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F01145E">
            <w:pPr>
              <w:autoSpaceDE w:val="0"/>
              <w:autoSpaceDN w:val="0"/>
              <w:adjustRightInd w:val="0"/>
              <w:rPr>
                <w:rFonts w:ascii="宋体" w:hAnsi="宋体" w:cs="宋体"/>
                <w:color w:val="auto"/>
                <w:szCs w:val="21"/>
                <w:highlight w:val="none"/>
              </w:rPr>
            </w:pPr>
          </w:p>
        </w:tc>
      </w:tr>
      <w:tr w14:paraId="45BA0F1A">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119D4EE8">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1C36DEFB">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064B1100">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46846D6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B7A4A51">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37E7F9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345E6D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3FCC5710">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6A793462">
            <w:pPr>
              <w:autoSpaceDE w:val="0"/>
              <w:autoSpaceDN w:val="0"/>
              <w:adjustRightInd w:val="0"/>
              <w:rPr>
                <w:rFonts w:ascii="宋体" w:hAnsi="宋体" w:cs="宋体"/>
                <w:color w:val="auto"/>
                <w:szCs w:val="21"/>
                <w:highlight w:val="none"/>
              </w:rPr>
            </w:pPr>
          </w:p>
        </w:tc>
      </w:tr>
      <w:tr w14:paraId="449589E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6CB0830E">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7602DFE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E8B4CB1">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1D7AFD2B">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5190D5F">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3173DA0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72E67C0">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7FDEC33">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362CE3DE">
            <w:pPr>
              <w:autoSpaceDE w:val="0"/>
              <w:autoSpaceDN w:val="0"/>
              <w:adjustRightInd w:val="0"/>
              <w:rPr>
                <w:rFonts w:ascii="宋体" w:hAnsi="宋体" w:cs="宋体"/>
                <w:color w:val="auto"/>
                <w:szCs w:val="21"/>
                <w:highlight w:val="none"/>
              </w:rPr>
            </w:pPr>
          </w:p>
        </w:tc>
      </w:tr>
      <w:tr w14:paraId="4EDAF4D3">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40D5E732">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3D836301">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2EF87EC6">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7E13B9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19F33CE0">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73AB03">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03CB479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05F5B1BC">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4553D0B8">
            <w:pPr>
              <w:autoSpaceDE w:val="0"/>
              <w:autoSpaceDN w:val="0"/>
              <w:adjustRightInd w:val="0"/>
              <w:rPr>
                <w:rFonts w:ascii="宋体" w:hAnsi="宋体" w:cs="宋体"/>
                <w:color w:val="auto"/>
                <w:szCs w:val="21"/>
                <w:highlight w:val="none"/>
              </w:rPr>
            </w:pPr>
          </w:p>
        </w:tc>
      </w:tr>
      <w:tr w14:paraId="659E1189">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noWrap/>
            <w:vAlign w:val="center"/>
          </w:tcPr>
          <w:p w14:paraId="0D870193">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noWrap/>
          </w:tcPr>
          <w:p w14:paraId="417CF44E">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noWrap/>
            <w:vAlign w:val="center"/>
          </w:tcPr>
          <w:p w14:paraId="1E2F6D05">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noWrap/>
            <w:vAlign w:val="center"/>
          </w:tcPr>
          <w:p w14:paraId="3430AC9D">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4F26F07C">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7E3728F6">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ign w:val="center"/>
          </w:tcPr>
          <w:p w14:paraId="6EBBCE3C">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ign w:val="center"/>
          </w:tcPr>
          <w:p w14:paraId="542CEB12">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noWrap/>
            <w:vAlign w:val="center"/>
          </w:tcPr>
          <w:p w14:paraId="00F4B10E">
            <w:pPr>
              <w:autoSpaceDE w:val="0"/>
              <w:autoSpaceDN w:val="0"/>
              <w:adjustRightInd w:val="0"/>
              <w:rPr>
                <w:rFonts w:ascii="宋体" w:hAnsi="宋体" w:cs="宋体"/>
                <w:color w:val="auto"/>
                <w:szCs w:val="21"/>
                <w:highlight w:val="none"/>
              </w:rPr>
            </w:pPr>
          </w:p>
        </w:tc>
      </w:tr>
      <w:tr w14:paraId="3D15DF4F">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12" w:space="0"/>
              <w:right w:val="single" w:color="auto" w:sz="6" w:space="0"/>
            </w:tcBorders>
            <w:noWrap/>
            <w:vAlign w:val="center"/>
          </w:tcPr>
          <w:p w14:paraId="227D15E1">
            <w:pPr>
              <w:autoSpaceDE w:val="0"/>
              <w:autoSpaceDN w:val="0"/>
              <w:adjustRightInd w:val="0"/>
              <w:rPr>
                <w:rFonts w:ascii="宋体" w:hAnsi="宋体" w:cs="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noWrap/>
          </w:tcPr>
          <w:p w14:paraId="348A6849">
            <w:pPr>
              <w:autoSpaceDE w:val="0"/>
              <w:autoSpaceDN w:val="0"/>
              <w:adjustRightInd w:val="0"/>
              <w:rPr>
                <w:rFonts w:ascii="宋体" w:hAnsi="宋体" w:cs="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noWrap/>
            <w:vAlign w:val="center"/>
          </w:tcPr>
          <w:p w14:paraId="0985115F">
            <w:pPr>
              <w:autoSpaceDE w:val="0"/>
              <w:autoSpaceDN w:val="0"/>
              <w:adjustRightInd w:val="0"/>
              <w:rPr>
                <w:rFonts w:ascii="宋体" w:hAnsi="宋体" w:cs="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noWrap/>
            <w:vAlign w:val="center"/>
          </w:tcPr>
          <w:p w14:paraId="1B6562C4">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2D5088B5">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5E1FDF08">
            <w:pPr>
              <w:autoSpaceDE w:val="0"/>
              <w:autoSpaceDN w:val="0"/>
              <w:adjustRightInd w:val="0"/>
              <w:rPr>
                <w:rFonts w:ascii="宋体" w:hAnsi="宋体" w:cs="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noWrap/>
            <w:vAlign w:val="center"/>
          </w:tcPr>
          <w:p w14:paraId="777B7D83">
            <w:pPr>
              <w:autoSpaceDE w:val="0"/>
              <w:autoSpaceDN w:val="0"/>
              <w:adjustRightInd w:val="0"/>
              <w:rPr>
                <w:rFonts w:ascii="宋体" w:hAnsi="宋体" w:cs="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noWrap/>
            <w:vAlign w:val="center"/>
          </w:tcPr>
          <w:p w14:paraId="437CFACB">
            <w:pPr>
              <w:autoSpaceDE w:val="0"/>
              <w:autoSpaceDN w:val="0"/>
              <w:adjustRightInd w:val="0"/>
              <w:rPr>
                <w:rFonts w:ascii="宋体" w:hAnsi="宋体" w:cs="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noWrap/>
            <w:vAlign w:val="center"/>
          </w:tcPr>
          <w:p w14:paraId="5560DCF3">
            <w:pPr>
              <w:autoSpaceDE w:val="0"/>
              <w:autoSpaceDN w:val="0"/>
              <w:adjustRightInd w:val="0"/>
              <w:rPr>
                <w:rFonts w:ascii="宋体" w:hAnsi="宋体" w:cs="宋体"/>
                <w:color w:val="auto"/>
                <w:szCs w:val="21"/>
                <w:highlight w:val="none"/>
              </w:rPr>
            </w:pPr>
          </w:p>
        </w:tc>
      </w:tr>
    </w:tbl>
    <w:p w14:paraId="27D18CF3">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备注：1、“项目实施人员”指投标人针对该项目所配备的人员。</w:t>
      </w:r>
    </w:p>
    <w:p w14:paraId="5D922831">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2、附各专业人员简历及相关证明材料复印件（如有）；</w:t>
      </w:r>
    </w:p>
    <w:p w14:paraId="4D15E8CE">
      <w:pPr>
        <w:tabs>
          <w:tab w:val="left" w:pos="1418"/>
        </w:tabs>
        <w:spacing w:line="4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3、表格不够填写可添加。</w:t>
      </w:r>
    </w:p>
    <w:p w14:paraId="3808D262">
      <w:pPr>
        <w:snapToGrid w:val="0"/>
        <w:spacing w:line="360" w:lineRule="auto"/>
        <w:rPr>
          <w:rFonts w:ascii="宋体" w:hAnsi="宋体" w:cs="宋体"/>
          <w:b/>
          <w:color w:val="auto"/>
          <w:sz w:val="24"/>
          <w:highlight w:val="none"/>
        </w:rPr>
      </w:pPr>
    </w:p>
    <w:p w14:paraId="607B01FB">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5E273957">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6E28EEC4">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7170A8F8">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0C6C2D3">
      <w:pPr>
        <w:snapToGrid w:val="0"/>
        <w:spacing w:line="360" w:lineRule="auto"/>
        <w:rPr>
          <w:rFonts w:hint="eastAsia" w:ascii="宋体" w:hAnsi="宋体" w:cs="宋体"/>
          <w:b/>
          <w:color w:val="auto"/>
          <w:kern w:val="0"/>
          <w:sz w:val="22"/>
          <w:szCs w:val="22"/>
          <w:highlight w:val="none"/>
          <w:lang w:val="zh-CN"/>
        </w:rPr>
      </w:pPr>
      <w:r>
        <w:rPr>
          <w:rFonts w:hint="eastAsia"/>
          <w:color w:val="auto"/>
          <w:sz w:val="32"/>
          <w:szCs w:val="40"/>
          <w:highlight w:val="none"/>
        </w:rPr>
        <w:t>（</w:t>
      </w:r>
      <w:r>
        <w:rPr>
          <w:rFonts w:hint="eastAsia"/>
          <w:color w:val="auto"/>
          <w:sz w:val="32"/>
          <w:szCs w:val="40"/>
          <w:highlight w:val="none"/>
          <w:lang w:val="en-US" w:eastAsia="zh-CN"/>
        </w:rPr>
        <w:t>7</w:t>
      </w:r>
      <w:r>
        <w:rPr>
          <w:rFonts w:hint="eastAsia"/>
          <w:color w:val="auto"/>
          <w:sz w:val="32"/>
          <w:szCs w:val="40"/>
          <w:highlight w:val="none"/>
        </w:rPr>
        <w:t>）</w:t>
      </w:r>
      <w:r>
        <w:rPr>
          <w:rFonts w:hint="eastAsia" w:ascii="宋体" w:hAnsi="宋体" w:cs="宋体"/>
          <w:b w:val="0"/>
          <w:bCs/>
          <w:color w:val="auto"/>
          <w:sz w:val="28"/>
          <w:szCs w:val="28"/>
          <w:highlight w:val="none"/>
        </w:rPr>
        <w:t>同类项目实施情况一览表格式：</w:t>
      </w:r>
    </w:p>
    <w:p w14:paraId="196D540E">
      <w:pPr>
        <w:pStyle w:val="10"/>
        <w:spacing w:before="156" w:after="156" w:line="360" w:lineRule="auto"/>
        <w:jc w:val="center"/>
        <w:rPr>
          <w:rFonts w:hint="eastAsia" w:hAnsi="宋体" w:cs="宋体"/>
          <w:b/>
          <w:color w:val="auto"/>
          <w:sz w:val="22"/>
          <w:szCs w:val="22"/>
          <w:highlight w:val="none"/>
        </w:rPr>
      </w:pPr>
      <w:r>
        <w:rPr>
          <w:rFonts w:hint="eastAsia" w:hAnsi="宋体" w:cs="宋体"/>
          <w:b/>
          <w:color w:val="auto"/>
          <w:sz w:val="22"/>
          <w:szCs w:val="22"/>
          <w:highlight w:val="none"/>
        </w:rPr>
        <w:t>同类项目实施情况一览表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875"/>
        <w:gridCol w:w="1800"/>
        <w:gridCol w:w="1935"/>
        <w:gridCol w:w="2562"/>
      </w:tblGrid>
      <w:tr w14:paraId="71DE9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76F5993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75" w:type="dxa"/>
            <w:tcBorders>
              <w:top w:val="single" w:color="auto" w:sz="4" w:space="0"/>
              <w:left w:val="single" w:color="auto" w:sz="4" w:space="0"/>
              <w:bottom w:val="single" w:color="auto" w:sz="4" w:space="0"/>
              <w:right w:val="single" w:color="auto" w:sz="4" w:space="0"/>
            </w:tcBorders>
            <w:noWrap w:val="0"/>
            <w:vAlign w:val="center"/>
          </w:tcPr>
          <w:p w14:paraId="1F024E8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A1CD5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CEA946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合同金额(万元)</w:t>
            </w:r>
          </w:p>
        </w:tc>
        <w:tc>
          <w:tcPr>
            <w:tcW w:w="2562" w:type="dxa"/>
            <w:tcBorders>
              <w:top w:val="single" w:color="auto" w:sz="4" w:space="0"/>
              <w:left w:val="single" w:color="auto" w:sz="4" w:space="0"/>
              <w:bottom w:val="single" w:color="auto" w:sz="4" w:space="0"/>
              <w:right w:val="single" w:color="auto" w:sz="4" w:space="0"/>
            </w:tcBorders>
            <w:noWrap w:val="0"/>
            <w:vAlign w:val="center"/>
          </w:tcPr>
          <w:p w14:paraId="22EF3324">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采购单位联系人及联系电话</w:t>
            </w:r>
          </w:p>
        </w:tc>
      </w:tr>
      <w:tr w14:paraId="25486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5989239B">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724C55C5">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D721A3">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B52D3AB">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72FB2EEE">
            <w:pPr>
              <w:widowControl/>
              <w:spacing w:line="360" w:lineRule="auto"/>
              <w:jc w:val="left"/>
              <w:rPr>
                <w:rFonts w:hint="eastAsia" w:ascii="宋体" w:hAnsi="宋体" w:eastAsia="宋体" w:cs="宋体"/>
                <w:color w:val="auto"/>
                <w:sz w:val="22"/>
                <w:szCs w:val="22"/>
                <w:highlight w:val="none"/>
              </w:rPr>
            </w:pPr>
          </w:p>
        </w:tc>
      </w:tr>
      <w:tr w14:paraId="1C0F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62B7FE67">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22827D30">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8FC61D">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33F5C46">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3D1F4638">
            <w:pPr>
              <w:widowControl/>
              <w:spacing w:line="360" w:lineRule="auto"/>
              <w:jc w:val="left"/>
              <w:rPr>
                <w:rFonts w:hint="eastAsia" w:ascii="宋体" w:hAnsi="宋体" w:eastAsia="宋体" w:cs="宋体"/>
                <w:color w:val="auto"/>
                <w:sz w:val="22"/>
                <w:szCs w:val="22"/>
                <w:highlight w:val="none"/>
              </w:rPr>
            </w:pPr>
          </w:p>
        </w:tc>
      </w:tr>
      <w:tr w14:paraId="10D9E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center"/>
          </w:tcPr>
          <w:p w14:paraId="43385238">
            <w:pPr>
              <w:widowControl/>
              <w:spacing w:line="360" w:lineRule="auto"/>
              <w:jc w:val="left"/>
              <w:rPr>
                <w:rFonts w:hint="eastAsia" w:ascii="宋体" w:hAnsi="宋体" w:eastAsia="宋体" w:cs="宋体"/>
                <w:color w:val="auto"/>
                <w:sz w:val="22"/>
                <w:szCs w:val="22"/>
                <w:highlight w:val="none"/>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14:paraId="479218C1">
            <w:pPr>
              <w:widowControl/>
              <w:spacing w:line="360" w:lineRule="auto"/>
              <w:jc w:val="left"/>
              <w:rPr>
                <w:rFonts w:hint="eastAsia" w:ascii="宋体" w:hAnsi="宋体" w:eastAsia="宋体" w:cs="宋体"/>
                <w:color w:val="auto"/>
                <w:sz w:val="22"/>
                <w:szCs w:val="22"/>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974AA3">
            <w:pPr>
              <w:widowControl/>
              <w:spacing w:line="360" w:lineRule="auto"/>
              <w:jc w:val="left"/>
              <w:rPr>
                <w:rFonts w:hint="eastAsia" w:ascii="宋体" w:hAnsi="宋体" w:eastAsia="宋体" w:cs="宋体"/>
                <w:color w:val="auto"/>
                <w:sz w:val="22"/>
                <w:szCs w:val="22"/>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3431242">
            <w:pPr>
              <w:widowControl/>
              <w:spacing w:line="360" w:lineRule="auto"/>
              <w:jc w:val="left"/>
              <w:rPr>
                <w:rFonts w:hint="eastAsia" w:ascii="宋体" w:hAnsi="宋体" w:eastAsia="宋体" w:cs="宋体"/>
                <w:color w:val="auto"/>
                <w:sz w:val="22"/>
                <w:szCs w:val="22"/>
                <w:highlight w:val="none"/>
              </w:rPr>
            </w:pPr>
          </w:p>
        </w:tc>
        <w:tc>
          <w:tcPr>
            <w:tcW w:w="2562" w:type="dxa"/>
            <w:tcBorders>
              <w:top w:val="single" w:color="auto" w:sz="4" w:space="0"/>
              <w:left w:val="single" w:color="auto" w:sz="4" w:space="0"/>
              <w:bottom w:val="single" w:color="auto" w:sz="4" w:space="0"/>
              <w:right w:val="single" w:color="auto" w:sz="4" w:space="0"/>
            </w:tcBorders>
            <w:noWrap w:val="0"/>
            <w:vAlign w:val="center"/>
          </w:tcPr>
          <w:p w14:paraId="1E207713">
            <w:pPr>
              <w:widowControl/>
              <w:spacing w:line="360" w:lineRule="auto"/>
              <w:jc w:val="left"/>
              <w:rPr>
                <w:rFonts w:hint="eastAsia" w:ascii="宋体" w:hAnsi="宋体" w:eastAsia="宋体" w:cs="宋体"/>
                <w:color w:val="auto"/>
                <w:sz w:val="22"/>
                <w:szCs w:val="22"/>
                <w:highlight w:val="none"/>
              </w:rPr>
            </w:pPr>
          </w:p>
        </w:tc>
      </w:tr>
    </w:tbl>
    <w:p w14:paraId="7B2B7705">
      <w:pPr>
        <w:pStyle w:val="3"/>
        <w:rPr>
          <w:color w:val="auto"/>
          <w:highlight w:val="none"/>
        </w:rPr>
      </w:pPr>
    </w:p>
    <w:p w14:paraId="7C00F1D2">
      <w:pPr>
        <w:spacing w:line="360" w:lineRule="auto"/>
        <w:ind w:firstLine="4830" w:firstLineChars="23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3710321D">
      <w:pPr>
        <w:spacing w:line="360" w:lineRule="auto"/>
        <w:ind w:firstLine="4410" w:firstLineChars="2100"/>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7718A8BB">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日期：</w:t>
      </w:r>
    </w:p>
    <w:p w14:paraId="4FC73DF6">
      <w:pPr>
        <w:rPr>
          <w:rFonts w:ascii="宋体" w:hAnsi="宋体" w:cs="宋体"/>
          <w:color w:val="auto"/>
          <w:szCs w:val="21"/>
          <w:highlight w:val="none"/>
        </w:rPr>
      </w:pPr>
    </w:p>
    <w:p w14:paraId="202C2293">
      <w:pPr>
        <w:rPr>
          <w:rFonts w:hint="eastAsia" w:ascii="宋体" w:hAnsi="宋体"/>
          <w:b/>
          <w:bCs/>
          <w:color w:val="auto"/>
          <w:szCs w:val="21"/>
          <w:highlight w:val="none"/>
        </w:rPr>
      </w:pPr>
      <w:bookmarkStart w:id="51" w:name="_Toc13428"/>
      <w:bookmarkStart w:id="52" w:name="_Toc24046"/>
      <w:bookmarkStart w:id="53" w:name="_Toc15491"/>
      <w:bookmarkStart w:id="54" w:name="_Toc8160"/>
      <w:r>
        <w:rPr>
          <w:rFonts w:hint="eastAsia" w:ascii="宋体" w:hAnsi="宋体"/>
          <w:b/>
          <w:bCs/>
          <w:color w:val="auto"/>
          <w:szCs w:val="21"/>
          <w:highlight w:val="none"/>
        </w:rPr>
        <w:br w:type="page"/>
      </w:r>
    </w:p>
    <w:p w14:paraId="50F8DC9C">
      <w:pPr>
        <w:bidi w:val="0"/>
        <w:rPr>
          <w:rFonts w:ascii="宋体" w:hAnsi="宋体"/>
          <w:b/>
          <w:bCs/>
          <w:color w:val="auto"/>
          <w:szCs w:val="21"/>
          <w:highlight w:val="none"/>
        </w:rPr>
      </w:pPr>
      <w:r>
        <w:rPr>
          <w:rFonts w:hint="eastAsia"/>
          <w:color w:val="auto"/>
          <w:sz w:val="24"/>
          <w:szCs w:val="32"/>
          <w:highlight w:val="none"/>
        </w:rPr>
        <w:t>四、报价响应文件部分格式</w:t>
      </w:r>
      <w:bookmarkEnd w:id="51"/>
      <w:bookmarkEnd w:id="52"/>
      <w:bookmarkEnd w:id="53"/>
      <w:bookmarkEnd w:id="54"/>
    </w:p>
    <w:p w14:paraId="7871EABA">
      <w:pPr>
        <w:spacing w:line="360" w:lineRule="auto"/>
        <w:rPr>
          <w:rFonts w:hint="eastAsia" w:ascii="宋体" w:hAnsi="宋体" w:cs="宋体"/>
          <w:b/>
          <w:color w:val="auto"/>
          <w:kern w:val="0"/>
          <w:sz w:val="24"/>
          <w:szCs w:val="22"/>
          <w:highlight w:val="none"/>
        </w:rPr>
      </w:pPr>
      <w:bookmarkStart w:id="55" w:name="_Toc29263"/>
      <w:bookmarkStart w:id="56" w:name="_Toc9164"/>
      <w:r>
        <w:rPr>
          <w:rFonts w:hint="eastAsia" w:ascii="宋体" w:hAnsi="宋体" w:cs="宋体"/>
          <w:b/>
          <w:color w:val="auto"/>
          <w:sz w:val="22"/>
          <w:szCs w:val="21"/>
          <w:highlight w:val="none"/>
        </w:rPr>
        <w:t>1、投标函</w:t>
      </w:r>
    </w:p>
    <w:p w14:paraId="0657DACC">
      <w:pPr>
        <w:snapToGrid w:val="0"/>
        <w:spacing w:before="120" w:beforeLines="50" w:after="5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投标函</w:t>
      </w:r>
    </w:p>
    <w:p w14:paraId="6480B17F">
      <w:pPr>
        <w:spacing w:line="360" w:lineRule="auto"/>
        <w:rPr>
          <w:rFonts w:hint="eastAsia" w:ascii="宋体" w:hAnsi="宋体" w:cs="宋体"/>
          <w:color w:val="auto"/>
          <w:sz w:val="22"/>
          <w:szCs w:val="21"/>
          <w:highlight w:val="non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（招标采购单位名称）：</w:t>
      </w:r>
    </w:p>
    <w:p w14:paraId="6F5F471C">
      <w:pPr>
        <w:snapToGrid w:val="0"/>
        <w:spacing w:line="360" w:lineRule="auto"/>
        <w:ind w:firstLine="480"/>
        <w:rPr>
          <w:rFonts w:hint="eastAsia" w:ascii="宋体" w:hAnsi="宋体" w:cs="宋体"/>
          <w:color w:val="auto"/>
          <w:sz w:val="22"/>
          <w:szCs w:val="21"/>
          <w:highlight w:val="none"/>
        </w:rPr>
      </w:pPr>
      <w:r>
        <w:rPr>
          <w:rFonts w:hint="eastAsia" w:ascii="宋体" w:hAnsi="宋体" w:cs="宋体"/>
          <w:color w:val="auto"/>
          <w:sz w:val="22"/>
          <w:szCs w:val="21"/>
          <w:highlight w:val="none"/>
        </w:rPr>
        <w:t>根据贵方为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采购项目招标公告（项目编号：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），签字代表</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（全名）经正式授权并代表投标人</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（投标人名称）提交资信/商务及技术文件、投标报价文件。</w:t>
      </w:r>
    </w:p>
    <w:p w14:paraId="68E25EC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据此函，签字代表宣布同意如下：</w:t>
      </w:r>
    </w:p>
    <w:p w14:paraId="1619D030">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44C4A7F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2.我方在投标之前已经与贵方进行了充分的沟通，完全理解并接受“招标文件”的各项规定和要求，对“招标文件”的合理性、合法性不再有异议。</w:t>
      </w:r>
    </w:p>
    <w:p w14:paraId="1DD24DA0">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3.我方同意按照贵方要求提供与投标有关的一切数据或资料。</w:t>
      </w:r>
    </w:p>
    <w:p w14:paraId="28D65BD3">
      <w:pPr>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4.我方完全理解贵方不一定要接受最低价的投标。</w:t>
      </w:r>
    </w:p>
    <w:p w14:paraId="0566C4E5">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5.本投标有效期自开标日起</w:t>
      </w:r>
      <w:r>
        <w:rPr>
          <w:rFonts w:hint="eastAsia" w:ascii="宋体" w:hAnsi="宋体" w:cs="宋体"/>
          <w:color w:val="auto"/>
          <w:sz w:val="22"/>
          <w:szCs w:val="21"/>
          <w:highlight w:val="none"/>
          <w:u w:val="single"/>
        </w:rPr>
        <w:t xml:space="preserve"> 90</w:t>
      </w:r>
      <w:r>
        <w:rPr>
          <w:rFonts w:hint="eastAsia" w:ascii="宋体" w:hAnsi="宋体" w:cs="宋体"/>
          <w:color w:val="auto"/>
          <w:sz w:val="22"/>
          <w:szCs w:val="21"/>
          <w:highlight w:val="none"/>
          <w:u w:val="single"/>
          <w:lang w:val="en-US" w:eastAsia="zh-CN"/>
        </w:rPr>
        <w:t xml:space="preserve"> </w:t>
      </w:r>
      <w:r>
        <w:rPr>
          <w:rFonts w:hint="eastAsia" w:ascii="宋体" w:hAnsi="宋体" w:cs="宋体"/>
          <w:color w:val="auto"/>
          <w:sz w:val="22"/>
          <w:szCs w:val="21"/>
          <w:highlight w:val="none"/>
        </w:rPr>
        <w:t>个日历天。</w:t>
      </w:r>
    </w:p>
    <w:p w14:paraId="5E1A8DD1">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6.如中标，本投标文件至本项目合同履行完毕均保持有效，本投标人将保证忠实地执行双方所签订的合同，并承担合同规定的责任和义务。</w:t>
      </w:r>
    </w:p>
    <w:p w14:paraId="06366569">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7.我方将严格遵守《中华人民共和国政府采购法》第七十七条、《</w:t>
      </w:r>
      <w:r>
        <w:rPr>
          <w:rFonts w:hint="eastAsia" w:ascii="宋体" w:hAnsi="宋体" w:cs="宋体"/>
          <w:bCs/>
          <w:color w:val="auto"/>
          <w:kern w:val="0"/>
          <w:sz w:val="22"/>
          <w:szCs w:val="21"/>
          <w:highlight w:val="none"/>
        </w:rPr>
        <w:t>浙江省政府采购供应商注册及诚信管理暂行办法》</w:t>
      </w:r>
      <w:r>
        <w:rPr>
          <w:rFonts w:hint="eastAsia" w:ascii="宋体" w:hAnsi="宋体" w:cs="宋体"/>
          <w:color w:val="auto"/>
          <w:kern w:val="0"/>
          <w:sz w:val="22"/>
          <w:szCs w:val="21"/>
          <w:highlight w:val="none"/>
        </w:rPr>
        <w:t>第三十八条、第三十九条、第四十条</w:t>
      </w:r>
      <w:r>
        <w:rPr>
          <w:rFonts w:hint="eastAsia" w:ascii="宋体" w:hAnsi="宋体" w:cs="宋体"/>
          <w:color w:val="auto"/>
          <w:sz w:val="22"/>
          <w:szCs w:val="21"/>
          <w:highlight w:val="none"/>
        </w:rPr>
        <w:t>规定。</w:t>
      </w:r>
    </w:p>
    <w:p w14:paraId="1926A9E4">
      <w:pPr>
        <w:snapToGrid w:val="0"/>
        <w:spacing w:line="360" w:lineRule="auto"/>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8.与本投标有关的一切正式往来信函请寄：</w:t>
      </w:r>
    </w:p>
    <w:p w14:paraId="2537E397">
      <w:pPr>
        <w:widowControl/>
        <w:adjustRightInd w:val="0"/>
        <w:snapToGrid w:val="0"/>
        <w:jc w:val="left"/>
        <w:rPr>
          <w:rFonts w:hint="eastAsia" w:ascii="宋体" w:hAnsi="宋体" w:cs="宋体"/>
          <w:color w:val="auto"/>
          <w:kern w:val="0"/>
          <w:sz w:val="22"/>
          <w:szCs w:val="21"/>
          <w:highlight w:val="none"/>
        </w:rPr>
      </w:pPr>
    </w:p>
    <w:p w14:paraId="1AD41E11">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地址：</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邮编：</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电话：</w:t>
      </w:r>
      <w:r>
        <w:rPr>
          <w:rFonts w:hint="eastAsia" w:ascii="宋体" w:hAnsi="宋体" w:cs="宋体"/>
          <w:color w:val="auto"/>
          <w:sz w:val="22"/>
          <w:szCs w:val="21"/>
          <w:highlight w:val="none"/>
          <w:u w:val="single"/>
        </w:rPr>
        <w:t xml:space="preserve">              </w:t>
      </w:r>
    </w:p>
    <w:p w14:paraId="51483FA0">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传真：</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投标人代表姓名：</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职务：</w:t>
      </w:r>
      <w:r>
        <w:rPr>
          <w:rFonts w:hint="eastAsia" w:ascii="宋体" w:hAnsi="宋体" w:cs="宋体"/>
          <w:color w:val="auto"/>
          <w:sz w:val="22"/>
          <w:szCs w:val="21"/>
          <w:highlight w:val="none"/>
          <w:u w:val="single"/>
        </w:rPr>
        <w:t xml:space="preserve">              </w:t>
      </w:r>
    </w:p>
    <w:p w14:paraId="1DB1155D">
      <w:pPr>
        <w:snapToGrid w:val="0"/>
        <w:spacing w:line="400" w:lineRule="exact"/>
        <w:ind w:firstLine="440"/>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投标人名称(公章)：</w:t>
      </w:r>
      <w:r>
        <w:rPr>
          <w:rFonts w:hint="eastAsia" w:ascii="宋体" w:hAnsi="宋体" w:cs="宋体"/>
          <w:color w:val="auto"/>
          <w:sz w:val="22"/>
          <w:szCs w:val="21"/>
          <w:highlight w:val="none"/>
          <w:u w:val="single"/>
        </w:rPr>
        <w:t xml:space="preserve">                                  </w:t>
      </w:r>
    </w:p>
    <w:p w14:paraId="7ABDE1C0">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开户银行：</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银行帐号：</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w:t>
      </w:r>
    </w:p>
    <w:p w14:paraId="3E446466">
      <w:pPr>
        <w:snapToGrid w:val="0"/>
        <w:spacing w:line="400" w:lineRule="exact"/>
        <w:ind w:firstLine="440"/>
        <w:rPr>
          <w:rFonts w:hint="eastAsia" w:ascii="宋体" w:hAnsi="宋体" w:cs="宋体"/>
          <w:color w:val="auto"/>
          <w:sz w:val="22"/>
          <w:szCs w:val="21"/>
          <w:highlight w:val="none"/>
        </w:rPr>
      </w:pPr>
      <w:r>
        <w:rPr>
          <w:rFonts w:hint="eastAsia" w:ascii="宋体" w:hAnsi="宋体" w:cs="宋体"/>
          <w:color w:val="auto"/>
          <w:sz w:val="22"/>
          <w:szCs w:val="21"/>
          <w:highlight w:val="none"/>
        </w:rPr>
        <w:t>授权代表签字：</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 xml:space="preserve">  日期： </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年</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月</w:t>
      </w:r>
      <w:r>
        <w:rPr>
          <w:rFonts w:hint="eastAsia" w:ascii="宋体" w:hAnsi="宋体" w:cs="宋体"/>
          <w:color w:val="auto"/>
          <w:sz w:val="22"/>
          <w:szCs w:val="21"/>
          <w:highlight w:val="none"/>
          <w:u w:val="single"/>
        </w:rPr>
        <w:t xml:space="preserve">     </w:t>
      </w:r>
      <w:r>
        <w:rPr>
          <w:rFonts w:hint="eastAsia" w:ascii="宋体" w:hAnsi="宋体" w:cs="宋体"/>
          <w:color w:val="auto"/>
          <w:sz w:val="22"/>
          <w:szCs w:val="21"/>
          <w:highlight w:val="none"/>
        </w:rPr>
        <w:t>日</w:t>
      </w:r>
    </w:p>
    <w:p w14:paraId="2FE2CAEC">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5F7E35D5">
      <w:pPr>
        <w:bidi w:val="0"/>
        <w:rPr>
          <w:rFonts w:ascii="宋体" w:hAnsi="宋体" w:eastAsia="宋体" w:cs="宋体"/>
          <w:color w:val="auto"/>
          <w:sz w:val="28"/>
          <w:szCs w:val="21"/>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color w:val="auto"/>
          <w:sz w:val="28"/>
          <w:szCs w:val="21"/>
          <w:highlight w:val="none"/>
        </w:rPr>
        <w:t>磋商报价一览表</w:t>
      </w:r>
    </w:p>
    <w:p w14:paraId="61AABB4F">
      <w:pPr>
        <w:pStyle w:val="10"/>
        <w:snapToGrid w:val="0"/>
        <w:spacing w:line="400" w:lineRule="exact"/>
        <w:jc w:val="center"/>
        <w:rPr>
          <w:rFonts w:hint="eastAsia" w:ascii="宋体" w:hAnsi="宋体" w:eastAsia="宋体" w:cs="宋体"/>
          <w:color w:val="auto"/>
          <w:sz w:val="28"/>
          <w:szCs w:val="21"/>
          <w:highlight w:val="none"/>
        </w:rPr>
      </w:pPr>
    </w:p>
    <w:p w14:paraId="2B860384">
      <w:pPr>
        <w:pStyle w:val="10"/>
        <w:snapToGrid w:val="0"/>
        <w:spacing w:line="400" w:lineRule="exact"/>
        <w:jc w:val="center"/>
        <w:rPr>
          <w:rFonts w:cs="Times New Roman"/>
          <w:b/>
          <w:color w:val="auto"/>
          <w:sz w:val="21"/>
          <w:szCs w:val="21"/>
          <w:highlight w:val="none"/>
        </w:rPr>
      </w:pPr>
      <w:r>
        <w:rPr>
          <w:rFonts w:hint="eastAsia" w:ascii="宋体" w:hAnsi="宋体" w:eastAsia="宋体" w:cs="宋体"/>
          <w:color w:val="auto"/>
          <w:sz w:val="28"/>
          <w:szCs w:val="21"/>
          <w:highlight w:val="none"/>
        </w:rPr>
        <w:t>磋商报价一览表（首次报价）</w:t>
      </w:r>
    </w:p>
    <w:p w14:paraId="14BA824E">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金额单位：人民币（元）</w:t>
      </w:r>
    </w:p>
    <w:tbl>
      <w:tblPr>
        <w:tblStyle w:val="19"/>
        <w:tblW w:w="96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239"/>
      </w:tblGrid>
      <w:tr w14:paraId="67D5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410" w:type="dxa"/>
            <w:noWrap/>
            <w:vAlign w:val="center"/>
          </w:tcPr>
          <w:p w14:paraId="45A89FFC">
            <w:pPr>
              <w:adjustRightInd w:val="0"/>
              <w:spacing w:line="400" w:lineRule="exact"/>
              <w:jc w:val="center"/>
              <w:rPr>
                <w:rFonts w:ascii="宋体" w:hAnsi="宋体" w:cs="Arial"/>
                <w:color w:val="auto"/>
                <w:szCs w:val="21"/>
                <w:highlight w:val="none"/>
              </w:rPr>
            </w:pPr>
            <w:r>
              <w:rPr>
                <w:rFonts w:hint="eastAsia" w:hAnsi="宋体" w:cs="仿宋_GB2312"/>
                <w:color w:val="auto"/>
                <w:szCs w:val="21"/>
                <w:highlight w:val="none"/>
                <w:lang w:val="zh-CN"/>
              </w:rPr>
              <w:t>项目名称</w:t>
            </w:r>
          </w:p>
        </w:tc>
        <w:tc>
          <w:tcPr>
            <w:tcW w:w="7239" w:type="dxa"/>
            <w:noWrap/>
            <w:vAlign w:val="center"/>
          </w:tcPr>
          <w:p w14:paraId="70D44C0A">
            <w:pPr>
              <w:adjustRightInd w:val="0"/>
              <w:spacing w:line="400" w:lineRule="exact"/>
              <w:jc w:val="center"/>
              <w:rPr>
                <w:rFonts w:hint="eastAsia" w:hAnsi="宋体" w:cs="仿宋_GB2312"/>
                <w:color w:val="auto"/>
                <w:szCs w:val="21"/>
                <w:highlight w:val="none"/>
                <w:lang w:val="zh-CN"/>
              </w:rPr>
            </w:pPr>
            <w:r>
              <w:rPr>
                <w:rFonts w:hint="eastAsia" w:hAnsi="宋体" w:cs="仿宋_GB2312"/>
                <w:i w:val="0"/>
                <w:iCs w:val="0"/>
                <w:color w:val="auto"/>
                <w:szCs w:val="21"/>
                <w:highlight w:val="none"/>
                <w:lang w:val="zh-CN" w:eastAsia="zh-CN"/>
              </w:rPr>
              <w:t>2025年平湖市冻猪肉动态储备服务项目（第三次）</w:t>
            </w:r>
          </w:p>
        </w:tc>
      </w:tr>
      <w:tr w14:paraId="1980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10" w:type="dxa"/>
            <w:noWrap/>
            <w:vAlign w:val="center"/>
          </w:tcPr>
          <w:p w14:paraId="21FFB549">
            <w:pPr>
              <w:adjustRightInd w:val="0"/>
              <w:spacing w:line="400" w:lineRule="exact"/>
              <w:jc w:val="center"/>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报价（小写）</w:t>
            </w:r>
          </w:p>
        </w:tc>
        <w:tc>
          <w:tcPr>
            <w:tcW w:w="7239" w:type="dxa"/>
            <w:noWrap/>
            <w:vAlign w:val="center"/>
          </w:tcPr>
          <w:p w14:paraId="034A0F75">
            <w:pPr>
              <w:adjustRightInd w:val="0"/>
              <w:spacing w:line="400" w:lineRule="exact"/>
              <w:jc w:val="center"/>
              <w:rPr>
                <w:rFonts w:hint="eastAsia" w:hAnsi="宋体" w:cs="仿宋_GB2312"/>
                <w:color w:val="auto"/>
                <w:szCs w:val="21"/>
                <w:highlight w:val="none"/>
                <w:lang w:val="en-US" w:eastAsia="zh-CN"/>
              </w:rPr>
            </w:pPr>
            <w:r>
              <w:rPr>
                <w:rFonts w:hint="eastAsia" w:hAnsi="宋体" w:cs="仿宋_GB2312"/>
                <w:color w:val="auto"/>
                <w:szCs w:val="21"/>
                <w:highlight w:val="none"/>
                <w:u w:val="single"/>
                <w:lang w:val="zh-CN" w:eastAsia="zh-CN"/>
              </w:rPr>
              <w:t xml:space="preserve">     </w:t>
            </w:r>
            <w:r>
              <w:rPr>
                <w:rFonts w:hint="eastAsia" w:hAnsi="宋体" w:cs="仿宋_GB2312"/>
                <w:color w:val="auto"/>
                <w:szCs w:val="21"/>
                <w:highlight w:val="none"/>
                <w:lang w:val="zh-CN" w:eastAsia="zh-CN"/>
              </w:rPr>
              <w:t>元</w:t>
            </w:r>
          </w:p>
        </w:tc>
      </w:tr>
      <w:tr w14:paraId="1FAF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410" w:type="dxa"/>
            <w:noWrap/>
            <w:vAlign w:val="center"/>
          </w:tcPr>
          <w:p w14:paraId="151B996A">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lang w:val="en-US" w:eastAsia="zh-CN"/>
              </w:rPr>
              <w:t>报价（大写）</w:t>
            </w:r>
          </w:p>
        </w:tc>
        <w:tc>
          <w:tcPr>
            <w:tcW w:w="7239" w:type="dxa"/>
            <w:noWrap/>
            <w:vAlign w:val="center"/>
          </w:tcPr>
          <w:p w14:paraId="0BF60A3D">
            <w:pPr>
              <w:adjustRightInd w:val="0"/>
              <w:spacing w:line="400" w:lineRule="exact"/>
              <w:jc w:val="center"/>
              <w:rPr>
                <w:rFonts w:hint="default" w:ascii="宋体" w:hAnsi="宋体" w:cs="Arial"/>
                <w:color w:val="auto"/>
                <w:szCs w:val="21"/>
                <w:highlight w:val="none"/>
                <w:lang w:val="en-US"/>
              </w:rPr>
            </w:pP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lang w:val="en-US" w:eastAsia="zh-CN"/>
              </w:rPr>
              <w:t>元整</w:t>
            </w:r>
          </w:p>
        </w:tc>
      </w:tr>
    </w:tbl>
    <w:p w14:paraId="0C768F2A">
      <w:pPr>
        <w:spacing w:line="360" w:lineRule="auto"/>
        <w:ind w:firstLine="5670" w:firstLineChars="2700"/>
        <w:jc w:val="left"/>
        <w:rPr>
          <w:rFonts w:ascii="宋体" w:hAnsi="宋体" w:cs="宋体"/>
          <w:color w:val="auto"/>
          <w:szCs w:val="21"/>
          <w:highlight w:val="none"/>
        </w:rPr>
      </w:pPr>
      <w:bookmarkStart w:id="58" w:name="_GoBack"/>
      <w:bookmarkEnd w:id="58"/>
    </w:p>
    <w:p w14:paraId="50E90590">
      <w:pPr>
        <w:spacing w:line="360" w:lineRule="auto"/>
        <w:ind w:firstLine="5670" w:firstLineChars="27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142FFFAD">
      <w:pPr>
        <w:spacing w:line="360" w:lineRule="auto"/>
        <w:ind w:firstLine="4418" w:firstLineChars="2104"/>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1720B2AD">
      <w:pPr>
        <w:spacing w:line="360" w:lineRule="auto"/>
        <w:ind w:firstLine="5670" w:firstLineChars="2700"/>
        <w:jc w:val="left"/>
        <w:rPr>
          <w:rFonts w:hint="eastAsia" w:ascii="宋体" w:hAnsi="宋体" w:cs="宋体"/>
          <w:color w:val="auto"/>
          <w:szCs w:val="21"/>
          <w:highlight w:val="none"/>
        </w:rPr>
      </w:pPr>
      <w:r>
        <w:rPr>
          <w:rFonts w:hint="eastAsia" w:ascii="宋体" w:hAnsi="宋体" w:cs="宋体"/>
          <w:color w:val="auto"/>
          <w:szCs w:val="21"/>
          <w:highlight w:val="none"/>
        </w:rPr>
        <w:t>日期：</w:t>
      </w:r>
    </w:p>
    <w:p w14:paraId="79F1CAEF">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78D81AA">
      <w:pPr>
        <w:rPr>
          <w:rFonts w:hint="eastAsia"/>
          <w:color w:val="auto"/>
          <w:highlight w:val="none"/>
          <w:lang w:val="en-US" w:eastAsia="zh-CN"/>
        </w:rPr>
      </w:pPr>
    </w:p>
    <w:p w14:paraId="7D95DD4A">
      <w:pPr>
        <w:adjustRightInd w:val="0"/>
        <w:snapToGrid w:val="0"/>
        <w:spacing w:before="159" w:beforeLines="50" w:after="159" w:afterLines="50" w:line="360" w:lineRule="auto"/>
        <w:jc w:val="center"/>
        <w:outlineLvl w:val="0"/>
        <w:rPr>
          <w:rFonts w:ascii="宋体" w:hAnsi="宋体" w:cs="宋体"/>
          <w:b/>
          <w:color w:val="auto"/>
          <w:sz w:val="30"/>
          <w:szCs w:val="30"/>
          <w:highlight w:val="none"/>
        </w:rPr>
      </w:pPr>
      <w:bookmarkStart w:id="57" w:name="_Toc24670"/>
      <w:r>
        <w:rPr>
          <w:rFonts w:hint="eastAsia" w:ascii="宋体" w:hAnsi="宋体" w:cs="宋体"/>
          <w:b/>
          <w:color w:val="auto"/>
          <w:sz w:val="30"/>
          <w:szCs w:val="30"/>
          <w:highlight w:val="none"/>
        </w:rPr>
        <w:t>第</w:t>
      </w:r>
      <w:r>
        <w:rPr>
          <w:rFonts w:hint="eastAsia" w:ascii="宋体" w:hAnsi="宋体" w:cs="宋体"/>
          <w:b/>
          <w:color w:val="auto"/>
          <w:sz w:val="30"/>
          <w:szCs w:val="30"/>
          <w:highlight w:val="none"/>
          <w:lang w:val="en-US" w:eastAsia="zh-CN"/>
        </w:rPr>
        <w:t xml:space="preserve">七章 </w:t>
      </w:r>
      <w:r>
        <w:rPr>
          <w:rFonts w:hint="eastAsia" w:ascii="宋体" w:hAnsi="宋体" w:cs="宋体"/>
          <w:b/>
          <w:color w:val="auto"/>
          <w:sz w:val="30"/>
          <w:szCs w:val="30"/>
          <w:highlight w:val="none"/>
        </w:rPr>
        <w:t>其它</w:t>
      </w:r>
      <w:bookmarkEnd w:id="55"/>
      <w:bookmarkEnd w:id="56"/>
      <w:bookmarkEnd w:id="57"/>
    </w:p>
    <w:p w14:paraId="26631DE4">
      <w:pPr>
        <w:bidi w:val="0"/>
        <w:jc w:val="center"/>
        <w:rPr>
          <w:color w:val="auto"/>
          <w:sz w:val="32"/>
          <w:szCs w:val="40"/>
          <w:highlight w:val="none"/>
        </w:rPr>
      </w:pPr>
      <w:r>
        <w:rPr>
          <w:rFonts w:hint="eastAsia"/>
          <w:color w:val="auto"/>
          <w:sz w:val="32"/>
          <w:szCs w:val="40"/>
          <w:highlight w:val="none"/>
        </w:rPr>
        <w:t>磋商报价一览表（最终报价）</w:t>
      </w:r>
    </w:p>
    <w:p w14:paraId="1A7A4167">
      <w:pPr>
        <w:pStyle w:val="10"/>
        <w:snapToGrid w:val="0"/>
        <w:spacing w:line="400" w:lineRule="exact"/>
        <w:jc w:val="center"/>
        <w:rPr>
          <w:rFonts w:cs="Times New Roman"/>
          <w:b/>
          <w:color w:val="auto"/>
          <w:sz w:val="21"/>
          <w:szCs w:val="21"/>
          <w:highlight w:val="none"/>
        </w:rPr>
      </w:pPr>
    </w:p>
    <w:p w14:paraId="5A9C5C1C">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rPr>
        <w:t>招标编号：</w:t>
      </w:r>
    </w:p>
    <w:p w14:paraId="4AB7CFBE">
      <w:pPr>
        <w:snapToGrid w:val="0"/>
        <w:spacing w:line="440" w:lineRule="exact"/>
        <w:ind w:right="480" w:firstLine="90" w:firstLineChars="43"/>
        <w:rPr>
          <w:rFonts w:hint="eastAsia" w:ascii="宋体" w:hAnsi="宋体"/>
          <w:color w:val="auto"/>
          <w:szCs w:val="21"/>
          <w:highlight w:val="none"/>
        </w:rPr>
      </w:pPr>
      <w:r>
        <w:rPr>
          <w:rFonts w:hint="eastAsia" w:ascii="宋体" w:hAnsi="宋体"/>
          <w:color w:val="auto"/>
          <w:szCs w:val="21"/>
          <w:highlight w:val="none"/>
        </w:rPr>
        <w:t>投标人名称：</w:t>
      </w:r>
    </w:p>
    <w:p w14:paraId="61B0F39B">
      <w:pPr>
        <w:snapToGrid w:val="0"/>
        <w:spacing w:line="440" w:lineRule="exact"/>
        <w:ind w:right="480" w:firstLine="90" w:firstLineChars="43"/>
        <w:jc w:val="right"/>
        <w:rPr>
          <w:rFonts w:ascii="宋体" w:hAnsi="宋体"/>
          <w:color w:val="auto"/>
          <w:szCs w:val="21"/>
          <w:highlight w:val="none"/>
        </w:rPr>
      </w:pPr>
      <w:r>
        <w:rPr>
          <w:rFonts w:hint="eastAsia" w:ascii="宋体" w:hAnsi="宋体"/>
          <w:color w:val="auto"/>
          <w:szCs w:val="21"/>
          <w:highlight w:val="none"/>
        </w:rPr>
        <w:t>金额单位：人民币（元）</w:t>
      </w:r>
    </w:p>
    <w:tbl>
      <w:tblPr>
        <w:tblStyle w:val="19"/>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5"/>
        <w:gridCol w:w="2943"/>
        <w:gridCol w:w="1276"/>
      </w:tblGrid>
      <w:tr w14:paraId="46A6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4995" w:type="dxa"/>
            <w:noWrap/>
            <w:vAlign w:val="center"/>
          </w:tcPr>
          <w:p w14:paraId="50189BF7">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eastAsia="zh-CN"/>
              </w:rPr>
              <w:t>项目名称</w:t>
            </w:r>
          </w:p>
        </w:tc>
        <w:tc>
          <w:tcPr>
            <w:tcW w:w="2943" w:type="dxa"/>
            <w:noWrap/>
            <w:vAlign w:val="center"/>
          </w:tcPr>
          <w:p w14:paraId="15396BD1">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rPr>
              <w:t>投标报价（</w:t>
            </w:r>
            <w:r>
              <w:rPr>
                <w:rFonts w:hint="eastAsia" w:hAnsi="宋体" w:cs="仿宋_GB2312"/>
                <w:color w:val="auto"/>
                <w:szCs w:val="21"/>
                <w:highlight w:val="none"/>
                <w:lang w:val="en-US" w:eastAsia="zh-CN"/>
              </w:rPr>
              <w:t>元</w:t>
            </w:r>
            <w:r>
              <w:rPr>
                <w:rFonts w:hint="eastAsia" w:hAnsi="宋体" w:cs="仿宋_GB2312"/>
                <w:color w:val="auto"/>
                <w:szCs w:val="21"/>
                <w:highlight w:val="none"/>
                <w:lang w:val="zh-CN"/>
              </w:rPr>
              <w:t>）</w:t>
            </w:r>
          </w:p>
          <w:p w14:paraId="111B4E6D">
            <w:pPr>
              <w:adjustRightInd w:val="0"/>
              <w:spacing w:line="400" w:lineRule="exact"/>
              <w:jc w:val="center"/>
              <w:rPr>
                <w:rFonts w:hint="eastAsia" w:hAnsi="宋体" w:cs="仿宋_GB2312"/>
                <w:color w:val="auto"/>
                <w:szCs w:val="21"/>
                <w:highlight w:val="none"/>
                <w:lang w:val="zh-CN"/>
              </w:rPr>
            </w:pPr>
          </w:p>
        </w:tc>
        <w:tc>
          <w:tcPr>
            <w:tcW w:w="1276" w:type="dxa"/>
            <w:noWrap/>
            <w:vAlign w:val="center"/>
          </w:tcPr>
          <w:p w14:paraId="17E0B130">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14:paraId="2018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995" w:type="dxa"/>
            <w:noWrap/>
            <w:vAlign w:val="center"/>
          </w:tcPr>
          <w:p w14:paraId="765ED88A">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lang w:val="zh-CN" w:eastAsia="zh-CN"/>
              </w:rPr>
              <w:t>2025年平湖市冻猪肉动态储备服务项目（第三次）</w:t>
            </w:r>
          </w:p>
        </w:tc>
        <w:tc>
          <w:tcPr>
            <w:tcW w:w="2943" w:type="dxa"/>
            <w:noWrap/>
            <w:vAlign w:val="center"/>
          </w:tcPr>
          <w:p w14:paraId="6D1D368A">
            <w:pPr>
              <w:adjustRightInd w:val="0"/>
              <w:spacing w:line="400" w:lineRule="exact"/>
              <w:jc w:val="center"/>
              <w:rPr>
                <w:rFonts w:hint="eastAsia" w:hAnsi="宋体" w:cs="仿宋_GB2312"/>
                <w:color w:val="auto"/>
                <w:szCs w:val="21"/>
                <w:highlight w:val="none"/>
                <w:lang w:val="zh-CN"/>
              </w:rPr>
            </w:pP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lang w:val="zh-CN"/>
              </w:rPr>
              <w:t>元</w:t>
            </w:r>
          </w:p>
        </w:tc>
        <w:tc>
          <w:tcPr>
            <w:tcW w:w="1276" w:type="dxa"/>
            <w:noWrap/>
            <w:vAlign w:val="center"/>
          </w:tcPr>
          <w:p w14:paraId="4A05F71B">
            <w:pPr>
              <w:adjustRightInd w:val="0"/>
              <w:spacing w:line="400" w:lineRule="exact"/>
              <w:jc w:val="center"/>
              <w:rPr>
                <w:rFonts w:ascii="宋体" w:hAnsi="宋体" w:cs="Arial"/>
                <w:color w:val="auto"/>
                <w:szCs w:val="21"/>
                <w:highlight w:val="none"/>
              </w:rPr>
            </w:pPr>
          </w:p>
        </w:tc>
      </w:tr>
      <w:tr w14:paraId="360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14" w:type="dxa"/>
            <w:gridSpan w:val="3"/>
            <w:noWrap/>
            <w:vAlign w:val="center"/>
          </w:tcPr>
          <w:p w14:paraId="393C7EB7">
            <w:pPr>
              <w:tabs>
                <w:tab w:val="left" w:pos="2971"/>
              </w:tabs>
              <w:adjustRightInd w:val="0"/>
              <w:spacing w:line="400" w:lineRule="exact"/>
              <w:jc w:val="left"/>
              <w:rPr>
                <w:rFonts w:hint="eastAsia" w:ascii="宋体" w:hAnsi="宋体" w:cs="Arial" w:eastAsiaTheme="minorEastAsia"/>
                <w:color w:val="auto"/>
                <w:szCs w:val="21"/>
                <w:highlight w:val="none"/>
                <w:lang w:eastAsia="zh-CN"/>
              </w:rPr>
            </w:pPr>
            <w:r>
              <w:rPr>
                <w:rFonts w:hint="eastAsia" w:ascii="宋体" w:hAnsi="宋体" w:cs="Arial"/>
                <w:color w:val="auto"/>
                <w:szCs w:val="21"/>
                <w:highlight w:val="none"/>
                <w:lang w:eastAsia="zh-CN"/>
              </w:rPr>
              <w:tab/>
            </w:r>
            <w:r>
              <w:rPr>
                <w:rFonts w:hint="eastAsia" w:ascii="宋体" w:hAnsi="宋体" w:eastAsia="宋体" w:cs="宋体"/>
                <w:bCs/>
                <w:color w:val="auto"/>
                <w:kern w:val="0"/>
                <w:szCs w:val="21"/>
                <w:highlight w:val="none"/>
              </w:rPr>
              <w:t>投标总价（大写）：</w:t>
            </w: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lang w:val="zh-CN"/>
              </w:rPr>
              <w:t xml:space="preserve">  </w:t>
            </w:r>
            <w:r>
              <w:rPr>
                <w:rFonts w:hint="eastAsia" w:hAnsi="宋体" w:cs="仿宋_GB2312"/>
                <w:color w:val="auto"/>
                <w:szCs w:val="21"/>
                <w:highlight w:val="none"/>
                <w:u w:val="single"/>
                <w:lang w:val="en-US" w:eastAsia="zh-CN"/>
              </w:rPr>
              <w:t xml:space="preserve"> </w:t>
            </w:r>
            <w:r>
              <w:rPr>
                <w:rFonts w:hint="eastAsia" w:hAnsi="宋体" w:cs="仿宋_GB2312"/>
                <w:color w:val="auto"/>
                <w:szCs w:val="21"/>
                <w:highlight w:val="none"/>
                <w:u w:val="single"/>
                <w:lang w:val="zh-CN"/>
              </w:rPr>
              <w:t xml:space="preserve"> </w:t>
            </w:r>
            <w:r>
              <w:rPr>
                <w:rFonts w:hint="eastAsia" w:ascii="宋体" w:hAnsi="宋体" w:eastAsia="宋体" w:cs="宋体"/>
                <w:bCs/>
                <w:color w:val="auto"/>
                <w:kern w:val="0"/>
                <w:szCs w:val="21"/>
                <w:highlight w:val="none"/>
              </w:rPr>
              <w:t>元整</w:t>
            </w:r>
          </w:p>
        </w:tc>
      </w:tr>
    </w:tbl>
    <w:p w14:paraId="4B5AC1B1">
      <w:pPr>
        <w:spacing w:line="360" w:lineRule="auto"/>
        <w:ind w:firstLine="5670" w:firstLineChars="2700"/>
        <w:jc w:val="left"/>
        <w:rPr>
          <w:rFonts w:ascii="宋体" w:hAnsi="宋体" w:cs="宋体"/>
          <w:color w:val="auto"/>
          <w:szCs w:val="21"/>
          <w:highlight w:val="none"/>
        </w:rPr>
      </w:pPr>
    </w:p>
    <w:p w14:paraId="49BA47A2">
      <w:pPr>
        <w:spacing w:line="360" w:lineRule="auto"/>
        <w:ind w:firstLine="5670" w:firstLineChars="2700"/>
        <w:jc w:val="left"/>
        <w:rPr>
          <w:rFonts w:ascii="宋体" w:hAnsi="宋体" w:cs="宋体"/>
          <w:color w:val="auto"/>
          <w:szCs w:val="21"/>
          <w:highlight w:val="none"/>
        </w:rPr>
      </w:pPr>
      <w:r>
        <w:rPr>
          <w:rFonts w:hint="eastAsia" w:ascii="宋体" w:hAnsi="宋体" w:cs="宋体"/>
          <w:color w:val="auto"/>
          <w:szCs w:val="21"/>
          <w:highlight w:val="none"/>
        </w:rPr>
        <w:t>磋商供应商(盖章)：</w:t>
      </w:r>
    </w:p>
    <w:p w14:paraId="0D12CD57">
      <w:pPr>
        <w:spacing w:line="360" w:lineRule="auto"/>
        <w:ind w:firstLine="4418" w:firstLineChars="2104"/>
        <w:jc w:val="left"/>
        <w:rPr>
          <w:rFonts w:ascii="宋体" w:hAnsi="宋体" w:cs="宋体"/>
          <w:color w:val="auto"/>
          <w:szCs w:val="21"/>
          <w:highlight w:val="none"/>
        </w:rPr>
      </w:pPr>
      <w:r>
        <w:rPr>
          <w:rFonts w:hint="eastAsia" w:ascii="宋体" w:hAnsi="宋体" w:cs="宋体"/>
          <w:color w:val="auto"/>
          <w:szCs w:val="21"/>
          <w:highlight w:val="none"/>
        </w:rPr>
        <w:t>法定代表人或授权代表（签字或盖章）：</w:t>
      </w:r>
    </w:p>
    <w:p w14:paraId="52342C58">
      <w:pPr>
        <w:spacing w:line="360" w:lineRule="auto"/>
        <w:ind w:firstLine="5670" w:firstLineChars="2700"/>
        <w:jc w:val="left"/>
        <w:rPr>
          <w:rFonts w:ascii="宋体" w:hAnsi="宋体" w:cs="宋体"/>
          <w:color w:val="auto"/>
          <w:highlight w:val="none"/>
        </w:rPr>
      </w:pPr>
      <w:r>
        <w:rPr>
          <w:rFonts w:hint="eastAsia" w:ascii="宋体" w:hAnsi="宋体" w:cs="宋体"/>
          <w:color w:val="auto"/>
          <w:szCs w:val="21"/>
          <w:highlight w:val="none"/>
        </w:rPr>
        <w:t>日期：</w:t>
      </w:r>
    </w:p>
    <w:p w14:paraId="221FCE78">
      <w:pPr>
        <w:pStyle w:val="30"/>
        <w:spacing w:before="159"/>
        <w:rPr>
          <w:rFonts w:ascii="宋体" w:hAnsi="宋体"/>
          <w:b/>
          <w:color w:val="auto"/>
          <w:szCs w:val="21"/>
          <w:highlight w:val="none"/>
        </w:rPr>
      </w:pPr>
    </w:p>
    <w:p w14:paraId="09A0E159">
      <w:pPr>
        <w:rPr>
          <w:color w:val="auto"/>
          <w:highlight w:val="none"/>
        </w:rPr>
      </w:pPr>
    </w:p>
    <w:sectPr>
      <w:headerReference r:id="rId10" w:type="default"/>
      <w:footerReference r:id="rId11" w:type="default"/>
      <w:pgSz w:w="11906" w:h="16838"/>
      <w:pgMar w:top="1417" w:right="1134" w:bottom="1134" w:left="1134"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Light">
    <w:panose1 w:val="020B0502040204020203"/>
    <w:charset w:val="86"/>
    <w:family w:val="swiss"/>
    <w:pitch w:val="default"/>
    <w:sig w:usb0="80000287" w:usb1="2ACF001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 w:name="Angsana New">
    <w:altName w:val="Leelawadee UI"/>
    <w:panose1 w:val="02020503050405090304"/>
    <w:charset w:val="DE"/>
    <w:family w:val="roman"/>
    <w:pitch w:val="default"/>
    <w:sig w:usb0="00000000" w:usb1="00000000" w:usb2="00000000" w:usb3="00000000" w:csb0="00010001" w:csb1="00000000"/>
  </w:font>
  <w:font w:name="Leelawadee UI">
    <w:panose1 w:val="020B0502040204020203"/>
    <w:charset w:val="00"/>
    <w:family w:val="auto"/>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34285">
    <w:pPr>
      <w:pStyle w:val="11"/>
      <w:framePr w:wrap="around" w:vAnchor="text" w:hAnchor="margin" w:xAlign="center" w:y="1"/>
      <w:rPr>
        <w:rStyle w:val="21"/>
      </w:rPr>
    </w:pPr>
    <w:r>
      <w:fldChar w:fldCharType="begin"/>
    </w:r>
    <w:r>
      <w:rPr>
        <w:rStyle w:val="21"/>
      </w:rPr>
      <w:instrText xml:space="preserve">PAGE  </w:instrText>
    </w:r>
    <w:r>
      <w:fldChar w:fldCharType="end"/>
    </w:r>
  </w:p>
  <w:p w14:paraId="11BC8D6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EEF42">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DC5D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5DC5D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61B4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92C0">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C592C0">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C01B">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426D5">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5426D5">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2DA99">
    <w:pPr>
      <w:pStyle w:val="12"/>
      <w:pBdr>
        <w:bottom w:val="none" w:color="auto" w:sz="0" w:space="0"/>
      </w:pBdr>
      <w:jc w:val="left"/>
      <w:rPr>
        <w:rFonts w:ascii="宋体" w:hAnsi="宋体" w:eastAsia="宋体" w:cs="宋体"/>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eastAsia="zh-CN"/>
      </w:rPr>
      <w:t>2025年平湖市冻猪肉动态储备服务项目（第三次）</w:t>
    </w:r>
    <w:r>
      <w:rPr>
        <w:rFonts w:hint="eastAsia" w:ascii="宋体" w:hAnsi="宋体" w:eastAsia="宋体" w:cs="宋体"/>
        <w:color w:val="000000"/>
        <w:sz w:val="24"/>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432">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88C2">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89584">
    <w:pPr>
      <w:pStyle w:val="12"/>
      <w:jc w:val="both"/>
      <w:rPr>
        <w:sz w:val="16"/>
        <w:szCs w:val="22"/>
      </w:rPr>
    </w:pPr>
    <w:r>
      <w:rPr>
        <w:rFonts w:hint="eastAsia" w:ascii="宋体" w:hAnsi="宋体" w:eastAsia="宋体" w:cs="宋体"/>
        <w:color w:val="000000"/>
        <w:sz w:val="22"/>
        <w:szCs w:val="22"/>
        <w:lang w:eastAsia="zh-CN"/>
      </w:rPr>
      <w:t>2025年平湖市冻猪肉动态储备服务项目（第三次）</w:t>
    </w:r>
    <w:r>
      <w:rPr>
        <w:rFonts w:hint="eastAsia" w:ascii="宋体" w:hAnsi="宋体" w:eastAsia="宋体" w:cs="宋体"/>
        <w:color w:val="000000"/>
        <w:sz w:val="22"/>
        <w:szCs w:val="22"/>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51B9">
    <w:pPr>
      <w:pStyle w:val="12"/>
      <w:jc w:val="both"/>
    </w:pPr>
    <w:r>
      <w:rPr>
        <w:rFonts w:hint="eastAsia" w:ascii="宋体" w:hAnsi="宋体" w:eastAsia="宋体" w:cs="宋体"/>
        <w:color w:val="000000"/>
        <w:sz w:val="24"/>
        <w:lang w:eastAsia="zh-CN"/>
      </w:rPr>
      <w:t>2025年平湖市冻猪肉动态储备服务项目（第三次）</w:t>
    </w:r>
    <w:r>
      <w:rPr>
        <w:rFonts w:hint="eastAsia" w:ascii="宋体" w:hAnsi="宋体" w:eastAsia="宋体" w:cs="宋体"/>
        <w:color w:val="000000"/>
        <w:sz w:val="24"/>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DCED8"/>
    <w:multiLevelType w:val="singleLevel"/>
    <w:tmpl w:val="F4DDCED8"/>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2253"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YxOTE3MWMwMDlkN2JkNGJiZmM5NjllNTJiZmMifQ=="/>
  </w:docVars>
  <w:rsids>
    <w:rsidRoot w:val="1D6139FA"/>
    <w:rsid w:val="006836D3"/>
    <w:rsid w:val="00C72FBF"/>
    <w:rsid w:val="010A0887"/>
    <w:rsid w:val="01785B98"/>
    <w:rsid w:val="03925D37"/>
    <w:rsid w:val="03CB384D"/>
    <w:rsid w:val="05D15877"/>
    <w:rsid w:val="05D90BCF"/>
    <w:rsid w:val="06471FDD"/>
    <w:rsid w:val="06A86F0E"/>
    <w:rsid w:val="07CF4038"/>
    <w:rsid w:val="08C24B98"/>
    <w:rsid w:val="095E2B2E"/>
    <w:rsid w:val="0B106E41"/>
    <w:rsid w:val="0B332B30"/>
    <w:rsid w:val="0B9B3C26"/>
    <w:rsid w:val="0BA15CEB"/>
    <w:rsid w:val="0BF94B5E"/>
    <w:rsid w:val="0CA24707"/>
    <w:rsid w:val="0CBF1239"/>
    <w:rsid w:val="0CEA4179"/>
    <w:rsid w:val="0CF06F2A"/>
    <w:rsid w:val="0DF36C1E"/>
    <w:rsid w:val="0E214EC1"/>
    <w:rsid w:val="0E880387"/>
    <w:rsid w:val="0E961330"/>
    <w:rsid w:val="0FDA17CC"/>
    <w:rsid w:val="103A1754"/>
    <w:rsid w:val="10EE3E65"/>
    <w:rsid w:val="11F00906"/>
    <w:rsid w:val="15205ED3"/>
    <w:rsid w:val="165A18B8"/>
    <w:rsid w:val="16660238"/>
    <w:rsid w:val="17562080"/>
    <w:rsid w:val="17D80CE7"/>
    <w:rsid w:val="19B4609A"/>
    <w:rsid w:val="1A82066E"/>
    <w:rsid w:val="1AF80882"/>
    <w:rsid w:val="1B7E7DF7"/>
    <w:rsid w:val="1C646FED"/>
    <w:rsid w:val="1D5412D8"/>
    <w:rsid w:val="1D6139FA"/>
    <w:rsid w:val="1E2F1641"/>
    <w:rsid w:val="1EF93301"/>
    <w:rsid w:val="1FD37573"/>
    <w:rsid w:val="20987265"/>
    <w:rsid w:val="20EE42B0"/>
    <w:rsid w:val="21893052"/>
    <w:rsid w:val="21AB33ED"/>
    <w:rsid w:val="225414B6"/>
    <w:rsid w:val="22B934C3"/>
    <w:rsid w:val="23624E28"/>
    <w:rsid w:val="23A21B04"/>
    <w:rsid w:val="23AB3753"/>
    <w:rsid w:val="248875F1"/>
    <w:rsid w:val="26136A8F"/>
    <w:rsid w:val="26227875"/>
    <w:rsid w:val="26483C30"/>
    <w:rsid w:val="271B299E"/>
    <w:rsid w:val="276115A1"/>
    <w:rsid w:val="286B0CF6"/>
    <w:rsid w:val="29857398"/>
    <w:rsid w:val="2A1B4A63"/>
    <w:rsid w:val="2A375BBB"/>
    <w:rsid w:val="2AD6555A"/>
    <w:rsid w:val="2B287E45"/>
    <w:rsid w:val="2BC43604"/>
    <w:rsid w:val="2C866D97"/>
    <w:rsid w:val="2DBF1831"/>
    <w:rsid w:val="2EC102CF"/>
    <w:rsid w:val="2F00500B"/>
    <w:rsid w:val="2F1E0F22"/>
    <w:rsid w:val="2F4405B8"/>
    <w:rsid w:val="303643A5"/>
    <w:rsid w:val="31232032"/>
    <w:rsid w:val="318E3D87"/>
    <w:rsid w:val="319A232A"/>
    <w:rsid w:val="323B3502"/>
    <w:rsid w:val="32790F91"/>
    <w:rsid w:val="32A359AB"/>
    <w:rsid w:val="32A61601"/>
    <w:rsid w:val="33BC54EC"/>
    <w:rsid w:val="341A36D8"/>
    <w:rsid w:val="350420A0"/>
    <w:rsid w:val="3680436F"/>
    <w:rsid w:val="36DB0B96"/>
    <w:rsid w:val="37031A7D"/>
    <w:rsid w:val="37921173"/>
    <w:rsid w:val="387E6A2F"/>
    <w:rsid w:val="390019F4"/>
    <w:rsid w:val="392F6E44"/>
    <w:rsid w:val="39C24EFB"/>
    <w:rsid w:val="3A0F6392"/>
    <w:rsid w:val="3B3A7985"/>
    <w:rsid w:val="3D452778"/>
    <w:rsid w:val="3D9557FB"/>
    <w:rsid w:val="3E42537F"/>
    <w:rsid w:val="3FEE25A6"/>
    <w:rsid w:val="40B05AAD"/>
    <w:rsid w:val="41556B95"/>
    <w:rsid w:val="417605EF"/>
    <w:rsid w:val="419453CF"/>
    <w:rsid w:val="41A14F24"/>
    <w:rsid w:val="41F85B07"/>
    <w:rsid w:val="4242307D"/>
    <w:rsid w:val="435727DF"/>
    <w:rsid w:val="43770B04"/>
    <w:rsid w:val="43BE56FA"/>
    <w:rsid w:val="448D6CA3"/>
    <w:rsid w:val="44D473C9"/>
    <w:rsid w:val="462705C0"/>
    <w:rsid w:val="46836A54"/>
    <w:rsid w:val="47053747"/>
    <w:rsid w:val="48725D84"/>
    <w:rsid w:val="49413CCC"/>
    <w:rsid w:val="494870FB"/>
    <w:rsid w:val="49997A26"/>
    <w:rsid w:val="49B06B1E"/>
    <w:rsid w:val="49C57265"/>
    <w:rsid w:val="4A7A7858"/>
    <w:rsid w:val="4BFA230E"/>
    <w:rsid w:val="4CE0596C"/>
    <w:rsid w:val="4CE92A73"/>
    <w:rsid w:val="4D9A3890"/>
    <w:rsid w:val="4F2D70C7"/>
    <w:rsid w:val="50B82E88"/>
    <w:rsid w:val="533C0389"/>
    <w:rsid w:val="54375424"/>
    <w:rsid w:val="56A57B6D"/>
    <w:rsid w:val="57276B56"/>
    <w:rsid w:val="57711FE2"/>
    <w:rsid w:val="57725A42"/>
    <w:rsid w:val="57AA2DFF"/>
    <w:rsid w:val="57C71CB3"/>
    <w:rsid w:val="58342A8B"/>
    <w:rsid w:val="590C77D2"/>
    <w:rsid w:val="5A0031AA"/>
    <w:rsid w:val="5E543EED"/>
    <w:rsid w:val="5E6D4B86"/>
    <w:rsid w:val="5EC21376"/>
    <w:rsid w:val="5EE7446E"/>
    <w:rsid w:val="5FFA4E12"/>
    <w:rsid w:val="60D42C9C"/>
    <w:rsid w:val="60D64C64"/>
    <w:rsid w:val="610C68D8"/>
    <w:rsid w:val="618A4449"/>
    <w:rsid w:val="61DF66CD"/>
    <w:rsid w:val="61F210FF"/>
    <w:rsid w:val="6383194F"/>
    <w:rsid w:val="63970CC6"/>
    <w:rsid w:val="64975520"/>
    <w:rsid w:val="665705F5"/>
    <w:rsid w:val="68AD6BF3"/>
    <w:rsid w:val="68F465CF"/>
    <w:rsid w:val="69360996"/>
    <w:rsid w:val="697743DF"/>
    <w:rsid w:val="6A152000"/>
    <w:rsid w:val="6AAA0797"/>
    <w:rsid w:val="6AD20B92"/>
    <w:rsid w:val="6BA94CB1"/>
    <w:rsid w:val="6D877996"/>
    <w:rsid w:val="6DDD0C99"/>
    <w:rsid w:val="6E143028"/>
    <w:rsid w:val="6E442095"/>
    <w:rsid w:val="6E574FC6"/>
    <w:rsid w:val="6EF7427F"/>
    <w:rsid w:val="70485764"/>
    <w:rsid w:val="706C1141"/>
    <w:rsid w:val="70BC724E"/>
    <w:rsid w:val="70D7566B"/>
    <w:rsid w:val="717808C3"/>
    <w:rsid w:val="71A16BC9"/>
    <w:rsid w:val="726F0B5F"/>
    <w:rsid w:val="72C64894"/>
    <w:rsid w:val="72CE7313"/>
    <w:rsid w:val="72E40751"/>
    <w:rsid w:val="7307719C"/>
    <w:rsid w:val="7395275D"/>
    <w:rsid w:val="75421F9B"/>
    <w:rsid w:val="75CE45CC"/>
    <w:rsid w:val="75E43EDE"/>
    <w:rsid w:val="76032465"/>
    <w:rsid w:val="76C16AF9"/>
    <w:rsid w:val="76DD95CE"/>
    <w:rsid w:val="770976EA"/>
    <w:rsid w:val="77387FCF"/>
    <w:rsid w:val="77506B4B"/>
    <w:rsid w:val="77724883"/>
    <w:rsid w:val="77894387"/>
    <w:rsid w:val="77AB254F"/>
    <w:rsid w:val="77C6382D"/>
    <w:rsid w:val="78AB12D1"/>
    <w:rsid w:val="798C65FC"/>
    <w:rsid w:val="7A2B4CFC"/>
    <w:rsid w:val="7CC8173A"/>
    <w:rsid w:val="7D0B29E4"/>
    <w:rsid w:val="7DE06CCB"/>
    <w:rsid w:val="7DF369FE"/>
    <w:rsid w:val="7DF73788"/>
    <w:rsid w:val="7E77A590"/>
    <w:rsid w:val="7F741DC0"/>
    <w:rsid w:val="CFD657BC"/>
    <w:rsid w:val="D1DBA5DD"/>
    <w:rsid w:val="F2BB23D2"/>
    <w:rsid w:val="F2BE643C"/>
    <w:rsid w:val="FF7C9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360" w:lineRule="auto"/>
      <w:jc w:val="center"/>
      <w:outlineLvl w:val="0"/>
    </w:pPr>
    <w:rPr>
      <w:rFonts w:eastAsia="黑体"/>
      <w:b/>
      <w:kern w:val="44"/>
      <w:sz w:val="36"/>
    </w:rPr>
  </w:style>
  <w:style w:type="paragraph" w:styleId="3">
    <w:name w:val="heading 2"/>
    <w:basedOn w:val="1"/>
    <w:next w:val="1"/>
    <w:autoRedefine/>
    <w:unhideWhenUsed/>
    <w:qFormat/>
    <w:uiPriority w:val="0"/>
    <w:pPr>
      <w:spacing w:before="260" w:after="260" w:line="413" w:lineRule="auto"/>
      <w:outlineLvl w:val="1"/>
    </w:pPr>
    <w:rPr>
      <w:rFonts w:ascii="Arial" w:hAnsi="Arial"/>
      <w:sz w:val="28"/>
    </w:rPr>
  </w:style>
  <w:style w:type="paragraph" w:styleId="4">
    <w:name w:val="heading 3"/>
    <w:basedOn w:val="1"/>
    <w:next w:val="1"/>
    <w:autoRedefine/>
    <w:qFormat/>
    <w:uiPriority w:val="0"/>
    <w:pPr>
      <w:keepNext/>
      <w:keepLines/>
      <w:numPr>
        <w:ilvl w:val="2"/>
        <w:numId w:val="1"/>
      </w:numPr>
      <w:spacing w:before="260" w:beforeLines="0" w:after="260" w:afterLines="0" w:line="416" w:lineRule="auto"/>
      <w:outlineLvl w:val="2"/>
    </w:pPr>
    <w:rPr>
      <w:b/>
      <w:bCs/>
      <w:sz w:val="32"/>
      <w:szCs w:val="32"/>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rFonts w:ascii="Tahoma" w:hAnsi="Tahoma"/>
      <w:szCs w:val="22"/>
    </w:rPr>
  </w:style>
  <w:style w:type="paragraph" w:styleId="6">
    <w:name w:val="Body Text"/>
    <w:basedOn w:val="1"/>
    <w:next w:val="7"/>
    <w:autoRedefine/>
    <w:qFormat/>
    <w:uiPriority w:val="0"/>
    <w:pPr>
      <w:spacing w:after="120"/>
    </w:pPr>
  </w:style>
  <w:style w:type="paragraph" w:styleId="7">
    <w:name w:val="Body Text First Indent"/>
    <w:basedOn w:val="6"/>
    <w:next w:val="1"/>
    <w:autoRedefine/>
    <w:qFormat/>
    <w:uiPriority w:val="0"/>
    <w:pPr>
      <w:ind w:firstLine="420" w:firstLineChars="100"/>
    </w:pPr>
    <w:rPr>
      <w:rFonts w:ascii="Times New Roman" w:hAnsi="Times New Roman" w:eastAsia="宋体" w:cs="Times New Roman"/>
    </w:rPr>
  </w:style>
  <w:style w:type="paragraph" w:styleId="8">
    <w:name w:val="Body Text Indent"/>
    <w:basedOn w:val="1"/>
    <w:next w:val="9"/>
    <w:autoRedefine/>
    <w:qFormat/>
    <w:uiPriority w:val="0"/>
    <w:pPr>
      <w:adjustRightInd w:val="0"/>
      <w:spacing w:line="360" w:lineRule="auto"/>
      <w:ind w:firstLine="490"/>
      <w:jc w:val="left"/>
    </w:pPr>
    <w:rPr>
      <w:rFonts w:ascii="宋体" w:hAnsi="宋体"/>
      <w:sz w:val="24"/>
    </w:rPr>
  </w:style>
  <w:style w:type="paragraph" w:styleId="9">
    <w:name w:val="envelope return"/>
    <w:basedOn w:val="1"/>
    <w:qFormat/>
    <w:uiPriority w:val="0"/>
    <w:pPr>
      <w:widowControl w:val="0"/>
      <w:snapToGrid w:val="0"/>
      <w:jc w:val="both"/>
    </w:pPr>
    <w:rPr>
      <w:rFonts w:ascii="Arial" w:hAnsi="Arial" w:eastAsia="宋体" w:cs="Times New Roman"/>
      <w:kern w:val="2"/>
      <w:sz w:val="21"/>
      <w:szCs w:val="21"/>
      <w:lang w:val="en-US" w:eastAsia="zh-CN" w:bidi="ar-SA"/>
    </w:rPr>
  </w:style>
  <w:style w:type="paragraph" w:styleId="10">
    <w:name w:val="Plain Text"/>
    <w:basedOn w:val="1"/>
    <w:next w:val="1"/>
    <w:autoRedefine/>
    <w:qFormat/>
    <w:uiPriority w:val="0"/>
    <w:rPr>
      <w:rFonts w:ascii="宋体" w:hAnsi="Courier New"/>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39"/>
    <w:pPr>
      <w:spacing w:before="120" w:after="120" w:line="360" w:lineRule="atLeast"/>
      <w:ind w:firstLine="100" w:firstLineChars="50"/>
      <w:jc w:val="center"/>
    </w:pPr>
    <w:rPr>
      <w:rFonts w:ascii="宋体" w:hAnsi="宋体" w:eastAsia="宋体" w:cs="Times New Roman"/>
      <w:caps/>
      <w:snapToGrid w:val="0"/>
      <w:kern w:val="0"/>
      <w:sz w:val="20"/>
      <w:szCs w:val="20"/>
    </w:rPr>
  </w:style>
  <w:style w:type="paragraph" w:styleId="14">
    <w:name w:val="toc 6"/>
    <w:basedOn w:val="1"/>
    <w:next w:val="1"/>
    <w:autoRedefine/>
    <w:qFormat/>
    <w:uiPriority w:val="0"/>
    <w:pPr>
      <w:ind w:left="1050"/>
      <w:jc w:val="left"/>
    </w:pPr>
    <w:rPr>
      <w:rFonts w:ascii="Calibri" w:hAnsi="Calibri"/>
      <w:sz w:val="18"/>
      <w:szCs w:val="18"/>
    </w:rPr>
  </w:style>
  <w:style w:type="paragraph" w:styleId="15">
    <w:name w:val="toc 2"/>
    <w:basedOn w:val="1"/>
    <w:next w:val="1"/>
    <w:autoRedefine/>
    <w:qFormat/>
    <w:uiPriority w:val="0"/>
    <w:pPr>
      <w:ind w:left="420" w:leftChars="200"/>
    </w:pPr>
  </w:style>
  <w:style w:type="paragraph" w:styleId="16">
    <w:name w:val="Body Text 2"/>
    <w:basedOn w:val="1"/>
    <w:next w:val="1"/>
    <w:autoRedefine/>
    <w:qFormat/>
    <w:uiPriority w:val="0"/>
    <w:pPr>
      <w:jc w:val="center"/>
    </w:pPr>
    <w:rPr>
      <w:rFonts w:ascii="Calibri" w:hAnsi="Calibri"/>
      <w:b/>
      <w:sz w:val="72"/>
    </w:rPr>
  </w:style>
  <w:style w:type="paragraph" w:styleId="17">
    <w:name w:val="Title"/>
    <w:basedOn w:val="1"/>
    <w:next w:val="1"/>
    <w:autoRedefine/>
    <w:qFormat/>
    <w:uiPriority w:val="0"/>
    <w:pPr>
      <w:spacing w:before="240" w:after="60"/>
      <w:jc w:val="center"/>
      <w:outlineLvl w:val="0"/>
    </w:pPr>
    <w:rPr>
      <w:rFonts w:ascii="Cambria" w:hAnsi="Cambria" w:eastAsia="Times New Roman"/>
      <w:b/>
      <w:bCs/>
      <w:sz w:val="32"/>
      <w:szCs w:val="32"/>
    </w:rPr>
  </w:style>
  <w:style w:type="paragraph" w:styleId="18">
    <w:name w:val="Body Text First Indent 2"/>
    <w:basedOn w:val="8"/>
    <w:next w:val="6"/>
    <w:autoRedefine/>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styleId="21">
    <w:name w:val="page number"/>
    <w:basedOn w:val="20"/>
    <w:autoRedefine/>
    <w:qFormat/>
    <w:uiPriority w:val="0"/>
  </w:style>
  <w:style w:type="paragraph" w:customStyle="1" w:styleId="22">
    <w:name w:val="正文文本首行缩进 2"/>
    <w:basedOn w:val="8"/>
    <w:autoRedefine/>
    <w:qFormat/>
    <w:uiPriority w:val="99"/>
    <w:pPr>
      <w:spacing w:line="200" w:lineRule="atLeast"/>
      <w:ind w:firstLine="420"/>
    </w:pPr>
    <w:rPr>
      <w:rFonts w:ascii="宋体" w:hAnsi="Courier New"/>
      <w:spacing w:val="-4"/>
      <w:sz w:val="18"/>
    </w:rPr>
  </w:style>
  <w:style w:type="paragraph" w:customStyle="1" w:styleId="23">
    <w:name w:val="表格文字"/>
    <w:basedOn w:val="1"/>
    <w:next w:val="6"/>
    <w:autoRedefine/>
    <w:qFormat/>
    <w:uiPriority w:val="0"/>
    <w:pPr>
      <w:adjustRightInd w:val="0"/>
      <w:spacing w:line="420" w:lineRule="atLeast"/>
      <w:jc w:val="left"/>
      <w:textAlignment w:val="baseline"/>
    </w:pPr>
    <w:rPr>
      <w:kern w:val="0"/>
      <w:szCs w:val="20"/>
    </w:rPr>
  </w:style>
  <w:style w:type="paragraph" w:customStyle="1" w:styleId="24">
    <w:name w:val="正文文字"/>
    <w:basedOn w:val="1"/>
    <w:autoRedefine/>
    <w:qFormat/>
    <w:uiPriority w:val="0"/>
    <w:pPr>
      <w:widowControl/>
      <w:spacing w:line="952" w:lineRule="atLeast"/>
      <w:ind w:firstLine="419"/>
      <w:textAlignment w:val="baseline"/>
    </w:pPr>
    <w:rPr>
      <w:b/>
      <w:color w:val="000000"/>
      <w:sz w:val="44"/>
      <w:u w:color="000000"/>
    </w:rPr>
  </w:style>
  <w:style w:type="character" w:customStyle="1" w:styleId="25">
    <w:name w:val="标题 1 Char"/>
    <w:autoRedefine/>
    <w:qFormat/>
    <w:uiPriority w:val="0"/>
    <w:rPr>
      <w:rFonts w:eastAsia="黑体"/>
      <w:b/>
      <w:snapToGrid w:val="0"/>
      <w:kern w:val="44"/>
      <w:sz w:val="36"/>
      <w:lang w:val="en-US" w:eastAsia="zh-CN"/>
    </w:rPr>
  </w:style>
  <w:style w:type="paragraph" w:customStyle="1" w:styleId="26">
    <w:name w:val="Default"/>
    <w:next w:val="27"/>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27">
    <w:name w:val="xl53"/>
    <w:basedOn w:val="1"/>
    <w:autoRedefine/>
    <w:qFormat/>
    <w:uiPriority w:val="0"/>
    <w:pPr>
      <w:widowControl/>
      <w:pBdr>
        <w:top w:val="single" w:color="auto" w:sz="4" w:space="0"/>
        <w:left w:val="single" w:color="auto" w:sz="8" w:space="0"/>
        <w:bottom w:val="single" w:color="auto" w:sz="4" w:space="0"/>
        <w:right w:val="single" w:color="auto" w:sz="8" w:space="0"/>
      </w:pBdr>
      <w:snapToGrid w:val="0"/>
      <w:spacing w:before="100" w:after="100" w:line="360" w:lineRule="auto"/>
      <w:jc w:val="left"/>
      <w:textAlignment w:val="center"/>
    </w:pPr>
    <w:rPr>
      <w:rFonts w:ascii="宋体" w:hAnsi="宋体" w:eastAsia="华文细黑"/>
      <w:kern w:val="0"/>
      <w:sz w:val="20"/>
      <w:szCs w:val="20"/>
    </w:rPr>
  </w:style>
  <w:style w:type="paragraph" w:customStyle="1" w:styleId="28">
    <w:name w:val="纯文本1"/>
    <w:basedOn w:val="1"/>
    <w:autoRedefine/>
    <w:qFormat/>
    <w:uiPriority w:val="0"/>
    <w:pPr>
      <w:snapToGrid w:val="0"/>
      <w:jc w:val="left"/>
    </w:pPr>
    <w:rPr>
      <w:rFonts w:ascii="Century Gothic" w:hAnsi="楷体_GB2312" w:eastAsia="Century Gothic"/>
    </w:rPr>
  </w:style>
  <w:style w:type="paragraph" w:customStyle="1" w:styleId="29">
    <w:name w:val="列出段落1"/>
    <w:basedOn w:val="1"/>
    <w:autoRedefine/>
    <w:qFormat/>
    <w:uiPriority w:val="0"/>
    <w:pPr>
      <w:ind w:firstLine="420" w:firstLineChars="200"/>
    </w:pPr>
  </w:style>
  <w:style w:type="paragraph" w:customStyle="1" w:styleId="30">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1">
    <w:name w:val="Table Paragraph"/>
    <w:basedOn w:val="1"/>
    <w:autoRedefine/>
    <w:qFormat/>
    <w:uiPriority w:val="1"/>
    <w:rPr>
      <w:rFonts w:ascii="宋体" w:hAnsi="宋体" w:eastAsia="宋体" w:cs="宋体"/>
      <w:lang w:val="zh-CN" w:eastAsia="zh-CN" w:bidi="zh-CN"/>
    </w:rPr>
  </w:style>
  <w:style w:type="paragraph" w:customStyle="1" w:styleId="32">
    <w:name w:val="无间距1"/>
    <w:autoRedefine/>
    <w:qFormat/>
    <w:uiPriority w:val="1"/>
    <w:pPr>
      <w:widowControl w:val="0"/>
      <w:jc w:val="both"/>
    </w:pPr>
    <w:rPr>
      <w:rFonts w:ascii="Times New Roman" w:hAnsi="Times New Roman"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22567</Words>
  <Characters>23708</Characters>
  <Lines>0</Lines>
  <Paragraphs>0</Paragraphs>
  <TotalTime>252</TotalTime>
  <ScaleCrop>false</ScaleCrop>
  <LinksUpToDate>false</LinksUpToDate>
  <CharactersWithSpaces>24447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2023-09-24T16:13:00Z</dcterms:created>
  <dc:creator>+瑶</dc:creator>
  <cp:lastModifiedBy>几何</cp:lastModifiedBy>
  <dcterms:modified xsi:type="dcterms:W3CDTF">2025-07-14T07:54:52Z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B298D0C9A4747999F5B14F682825A7D2_43</vt:lpwstr>
  </property>
  <property fmtid="{D5CDD505-2E9C-101B-9397-08002B2CF9AE}" pid="4" name="KSOTemplateDocerSaveRecord">
    <vt:lpwstr>eyJoZGlkIjoiZDc5M2ViNmM1NTM1ZDkzYjNkZGE3YTBhMjhkNDQ3NjciLCJ1c2VySWQiOiI2MzQzMDM0MDUifQ==</vt:lpwstr>
  </property>
</Properties>
</file>