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599" w:leftChars="-202" w:right="-521" w:rightChars="-248" w:hanging="1023" w:hangingChars="142"/>
        <w:jc w:val="center"/>
        <w:outlineLvl w:val="0"/>
        <w:rPr>
          <w:rFonts w:ascii="微软雅黑" w:hAnsi="微软雅黑" w:eastAsia="微软雅黑" w:cs="微软雅黑"/>
          <w:b/>
          <w:bCs/>
          <w:color w:val="auto"/>
          <w:sz w:val="72"/>
          <w:szCs w:val="72"/>
          <w:highlight w:val="none"/>
        </w:rPr>
      </w:pPr>
      <w:bookmarkStart w:id="0" w:name="_Toc7493"/>
      <w:r>
        <w:rPr>
          <w:rFonts w:hint="eastAsia" w:ascii="微软雅黑" w:hAnsi="微软雅黑" w:eastAsia="微软雅黑" w:cs="微软雅黑"/>
          <w:b/>
          <w:bCs/>
          <w:color w:val="auto"/>
          <w:sz w:val="72"/>
          <w:szCs w:val="72"/>
          <w:highlight w:val="none"/>
        </w:rPr>
        <w:t>政府采购电子交易项目</w:t>
      </w:r>
      <w:bookmarkEnd w:id="0"/>
    </w:p>
    <w:p>
      <w:pPr>
        <w:pStyle w:val="554"/>
        <w:jc w:val="center"/>
        <w:rPr>
          <w:rFonts w:ascii="微软雅黑" w:hAnsi="微软雅黑" w:eastAsia="微软雅黑" w:cs="微软雅黑"/>
          <w:color w:val="auto"/>
          <w:sz w:val="72"/>
          <w:szCs w:val="72"/>
          <w:highlight w:val="none"/>
        </w:rPr>
      </w:pPr>
      <w:r>
        <w:rPr>
          <w:rFonts w:hint="eastAsia" w:ascii="微软雅黑" w:hAnsi="微软雅黑" w:eastAsia="微软雅黑" w:cs="微软雅黑"/>
          <w:color w:val="auto"/>
          <w:sz w:val="72"/>
          <w:szCs w:val="72"/>
          <w:highlight w:val="none"/>
        </w:rPr>
        <w:t>竞争性磋商采购文件</w:t>
      </w:r>
    </w:p>
    <w:p>
      <w:pPr>
        <w:pStyle w:val="554"/>
        <w:jc w:val="center"/>
        <w:rPr>
          <w:rFonts w:ascii="微软雅黑" w:hAnsi="微软雅黑" w:eastAsia="微软雅黑" w:cs="微软雅黑"/>
          <w:color w:val="auto"/>
          <w:szCs w:val="21"/>
          <w:highlight w:val="none"/>
        </w:rPr>
      </w:pPr>
    </w:p>
    <w:p>
      <w:pPr>
        <w:pStyle w:val="554"/>
        <w:rPr>
          <w:rFonts w:ascii="微软雅黑" w:hAnsi="微软雅黑" w:eastAsia="微软雅黑" w:cs="微软雅黑"/>
          <w:color w:val="auto"/>
          <w:szCs w:val="21"/>
          <w:highlight w:val="none"/>
        </w:rPr>
      </w:pPr>
    </w:p>
    <w:p>
      <w:pPr>
        <w:spacing w:line="360" w:lineRule="auto"/>
        <w:ind w:left="-225" w:leftChars="-337" w:right="-804" w:rightChars="-383" w:hanging="483" w:hangingChars="230"/>
        <w:jc w:val="center"/>
        <w:rPr>
          <w:rFonts w:ascii="微软雅黑" w:hAnsi="微软雅黑" w:eastAsia="微软雅黑" w:cs="微软雅黑"/>
          <w:b/>
          <w:bCs/>
          <w:color w:val="auto"/>
          <w:szCs w:val="21"/>
          <w:highlight w:val="none"/>
        </w:rPr>
      </w:pPr>
      <w:r>
        <w:rPr>
          <w:rFonts w:hint="eastAsia" w:ascii="微软雅黑" w:hAnsi="微软雅黑" w:eastAsia="微软雅黑" w:cs="微软雅黑"/>
          <w:b/>
          <w:bCs/>
          <w:color w:val="auto"/>
          <w:szCs w:val="21"/>
          <w:highlight w:val="none"/>
        </w:rPr>
        <w:drawing>
          <wp:inline distT="0" distB="0" distL="0" distR="0">
            <wp:extent cx="2326005" cy="2212340"/>
            <wp:effectExtent l="0" t="0" r="17145" b="16510"/>
            <wp:docPr id="1" name="图片 1" descr="C:\Users\ADMINI~1\AppData\Local\Temp\16394511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1639451168.jpg"/>
                    <pic:cNvPicPr>
                      <a:picLocks noChangeAspect="1" noChangeArrowheads="1"/>
                    </pic:cNvPicPr>
                  </pic:nvPicPr>
                  <pic:blipFill>
                    <a:blip r:embed="rId21" cstate="print"/>
                    <a:srcRect/>
                    <a:stretch>
                      <a:fillRect/>
                    </a:stretch>
                  </pic:blipFill>
                  <pic:spPr>
                    <a:xfrm>
                      <a:off x="0" y="0"/>
                      <a:ext cx="2326005" cy="2212340"/>
                    </a:xfrm>
                    <a:prstGeom prst="rect">
                      <a:avLst/>
                    </a:prstGeom>
                    <a:noFill/>
                    <a:ln w="9525">
                      <a:noFill/>
                      <a:miter lim="800000"/>
                      <a:headEnd/>
                      <a:tailEnd/>
                    </a:ln>
                  </pic:spPr>
                </pic:pic>
              </a:graphicData>
            </a:graphic>
          </wp:inline>
        </w:drawing>
      </w:r>
    </w:p>
    <w:p>
      <w:pPr>
        <w:pStyle w:val="34"/>
        <w:pBdr>
          <w:bottom w:val="thinThickThinMediumGap" w:color="auto" w:sz="18" w:space="1"/>
        </w:pBdr>
        <w:jc w:val="distribute"/>
        <w:rPr>
          <w:rFonts w:ascii="微软雅黑" w:hAnsi="微软雅黑" w:eastAsia="微软雅黑" w:cs="微软雅黑"/>
          <w:b/>
          <w:bCs/>
          <w:color w:val="auto"/>
          <w:w w:val="95"/>
          <w:szCs w:val="21"/>
          <w:highlight w:val="none"/>
        </w:rPr>
      </w:pPr>
    </w:p>
    <w:p>
      <w:pPr>
        <w:pStyle w:val="34"/>
        <w:pBdr>
          <w:bottom w:val="thinThickThinMediumGap" w:color="auto" w:sz="18" w:space="1"/>
        </w:pBdr>
        <w:jc w:val="distribute"/>
        <w:outlineLvl w:val="0"/>
        <w:rPr>
          <w:rFonts w:ascii="微软雅黑" w:hAnsi="微软雅黑" w:eastAsia="微软雅黑" w:cs="微软雅黑"/>
          <w:b/>
          <w:bCs/>
          <w:color w:val="auto"/>
          <w:w w:val="95"/>
          <w:sz w:val="30"/>
          <w:szCs w:val="30"/>
          <w:highlight w:val="none"/>
        </w:rPr>
      </w:pPr>
      <w:bookmarkStart w:id="1" w:name="_Toc7096"/>
      <w:r>
        <w:rPr>
          <w:rFonts w:hint="eastAsia" w:ascii="微软雅黑" w:hAnsi="微软雅黑" w:eastAsia="微软雅黑" w:cs="微软雅黑"/>
          <w:b/>
          <w:bCs/>
          <w:color w:val="auto"/>
          <w:w w:val="95"/>
          <w:sz w:val="30"/>
          <w:szCs w:val="30"/>
          <w:highlight w:val="none"/>
        </w:rPr>
        <w:t>嘉兴市千秋工程咨询有限公司</w:t>
      </w:r>
      <w:bookmarkEnd w:id="1"/>
    </w:p>
    <w:p>
      <w:pPr>
        <w:pStyle w:val="34"/>
        <w:pBdr>
          <w:bottom w:val="thinThickThinMediumGap" w:color="auto" w:sz="18" w:space="1"/>
        </w:pBdr>
        <w:jc w:val="distribute"/>
        <w:rPr>
          <w:rFonts w:ascii="微软雅黑" w:hAnsi="微软雅黑" w:eastAsia="微软雅黑" w:cs="微软雅黑"/>
          <w:b/>
          <w:bCs/>
          <w:color w:val="auto"/>
          <w:w w:val="95"/>
          <w:sz w:val="30"/>
          <w:szCs w:val="30"/>
          <w:highlight w:val="none"/>
        </w:rPr>
      </w:pPr>
      <w:r>
        <w:rPr>
          <w:rFonts w:hint="eastAsia" w:ascii="微软雅黑" w:hAnsi="微软雅黑" w:eastAsia="微软雅黑" w:cs="微软雅黑"/>
          <w:b/>
          <w:bCs/>
          <w:color w:val="auto"/>
          <w:w w:val="95"/>
          <w:sz w:val="30"/>
          <w:szCs w:val="30"/>
          <w:highlight w:val="none"/>
        </w:rPr>
        <w:t>Jiaxing Qianqiu Engineering Consulting Co., Ltd</w:t>
      </w:r>
    </w:p>
    <w:p>
      <w:pPr>
        <w:pStyle w:val="34"/>
        <w:spacing w:line="276" w:lineRule="auto"/>
        <w:ind w:right="-237" w:rightChars="-113"/>
        <w:jc w:val="left"/>
        <w:rPr>
          <w:rFonts w:hint="eastAsia" w:ascii="微软雅黑" w:hAnsi="微软雅黑" w:eastAsia="微软雅黑" w:cs="微软雅黑"/>
          <w:bCs/>
          <w:color w:val="auto"/>
          <w:w w:val="95"/>
          <w:sz w:val="24"/>
          <w:szCs w:val="24"/>
          <w:highlight w:val="none"/>
          <w:lang w:eastAsia="zh-CN"/>
        </w:rPr>
      </w:pPr>
      <w:r>
        <w:rPr>
          <w:rFonts w:hint="eastAsia" w:ascii="微软雅黑" w:hAnsi="微软雅黑" w:eastAsia="微软雅黑" w:cs="微软雅黑"/>
          <w:bCs/>
          <w:color w:val="auto"/>
          <w:w w:val="95"/>
          <w:sz w:val="28"/>
          <w:szCs w:val="28"/>
          <w:highlight w:val="none"/>
        </w:rPr>
        <w:t>项目名称：</w:t>
      </w:r>
      <w:r>
        <w:rPr>
          <w:rFonts w:hint="eastAsia" w:ascii="微软雅黑" w:hAnsi="微软雅黑" w:eastAsia="微软雅黑" w:cs="微软雅黑"/>
          <w:bCs/>
          <w:color w:val="auto"/>
          <w:w w:val="95"/>
          <w:sz w:val="28"/>
          <w:szCs w:val="28"/>
          <w:highlight w:val="none"/>
          <w:lang w:eastAsia="zh-CN"/>
        </w:rPr>
        <w:t>嘉兴市秀洲区文化和旅游局送戏下乡服务采购项目</w:t>
      </w:r>
    </w:p>
    <w:p>
      <w:pPr>
        <w:pStyle w:val="34"/>
        <w:spacing w:line="276" w:lineRule="auto"/>
        <w:jc w:val="left"/>
        <w:rPr>
          <w:rFonts w:hint="eastAsia" w:ascii="微软雅黑" w:hAnsi="微软雅黑" w:eastAsia="微软雅黑" w:cs="微软雅黑"/>
          <w:bCs/>
          <w:color w:val="auto"/>
          <w:w w:val="95"/>
          <w:sz w:val="28"/>
          <w:szCs w:val="28"/>
          <w:highlight w:val="none"/>
          <w:lang w:eastAsia="zh-CN"/>
        </w:rPr>
      </w:pPr>
      <w:r>
        <w:rPr>
          <w:rFonts w:hint="eastAsia" w:ascii="微软雅黑" w:hAnsi="微软雅黑" w:eastAsia="微软雅黑" w:cs="微软雅黑"/>
          <w:bCs/>
          <w:color w:val="auto"/>
          <w:w w:val="95"/>
          <w:sz w:val="28"/>
          <w:szCs w:val="28"/>
          <w:highlight w:val="none"/>
        </w:rPr>
        <w:t>招标编号：</w:t>
      </w:r>
      <w:r>
        <w:rPr>
          <w:rFonts w:hint="eastAsia" w:ascii="微软雅黑" w:hAnsi="微软雅黑" w:eastAsia="微软雅黑" w:cs="微软雅黑"/>
          <w:bCs/>
          <w:color w:val="auto"/>
          <w:w w:val="95"/>
          <w:sz w:val="28"/>
          <w:szCs w:val="28"/>
          <w:highlight w:val="none"/>
          <w:lang w:eastAsia="zh-CN"/>
        </w:rPr>
        <w:t>千秋-JXQQJC（2023）第28号</w:t>
      </w:r>
    </w:p>
    <w:p>
      <w:pPr>
        <w:pStyle w:val="34"/>
        <w:spacing w:line="276" w:lineRule="auto"/>
        <w:jc w:val="left"/>
        <w:rPr>
          <w:rFonts w:hint="eastAsia" w:ascii="微软雅黑" w:hAnsi="微软雅黑" w:eastAsia="微软雅黑" w:cs="微软雅黑"/>
          <w:bCs/>
          <w:color w:val="auto"/>
          <w:w w:val="95"/>
          <w:sz w:val="28"/>
          <w:szCs w:val="28"/>
          <w:highlight w:val="none"/>
          <w:lang w:eastAsia="zh-CN"/>
        </w:rPr>
      </w:pPr>
      <w:r>
        <w:rPr>
          <w:rFonts w:hint="eastAsia" w:ascii="微软雅黑" w:hAnsi="微软雅黑" w:eastAsia="微软雅黑" w:cs="微软雅黑"/>
          <w:bCs/>
          <w:color w:val="auto"/>
          <w:w w:val="95"/>
          <w:sz w:val="28"/>
          <w:szCs w:val="28"/>
          <w:highlight w:val="none"/>
        </w:rPr>
        <w:t>采购单位：</w:t>
      </w:r>
      <w:r>
        <w:rPr>
          <w:rFonts w:hint="eastAsia" w:ascii="微软雅黑" w:hAnsi="微软雅黑" w:eastAsia="微软雅黑" w:cs="微软雅黑"/>
          <w:bCs/>
          <w:color w:val="auto"/>
          <w:w w:val="95"/>
          <w:sz w:val="28"/>
          <w:szCs w:val="28"/>
          <w:highlight w:val="none"/>
          <w:lang w:eastAsia="zh-CN"/>
        </w:rPr>
        <w:t>嘉兴市秀洲区文化和旅游局</w:t>
      </w:r>
    </w:p>
    <w:p>
      <w:pPr>
        <w:pStyle w:val="34"/>
        <w:spacing w:line="276" w:lineRule="auto"/>
        <w:jc w:val="left"/>
        <w:rPr>
          <w:rFonts w:ascii="微软雅黑" w:hAnsi="微软雅黑" w:eastAsia="微软雅黑" w:cs="微软雅黑"/>
          <w:bCs/>
          <w:color w:val="auto"/>
          <w:w w:val="95"/>
          <w:sz w:val="28"/>
          <w:szCs w:val="28"/>
          <w:highlight w:val="none"/>
        </w:rPr>
      </w:pPr>
      <w:r>
        <w:rPr>
          <w:rFonts w:hint="eastAsia" w:ascii="微软雅黑" w:hAnsi="微软雅黑" w:eastAsia="微软雅黑" w:cs="微软雅黑"/>
          <w:bCs/>
          <w:color w:val="auto"/>
          <w:w w:val="95"/>
          <w:sz w:val="28"/>
          <w:szCs w:val="28"/>
          <w:highlight w:val="none"/>
        </w:rPr>
        <w:t>代理机构：嘉兴市千秋工程咨询有限公司</w:t>
      </w:r>
    </w:p>
    <w:p>
      <w:pPr>
        <w:pStyle w:val="34"/>
        <w:spacing w:line="276" w:lineRule="auto"/>
        <w:jc w:val="left"/>
        <w:rPr>
          <w:rFonts w:ascii="微软雅黑" w:hAnsi="微软雅黑" w:eastAsia="微软雅黑" w:cs="微软雅黑"/>
          <w:bCs/>
          <w:color w:val="auto"/>
          <w:w w:val="95"/>
          <w:sz w:val="28"/>
          <w:szCs w:val="28"/>
          <w:highlight w:val="none"/>
        </w:rPr>
      </w:pPr>
      <w:bookmarkStart w:id="2" w:name="_Toc50012812"/>
      <w:r>
        <w:rPr>
          <w:rFonts w:hint="eastAsia" w:ascii="微软雅黑" w:hAnsi="微软雅黑" w:eastAsia="微软雅黑" w:cs="微软雅黑"/>
          <w:bCs/>
          <w:color w:val="auto"/>
          <w:w w:val="95"/>
          <w:sz w:val="28"/>
          <w:szCs w:val="28"/>
          <w:highlight w:val="none"/>
        </w:rPr>
        <w:t>日    期：202</w:t>
      </w:r>
      <w:r>
        <w:rPr>
          <w:rFonts w:ascii="微软雅黑" w:hAnsi="微软雅黑" w:eastAsia="微软雅黑" w:cs="微软雅黑"/>
          <w:bCs/>
          <w:color w:val="auto"/>
          <w:w w:val="95"/>
          <w:sz w:val="28"/>
          <w:szCs w:val="28"/>
          <w:highlight w:val="none"/>
        </w:rPr>
        <w:t>3</w:t>
      </w:r>
      <w:r>
        <w:rPr>
          <w:rFonts w:hint="eastAsia" w:ascii="微软雅黑" w:hAnsi="微软雅黑" w:eastAsia="微软雅黑" w:cs="微软雅黑"/>
          <w:bCs/>
          <w:color w:val="auto"/>
          <w:w w:val="95"/>
          <w:sz w:val="28"/>
          <w:szCs w:val="28"/>
          <w:highlight w:val="none"/>
        </w:rPr>
        <w:t>年</w:t>
      </w:r>
      <w:r>
        <w:rPr>
          <w:rFonts w:hint="eastAsia" w:ascii="微软雅黑" w:hAnsi="微软雅黑" w:eastAsia="微软雅黑" w:cs="微软雅黑"/>
          <w:bCs/>
          <w:color w:val="auto"/>
          <w:w w:val="95"/>
          <w:sz w:val="28"/>
          <w:szCs w:val="28"/>
          <w:highlight w:val="none"/>
          <w:lang w:val="en-US" w:eastAsia="zh-CN"/>
        </w:rPr>
        <w:t>04</w:t>
      </w:r>
      <w:r>
        <w:rPr>
          <w:rFonts w:hint="eastAsia" w:ascii="微软雅黑" w:hAnsi="微软雅黑" w:eastAsia="微软雅黑" w:cs="微软雅黑"/>
          <w:bCs/>
          <w:color w:val="auto"/>
          <w:w w:val="95"/>
          <w:sz w:val="28"/>
          <w:szCs w:val="28"/>
          <w:highlight w:val="none"/>
        </w:rPr>
        <w:t>月</w:t>
      </w:r>
      <w:r>
        <w:rPr>
          <w:rFonts w:hint="eastAsia" w:ascii="微软雅黑" w:hAnsi="微软雅黑" w:eastAsia="微软雅黑" w:cs="微软雅黑"/>
          <w:bCs/>
          <w:color w:val="auto"/>
          <w:w w:val="95"/>
          <w:sz w:val="28"/>
          <w:szCs w:val="28"/>
          <w:highlight w:val="none"/>
          <w:lang w:val="en-US" w:eastAsia="zh-CN"/>
        </w:rPr>
        <w:t>04</w:t>
      </w:r>
      <w:r>
        <w:rPr>
          <w:rFonts w:hint="eastAsia" w:ascii="微软雅黑" w:hAnsi="微软雅黑" w:eastAsia="微软雅黑" w:cs="微软雅黑"/>
          <w:bCs/>
          <w:color w:val="auto"/>
          <w:w w:val="95"/>
          <w:sz w:val="28"/>
          <w:szCs w:val="28"/>
          <w:highlight w:val="none"/>
        </w:rPr>
        <w:t>日</w:t>
      </w:r>
      <w:bookmarkEnd w:id="2"/>
    </w:p>
    <w:p>
      <w:pPr>
        <w:snapToGrid w:val="0"/>
        <w:spacing w:line="276" w:lineRule="auto"/>
        <w:ind w:left="-283" w:leftChars="-135"/>
        <w:jc w:val="center"/>
        <w:rPr>
          <w:rFonts w:ascii="微软雅黑" w:hAnsi="微软雅黑" w:eastAsia="微软雅黑" w:cs="微软雅黑"/>
          <w:color w:val="auto"/>
          <w:sz w:val="28"/>
          <w:szCs w:val="28"/>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40" w:right="1133" w:bottom="1440" w:left="1797" w:header="851" w:footer="851" w:gutter="0"/>
          <w:cols w:space="720" w:num="1"/>
          <w:docGrid w:linePitch="312" w:charSpace="0"/>
        </w:sectPr>
      </w:pPr>
    </w:p>
    <w:p>
      <w:pPr>
        <w:rPr>
          <w:rFonts w:ascii="微软雅黑" w:hAnsi="微软雅黑" w:eastAsia="微软雅黑" w:cs="微软雅黑"/>
          <w:color w:val="auto"/>
          <w:sz w:val="28"/>
          <w:szCs w:val="28"/>
          <w:highlight w:val="none"/>
        </w:rPr>
      </w:pPr>
    </w:p>
    <w:p>
      <w:pPr>
        <w:rPr>
          <w:rFonts w:hint="eastAsia" w:ascii="微软雅黑" w:hAnsi="微软雅黑" w:eastAsia="微软雅黑" w:cs="微软雅黑"/>
          <w:b w:val="0"/>
          <w:bCs w:val="0"/>
          <w:color w:val="auto"/>
          <w:sz w:val="28"/>
          <w:szCs w:val="28"/>
          <w:highlight w:val="none"/>
          <w:lang w:val="zh-CN"/>
        </w:rPr>
      </w:pPr>
    </w:p>
    <w:sdt>
      <w:sdtPr>
        <w:rPr>
          <w:rFonts w:hint="eastAsia" w:ascii="微软雅黑" w:hAnsi="微软雅黑" w:eastAsia="微软雅黑" w:cs="微软雅黑"/>
          <w:b w:val="0"/>
          <w:bCs w:val="0"/>
          <w:color w:val="auto"/>
          <w:kern w:val="2"/>
          <w:sz w:val="28"/>
          <w:szCs w:val="28"/>
          <w:highlight w:val="none"/>
          <w:lang w:val="en-US" w:eastAsia="zh-CN" w:bidi="ar-SA"/>
        </w:rPr>
        <w:id w:val="147473658"/>
        <w15:color w:val="DBDBDB"/>
        <w:docPartObj>
          <w:docPartGallery w:val="Table of Contents"/>
          <w:docPartUnique/>
        </w:docPartObj>
      </w:sdtPr>
      <w:sdtEndPr>
        <w:rPr>
          <w:rFonts w:hint="eastAsia" w:ascii="微软雅黑" w:hAnsi="微软雅黑" w:eastAsia="微软雅黑" w:cs="微软雅黑"/>
          <w:b w:val="0"/>
          <w:bCs w:val="0"/>
          <w:color w:val="auto"/>
          <w:kern w:val="2"/>
          <w:sz w:val="28"/>
          <w:szCs w:val="28"/>
          <w:highlight w:val="none"/>
          <w:lang w:val="en-US" w:eastAsia="zh-CN" w:bidi="ar-SA"/>
        </w:rPr>
      </w:sdtEndPr>
      <w:sdtContent>
        <w:p>
          <w:pPr>
            <w:keepNext w:val="0"/>
            <w:keepLines w:val="0"/>
            <w:pageBreakBefore w:val="0"/>
            <w:kinsoku/>
            <w:wordWrap/>
            <w:overflowPunct/>
            <w:topLinePunct w:val="0"/>
            <w:autoSpaceDE/>
            <w:autoSpaceDN/>
            <w:bidi w:val="0"/>
            <w:adjustRightInd/>
            <w:snapToGrid/>
            <w:spacing w:before="0" w:after="0" w:line="700" w:lineRule="exact"/>
            <w:ind w:left="0" w:leftChars="0" w:right="0" w:rightChars="0" w:firstLine="0" w:firstLineChars="0"/>
            <w:jc w:val="center"/>
            <w:textAlignment w:val="auto"/>
            <w:rPr>
              <w:rFonts w:hint="eastAsia" w:ascii="微软雅黑" w:hAnsi="微软雅黑" w:eastAsia="微软雅黑" w:cs="微软雅黑"/>
              <w:b w:val="0"/>
              <w:bCs w:val="0"/>
              <w:color w:val="auto"/>
              <w:sz w:val="28"/>
              <w:szCs w:val="28"/>
              <w:highlight w:val="none"/>
            </w:rPr>
          </w:pPr>
          <w:r>
            <w:rPr>
              <w:rFonts w:hint="eastAsia" w:ascii="微软雅黑" w:hAnsi="微软雅黑" w:eastAsia="微软雅黑" w:cs="微软雅黑"/>
              <w:b w:val="0"/>
              <w:bCs w:val="0"/>
              <w:color w:val="auto"/>
              <w:sz w:val="28"/>
              <w:szCs w:val="28"/>
              <w:highlight w:val="none"/>
            </w:rPr>
            <w:t>目录</w:t>
          </w:r>
        </w:p>
        <w:p>
          <w:pPr>
            <w:pStyle w:val="556"/>
            <w:keepNext w:val="0"/>
            <w:keepLines w:val="0"/>
            <w:pageBreakBefore w:val="0"/>
            <w:tabs>
              <w:tab w:val="right" w:leader="dot" w:pos="8551"/>
            </w:tabs>
            <w:kinsoku/>
            <w:wordWrap/>
            <w:overflowPunct/>
            <w:topLinePunct w:val="0"/>
            <w:autoSpaceDE/>
            <w:autoSpaceDN/>
            <w:bidi w:val="0"/>
            <w:adjustRightInd/>
            <w:snapToGrid/>
            <w:spacing w:line="700" w:lineRule="exact"/>
            <w:textAlignment w:val="auto"/>
            <w:rPr>
              <w:rFonts w:hint="eastAsia" w:ascii="微软雅黑" w:hAnsi="微软雅黑" w:eastAsia="微软雅黑" w:cs="微软雅黑"/>
              <w:b w:val="0"/>
              <w:bCs w:val="0"/>
              <w:color w:val="auto"/>
              <w:sz w:val="28"/>
              <w:szCs w:val="28"/>
              <w:highlight w:val="none"/>
            </w:rPr>
          </w:pPr>
          <w:r>
            <w:rPr>
              <w:rFonts w:hint="eastAsia" w:ascii="微软雅黑" w:hAnsi="微软雅黑" w:eastAsia="微软雅黑" w:cs="微软雅黑"/>
              <w:b w:val="0"/>
              <w:bCs w:val="0"/>
              <w:color w:val="auto"/>
              <w:sz w:val="28"/>
              <w:szCs w:val="28"/>
              <w:highlight w:val="none"/>
            </w:rPr>
            <w:fldChar w:fldCharType="begin"/>
          </w:r>
          <w:r>
            <w:rPr>
              <w:rFonts w:hint="eastAsia" w:ascii="微软雅黑" w:hAnsi="微软雅黑" w:eastAsia="微软雅黑" w:cs="微软雅黑"/>
              <w:b w:val="0"/>
              <w:bCs w:val="0"/>
              <w:color w:val="auto"/>
              <w:sz w:val="28"/>
              <w:szCs w:val="28"/>
              <w:highlight w:val="none"/>
            </w:rPr>
            <w:instrText xml:space="preserve">TOC \o "1-1" \h \u </w:instrText>
          </w:r>
          <w:r>
            <w:rPr>
              <w:rFonts w:hint="eastAsia" w:ascii="微软雅黑" w:hAnsi="微软雅黑" w:eastAsia="微软雅黑" w:cs="微软雅黑"/>
              <w:b w:val="0"/>
              <w:bCs w:val="0"/>
              <w:color w:val="auto"/>
              <w:sz w:val="28"/>
              <w:szCs w:val="28"/>
              <w:highlight w:val="none"/>
            </w:rPr>
            <w:fldChar w:fldCharType="separate"/>
          </w:r>
        </w:p>
        <w:p>
          <w:pPr>
            <w:pStyle w:val="556"/>
            <w:keepNext w:val="0"/>
            <w:keepLines w:val="0"/>
            <w:pageBreakBefore w:val="0"/>
            <w:tabs>
              <w:tab w:val="right" w:leader="dot" w:pos="8551"/>
            </w:tabs>
            <w:kinsoku/>
            <w:wordWrap/>
            <w:overflowPunct/>
            <w:topLinePunct w:val="0"/>
            <w:autoSpaceDE/>
            <w:autoSpaceDN/>
            <w:bidi w:val="0"/>
            <w:adjustRightInd/>
            <w:snapToGrid/>
            <w:spacing w:line="700" w:lineRule="exact"/>
            <w:textAlignment w:val="auto"/>
            <w:rPr>
              <w:rFonts w:hint="eastAsia" w:ascii="微软雅黑" w:hAnsi="微软雅黑" w:eastAsia="微软雅黑" w:cs="微软雅黑"/>
              <w:b w:val="0"/>
              <w:bCs w:val="0"/>
              <w:color w:val="auto"/>
              <w:sz w:val="28"/>
              <w:szCs w:val="28"/>
              <w:highlight w:val="none"/>
            </w:rPr>
          </w:pPr>
          <w:r>
            <w:rPr>
              <w:rFonts w:hint="eastAsia" w:ascii="微软雅黑" w:hAnsi="微软雅黑" w:eastAsia="微软雅黑" w:cs="微软雅黑"/>
              <w:b w:val="0"/>
              <w:bCs w:val="0"/>
              <w:color w:val="auto"/>
              <w:sz w:val="28"/>
              <w:szCs w:val="28"/>
              <w:highlight w:val="none"/>
            </w:rPr>
            <w:fldChar w:fldCharType="begin"/>
          </w:r>
          <w:r>
            <w:rPr>
              <w:rFonts w:hint="eastAsia" w:ascii="微软雅黑" w:hAnsi="微软雅黑" w:eastAsia="微软雅黑" w:cs="微软雅黑"/>
              <w:b w:val="0"/>
              <w:bCs w:val="0"/>
              <w:color w:val="auto"/>
              <w:sz w:val="28"/>
              <w:szCs w:val="28"/>
              <w:highlight w:val="none"/>
            </w:rPr>
            <w:instrText xml:space="preserve"> HYPERLINK \l _Toc17017 </w:instrText>
          </w:r>
          <w:r>
            <w:rPr>
              <w:rFonts w:hint="eastAsia" w:ascii="微软雅黑" w:hAnsi="微软雅黑" w:eastAsia="微软雅黑" w:cs="微软雅黑"/>
              <w:b w:val="0"/>
              <w:bCs w:val="0"/>
              <w:color w:val="auto"/>
              <w:sz w:val="28"/>
              <w:szCs w:val="28"/>
              <w:highlight w:val="none"/>
            </w:rPr>
            <w:fldChar w:fldCharType="separate"/>
          </w:r>
          <w:r>
            <w:rPr>
              <w:rFonts w:hint="eastAsia" w:ascii="微软雅黑" w:hAnsi="微软雅黑" w:eastAsia="微软雅黑" w:cs="微软雅黑"/>
              <w:b w:val="0"/>
              <w:bCs w:val="0"/>
              <w:color w:val="auto"/>
              <w:sz w:val="28"/>
              <w:szCs w:val="28"/>
              <w:highlight w:val="none"/>
            </w:rPr>
            <w:t xml:space="preserve">第一章 </w:t>
          </w:r>
          <w:r>
            <w:rPr>
              <w:rFonts w:hint="eastAsia" w:ascii="微软雅黑" w:hAnsi="微软雅黑" w:eastAsia="微软雅黑" w:cs="微软雅黑"/>
              <w:b w:val="0"/>
              <w:bCs w:val="0"/>
              <w:color w:val="auto"/>
              <w:sz w:val="28"/>
              <w:szCs w:val="28"/>
              <w:highlight w:val="none"/>
              <w:lang w:val="en-US" w:eastAsia="zh-CN"/>
            </w:rPr>
            <w:t xml:space="preserve"> </w:t>
          </w:r>
          <w:r>
            <w:rPr>
              <w:rFonts w:hint="eastAsia" w:ascii="微软雅黑" w:hAnsi="微软雅黑" w:eastAsia="微软雅黑" w:cs="微软雅黑"/>
              <w:b w:val="0"/>
              <w:bCs w:val="0"/>
              <w:color w:val="auto"/>
              <w:sz w:val="28"/>
              <w:szCs w:val="28"/>
              <w:highlight w:val="none"/>
            </w:rPr>
            <w:t>竞争性磋商采购公告</w:t>
          </w:r>
          <w:r>
            <w:rPr>
              <w:rFonts w:hint="eastAsia" w:ascii="微软雅黑" w:hAnsi="微软雅黑" w:eastAsia="微软雅黑" w:cs="微软雅黑"/>
              <w:b w:val="0"/>
              <w:bCs w:val="0"/>
              <w:color w:val="auto"/>
              <w:sz w:val="28"/>
              <w:szCs w:val="28"/>
              <w:highlight w:val="none"/>
            </w:rPr>
            <w:tab/>
          </w:r>
          <w:r>
            <w:rPr>
              <w:rFonts w:hint="eastAsia" w:ascii="微软雅黑" w:hAnsi="微软雅黑" w:eastAsia="微软雅黑" w:cs="微软雅黑"/>
              <w:b w:val="0"/>
              <w:bCs w:val="0"/>
              <w:color w:val="auto"/>
              <w:sz w:val="28"/>
              <w:szCs w:val="28"/>
              <w:highlight w:val="none"/>
            </w:rPr>
            <w:fldChar w:fldCharType="begin"/>
          </w:r>
          <w:r>
            <w:rPr>
              <w:rFonts w:hint="eastAsia" w:ascii="微软雅黑" w:hAnsi="微软雅黑" w:eastAsia="微软雅黑" w:cs="微软雅黑"/>
              <w:b w:val="0"/>
              <w:bCs w:val="0"/>
              <w:color w:val="auto"/>
              <w:sz w:val="28"/>
              <w:szCs w:val="28"/>
              <w:highlight w:val="none"/>
            </w:rPr>
            <w:instrText xml:space="preserve"> PAGEREF _Toc17017 \h </w:instrText>
          </w:r>
          <w:r>
            <w:rPr>
              <w:rFonts w:hint="eastAsia" w:ascii="微软雅黑" w:hAnsi="微软雅黑" w:eastAsia="微软雅黑" w:cs="微软雅黑"/>
              <w:b w:val="0"/>
              <w:bCs w:val="0"/>
              <w:color w:val="auto"/>
              <w:sz w:val="28"/>
              <w:szCs w:val="28"/>
              <w:highlight w:val="none"/>
            </w:rPr>
            <w:fldChar w:fldCharType="separate"/>
          </w:r>
          <w:r>
            <w:rPr>
              <w:rFonts w:hint="eastAsia" w:ascii="微软雅黑" w:hAnsi="微软雅黑" w:eastAsia="微软雅黑" w:cs="微软雅黑"/>
              <w:b w:val="0"/>
              <w:bCs w:val="0"/>
              <w:color w:val="auto"/>
              <w:sz w:val="28"/>
              <w:szCs w:val="28"/>
              <w:highlight w:val="none"/>
            </w:rPr>
            <w:t>2</w:t>
          </w:r>
          <w:r>
            <w:rPr>
              <w:rFonts w:hint="eastAsia" w:ascii="微软雅黑" w:hAnsi="微软雅黑" w:eastAsia="微软雅黑" w:cs="微软雅黑"/>
              <w:b w:val="0"/>
              <w:bCs w:val="0"/>
              <w:color w:val="auto"/>
              <w:sz w:val="28"/>
              <w:szCs w:val="28"/>
              <w:highlight w:val="none"/>
            </w:rPr>
            <w:fldChar w:fldCharType="end"/>
          </w:r>
          <w:r>
            <w:rPr>
              <w:rFonts w:hint="eastAsia" w:ascii="微软雅黑" w:hAnsi="微软雅黑" w:eastAsia="微软雅黑" w:cs="微软雅黑"/>
              <w:b w:val="0"/>
              <w:bCs w:val="0"/>
              <w:color w:val="auto"/>
              <w:sz w:val="28"/>
              <w:szCs w:val="28"/>
              <w:highlight w:val="none"/>
            </w:rPr>
            <w:fldChar w:fldCharType="end"/>
          </w:r>
        </w:p>
        <w:p>
          <w:pPr>
            <w:pStyle w:val="556"/>
            <w:keepNext w:val="0"/>
            <w:keepLines w:val="0"/>
            <w:pageBreakBefore w:val="0"/>
            <w:tabs>
              <w:tab w:val="right" w:leader="dot" w:pos="8551"/>
            </w:tabs>
            <w:kinsoku/>
            <w:wordWrap/>
            <w:overflowPunct/>
            <w:topLinePunct w:val="0"/>
            <w:autoSpaceDE/>
            <w:autoSpaceDN/>
            <w:bidi w:val="0"/>
            <w:adjustRightInd/>
            <w:snapToGrid/>
            <w:spacing w:line="700" w:lineRule="exact"/>
            <w:textAlignment w:val="auto"/>
            <w:rPr>
              <w:rFonts w:hint="eastAsia" w:ascii="微软雅黑" w:hAnsi="微软雅黑" w:eastAsia="微软雅黑" w:cs="微软雅黑"/>
              <w:b w:val="0"/>
              <w:bCs w:val="0"/>
              <w:color w:val="auto"/>
              <w:sz w:val="28"/>
              <w:szCs w:val="28"/>
              <w:highlight w:val="none"/>
            </w:rPr>
          </w:pPr>
          <w:r>
            <w:rPr>
              <w:rFonts w:hint="eastAsia" w:ascii="微软雅黑" w:hAnsi="微软雅黑" w:eastAsia="微软雅黑" w:cs="微软雅黑"/>
              <w:b w:val="0"/>
              <w:bCs w:val="0"/>
              <w:color w:val="auto"/>
              <w:sz w:val="28"/>
              <w:szCs w:val="28"/>
              <w:highlight w:val="none"/>
            </w:rPr>
            <w:fldChar w:fldCharType="begin"/>
          </w:r>
          <w:r>
            <w:rPr>
              <w:rFonts w:hint="eastAsia" w:ascii="微软雅黑" w:hAnsi="微软雅黑" w:eastAsia="微软雅黑" w:cs="微软雅黑"/>
              <w:b w:val="0"/>
              <w:bCs w:val="0"/>
              <w:color w:val="auto"/>
              <w:sz w:val="28"/>
              <w:szCs w:val="28"/>
              <w:highlight w:val="none"/>
            </w:rPr>
            <w:instrText xml:space="preserve"> HYPERLINK \l _Toc19798 </w:instrText>
          </w:r>
          <w:r>
            <w:rPr>
              <w:rFonts w:hint="eastAsia" w:ascii="微软雅黑" w:hAnsi="微软雅黑" w:eastAsia="微软雅黑" w:cs="微软雅黑"/>
              <w:b w:val="0"/>
              <w:bCs w:val="0"/>
              <w:color w:val="auto"/>
              <w:sz w:val="28"/>
              <w:szCs w:val="28"/>
              <w:highlight w:val="none"/>
            </w:rPr>
            <w:fldChar w:fldCharType="separate"/>
          </w:r>
          <w:r>
            <w:rPr>
              <w:rFonts w:hint="eastAsia" w:ascii="微软雅黑" w:hAnsi="微软雅黑" w:eastAsia="微软雅黑" w:cs="微软雅黑"/>
              <w:b w:val="0"/>
              <w:bCs w:val="0"/>
              <w:color w:val="auto"/>
              <w:sz w:val="28"/>
              <w:szCs w:val="28"/>
              <w:highlight w:val="none"/>
            </w:rPr>
            <w:t xml:space="preserve">第二章 </w:t>
          </w:r>
          <w:r>
            <w:rPr>
              <w:rFonts w:hint="eastAsia" w:ascii="微软雅黑" w:hAnsi="微软雅黑" w:eastAsia="微软雅黑" w:cs="微软雅黑"/>
              <w:b w:val="0"/>
              <w:bCs w:val="0"/>
              <w:color w:val="auto"/>
              <w:sz w:val="28"/>
              <w:szCs w:val="28"/>
              <w:highlight w:val="none"/>
              <w:lang w:val="en-US" w:eastAsia="zh-CN"/>
            </w:rPr>
            <w:t xml:space="preserve"> </w:t>
          </w:r>
          <w:r>
            <w:rPr>
              <w:rFonts w:hint="eastAsia" w:ascii="微软雅黑" w:hAnsi="微软雅黑" w:eastAsia="微软雅黑" w:cs="微软雅黑"/>
              <w:b w:val="0"/>
              <w:bCs w:val="0"/>
              <w:color w:val="auto"/>
              <w:sz w:val="28"/>
              <w:szCs w:val="28"/>
              <w:highlight w:val="none"/>
            </w:rPr>
            <w:t>供应商须知</w:t>
          </w:r>
          <w:r>
            <w:rPr>
              <w:rFonts w:hint="eastAsia" w:ascii="微软雅黑" w:hAnsi="微软雅黑" w:eastAsia="微软雅黑" w:cs="微软雅黑"/>
              <w:b w:val="0"/>
              <w:bCs w:val="0"/>
              <w:color w:val="auto"/>
              <w:sz w:val="28"/>
              <w:szCs w:val="28"/>
              <w:highlight w:val="none"/>
            </w:rPr>
            <w:tab/>
          </w:r>
          <w:r>
            <w:rPr>
              <w:rFonts w:hint="eastAsia" w:ascii="微软雅黑" w:hAnsi="微软雅黑" w:eastAsia="微软雅黑" w:cs="微软雅黑"/>
              <w:b w:val="0"/>
              <w:bCs w:val="0"/>
              <w:color w:val="auto"/>
              <w:sz w:val="28"/>
              <w:szCs w:val="28"/>
              <w:highlight w:val="none"/>
            </w:rPr>
            <w:fldChar w:fldCharType="begin"/>
          </w:r>
          <w:r>
            <w:rPr>
              <w:rFonts w:hint="eastAsia" w:ascii="微软雅黑" w:hAnsi="微软雅黑" w:eastAsia="微软雅黑" w:cs="微软雅黑"/>
              <w:b w:val="0"/>
              <w:bCs w:val="0"/>
              <w:color w:val="auto"/>
              <w:sz w:val="28"/>
              <w:szCs w:val="28"/>
              <w:highlight w:val="none"/>
            </w:rPr>
            <w:instrText xml:space="preserve"> PAGEREF _Toc19798 \h </w:instrText>
          </w:r>
          <w:r>
            <w:rPr>
              <w:rFonts w:hint="eastAsia" w:ascii="微软雅黑" w:hAnsi="微软雅黑" w:eastAsia="微软雅黑" w:cs="微软雅黑"/>
              <w:b w:val="0"/>
              <w:bCs w:val="0"/>
              <w:color w:val="auto"/>
              <w:sz w:val="28"/>
              <w:szCs w:val="28"/>
              <w:highlight w:val="none"/>
            </w:rPr>
            <w:fldChar w:fldCharType="separate"/>
          </w:r>
          <w:r>
            <w:rPr>
              <w:rFonts w:hint="eastAsia" w:ascii="微软雅黑" w:hAnsi="微软雅黑" w:eastAsia="微软雅黑" w:cs="微软雅黑"/>
              <w:b w:val="0"/>
              <w:bCs w:val="0"/>
              <w:color w:val="auto"/>
              <w:sz w:val="28"/>
              <w:szCs w:val="28"/>
              <w:highlight w:val="none"/>
            </w:rPr>
            <w:t>6</w:t>
          </w:r>
          <w:r>
            <w:rPr>
              <w:rFonts w:hint="eastAsia" w:ascii="微软雅黑" w:hAnsi="微软雅黑" w:eastAsia="微软雅黑" w:cs="微软雅黑"/>
              <w:b w:val="0"/>
              <w:bCs w:val="0"/>
              <w:color w:val="auto"/>
              <w:sz w:val="28"/>
              <w:szCs w:val="28"/>
              <w:highlight w:val="none"/>
            </w:rPr>
            <w:fldChar w:fldCharType="end"/>
          </w:r>
          <w:r>
            <w:rPr>
              <w:rFonts w:hint="eastAsia" w:ascii="微软雅黑" w:hAnsi="微软雅黑" w:eastAsia="微软雅黑" w:cs="微软雅黑"/>
              <w:b w:val="0"/>
              <w:bCs w:val="0"/>
              <w:color w:val="auto"/>
              <w:sz w:val="28"/>
              <w:szCs w:val="28"/>
              <w:highlight w:val="none"/>
            </w:rPr>
            <w:fldChar w:fldCharType="end"/>
          </w:r>
        </w:p>
        <w:p>
          <w:pPr>
            <w:pStyle w:val="556"/>
            <w:keepNext w:val="0"/>
            <w:keepLines w:val="0"/>
            <w:pageBreakBefore w:val="0"/>
            <w:tabs>
              <w:tab w:val="right" w:leader="dot" w:pos="8551"/>
            </w:tabs>
            <w:kinsoku/>
            <w:wordWrap/>
            <w:overflowPunct/>
            <w:topLinePunct w:val="0"/>
            <w:autoSpaceDE/>
            <w:autoSpaceDN/>
            <w:bidi w:val="0"/>
            <w:adjustRightInd/>
            <w:snapToGrid/>
            <w:spacing w:line="700" w:lineRule="exact"/>
            <w:textAlignment w:val="auto"/>
            <w:rPr>
              <w:rFonts w:hint="eastAsia" w:ascii="微软雅黑" w:hAnsi="微软雅黑" w:eastAsia="微软雅黑" w:cs="微软雅黑"/>
              <w:b w:val="0"/>
              <w:bCs w:val="0"/>
              <w:color w:val="auto"/>
              <w:sz w:val="28"/>
              <w:szCs w:val="28"/>
              <w:highlight w:val="none"/>
            </w:rPr>
          </w:pPr>
          <w:r>
            <w:rPr>
              <w:rFonts w:hint="eastAsia" w:ascii="微软雅黑" w:hAnsi="微软雅黑" w:eastAsia="微软雅黑" w:cs="微软雅黑"/>
              <w:b w:val="0"/>
              <w:bCs w:val="0"/>
              <w:color w:val="auto"/>
              <w:sz w:val="28"/>
              <w:szCs w:val="28"/>
              <w:highlight w:val="none"/>
            </w:rPr>
            <w:fldChar w:fldCharType="begin"/>
          </w:r>
          <w:r>
            <w:rPr>
              <w:rFonts w:hint="eastAsia" w:ascii="微软雅黑" w:hAnsi="微软雅黑" w:eastAsia="微软雅黑" w:cs="微软雅黑"/>
              <w:b w:val="0"/>
              <w:bCs w:val="0"/>
              <w:color w:val="auto"/>
              <w:sz w:val="28"/>
              <w:szCs w:val="28"/>
              <w:highlight w:val="none"/>
            </w:rPr>
            <w:instrText xml:space="preserve"> HYPERLINK \l _Toc16143 </w:instrText>
          </w:r>
          <w:r>
            <w:rPr>
              <w:rFonts w:hint="eastAsia" w:ascii="微软雅黑" w:hAnsi="微软雅黑" w:eastAsia="微软雅黑" w:cs="微软雅黑"/>
              <w:b w:val="0"/>
              <w:bCs w:val="0"/>
              <w:color w:val="auto"/>
              <w:sz w:val="28"/>
              <w:szCs w:val="28"/>
              <w:highlight w:val="none"/>
            </w:rPr>
            <w:fldChar w:fldCharType="separate"/>
          </w:r>
          <w:r>
            <w:rPr>
              <w:rFonts w:hint="eastAsia" w:ascii="微软雅黑" w:hAnsi="微软雅黑" w:eastAsia="微软雅黑" w:cs="微软雅黑"/>
              <w:b w:val="0"/>
              <w:bCs w:val="0"/>
              <w:color w:val="auto"/>
              <w:kern w:val="44"/>
              <w:sz w:val="28"/>
              <w:szCs w:val="28"/>
              <w:highlight w:val="none"/>
            </w:rPr>
            <w:t xml:space="preserve">第三章 </w:t>
          </w:r>
          <w:r>
            <w:rPr>
              <w:rFonts w:hint="eastAsia" w:ascii="微软雅黑" w:hAnsi="微软雅黑" w:eastAsia="微软雅黑" w:cs="微软雅黑"/>
              <w:b w:val="0"/>
              <w:bCs w:val="0"/>
              <w:color w:val="auto"/>
              <w:kern w:val="44"/>
              <w:sz w:val="28"/>
              <w:szCs w:val="28"/>
              <w:highlight w:val="none"/>
              <w:lang w:val="en-US" w:eastAsia="zh-CN"/>
            </w:rPr>
            <w:t xml:space="preserve"> </w:t>
          </w:r>
          <w:r>
            <w:rPr>
              <w:rFonts w:hint="eastAsia" w:ascii="微软雅黑" w:hAnsi="微软雅黑" w:eastAsia="微软雅黑" w:cs="微软雅黑"/>
              <w:b w:val="0"/>
              <w:bCs w:val="0"/>
              <w:color w:val="auto"/>
              <w:kern w:val="44"/>
              <w:sz w:val="28"/>
              <w:szCs w:val="28"/>
              <w:highlight w:val="none"/>
            </w:rPr>
            <w:t>磋商项目要求</w:t>
          </w:r>
          <w:r>
            <w:rPr>
              <w:rFonts w:hint="eastAsia" w:ascii="微软雅黑" w:hAnsi="微软雅黑" w:eastAsia="微软雅黑" w:cs="微软雅黑"/>
              <w:b w:val="0"/>
              <w:bCs w:val="0"/>
              <w:color w:val="auto"/>
              <w:sz w:val="28"/>
              <w:szCs w:val="28"/>
              <w:highlight w:val="none"/>
            </w:rPr>
            <w:tab/>
          </w:r>
          <w:r>
            <w:rPr>
              <w:rFonts w:hint="eastAsia" w:ascii="微软雅黑" w:hAnsi="微软雅黑" w:eastAsia="微软雅黑" w:cs="微软雅黑"/>
              <w:b w:val="0"/>
              <w:bCs w:val="0"/>
              <w:color w:val="auto"/>
              <w:sz w:val="28"/>
              <w:szCs w:val="28"/>
              <w:highlight w:val="none"/>
            </w:rPr>
            <w:fldChar w:fldCharType="begin"/>
          </w:r>
          <w:r>
            <w:rPr>
              <w:rFonts w:hint="eastAsia" w:ascii="微软雅黑" w:hAnsi="微软雅黑" w:eastAsia="微软雅黑" w:cs="微软雅黑"/>
              <w:b w:val="0"/>
              <w:bCs w:val="0"/>
              <w:color w:val="auto"/>
              <w:sz w:val="28"/>
              <w:szCs w:val="28"/>
              <w:highlight w:val="none"/>
            </w:rPr>
            <w:instrText xml:space="preserve"> PAGEREF _Toc16143 \h </w:instrText>
          </w:r>
          <w:r>
            <w:rPr>
              <w:rFonts w:hint="eastAsia" w:ascii="微软雅黑" w:hAnsi="微软雅黑" w:eastAsia="微软雅黑" w:cs="微软雅黑"/>
              <w:b w:val="0"/>
              <w:bCs w:val="0"/>
              <w:color w:val="auto"/>
              <w:sz w:val="28"/>
              <w:szCs w:val="28"/>
              <w:highlight w:val="none"/>
            </w:rPr>
            <w:fldChar w:fldCharType="separate"/>
          </w:r>
          <w:r>
            <w:rPr>
              <w:rFonts w:hint="eastAsia" w:ascii="微软雅黑" w:hAnsi="微软雅黑" w:eastAsia="微软雅黑" w:cs="微软雅黑"/>
              <w:b w:val="0"/>
              <w:bCs w:val="0"/>
              <w:color w:val="auto"/>
              <w:sz w:val="28"/>
              <w:szCs w:val="28"/>
              <w:highlight w:val="none"/>
            </w:rPr>
            <w:t>23</w:t>
          </w:r>
          <w:r>
            <w:rPr>
              <w:rFonts w:hint="eastAsia" w:ascii="微软雅黑" w:hAnsi="微软雅黑" w:eastAsia="微软雅黑" w:cs="微软雅黑"/>
              <w:b w:val="0"/>
              <w:bCs w:val="0"/>
              <w:color w:val="auto"/>
              <w:sz w:val="28"/>
              <w:szCs w:val="28"/>
              <w:highlight w:val="none"/>
            </w:rPr>
            <w:fldChar w:fldCharType="end"/>
          </w:r>
          <w:r>
            <w:rPr>
              <w:rFonts w:hint="eastAsia" w:ascii="微软雅黑" w:hAnsi="微软雅黑" w:eastAsia="微软雅黑" w:cs="微软雅黑"/>
              <w:b w:val="0"/>
              <w:bCs w:val="0"/>
              <w:color w:val="auto"/>
              <w:sz w:val="28"/>
              <w:szCs w:val="28"/>
              <w:highlight w:val="none"/>
            </w:rPr>
            <w:fldChar w:fldCharType="end"/>
          </w:r>
        </w:p>
        <w:p>
          <w:pPr>
            <w:pStyle w:val="556"/>
            <w:keepNext w:val="0"/>
            <w:keepLines w:val="0"/>
            <w:pageBreakBefore w:val="0"/>
            <w:tabs>
              <w:tab w:val="right" w:leader="dot" w:pos="8551"/>
            </w:tabs>
            <w:kinsoku/>
            <w:wordWrap/>
            <w:overflowPunct/>
            <w:topLinePunct w:val="0"/>
            <w:autoSpaceDE/>
            <w:autoSpaceDN/>
            <w:bidi w:val="0"/>
            <w:adjustRightInd/>
            <w:snapToGrid/>
            <w:spacing w:line="700" w:lineRule="exact"/>
            <w:textAlignment w:val="auto"/>
            <w:rPr>
              <w:rFonts w:hint="eastAsia" w:ascii="微软雅黑" w:hAnsi="微软雅黑" w:eastAsia="微软雅黑" w:cs="微软雅黑"/>
              <w:b w:val="0"/>
              <w:bCs w:val="0"/>
              <w:color w:val="auto"/>
              <w:sz w:val="28"/>
              <w:szCs w:val="28"/>
              <w:highlight w:val="none"/>
            </w:rPr>
          </w:pPr>
          <w:r>
            <w:rPr>
              <w:rFonts w:hint="eastAsia" w:ascii="微软雅黑" w:hAnsi="微软雅黑" w:eastAsia="微软雅黑" w:cs="微软雅黑"/>
              <w:b w:val="0"/>
              <w:bCs w:val="0"/>
              <w:color w:val="auto"/>
              <w:sz w:val="28"/>
              <w:szCs w:val="28"/>
              <w:highlight w:val="none"/>
            </w:rPr>
            <w:fldChar w:fldCharType="begin"/>
          </w:r>
          <w:r>
            <w:rPr>
              <w:rFonts w:hint="eastAsia" w:ascii="微软雅黑" w:hAnsi="微软雅黑" w:eastAsia="微软雅黑" w:cs="微软雅黑"/>
              <w:b w:val="0"/>
              <w:bCs w:val="0"/>
              <w:color w:val="auto"/>
              <w:sz w:val="28"/>
              <w:szCs w:val="28"/>
              <w:highlight w:val="none"/>
            </w:rPr>
            <w:instrText xml:space="preserve"> HYPERLINK \l _Toc26575 </w:instrText>
          </w:r>
          <w:r>
            <w:rPr>
              <w:rFonts w:hint="eastAsia" w:ascii="微软雅黑" w:hAnsi="微软雅黑" w:eastAsia="微软雅黑" w:cs="微软雅黑"/>
              <w:b w:val="0"/>
              <w:bCs w:val="0"/>
              <w:color w:val="auto"/>
              <w:sz w:val="28"/>
              <w:szCs w:val="28"/>
              <w:highlight w:val="none"/>
            </w:rPr>
            <w:fldChar w:fldCharType="separate"/>
          </w:r>
          <w:r>
            <w:rPr>
              <w:rFonts w:hint="eastAsia" w:ascii="微软雅黑" w:hAnsi="微软雅黑" w:eastAsia="微软雅黑" w:cs="微软雅黑"/>
              <w:b w:val="0"/>
              <w:bCs w:val="0"/>
              <w:color w:val="auto"/>
              <w:sz w:val="28"/>
              <w:szCs w:val="28"/>
              <w:highlight w:val="none"/>
            </w:rPr>
            <w:t>第四章  嘉兴市政府采购合同（指引）</w:t>
          </w:r>
          <w:r>
            <w:rPr>
              <w:rFonts w:hint="eastAsia" w:ascii="微软雅黑" w:hAnsi="微软雅黑" w:eastAsia="微软雅黑" w:cs="微软雅黑"/>
              <w:b w:val="0"/>
              <w:bCs w:val="0"/>
              <w:color w:val="auto"/>
              <w:sz w:val="28"/>
              <w:szCs w:val="28"/>
              <w:highlight w:val="none"/>
            </w:rPr>
            <w:tab/>
          </w:r>
          <w:r>
            <w:rPr>
              <w:rFonts w:hint="eastAsia" w:ascii="微软雅黑" w:hAnsi="微软雅黑" w:eastAsia="微软雅黑" w:cs="微软雅黑"/>
              <w:b w:val="0"/>
              <w:bCs w:val="0"/>
              <w:color w:val="auto"/>
              <w:sz w:val="28"/>
              <w:szCs w:val="28"/>
              <w:highlight w:val="none"/>
            </w:rPr>
            <w:fldChar w:fldCharType="begin"/>
          </w:r>
          <w:r>
            <w:rPr>
              <w:rFonts w:hint="eastAsia" w:ascii="微软雅黑" w:hAnsi="微软雅黑" w:eastAsia="微软雅黑" w:cs="微软雅黑"/>
              <w:b w:val="0"/>
              <w:bCs w:val="0"/>
              <w:color w:val="auto"/>
              <w:sz w:val="28"/>
              <w:szCs w:val="28"/>
              <w:highlight w:val="none"/>
            </w:rPr>
            <w:instrText xml:space="preserve"> PAGEREF _Toc26575 \h </w:instrText>
          </w:r>
          <w:r>
            <w:rPr>
              <w:rFonts w:hint="eastAsia" w:ascii="微软雅黑" w:hAnsi="微软雅黑" w:eastAsia="微软雅黑" w:cs="微软雅黑"/>
              <w:b w:val="0"/>
              <w:bCs w:val="0"/>
              <w:color w:val="auto"/>
              <w:sz w:val="28"/>
              <w:szCs w:val="28"/>
              <w:highlight w:val="none"/>
            </w:rPr>
            <w:fldChar w:fldCharType="separate"/>
          </w:r>
          <w:r>
            <w:rPr>
              <w:rFonts w:hint="eastAsia" w:ascii="微软雅黑" w:hAnsi="微软雅黑" w:eastAsia="微软雅黑" w:cs="微软雅黑"/>
              <w:b w:val="0"/>
              <w:bCs w:val="0"/>
              <w:color w:val="auto"/>
              <w:sz w:val="28"/>
              <w:szCs w:val="28"/>
              <w:highlight w:val="none"/>
            </w:rPr>
            <w:t>26</w:t>
          </w:r>
          <w:r>
            <w:rPr>
              <w:rFonts w:hint="eastAsia" w:ascii="微软雅黑" w:hAnsi="微软雅黑" w:eastAsia="微软雅黑" w:cs="微软雅黑"/>
              <w:b w:val="0"/>
              <w:bCs w:val="0"/>
              <w:color w:val="auto"/>
              <w:sz w:val="28"/>
              <w:szCs w:val="28"/>
              <w:highlight w:val="none"/>
            </w:rPr>
            <w:fldChar w:fldCharType="end"/>
          </w:r>
          <w:r>
            <w:rPr>
              <w:rFonts w:hint="eastAsia" w:ascii="微软雅黑" w:hAnsi="微软雅黑" w:eastAsia="微软雅黑" w:cs="微软雅黑"/>
              <w:b w:val="0"/>
              <w:bCs w:val="0"/>
              <w:color w:val="auto"/>
              <w:sz w:val="28"/>
              <w:szCs w:val="28"/>
              <w:highlight w:val="none"/>
            </w:rPr>
            <w:fldChar w:fldCharType="end"/>
          </w:r>
        </w:p>
        <w:p>
          <w:pPr>
            <w:pStyle w:val="556"/>
            <w:keepNext w:val="0"/>
            <w:keepLines w:val="0"/>
            <w:pageBreakBefore w:val="0"/>
            <w:tabs>
              <w:tab w:val="right" w:leader="dot" w:pos="8551"/>
            </w:tabs>
            <w:kinsoku/>
            <w:wordWrap/>
            <w:overflowPunct/>
            <w:topLinePunct w:val="0"/>
            <w:autoSpaceDE/>
            <w:autoSpaceDN/>
            <w:bidi w:val="0"/>
            <w:adjustRightInd/>
            <w:snapToGrid/>
            <w:spacing w:line="700" w:lineRule="exact"/>
            <w:textAlignment w:val="auto"/>
            <w:rPr>
              <w:rFonts w:hint="eastAsia" w:ascii="微软雅黑" w:hAnsi="微软雅黑" w:eastAsia="微软雅黑" w:cs="微软雅黑"/>
              <w:b w:val="0"/>
              <w:bCs w:val="0"/>
              <w:color w:val="auto"/>
              <w:sz w:val="28"/>
              <w:szCs w:val="28"/>
              <w:highlight w:val="none"/>
            </w:rPr>
          </w:pPr>
          <w:r>
            <w:rPr>
              <w:rFonts w:hint="eastAsia" w:ascii="微软雅黑" w:hAnsi="微软雅黑" w:eastAsia="微软雅黑" w:cs="微软雅黑"/>
              <w:b w:val="0"/>
              <w:bCs w:val="0"/>
              <w:color w:val="auto"/>
              <w:sz w:val="28"/>
              <w:szCs w:val="28"/>
              <w:highlight w:val="none"/>
            </w:rPr>
            <w:fldChar w:fldCharType="begin"/>
          </w:r>
          <w:r>
            <w:rPr>
              <w:rFonts w:hint="eastAsia" w:ascii="微软雅黑" w:hAnsi="微软雅黑" w:eastAsia="微软雅黑" w:cs="微软雅黑"/>
              <w:b w:val="0"/>
              <w:bCs w:val="0"/>
              <w:color w:val="auto"/>
              <w:sz w:val="28"/>
              <w:szCs w:val="28"/>
              <w:highlight w:val="none"/>
            </w:rPr>
            <w:instrText xml:space="preserve"> HYPERLINK \l _Toc30283 </w:instrText>
          </w:r>
          <w:r>
            <w:rPr>
              <w:rFonts w:hint="eastAsia" w:ascii="微软雅黑" w:hAnsi="微软雅黑" w:eastAsia="微软雅黑" w:cs="微软雅黑"/>
              <w:b w:val="0"/>
              <w:bCs w:val="0"/>
              <w:color w:val="auto"/>
              <w:sz w:val="28"/>
              <w:szCs w:val="28"/>
              <w:highlight w:val="none"/>
            </w:rPr>
            <w:fldChar w:fldCharType="separate"/>
          </w:r>
          <w:r>
            <w:rPr>
              <w:rFonts w:hint="eastAsia" w:ascii="微软雅黑" w:hAnsi="微软雅黑" w:eastAsia="微软雅黑" w:cs="微软雅黑"/>
              <w:b w:val="0"/>
              <w:bCs w:val="0"/>
              <w:color w:val="auto"/>
              <w:sz w:val="28"/>
              <w:szCs w:val="28"/>
              <w:highlight w:val="none"/>
            </w:rPr>
            <w:t>第五章  评标办法及评分标准</w:t>
          </w:r>
          <w:r>
            <w:rPr>
              <w:rFonts w:hint="eastAsia" w:ascii="微软雅黑" w:hAnsi="微软雅黑" w:eastAsia="微软雅黑" w:cs="微软雅黑"/>
              <w:b w:val="0"/>
              <w:bCs w:val="0"/>
              <w:color w:val="auto"/>
              <w:sz w:val="28"/>
              <w:szCs w:val="28"/>
              <w:highlight w:val="none"/>
            </w:rPr>
            <w:tab/>
          </w:r>
          <w:r>
            <w:rPr>
              <w:rFonts w:hint="eastAsia" w:ascii="微软雅黑" w:hAnsi="微软雅黑" w:eastAsia="微软雅黑" w:cs="微软雅黑"/>
              <w:b w:val="0"/>
              <w:bCs w:val="0"/>
              <w:color w:val="auto"/>
              <w:sz w:val="28"/>
              <w:szCs w:val="28"/>
              <w:highlight w:val="none"/>
            </w:rPr>
            <w:fldChar w:fldCharType="begin"/>
          </w:r>
          <w:r>
            <w:rPr>
              <w:rFonts w:hint="eastAsia" w:ascii="微软雅黑" w:hAnsi="微软雅黑" w:eastAsia="微软雅黑" w:cs="微软雅黑"/>
              <w:b w:val="0"/>
              <w:bCs w:val="0"/>
              <w:color w:val="auto"/>
              <w:sz w:val="28"/>
              <w:szCs w:val="28"/>
              <w:highlight w:val="none"/>
            </w:rPr>
            <w:instrText xml:space="preserve"> PAGEREF _Toc30283 \h </w:instrText>
          </w:r>
          <w:r>
            <w:rPr>
              <w:rFonts w:hint="eastAsia" w:ascii="微软雅黑" w:hAnsi="微软雅黑" w:eastAsia="微软雅黑" w:cs="微软雅黑"/>
              <w:b w:val="0"/>
              <w:bCs w:val="0"/>
              <w:color w:val="auto"/>
              <w:sz w:val="28"/>
              <w:szCs w:val="28"/>
              <w:highlight w:val="none"/>
            </w:rPr>
            <w:fldChar w:fldCharType="separate"/>
          </w:r>
          <w:r>
            <w:rPr>
              <w:rFonts w:hint="eastAsia" w:ascii="微软雅黑" w:hAnsi="微软雅黑" w:eastAsia="微软雅黑" w:cs="微软雅黑"/>
              <w:b w:val="0"/>
              <w:bCs w:val="0"/>
              <w:color w:val="auto"/>
              <w:sz w:val="28"/>
              <w:szCs w:val="28"/>
              <w:highlight w:val="none"/>
            </w:rPr>
            <w:t>30</w:t>
          </w:r>
          <w:r>
            <w:rPr>
              <w:rFonts w:hint="eastAsia" w:ascii="微软雅黑" w:hAnsi="微软雅黑" w:eastAsia="微软雅黑" w:cs="微软雅黑"/>
              <w:b w:val="0"/>
              <w:bCs w:val="0"/>
              <w:color w:val="auto"/>
              <w:sz w:val="28"/>
              <w:szCs w:val="28"/>
              <w:highlight w:val="none"/>
            </w:rPr>
            <w:fldChar w:fldCharType="end"/>
          </w:r>
          <w:r>
            <w:rPr>
              <w:rFonts w:hint="eastAsia" w:ascii="微软雅黑" w:hAnsi="微软雅黑" w:eastAsia="微软雅黑" w:cs="微软雅黑"/>
              <w:b w:val="0"/>
              <w:bCs w:val="0"/>
              <w:color w:val="auto"/>
              <w:sz w:val="28"/>
              <w:szCs w:val="28"/>
              <w:highlight w:val="none"/>
            </w:rPr>
            <w:fldChar w:fldCharType="end"/>
          </w:r>
        </w:p>
        <w:p>
          <w:pPr>
            <w:pStyle w:val="556"/>
            <w:keepNext w:val="0"/>
            <w:keepLines w:val="0"/>
            <w:pageBreakBefore w:val="0"/>
            <w:tabs>
              <w:tab w:val="right" w:leader="dot" w:pos="8551"/>
            </w:tabs>
            <w:kinsoku/>
            <w:wordWrap/>
            <w:overflowPunct/>
            <w:topLinePunct w:val="0"/>
            <w:autoSpaceDE/>
            <w:autoSpaceDN/>
            <w:bidi w:val="0"/>
            <w:adjustRightInd/>
            <w:snapToGrid/>
            <w:spacing w:line="700" w:lineRule="exact"/>
            <w:textAlignment w:val="auto"/>
            <w:rPr>
              <w:rFonts w:hint="eastAsia" w:ascii="微软雅黑" w:hAnsi="微软雅黑" w:eastAsia="微软雅黑" w:cs="微软雅黑"/>
              <w:b w:val="0"/>
              <w:bCs w:val="0"/>
              <w:color w:val="auto"/>
              <w:sz w:val="28"/>
              <w:szCs w:val="28"/>
              <w:highlight w:val="none"/>
            </w:rPr>
          </w:pPr>
          <w:r>
            <w:rPr>
              <w:rFonts w:hint="eastAsia" w:ascii="微软雅黑" w:hAnsi="微软雅黑" w:eastAsia="微软雅黑" w:cs="微软雅黑"/>
              <w:b w:val="0"/>
              <w:bCs w:val="0"/>
              <w:color w:val="auto"/>
              <w:sz w:val="28"/>
              <w:szCs w:val="28"/>
              <w:highlight w:val="none"/>
            </w:rPr>
            <w:fldChar w:fldCharType="begin"/>
          </w:r>
          <w:r>
            <w:rPr>
              <w:rFonts w:hint="eastAsia" w:ascii="微软雅黑" w:hAnsi="微软雅黑" w:eastAsia="微软雅黑" w:cs="微软雅黑"/>
              <w:b w:val="0"/>
              <w:bCs w:val="0"/>
              <w:color w:val="auto"/>
              <w:sz w:val="28"/>
              <w:szCs w:val="28"/>
              <w:highlight w:val="none"/>
            </w:rPr>
            <w:instrText xml:space="preserve"> HYPERLINK \l _Toc12769 </w:instrText>
          </w:r>
          <w:r>
            <w:rPr>
              <w:rFonts w:hint="eastAsia" w:ascii="微软雅黑" w:hAnsi="微软雅黑" w:eastAsia="微软雅黑" w:cs="微软雅黑"/>
              <w:b w:val="0"/>
              <w:bCs w:val="0"/>
              <w:color w:val="auto"/>
              <w:sz w:val="28"/>
              <w:szCs w:val="28"/>
              <w:highlight w:val="none"/>
            </w:rPr>
            <w:fldChar w:fldCharType="separate"/>
          </w:r>
          <w:r>
            <w:rPr>
              <w:rFonts w:hint="eastAsia" w:ascii="微软雅黑" w:hAnsi="微软雅黑" w:eastAsia="微软雅黑" w:cs="微软雅黑"/>
              <w:b w:val="0"/>
              <w:bCs w:val="0"/>
              <w:color w:val="auto"/>
              <w:sz w:val="28"/>
              <w:szCs w:val="28"/>
              <w:highlight w:val="none"/>
            </w:rPr>
            <w:t xml:space="preserve">第六章 </w:t>
          </w:r>
          <w:r>
            <w:rPr>
              <w:rFonts w:hint="eastAsia" w:ascii="微软雅黑" w:hAnsi="微软雅黑" w:eastAsia="微软雅黑" w:cs="微软雅黑"/>
              <w:b w:val="0"/>
              <w:bCs w:val="0"/>
              <w:color w:val="auto"/>
              <w:sz w:val="28"/>
              <w:szCs w:val="28"/>
              <w:highlight w:val="none"/>
              <w:lang w:val="en-US" w:eastAsia="zh-CN"/>
            </w:rPr>
            <w:t xml:space="preserve"> </w:t>
          </w:r>
          <w:r>
            <w:rPr>
              <w:rFonts w:hint="eastAsia" w:ascii="微软雅黑" w:hAnsi="微软雅黑" w:eastAsia="微软雅黑" w:cs="微软雅黑"/>
              <w:b w:val="0"/>
              <w:bCs w:val="0"/>
              <w:color w:val="auto"/>
              <w:sz w:val="28"/>
              <w:szCs w:val="28"/>
              <w:highlight w:val="none"/>
            </w:rPr>
            <w:t>磋商相关文件格式</w:t>
          </w:r>
          <w:r>
            <w:rPr>
              <w:rFonts w:hint="eastAsia" w:ascii="微软雅黑" w:hAnsi="微软雅黑" w:eastAsia="微软雅黑" w:cs="微软雅黑"/>
              <w:b w:val="0"/>
              <w:bCs w:val="0"/>
              <w:color w:val="auto"/>
              <w:sz w:val="28"/>
              <w:szCs w:val="28"/>
              <w:highlight w:val="none"/>
            </w:rPr>
            <w:tab/>
          </w:r>
          <w:r>
            <w:rPr>
              <w:rFonts w:hint="eastAsia" w:ascii="微软雅黑" w:hAnsi="微软雅黑" w:eastAsia="微软雅黑" w:cs="微软雅黑"/>
              <w:b w:val="0"/>
              <w:bCs w:val="0"/>
              <w:color w:val="auto"/>
              <w:sz w:val="28"/>
              <w:szCs w:val="28"/>
              <w:highlight w:val="none"/>
            </w:rPr>
            <w:fldChar w:fldCharType="begin"/>
          </w:r>
          <w:r>
            <w:rPr>
              <w:rFonts w:hint="eastAsia" w:ascii="微软雅黑" w:hAnsi="微软雅黑" w:eastAsia="微软雅黑" w:cs="微软雅黑"/>
              <w:b w:val="0"/>
              <w:bCs w:val="0"/>
              <w:color w:val="auto"/>
              <w:sz w:val="28"/>
              <w:szCs w:val="28"/>
              <w:highlight w:val="none"/>
            </w:rPr>
            <w:instrText xml:space="preserve"> PAGEREF _Toc12769 \h </w:instrText>
          </w:r>
          <w:r>
            <w:rPr>
              <w:rFonts w:hint="eastAsia" w:ascii="微软雅黑" w:hAnsi="微软雅黑" w:eastAsia="微软雅黑" w:cs="微软雅黑"/>
              <w:b w:val="0"/>
              <w:bCs w:val="0"/>
              <w:color w:val="auto"/>
              <w:sz w:val="28"/>
              <w:szCs w:val="28"/>
              <w:highlight w:val="none"/>
            </w:rPr>
            <w:fldChar w:fldCharType="separate"/>
          </w:r>
          <w:r>
            <w:rPr>
              <w:rFonts w:hint="eastAsia" w:ascii="微软雅黑" w:hAnsi="微软雅黑" w:eastAsia="微软雅黑" w:cs="微软雅黑"/>
              <w:b w:val="0"/>
              <w:bCs w:val="0"/>
              <w:color w:val="auto"/>
              <w:sz w:val="28"/>
              <w:szCs w:val="28"/>
              <w:highlight w:val="none"/>
            </w:rPr>
            <w:t>33</w:t>
          </w:r>
          <w:r>
            <w:rPr>
              <w:rFonts w:hint="eastAsia" w:ascii="微软雅黑" w:hAnsi="微软雅黑" w:eastAsia="微软雅黑" w:cs="微软雅黑"/>
              <w:b w:val="0"/>
              <w:bCs w:val="0"/>
              <w:color w:val="auto"/>
              <w:sz w:val="28"/>
              <w:szCs w:val="28"/>
              <w:highlight w:val="none"/>
            </w:rPr>
            <w:fldChar w:fldCharType="end"/>
          </w:r>
          <w:r>
            <w:rPr>
              <w:rFonts w:hint="eastAsia" w:ascii="微软雅黑" w:hAnsi="微软雅黑" w:eastAsia="微软雅黑" w:cs="微软雅黑"/>
              <w:b w:val="0"/>
              <w:bCs w:val="0"/>
              <w:color w:val="auto"/>
              <w:sz w:val="28"/>
              <w:szCs w:val="28"/>
              <w:highlight w:val="none"/>
            </w:rPr>
            <w:fldChar w:fldCharType="end"/>
          </w:r>
        </w:p>
        <w:p>
          <w:pPr>
            <w:keepNext w:val="0"/>
            <w:keepLines w:val="0"/>
            <w:pageBreakBefore w:val="0"/>
            <w:kinsoku/>
            <w:wordWrap/>
            <w:overflowPunct/>
            <w:topLinePunct w:val="0"/>
            <w:autoSpaceDE/>
            <w:autoSpaceDN/>
            <w:bidi w:val="0"/>
            <w:adjustRightInd/>
            <w:snapToGrid/>
            <w:spacing w:line="700" w:lineRule="exact"/>
            <w:textAlignment w:val="auto"/>
            <w:rPr>
              <w:color w:val="auto"/>
              <w:highlight w:val="none"/>
            </w:rPr>
          </w:pPr>
          <w:r>
            <w:rPr>
              <w:rFonts w:hint="eastAsia" w:ascii="微软雅黑" w:hAnsi="微软雅黑" w:eastAsia="微软雅黑" w:cs="微软雅黑"/>
              <w:b w:val="0"/>
              <w:bCs w:val="0"/>
              <w:color w:val="auto"/>
              <w:sz w:val="28"/>
              <w:szCs w:val="28"/>
              <w:highlight w:val="none"/>
            </w:rPr>
            <w:fldChar w:fldCharType="end"/>
          </w:r>
        </w:p>
      </w:sdtContent>
    </w:sdt>
    <w:p>
      <w:pPr>
        <w:pStyle w:val="6"/>
        <w:numPr>
          <w:ilvl w:val="0"/>
          <w:numId w:val="19"/>
        </w:numPr>
        <w:spacing w:before="360"/>
        <w:jc w:val="center"/>
        <w:rPr>
          <w:rFonts w:ascii="微软雅黑" w:hAnsi="微软雅黑" w:cs="微软雅黑"/>
          <w:color w:val="auto"/>
          <w:szCs w:val="21"/>
          <w:highlight w:val="none"/>
        </w:rPr>
      </w:pPr>
      <w:r>
        <w:rPr>
          <w:rFonts w:hint="eastAsia" w:ascii="微软雅黑" w:hAnsi="微软雅黑" w:cs="微软雅黑"/>
          <w:color w:val="auto"/>
          <w:szCs w:val="21"/>
          <w:highlight w:val="none"/>
        </w:rPr>
        <w:br w:type="page"/>
      </w:r>
      <w:bookmarkStart w:id="3" w:name="_Toc17017"/>
      <w:bookmarkStart w:id="4" w:name="_Toc493699289"/>
      <w:bookmarkStart w:id="5" w:name="_Toc100764181"/>
      <w:bookmarkStart w:id="6" w:name="_Toc30973"/>
      <w:r>
        <w:rPr>
          <w:rFonts w:hint="eastAsia" w:ascii="微软雅黑" w:hAnsi="微软雅黑" w:cs="微软雅黑"/>
          <w:color w:val="auto"/>
          <w:szCs w:val="21"/>
          <w:highlight w:val="none"/>
        </w:rPr>
        <w:t>竞争性磋商采购公告</w:t>
      </w:r>
      <w:bookmarkEnd w:id="3"/>
      <w:bookmarkEnd w:id="4"/>
      <w:bookmarkEnd w:id="5"/>
      <w:bookmarkEnd w:id="6"/>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7" w:type="dxa"/>
          </w:tcPr>
          <w:p>
            <w:pPr>
              <w:pStyle w:val="53"/>
              <w:spacing w:before="0" w:beforeAutospacing="0" w:after="0" w:afterAutospacing="0" w:line="46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项目概况                                                    </w:t>
            </w:r>
          </w:p>
          <w:p>
            <w:pPr>
              <w:pStyle w:val="53"/>
              <w:spacing w:before="0" w:beforeAutospacing="0" w:after="0" w:afterAutospacing="0" w:line="460" w:lineRule="exact"/>
              <w:rPr>
                <w:rFonts w:ascii="微软雅黑" w:hAnsi="微软雅黑" w:eastAsia="微软雅黑" w:cs="Arial"/>
                <w:color w:val="auto"/>
                <w:sz w:val="21"/>
                <w:szCs w:val="21"/>
                <w:highlight w:val="none"/>
              </w:rPr>
            </w:pPr>
            <w:r>
              <w:rPr>
                <w:rFonts w:hint="eastAsia" w:ascii="微软雅黑" w:hAnsi="微软雅黑" w:eastAsia="微软雅黑" w:cs="微软雅黑"/>
                <w:color w:val="auto"/>
                <w:sz w:val="21"/>
                <w:szCs w:val="21"/>
                <w:highlight w:val="none"/>
              </w:rPr>
              <w:t>    嘉兴市秀洲区文化和旅游局送戏下乡服务采购项目采购项目的潜在供应商应在https://www.zcygov.cn/获取（下载）采购文件，并于2023年04月17日 09:00（北京时间）前提交（上传）响应文件</w:t>
            </w:r>
            <w:r>
              <w:rPr>
                <w:rFonts w:hint="eastAsia" w:ascii="微软雅黑" w:hAnsi="微软雅黑" w:eastAsia="微软雅黑" w:cs="微软雅黑"/>
                <w:color w:val="auto"/>
                <w:sz w:val="21"/>
                <w:szCs w:val="21"/>
                <w:highlight w:val="none"/>
              </w:rPr>
              <w:t>。</w:t>
            </w:r>
          </w:p>
        </w:tc>
      </w:tr>
    </w:tbl>
    <w:p>
      <w:pPr>
        <w:pStyle w:val="53"/>
        <w:keepNext w:val="0"/>
        <w:keepLines w:val="0"/>
        <w:widowControl/>
        <w:suppressLineNumbers w:val="0"/>
        <w:spacing w:before="255" w:beforeAutospacing="0" w:after="255" w:afterAutospacing="0" w:line="450" w:lineRule="atLeast"/>
        <w:ind w:left="0" w:right="0"/>
        <w:jc w:val="both"/>
        <w:rPr>
          <w:rFonts w:hint="eastAsia" w:ascii="微软雅黑" w:hAnsi="微软雅黑" w:eastAsia="微软雅黑" w:cs="微软雅黑"/>
          <w:sz w:val="21"/>
          <w:szCs w:val="21"/>
        </w:rPr>
      </w:pPr>
      <w:bookmarkStart w:id="7" w:name="_Toc192313099"/>
      <w:bookmarkStart w:id="8" w:name="_Toc493699290"/>
      <w:r>
        <w:rPr>
          <w:rStyle w:val="62"/>
          <w:rFonts w:hint="eastAsia" w:ascii="微软雅黑" w:hAnsi="微软雅黑" w:eastAsia="微软雅黑" w:cs="微软雅黑"/>
          <w:i w:val="0"/>
          <w:iCs w:val="0"/>
          <w:caps w:val="0"/>
          <w:color w:val="000000"/>
          <w:spacing w:val="0"/>
          <w:sz w:val="21"/>
          <w:szCs w:val="21"/>
        </w:rPr>
        <w:t>一、项目基本情况</w:t>
      </w:r>
    </w:p>
    <w:p>
      <w:pPr>
        <w:pStyle w:val="53"/>
        <w:keepNext w:val="0"/>
        <w:keepLines w:val="0"/>
        <w:widowControl/>
        <w:suppressLineNumbers w:val="0"/>
        <w:spacing w:before="75" w:beforeAutospacing="0" w:after="75" w:afterAutospacing="0" w:line="30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000000"/>
          <w:spacing w:val="0"/>
          <w:sz w:val="21"/>
          <w:szCs w:val="21"/>
        </w:rPr>
        <w:t>    项目编号：千秋-JXQQJC（2023）第28号 </w:t>
      </w:r>
    </w:p>
    <w:p>
      <w:pPr>
        <w:pStyle w:val="53"/>
        <w:keepNext w:val="0"/>
        <w:keepLines w:val="0"/>
        <w:widowControl/>
        <w:suppressLineNumbers w:val="0"/>
        <w:spacing w:before="75" w:beforeAutospacing="0" w:after="75" w:afterAutospacing="0" w:line="30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000000"/>
          <w:spacing w:val="0"/>
          <w:sz w:val="21"/>
          <w:szCs w:val="21"/>
        </w:rPr>
        <w:t>    项目名称：嘉兴市秀洲区文化和旅游局送戏下乡服务采购项目 </w:t>
      </w:r>
    </w:p>
    <w:p>
      <w:pPr>
        <w:pStyle w:val="53"/>
        <w:keepNext w:val="0"/>
        <w:keepLines w:val="0"/>
        <w:widowControl/>
        <w:suppressLineNumbers w:val="0"/>
        <w:spacing w:before="75" w:beforeAutospacing="0" w:after="75" w:afterAutospacing="0" w:line="30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000000"/>
          <w:spacing w:val="0"/>
          <w:sz w:val="21"/>
          <w:szCs w:val="21"/>
        </w:rPr>
        <w:t>    采购方式：竞争性磋商 </w:t>
      </w:r>
    </w:p>
    <w:p>
      <w:pPr>
        <w:pStyle w:val="53"/>
        <w:keepNext w:val="0"/>
        <w:keepLines w:val="0"/>
        <w:widowControl/>
        <w:suppressLineNumbers w:val="0"/>
        <w:spacing w:before="75" w:beforeAutospacing="0" w:after="75" w:afterAutospacing="0" w:line="30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000000"/>
          <w:spacing w:val="0"/>
          <w:sz w:val="21"/>
          <w:szCs w:val="21"/>
        </w:rPr>
        <w:t>    预算金额（元）：420000  </w:t>
      </w:r>
    </w:p>
    <w:p>
      <w:pPr>
        <w:pStyle w:val="53"/>
        <w:keepNext w:val="0"/>
        <w:keepLines w:val="0"/>
        <w:widowControl/>
        <w:suppressLineNumbers w:val="0"/>
        <w:spacing w:before="75" w:beforeAutospacing="0" w:after="75" w:afterAutospacing="0" w:line="30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000000"/>
          <w:spacing w:val="0"/>
          <w:sz w:val="21"/>
          <w:szCs w:val="21"/>
        </w:rPr>
        <w:t>    最高限价（元）：105000,105000,105000,105000  </w:t>
      </w:r>
    </w:p>
    <w:p>
      <w:pPr>
        <w:pStyle w:val="53"/>
        <w:keepNext w:val="0"/>
        <w:keepLines w:val="0"/>
        <w:widowControl/>
        <w:suppressLineNumbers w:val="0"/>
        <w:spacing w:before="75" w:beforeAutospacing="0" w:after="75" w:afterAutospacing="0" w:line="30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000000"/>
          <w:spacing w:val="0"/>
          <w:sz w:val="21"/>
          <w:szCs w:val="21"/>
        </w:rPr>
        <w:t>    采购需求：</w:t>
      </w:r>
    </w:p>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            标项一 </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   数量：1           </w:t>
      </w:r>
    </w:p>
    <w:p>
      <w:pPr>
        <w:pStyle w:val="53"/>
        <w:keepNext w:val="0"/>
        <w:keepLines w:val="0"/>
        <w:widowControl/>
        <w:suppressLineNumbers w:val="0"/>
        <w:spacing w:before="75" w:beforeAutospacing="0" w:after="75" w:afterAutospacing="0" w:line="30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000000"/>
          <w:spacing w:val="0"/>
          <w:sz w:val="21"/>
          <w:szCs w:val="21"/>
        </w:rPr>
        <w:t>   预算金额（元）：105000 </w:t>
      </w:r>
    </w:p>
    <w:p>
      <w:pPr>
        <w:pStyle w:val="53"/>
        <w:keepNext w:val="0"/>
        <w:keepLines w:val="0"/>
        <w:widowControl/>
        <w:suppressLineNumbers w:val="0"/>
        <w:spacing w:before="75" w:beforeAutospacing="0" w:after="75" w:afterAutospacing="0" w:line="30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000000"/>
          <w:spacing w:val="0"/>
          <w:sz w:val="21"/>
          <w:szCs w:val="21"/>
        </w:rPr>
        <w:t>   单位：项 </w:t>
      </w:r>
    </w:p>
    <w:p>
      <w:pPr>
        <w:pStyle w:val="53"/>
        <w:keepNext w:val="0"/>
        <w:keepLines w:val="0"/>
        <w:widowControl/>
        <w:suppressLineNumbers w:val="0"/>
        <w:spacing w:before="75" w:beforeAutospacing="0" w:after="75" w:afterAutospacing="0" w:line="30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000000"/>
          <w:spacing w:val="0"/>
          <w:sz w:val="21"/>
          <w:szCs w:val="21"/>
        </w:rPr>
        <w:t>   简要规格描述：嘉兴市秀洲区文化和旅游局送戏下乡服务 </w:t>
      </w:r>
    </w:p>
    <w:p>
      <w:pPr>
        <w:pStyle w:val="53"/>
        <w:keepNext w:val="0"/>
        <w:keepLines w:val="0"/>
        <w:widowControl/>
        <w:suppressLineNumbers w:val="0"/>
        <w:spacing w:before="75" w:beforeAutospacing="0" w:after="75" w:afterAutospacing="0" w:line="30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000000"/>
          <w:spacing w:val="0"/>
          <w:sz w:val="21"/>
          <w:szCs w:val="21"/>
        </w:rPr>
        <w:t>   备注： </w:t>
      </w:r>
    </w:p>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            标项二 </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   数量：1           </w:t>
      </w:r>
    </w:p>
    <w:p>
      <w:pPr>
        <w:pStyle w:val="53"/>
        <w:keepNext w:val="0"/>
        <w:keepLines w:val="0"/>
        <w:widowControl/>
        <w:suppressLineNumbers w:val="0"/>
        <w:spacing w:before="75" w:beforeAutospacing="0" w:after="75" w:afterAutospacing="0" w:line="30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000000"/>
          <w:spacing w:val="0"/>
          <w:sz w:val="21"/>
          <w:szCs w:val="21"/>
        </w:rPr>
        <w:t>   预算金额（元）：105000 </w:t>
      </w:r>
    </w:p>
    <w:p>
      <w:pPr>
        <w:pStyle w:val="53"/>
        <w:keepNext w:val="0"/>
        <w:keepLines w:val="0"/>
        <w:widowControl/>
        <w:suppressLineNumbers w:val="0"/>
        <w:spacing w:before="75" w:beforeAutospacing="0" w:after="75" w:afterAutospacing="0" w:line="30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000000"/>
          <w:spacing w:val="0"/>
          <w:sz w:val="21"/>
          <w:szCs w:val="21"/>
        </w:rPr>
        <w:t>   单位：项 </w:t>
      </w:r>
    </w:p>
    <w:p>
      <w:pPr>
        <w:pStyle w:val="53"/>
        <w:keepNext w:val="0"/>
        <w:keepLines w:val="0"/>
        <w:widowControl/>
        <w:suppressLineNumbers w:val="0"/>
        <w:spacing w:before="75" w:beforeAutospacing="0" w:after="75" w:afterAutospacing="0" w:line="30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000000"/>
          <w:spacing w:val="0"/>
          <w:sz w:val="21"/>
          <w:szCs w:val="21"/>
        </w:rPr>
        <w:t>   简要规格描述：嘉兴市秀洲区文化和旅游局送戏下乡服务 </w:t>
      </w:r>
    </w:p>
    <w:p>
      <w:pPr>
        <w:pStyle w:val="53"/>
        <w:keepNext w:val="0"/>
        <w:keepLines w:val="0"/>
        <w:widowControl/>
        <w:suppressLineNumbers w:val="0"/>
        <w:spacing w:before="75" w:beforeAutospacing="0" w:after="75" w:afterAutospacing="0" w:line="30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000000"/>
          <w:spacing w:val="0"/>
          <w:sz w:val="21"/>
          <w:szCs w:val="21"/>
        </w:rPr>
        <w:t>   备注： </w:t>
      </w:r>
    </w:p>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            标项三 </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   数量：1           </w:t>
      </w:r>
    </w:p>
    <w:p>
      <w:pPr>
        <w:pStyle w:val="53"/>
        <w:keepNext w:val="0"/>
        <w:keepLines w:val="0"/>
        <w:widowControl/>
        <w:suppressLineNumbers w:val="0"/>
        <w:spacing w:before="75" w:beforeAutospacing="0" w:after="75" w:afterAutospacing="0" w:line="30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000000"/>
          <w:spacing w:val="0"/>
          <w:sz w:val="21"/>
          <w:szCs w:val="21"/>
        </w:rPr>
        <w:t>   预算金额（元）：105000 </w:t>
      </w:r>
    </w:p>
    <w:p>
      <w:pPr>
        <w:pStyle w:val="53"/>
        <w:keepNext w:val="0"/>
        <w:keepLines w:val="0"/>
        <w:widowControl/>
        <w:suppressLineNumbers w:val="0"/>
        <w:spacing w:before="75" w:beforeAutospacing="0" w:after="75" w:afterAutospacing="0" w:line="30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000000"/>
          <w:spacing w:val="0"/>
          <w:sz w:val="21"/>
          <w:szCs w:val="21"/>
        </w:rPr>
        <w:t>   单位：项 </w:t>
      </w:r>
    </w:p>
    <w:p>
      <w:pPr>
        <w:pStyle w:val="53"/>
        <w:keepNext w:val="0"/>
        <w:keepLines w:val="0"/>
        <w:widowControl/>
        <w:suppressLineNumbers w:val="0"/>
        <w:spacing w:before="75" w:beforeAutospacing="0" w:after="75" w:afterAutospacing="0" w:line="30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000000"/>
          <w:spacing w:val="0"/>
          <w:sz w:val="21"/>
          <w:szCs w:val="21"/>
        </w:rPr>
        <w:t>   简要规格描述：嘉兴市秀洲区文化和旅游局送戏下乡服务 </w:t>
      </w:r>
    </w:p>
    <w:p>
      <w:pPr>
        <w:pStyle w:val="53"/>
        <w:keepNext w:val="0"/>
        <w:keepLines w:val="0"/>
        <w:widowControl/>
        <w:suppressLineNumbers w:val="0"/>
        <w:spacing w:before="75" w:beforeAutospacing="0" w:after="75" w:afterAutospacing="0" w:line="30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000000"/>
          <w:spacing w:val="0"/>
          <w:sz w:val="21"/>
          <w:szCs w:val="21"/>
        </w:rPr>
        <w:t>   备注： </w:t>
      </w:r>
    </w:p>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            标项四 </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   数量：1           </w:t>
      </w:r>
    </w:p>
    <w:p>
      <w:pPr>
        <w:pStyle w:val="53"/>
        <w:keepNext w:val="0"/>
        <w:keepLines w:val="0"/>
        <w:widowControl/>
        <w:suppressLineNumbers w:val="0"/>
        <w:spacing w:before="75" w:beforeAutospacing="0" w:after="75" w:afterAutospacing="0" w:line="30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000000"/>
          <w:spacing w:val="0"/>
          <w:sz w:val="21"/>
          <w:szCs w:val="21"/>
        </w:rPr>
        <w:t>   预算金额（元）：105000 </w:t>
      </w:r>
    </w:p>
    <w:p>
      <w:pPr>
        <w:pStyle w:val="53"/>
        <w:keepNext w:val="0"/>
        <w:keepLines w:val="0"/>
        <w:widowControl/>
        <w:suppressLineNumbers w:val="0"/>
        <w:spacing w:before="75" w:beforeAutospacing="0" w:after="75" w:afterAutospacing="0" w:line="30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000000"/>
          <w:spacing w:val="0"/>
          <w:sz w:val="21"/>
          <w:szCs w:val="21"/>
        </w:rPr>
        <w:t>   单位：项 </w:t>
      </w:r>
    </w:p>
    <w:p>
      <w:pPr>
        <w:pStyle w:val="53"/>
        <w:keepNext w:val="0"/>
        <w:keepLines w:val="0"/>
        <w:widowControl/>
        <w:suppressLineNumbers w:val="0"/>
        <w:spacing w:before="75" w:beforeAutospacing="0" w:after="75" w:afterAutospacing="0" w:line="30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000000"/>
          <w:spacing w:val="0"/>
          <w:sz w:val="21"/>
          <w:szCs w:val="21"/>
        </w:rPr>
        <w:t>   简要规格描述：嘉兴市秀洲区文化和旅游局送戏下乡服务 </w:t>
      </w:r>
    </w:p>
    <w:p>
      <w:pPr>
        <w:pStyle w:val="53"/>
        <w:keepNext w:val="0"/>
        <w:keepLines w:val="0"/>
        <w:widowControl/>
        <w:suppressLineNumbers w:val="0"/>
        <w:spacing w:before="75" w:beforeAutospacing="0" w:after="75" w:afterAutospacing="0" w:line="30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000000"/>
          <w:spacing w:val="0"/>
          <w:sz w:val="21"/>
          <w:szCs w:val="21"/>
        </w:rPr>
        <w:t>   备注： </w:t>
      </w:r>
    </w:p>
    <w:p>
      <w:pPr>
        <w:pStyle w:val="53"/>
        <w:keepNext w:val="0"/>
        <w:keepLines w:val="0"/>
        <w:widowControl/>
        <w:suppressLineNumbers w:val="0"/>
        <w:spacing w:before="75" w:beforeAutospacing="0" w:after="75" w:afterAutospacing="0" w:line="30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000000"/>
          <w:spacing w:val="0"/>
          <w:sz w:val="21"/>
          <w:szCs w:val="21"/>
        </w:rPr>
        <w:t>    合同履约期限：标项 1、2、3、4，详见竞争性磋商文件  </w:t>
      </w:r>
    </w:p>
    <w:p>
      <w:pPr>
        <w:pStyle w:val="53"/>
        <w:keepNext w:val="0"/>
        <w:keepLines w:val="0"/>
        <w:widowControl/>
        <w:suppressLineNumbers w:val="0"/>
        <w:spacing w:before="75" w:beforeAutospacing="0" w:after="75" w:afterAutospacing="0" w:line="30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000000"/>
          <w:spacing w:val="0"/>
          <w:sz w:val="21"/>
          <w:szCs w:val="21"/>
        </w:rPr>
        <w:t>    本项目（否）接受联合体投标。  </w:t>
      </w:r>
    </w:p>
    <w:p>
      <w:pPr>
        <w:pStyle w:val="53"/>
        <w:keepNext w:val="0"/>
        <w:keepLines w:val="0"/>
        <w:widowControl/>
        <w:suppressLineNumbers w:val="0"/>
        <w:spacing w:before="255" w:beforeAutospacing="0" w:after="255" w:afterAutospacing="0" w:line="450" w:lineRule="atLeast"/>
        <w:ind w:left="0" w:right="0"/>
        <w:jc w:val="both"/>
        <w:rPr>
          <w:rFonts w:hint="eastAsia" w:ascii="微软雅黑" w:hAnsi="微软雅黑" w:eastAsia="微软雅黑" w:cs="微软雅黑"/>
          <w:sz w:val="21"/>
          <w:szCs w:val="21"/>
        </w:rPr>
      </w:pPr>
      <w:r>
        <w:rPr>
          <w:rStyle w:val="62"/>
          <w:rFonts w:hint="eastAsia" w:ascii="微软雅黑" w:hAnsi="微软雅黑" w:eastAsia="微软雅黑" w:cs="微软雅黑"/>
          <w:i w:val="0"/>
          <w:iCs w:val="0"/>
          <w:caps w:val="0"/>
          <w:color w:val="000000"/>
          <w:spacing w:val="0"/>
          <w:sz w:val="21"/>
          <w:szCs w:val="21"/>
        </w:rPr>
        <w:t>二、申请人的资格要求：</w:t>
      </w:r>
    </w:p>
    <w:p>
      <w:pPr>
        <w:pStyle w:val="53"/>
        <w:keepNext w:val="0"/>
        <w:keepLines w:val="0"/>
        <w:widowControl/>
        <w:suppressLineNumbers w:val="0"/>
        <w:spacing w:before="75" w:beforeAutospacing="0" w:after="75" w:afterAutospacing="0" w:line="30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000000"/>
          <w:spacing w:val="0"/>
          <w:sz w:val="21"/>
          <w:szCs w:val="21"/>
        </w:rPr>
        <w:t>    1.满足《中华人民共和国政府采购法》第二十二条规定；未被“信用中国”（www.creditchina.gov.cn)、中国政府采购网（www.ccgp.gov.cn）列入失信被执行人、重大税收违法案件当事人名单、政府采购严重违法失信行为记录名单。</w:t>
      </w:r>
    </w:p>
    <w:p>
      <w:pPr>
        <w:pStyle w:val="53"/>
        <w:keepNext w:val="0"/>
        <w:keepLines w:val="0"/>
        <w:widowControl/>
        <w:suppressLineNumbers w:val="0"/>
        <w:spacing w:before="75" w:beforeAutospacing="0" w:after="75" w:afterAutospacing="0" w:line="30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000000"/>
          <w:spacing w:val="0"/>
          <w:sz w:val="21"/>
          <w:szCs w:val="21"/>
        </w:rPr>
        <w:t>    2.落实政府采购政策需满足的资格要求：标项1、2、3、4：根据《政府采购促进中小企业发展管理办》（财库 ﹝2020﹞46号）的规定：本项目为专门面向中小企业,100%预留给中小微企业的采购项目，供应商应为中小微企业（监狱企业及残疾人福利性单位视同小型、微型企业）。 </w:t>
      </w:r>
    </w:p>
    <w:p>
      <w:pPr>
        <w:pStyle w:val="53"/>
        <w:keepNext w:val="0"/>
        <w:keepLines w:val="0"/>
        <w:widowControl/>
        <w:suppressLineNumbers w:val="0"/>
        <w:spacing w:before="75" w:beforeAutospacing="0" w:after="75" w:afterAutospacing="0" w:line="30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000000"/>
          <w:spacing w:val="0"/>
          <w:sz w:val="21"/>
          <w:szCs w:val="21"/>
        </w:rPr>
        <w:t>    3.本项目的特定资格要求：无 </w:t>
      </w:r>
    </w:p>
    <w:p>
      <w:pPr>
        <w:pStyle w:val="53"/>
        <w:keepNext w:val="0"/>
        <w:keepLines w:val="0"/>
        <w:widowControl/>
        <w:suppressLineNumbers w:val="0"/>
        <w:spacing w:before="255" w:beforeAutospacing="0" w:after="255" w:afterAutospacing="0" w:line="450" w:lineRule="atLeast"/>
        <w:ind w:left="0" w:right="0"/>
        <w:jc w:val="both"/>
        <w:rPr>
          <w:rFonts w:hint="eastAsia" w:ascii="微软雅黑" w:hAnsi="微软雅黑" w:eastAsia="微软雅黑" w:cs="微软雅黑"/>
          <w:sz w:val="21"/>
          <w:szCs w:val="21"/>
        </w:rPr>
      </w:pPr>
      <w:r>
        <w:rPr>
          <w:rStyle w:val="62"/>
          <w:rFonts w:hint="eastAsia" w:ascii="微软雅黑" w:hAnsi="微软雅黑" w:eastAsia="微软雅黑" w:cs="微软雅黑"/>
          <w:i w:val="0"/>
          <w:iCs w:val="0"/>
          <w:caps w:val="0"/>
          <w:color w:val="000000"/>
          <w:spacing w:val="0"/>
          <w:sz w:val="21"/>
          <w:szCs w:val="21"/>
        </w:rPr>
        <w:t>三、获取（下载）采购文件</w:t>
      </w:r>
    </w:p>
    <w:p>
      <w:pPr>
        <w:pStyle w:val="53"/>
        <w:keepNext w:val="0"/>
        <w:keepLines w:val="0"/>
        <w:widowControl/>
        <w:suppressLineNumbers w:val="0"/>
        <w:spacing w:before="75" w:beforeAutospacing="0" w:after="75" w:afterAutospacing="0" w:line="30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000000"/>
          <w:spacing w:val="0"/>
          <w:sz w:val="21"/>
          <w:szCs w:val="21"/>
        </w:rPr>
        <w:t>    </w:t>
      </w:r>
      <w:r>
        <w:rPr>
          <w:rFonts w:hint="eastAsia" w:ascii="微软雅黑" w:hAnsi="微软雅黑" w:eastAsia="微软雅黑" w:cs="微软雅黑"/>
          <w:i w:val="0"/>
          <w:iCs w:val="0"/>
          <w:caps w:val="0"/>
          <w:color w:val="000000"/>
          <w:spacing w:val="0"/>
          <w:sz w:val="21"/>
          <w:szCs w:val="21"/>
          <w:u w:val="none"/>
        </w:rPr>
        <w:t>时间：/至2023年04月17日，每天上午00:00至12:00，下午12:00至23:59（北京时间，线上获取法定节假日均可，线下获取文件法定节假日除外）</w:t>
      </w:r>
    </w:p>
    <w:p>
      <w:pPr>
        <w:pStyle w:val="53"/>
        <w:keepNext w:val="0"/>
        <w:keepLines w:val="0"/>
        <w:widowControl/>
        <w:suppressLineNumbers w:val="0"/>
        <w:spacing w:before="75" w:beforeAutospacing="0" w:after="75" w:afterAutospacing="0" w:line="30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000000"/>
          <w:spacing w:val="0"/>
          <w:sz w:val="21"/>
          <w:szCs w:val="21"/>
        </w:rPr>
        <w:t>    地点（网址）：https://www.zcygov.cn/ </w:t>
      </w:r>
    </w:p>
    <w:p>
      <w:pPr>
        <w:pStyle w:val="53"/>
        <w:keepNext w:val="0"/>
        <w:keepLines w:val="0"/>
        <w:widowControl/>
        <w:suppressLineNumbers w:val="0"/>
        <w:spacing w:before="75" w:beforeAutospacing="0" w:after="75" w:afterAutospacing="0" w:line="30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000000"/>
          <w:spacing w:val="0"/>
          <w:sz w:val="21"/>
          <w:szCs w:val="21"/>
        </w:rPr>
        <w:t>    方式：供应商登录政采云平台https://www.zcygov.cn/在线申请获取采购文件（进入“项目采购”应用，在获取采购文件菜单中选择项目，申请获取采购文件） </w:t>
      </w:r>
    </w:p>
    <w:p>
      <w:pPr>
        <w:pStyle w:val="53"/>
        <w:keepNext w:val="0"/>
        <w:keepLines w:val="0"/>
        <w:widowControl/>
        <w:suppressLineNumbers w:val="0"/>
        <w:spacing w:before="75" w:beforeAutospacing="0" w:after="75" w:afterAutospacing="0" w:line="30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000000"/>
          <w:spacing w:val="0"/>
          <w:sz w:val="21"/>
          <w:szCs w:val="21"/>
        </w:rPr>
        <w:t>    售价（元）：0 </w:t>
      </w:r>
    </w:p>
    <w:p>
      <w:pPr>
        <w:pStyle w:val="53"/>
        <w:keepNext w:val="0"/>
        <w:keepLines w:val="0"/>
        <w:widowControl/>
        <w:suppressLineNumbers w:val="0"/>
        <w:spacing w:before="255" w:beforeAutospacing="0" w:after="255" w:afterAutospacing="0" w:line="450" w:lineRule="atLeast"/>
        <w:ind w:left="0" w:right="0"/>
        <w:jc w:val="both"/>
        <w:rPr>
          <w:rFonts w:hint="eastAsia" w:ascii="微软雅黑" w:hAnsi="微软雅黑" w:eastAsia="微软雅黑" w:cs="微软雅黑"/>
          <w:sz w:val="21"/>
          <w:szCs w:val="21"/>
        </w:rPr>
      </w:pPr>
      <w:r>
        <w:rPr>
          <w:rStyle w:val="62"/>
          <w:rFonts w:hint="eastAsia" w:ascii="微软雅黑" w:hAnsi="微软雅黑" w:eastAsia="微软雅黑" w:cs="微软雅黑"/>
          <w:i w:val="0"/>
          <w:iCs w:val="0"/>
          <w:caps w:val="0"/>
          <w:color w:val="000000"/>
          <w:spacing w:val="0"/>
          <w:sz w:val="21"/>
          <w:szCs w:val="21"/>
        </w:rPr>
        <w:t>四、响应文件提交（上传）</w:t>
      </w:r>
      <w:r>
        <w:rPr>
          <w:rFonts w:hint="eastAsia" w:ascii="微软雅黑" w:hAnsi="微软雅黑" w:eastAsia="微软雅黑" w:cs="微软雅黑"/>
          <w:i w:val="0"/>
          <w:iCs w:val="0"/>
          <w:caps w:val="0"/>
          <w:color w:val="000000"/>
          <w:spacing w:val="0"/>
          <w:sz w:val="21"/>
          <w:szCs w:val="21"/>
        </w:rPr>
        <w:t> </w:t>
      </w:r>
    </w:p>
    <w:p>
      <w:pPr>
        <w:pStyle w:val="53"/>
        <w:keepNext w:val="0"/>
        <w:keepLines w:val="0"/>
        <w:widowControl/>
        <w:suppressLineNumbers w:val="0"/>
        <w:spacing w:before="75" w:beforeAutospacing="0" w:after="75" w:afterAutospacing="0" w:line="30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000000"/>
          <w:spacing w:val="0"/>
          <w:sz w:val="21"/>
          <w:szCs w:val="21"/>
        </w:rPr>
        <w:t>    截止时间：2023年04月17日 09:00（北京时间）</w:t>
      </w:r>
    </w:p>
    <w:p>
      <w:pPr>
        <w:pStyle w:val="53"/>
        <w:keepNext w:val="0"/>
        <w:keepLines w:val="0"/>
        <w:widowControl/>
        <w:suppressLineNumbers w:val="0"/>
        <w:spacing w:before="75" w:beforeAutospacing="0" w:after="75" w:afterAutospacing="0" w:line="30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000000"/>
          <w:spacing w:val="0"/>
          <w:sz w:val="21"/>
          <w:szCs w:val="21"/>
        </w:rPr>
        <w:t>    地点（网址）：“政采云”平台电子投标 </w:t>
      </w:r>
    </w:p>
    <w:p>
      <w:pPr>
        <w:pStyle w:val="53"/>
        <w:keepNext w:val="0"/>
        <w:keepLines w:val="0"/>
        <w:widowControl/>
        <w:suppressLineNumbers w:val="0"/>
        <w:spacing w:before="255" w:beforeAutospacing="0" w:after="255" w:afterAutospacing="0" w:line="450" w:lineRule="atLeast"/>
        <w:ind w:left="0" w:right="0"/>
        <w:jc w:val="both"/>
        <w:rPr>
          <w:rFonts w:hint="eastAsia" w:ascii="微软雅黑" w:hAnsi="微软雅黑" w:eastAsia="微软雅黑" w:cs="微软雅黑"/>
          <w:sz w:val="21"/>
          <w:szCs w:val="21"/>
        </w:rPr>
      </w:pPr>
      <w:r>
        <w:rPr>
          <w:rStyle w:val="62"/>
          <w:rFonts w:hint="eastAsia" w:ascii="微软雅黑" w:hAnsi="微软雅黑" w:eastAsia="微软雅黑" w:cs="微软雅黑"/>
          <w:i w:val="0"/>
          <w:iCs w:val="0"/>
          <w:caps w:val="0"/>
          <w:color w:val="000000"/>
          <w:spacing w:val="0"/>
          <w:sz w:val="21"/>
          <w:szCs w:val="21"/>
        </w:rPr>
        <w:t>五、响应文件开启</w:t>
      </w:r>
      <w:r>
        <w:rPr>
          <w:rFonts w:hint="eastAsia" w:ascii="微软雅黑" w:hAnsi="微软雅黑" w:eastAsia="微软雅黑" w:cs="微软雅黑"/>
          <w:i w:val="0"/>
          <w:iCs w:val="0"/>
          <w:caps w:val="0"/>
          <w:color w:val="000000"/>
          <w:spacing w:val="0"/>
          <w:sz w:val="21"/>
          <w:szCs w:val="21"/>
        </w:rPr>
        <w:t> </w:t>
      </w:r>
    </w:p>
    <w:p>
      <w:pPr>
        <w:pStyle w:val="53"/>
        <w:keepNext w:val="0"/>
        <w:keepLines w:val="0"/>
        <w:widowControl/>
        <w:suppressLineNumbers w:val="0"/>
        <w:spacing w:before="75" w:beforeAutospacing="0" w:after="75" w:afterAutospacing="0" w:line="30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000000"/>
          <w:spacing w:val="0"/>
          <w:sz w:val="21"/>
          <w:szCs w:val="21"/>
        </w:rPr>
        <w:t>    开启时间：2023年04月17日 09:00 （北京时间）</w:t>
      </w:r>
    </w:p>
    <w:p>
      <w:pPr>
        <w:pStyle w:val="53"/>
        <w:keepNext w:val="0"/>
        <w:keepLines w:val="0"/>
        <w:widowControl/>
        <w:suppressLineNumbers w:val="0"/>
        <w:spacing w:before="75" w:beforeAutospacing="0" w:after="75" w:afterAutospacing="0" w:line="30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000000"/>
          <w:spacing w:val="0"/>
          <w:sz w:val="21"/>
          <w:szCs w:val="21"/>
        </w:rPr>
        <w:t>    地点（网址）：嘉兴市千秋工程咨询有限公司三号会议室嘉兴市秀洲区新平路299号中禾广场23楼 </w:t>
      </w:r>
    </w:p>
    <w:p>
      <w:pPr>
        <w:pStyle w:val="53"/>
        <w:keepNext w:val="0"/>
        <w:keepLines w:val="0"/>
        <w:widowControl/>
        <w:suppressLineNumbers w:val="0"/>
        <w:spacing w:before="255" w:beforeAutospacing="0" w:after="255" w:afterAutospacing="0" w:line="450" w:lineRule="atLeast"/>
        <w:ind w:left="0" w:right="0"/>
        <w:jc w:val="both"/>
        <w:rPr>
          <w:rFonts w:hint="eastAsia" w:ascii="微软雅黑" w:hAnsi="微软雅黑" w:eastAsia="微软雅黑" w:cs="微软雅黑"/>
          <w:sz w:val="21"/>
          <w:szCs w:val="21"/>
        </w:rPr>
      </w:pPr>
      <w:r>
        <w:rPr>
          <w:rStyle w:val="62"/>
          <w:rFonts w:hint="eastAsia" w:ascii="微软雅黑" w:hAnsi="微软雅黑" w:eastAsia="微软雅黑" w:cs="微软雅黑"/>
          <w:i w:val="0"/>
          <w:iCs w:val="0"/>
          <w:caps w:val="0"/>
          <w:color w:val="000000"/>
          <w:spacing w:val="0"/>
          <w:sz w:val="21"/>
          <w:szCs w:val="21"/>
        </w:rPr>
        <w:t>六、公告期限</w:t>
      </w:r>
    </w:p>
    <w:p>
      <w:pPr>
        <w:pStyle w:val="53"/>
        <w:keepNext w:val="0"/>
        <w:keepLines w:val="0"/>
        <w:widowControl/>
        <w:suppressLineNumbers w:val="0"/>
        <w:spacing w:before="75" w:beforeAutospacing="0" w:after="75" w:afterAutospacing="0"/>
        <w:ind w:left="0" w:right="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000000"/>
          <w:spacing w:val="0"/>
          <w:sz w:val="21"/>
          <w:szCs w:val="21"/>
        </w:rPr>
        <w:t>    自本公告发布之日起3个工作日。</w:t>
      </w:r>
    </w:p>
    <w:p>
      <w:pPr>
        <w:pStyle w:val="53"/>
        <w:keepNext w:val="0"/>
        <w:keepLines w:val="0"/>
        <w:widowControl/>
        <w:suppressLineNumbers w:val="0"/>
        <w:spacing w:before="255" w:beforeAutospacing="0" w:after="255" w:afterAutospacing="0" w:line="450" w:lineRule="atLeast"/>
        <w:ind w:left="0" w:right="0"/>
        <w:jc w:val="both"/>
        <w:rPr>
          <w:rFonts w:hint="eastAsia" w:ascii="微软雅黑" w:hAnsi="微软雅黑" w:eastAsia="微软雅黑" w:cs="微软雅黑"/>
          <w:sz w:val="21"/>
          <w:szCs w:val="21"/>
        </w:rPr>
      </w:pPr>
      <w:r>
        <w:rPr>
          <w:rStyle w:val="62"/>
          <w:rFonts w:hint="eastAsia" w:ascii="微软雅黑" w:hAnsi="微软雅黑" w:eastAsia="微软雅黑" w:cs="微软雅黑"/>
          <w:i w:val="0"/>
          <w:iCs w:val="0"/>
          <w:caps w:val="0"/>
          <w:color w:val="000000"/>
          <w:spacing w:val="0"/>
          <w:sz w:val="21"/>
          <w:szCs w:val="21"/>
        </w:rPr>
        <w:t>七、其他补充事宜</w:t>
      </w:r>
      <w:r>
        <w:rPr>
          <w:rFonts w:hint="eastAsia" w:ascii="微软雅黑" w:hAnsi="微软雅黑" w:eastAsia="微软雅黑" w:cs="微软雅黑"/>
          <w:i w:val="0"/>
          <w:iCs w:val="0"/>
          <w:caps w:val="0"/>
          <w:color w:val="000000"/>
          <w:spacing w:val="0"/>
          <w:sz w:val="21"/>
          <w:szCs w:val="21"/>
        </w:rPr>
        <w:t> </w:t>
      </w:r>
    </w:p>
    <w:p>
      <w:pPr>
        <w:pStyle w:val="53"/>
        <w:keepNext w:val="0"/>
        <w:keepLines w:val="0"/>
        <w:widowControl/>
        <w:suppressLineNumbers w:val="0"/>
        <w:spacing w:before="75" w:beforeAutospacing="0" w:after="75" w:afterAutospacing="0" w:line="315"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000000"/>
          <w:spacing w:val="0"/>
          <w:sz w:val="21"/>
          <w:szCs w:val="21"/>
        </w:rPr>
        <w:t>    1.供应商认为采购文件使自己的权益受到损害的，可以自获取采购文件之日或者采购文件公告期限届满之日（公告期限届满后获取采购文件的，以公告期限届满之日为准）起7个工作日内，</w:t>
      </w:r>
      <w:r>
        <w:rPr>
          <w:rFonts w:hint="eastAsia" w:ascii="微软雅黑" w:hAnsi="微软雅黑" w:eastAsia="微软雅黑" w:cs="微软雅黑"/>
          <w:i w:val="0"/>
          <w:iCs w:val="0"/>
          <w:caps w:val="0"/>
          <w:color w:val="000000"/>
          <w:spacing w:val="0"/>
          <w:sz w:val="21"/>
          <w:szCs w:val="21"/>
          <w:shd w:val="clear" w:fill="FFFFFF"/>
        </w:rPr>
        <w:t>对采购文件需求的以书面形式向采购人提出质疑，对其他内容的以书面形式向采购人和采购代理机构提出质疑。</w:t>
      </w:r>
      <w:r>
        <w:rPr>
          <w:rFonts w:hint="eastAsia" w:ascii="微软雅黑" w:hAnsi="微软雅黑" w:eastAsia="微软雅黑" w:cs="微软雅黑"/>
          <w:i w:val="0"/>
          <w:iCs w:val="0"/>
          <w:caps w:val="0"/>
          <w:color w:val="000000"/>
          <w:spacing w:val="0"/>
          <w:sz w:val="21"/>
          <w:szCs w:val="21"/>
        </w:rPr>
        <w:t>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2.其他事项：为支持和促进中小企业发展，进一步发挥政府采购政策功能，鼓励供应商使用保险/保函替代保证金及进行预付款增信，支持供应商基于中标项目进行应收账款融资。中标供应商若想了解或使用相关服务，可通过政采云平台或其他渠道进行咨询。政采云金融热线400-903-9583，也可登录政采云平台查看相应政策文件及各相关服务方案∶ https://jinrong.zcygov.cn/finance-service/#/home。  </w:t>
      </w:r>
    </w:p>
    <w:p>
      <w:pPr>
        <w:pStyle w:val="53"/>
        <w:keepNext w:val="0"/>
        <w:keepLines w:val="0"/>
        <w:widowControl/>
        <w:suppressLineNumbers w:val="0"/>
        <w:spacing w:before="255" w:beforeAutospacing="0" w:after="255" w:afterAutospacing="0" w:line="480" w:lineRule="atLeast"/>
        <w:ind w:left="0" w:right="0"/>
        <w:jc w:val="both"/>
        <w:rPr>
          <w:rFonts w:hint="eastAsia" w:ascii="微软雅黑" w:hAnsi="微软雅黑" w:eastAsia="微软雅黑" w:cs="微软雅黑"/>
          <w:sz w:val="21"/>
          <w:szCs w:val="21"/>
        </w:rPr>
      </w:pPr>
      <w:r>
        <w:rPr>
          <w:rStyle w:val="62"/>
          <w:rFonts w:hint="eastAsia" w:ascii="微软雅黑" w:hAnsi="微软雅黑" w:eastAsia="微软雅黑" w:cs="微软雅黑"/>
          <w:i w:val="0"/>
          <w:iCs w:val="0"/>
          <w:caps w:val="0"/>
          <w:color w:val="000000"/>
          <w:spacing w:val="0"/>
          <w:sz w:val="21"/>
          <w:szCs w:val="21"/>
        </w:rPr>
        <w:t>八、凡对本次招标提出询问、质疑、投诉，请按以下方式联系</w:t>
      </w:r>
    </w:p>
    <w:p>
      <w:pPr>
        <w:pStyle w:val="53"/>
        <w:keepNext w:val="0"/>
        <w:keepLines w:val="0"/>
        <w:widowControl/>
        <w:suppressLineNumbers w:val="0"/>
        <w:spacing w:before="75" w:beforeAutospacing="0" w:after="75" w:afterAutospacing="0" w:line="240" w:lineRule="auto"/>
        <w:ind w:left="0" w:right="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000000"/>
          <w:spacing w:val="0"/>
          <w:sz w:val="21"/>
          <w:szCs w:val="21"/>
        </w:rPr>
        <w:t>    1.采购人信息</w:t>
      </w:r>
    </w:p>
    <w:p>
      <w:pPr>
        <w:pStyle w:val="53"/>
        <w:keepNext w:val="0"/>
        <w:keepLines w:val="0"/>
        <w:widowControl/>
        <w:suppressLineNumbers w:val="0"/>
        <w:spacing w:before="75" w:beforeAutospacing="0" w:after="75" w:afterAutospacing="0" w:line="240" w:lineRule="auto"/>
        <w:ind w:left="0" w:right="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000000"/>
          <w:spacing w:val="0"/>
          <w:sz w:val="21"/>
          <w:szCs w:val="21"/>
        </w:rPr>
        <w:t>    名    称：嘉兴市秀洲区文化和旅游局 </w:t>
      </w:r>
    </w:p>
    <w:p>
      <w:pPr>
        <w:pStyle w:val="53"/>
        <w:keepNext w:val="0"/>
        <w:keepLines w:val="0"/>
        <w:widowControl/>
        <w:suppressLineNumbers w:val="0"/>
        <w:spacing w:before="75" w:beforeAutospacing="0" w:after="75" w:afterAutospacing="0" w:line="240" w:lineRule="auto"/>
        <w:ind w:left="0" w:right="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000000"/>
          <w:spacing w:val="0"/>
          <w:sz w:val="21"/>
          <w:szCs w:val="21"/>
        </w:rPr>
        <w:t>    地    址：秀洲区文化和旅游局 </w:t>
      </w:r>
    </w:p>
    <w:p>
      <w:pPr>
        <w:pStyle w:val="53"/>
        <w:keepNext w:val="0"/>
        <w:keepLines w:val="0"/>
        <w:widowControl/>
        <w:suppressLineNumbers w:val="0"/>
        <w:spacing w:before="75" w:beforeAutospacing="0" w:after="75" w:afterAutospacing="0" w:line="240" w:lineRule="auto"/>
        <w:ind w:left="0" w:right="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000000"/>
          <w:spacing w:val="0"/>
          <w:sz w:val="21"/>
          <w:szCs w:val="21"/>
        </w:rPr>
        <w:t>    传    真： </w:t>
      </w:r>
    </w:p>
    <w:p>
      <w:pPr>
        <w:pStyle w:val="53"/>
        <w:keepNext w:val="0"/>
        <w:keepLines w:val="0"/>
        <w:widowControl/>
        <w:suppressLineNumbers w:val="0"/>
        <w:spacing w:before="75" w:beforeAutospacing="0" w:after="75" w:afterAutospacing="0" w:line="240" w:lineRule="auto"/>
        <w:ind w:left="0" w:right="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000000"/>
          <w:spacing w:val="0"/>
          <w:sz w:val="21"/>
          <w:szCs w:val="21"/>
        </w:rPr>
        <w:t>    项目联系人（询问）： 李国平 </w:t>
      </w:r>
    </w:p>
    <w:p>
      <w:pPr>
        <w:pStyle w:val="53"/>
        <w:keepNext w:val="0"/>
        <w:keepLines w:val="0"/>
        <w:widowControl/>
        <w:suppressLineNumbers w:val="0"/>
        <w:spacing w:before="75" w:beforeAutospacing="0" w:after="75" w:afterAutospacing="0" w:line="240" w:lineRule="auto"/>
        <w:ind w:left="0" w:right="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000000"/>
          <w:spacing w:val="0"/>
          <w:sz w:val="21"/>
          <w:szCs w:val="21"/>
        </w:rPr>
        <w:t>    项目联系方式（询问）：13758094200  </w:t>
      </w:r>
    </w:p>
    <w:p>
      <w:pPr>
        <w:pStyle w:val="53"/>
        <w:keepNext w:val="0"/>
        <w:keepLines w:val="0"/>
        <w:widowControl/>
        <w:suppressLineNumbers w:val="0"/>
        <w:spacing w:before="75" w:beforeAutospacing="0" w:after="75" w:afterAutospacing="0" w:line="240" w:lineRule="auto"/>
        <w:ind w:left="0" w:right="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000000"/>
          <w:spacing w:val="0"/>
          <w:sz w:val="21"/>
          <w:szCs w:val="21"/>
        </w:rPr>
        <w:t>    质疑联系人：张小华 </w:t>
      </w:r>
    </w:p>
    <w:p>
      <w:pPr>
        <w:pStyle w:val="53"/>
        <w:keepNext w:val="0"/>
        <w:keepLines w:val="0"/>
        <w:widowControl/>
        <w:suppressLineNumbers w:val="0"/>
        <w:spacing w:before="75" w:beforeAutospacing="0" w:after="75" w:afterAutospacing="0" w:line="240" w:lineRule="auto"/>
        <w:ind w:left="0" w:right="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000000"/>
          <w:spacing w:val="0"/>
          <w:sz w:val="21"/>
          <w:szCs w:val="21"/>
        </w:rPr>
        <w:t>    质疑联系方式：13736467865 </w:t>
      </w:r>
    </w:p>
    <w:p>
      <w:pPr>
        <w:pStyle w:val="53"/>
        <w:keepNext w:val="0"/>
        <w:keepLines w:val="0"/>
        <w:widowControl/>
        <w:suppressLineNumbers w:val="0"/>
        <w:spacing w:before="75" w:beforeAutospacing="0" w:after="75" w:afterAutospacing="0" w:line="240" w:lineRule="auto"/>
        <w:ind w:left="0" w:right="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000000"/>
          <w:spacing w:val="0"/>
          <w:sz w:val="21"/>
          <w:szCs w:val="21"/>
        </w:rPr>
        <w:t>   </w:t>
      </w: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2.采购代理机构信息</w:t>
      </w:r>
    </w:p>
    <w:p>
      <w:pPr>
        <w:pStyle w:val="53"/>
        <w:keepNext w:val="0"/>
        <w:keepLines w:val="0"/>
        <w:widowControl/>
        <w:suppressLineNumbers w:val="0"/>
        <w:spacing w:before="75" w:beforeAutospacing="0" w:after="75" w:afterAutospacing="0" w:line="240" w:lineRule="auto"/>
        <w:ind w:left="0" w:right="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000000"/>
          <w:spacing w:val="0"/>
          <w:sz w:val="21"/>
          <w:szCs w:val="21"/>
        </w:rPr>
        <w:t>    名    称：嘉兴市千秋工程咨询有限公司 </w:t>
      </w:r>
    </w:p>
    <w:p>
      <w:pPr>
        <w:pStyle w:val="53"/>
        <w:keepNext w:val="0"/>
        <w:keepLines w:val="0"/>
        <w:widowControl/>
        <w:suppressLineNumbers w:val="0"/>
        <w:spacing w:before="75" w:beforeAutospacing="0" w:after="75" w:afterAutospacing="0" w:line="240" w:lineRule="auto"/>
        <w:ind w:left="0" w:right="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000000"/>
          <w:spacing w:val="0"/>
          <w:sz w:val="21"/>
          <w:szCs w:val="21"/>
        </w:rPr>
        <w:t>    地    址：嘉兴市秀洲区新平路299号中禾广场23楼 </w:t>
      </w:r>
    </w:p>
    <w:p>
      <w:pPr>
        <w:pStyle w:val="53"/>
        <w:keepNext w:val="0"/>
        <w:keepLines w:val="0"/>
        <w:widowControl/>
        <w:suppressLineNumbers w:val="0"/>
        <w:spacing w:before="75" w:beforeAutospacing="0" w:after="75" w:afterAutospacing="0" w:line="240" w:lineRule="auto"/>
        <w:ind w:left="0" w:right="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000000"/>
          <w:spacing w:val="0"/>
          <w:sz w:val="21"/>
          <w:szCs w:val="21"/>
        </w:rPr>
        <w:t>    传    真：  </w:t>
      </w:r>
    </w:p>
    <w:p>
      <w:pPr>
        <w:pStyle w:val="53"/>
        <w:keepNext w:val="0"/>
        <w:keepLines w:val="0"/>
        <w:widowControl/>
        <w:suppressLineNumbers w:val="0"/>
        <w:spacing w:before="75" w:beforeAutospacing="0" w:after="75" w:afterAutospacing="0" w:line="240" w:lineRule="auto"/>
        <w:ind w:left="0" w:right="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000000"/>
          <w:spacing w:val="0"/>
          <w:sz w:val="21"/>
          <w:szCs w:val="21"/>
        </w:rPr>
        <w:t>    项目联系人（询问）：章莉莉 </w:t>
      </w:r>
    </w:p>
    <w:p>
      <w:pPr>
        <w:pStyle w:val="53"/>
        <w:keepNext w:val="0"/>
        <w:keepLines w:val="0"/>
        <w:widowControl/>
        <w:suppressLineNumbers w:val="0"/>
        <w:spacing w:before="75" w:beforeAutospacing="0" w:after="75" w:afterAutospacing="0" w:line="240" w:lineRule="auto"/>
        <w:ind w:left="0" w:right="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000000"/>
          <w:spacing w:val="0"/>
          <w:sz w:val="21"/>
          <w:szCs w:val="21"/>
        </w:rPr>
        <w:t>    项目联系方式（询问）：0573-83705015 15857356518 </w:t>
      </w:r>
    </w:p>
    <w:p>
      <w:pPr>
        <w:pStyle w:val="53"/>
        <w:keepNext w:val="0"/>
        <w:keepLines w:val="0"/>
        <w:widowControl/>
        <w:suppressLineNumbers w:val="0"/>
        <w:spacing w:before="75" w:beforeAutospacing="0" w:after="75" w:afterAutospacing="0" w:line="240" w:lineRule="auto"/>
        <w:ind w:left="0" w:right="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000000"/>
          <w:spacing w:val="0"/>
          <w:sz w:val="21"/>
          <w:szCs w:val="21"/>
        </w:rPr>
        <w:t>    质疑联系人：项兴戟 </w:t>
      </w:r>
    </w:p>
    <w:p>
      <w:pPr>
        <w:pStyle w:val="53"/>
        <w:keepNext w:val="0"/>
        <w:keepLines w:val="0"/>
        <w:widowControl/>
        <w:suppressLineNumbers w:val="0"/>
        <w:spacing w:before="75" w:beforeAutospacing="0" w:after="75" w:afterAutospacing="0" w:line="240" w:lineRule="auto"/>
        <w:ind w:left="0" w:right="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000000"/>
          <w:spacing w:val="0"/>
          <w:sz w:val="21"/>
          <w:szCs w:val="21"/>
        </w:rPr>
        <w:t>    质疑联系方式：0573-83705015 13605738567 </w:t>
      </w:r>
    </w:p>
    <w:p>
      <w:pPr>
        <w:pStyle w:val="53"/>
        <w:keepNext w:val="0"/>
        <w:keepLines w:val="0"/>
        <w:widowControl/>
        <w:suppressLineNumbers w:val="0"/>
        <w:spacing w:before="75" w:beforeAutospacing="0" w:after="75" w:afterAutospacing="0" w:line="240" w:lineRule="auto"/>
        <w:ind w:left="0" w:right="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000000"/>
          <w:spacing w:val="0"/>
          <w:sz w:val="21"/>
          <w:szCs w:val="21"/>
        </w:rPr>
        <w:t>   </w:t>
      </w: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    3.同级政府采购监督管理部门</w:t>
      </w:r>
    </w:p>
    <w:p>
      <w:pPr>
        <w:pStyle w:val="53"/>
        <w:keepNext w:val="0"/>
        <w:keepLines w:val="0"/>
        <w:widowControl/>
        <w:suppressLineNumbers w:val="0"/>
        <w:spacing w:before="75" w:beforeAutospacing="0" w:after="75" w:afterAutospacing="0" w:line="240" w:lineRule="auto"/>
        <w:ind w:left="0" w:right="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000000"/>
          <w:spacing w:val="0"/>
          <w:sz w:val="21"/>
          <w:szCs w:val="21"/>
        </w:rPr>
        <w:t>    名    称：嘉兴市秀洲区财政局 </w:t>
      </w:r>
    </w:p>
    <w:p>
      <w:pPr>
        <w:pStyle w:val="53"/>
        <w:keepNext w:val="0"/>
        <w:keepLines w:val="0"/>
        <w:widowControl/>
        <w:suppressLineNumbers w:val="0"/>
        <w:spacing w:before="75" w:beforeAutospacing="0" w:after="75" w:afterAutospacing="0" w:line="240" w:lineRule="auto"/>
        <w:ind w:left="0" w:right="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000000"/>
          <w:spacing w:val="0"/>
          <w:sz w:val="21"/>
          <w:szCs w:val="21"/>
        </w:rPr>
        <w:t>    地    址：/ </w:t>
      </w:r>
    </w:p>
    <w:p>
      <w:pPr>
        <w:pStyle w:val="53"/>
        <w:keepNext w:val="0"/>
        <w:keepLines w:val="0"/>
        <w:widowControl/>
        <w:suppressLineNumbers w:val="0"/>
        <w:spacing w:before="75" w:beforeAutospacing="0" w:after="75" w:afterAutospacing="0" w:line="240" w:lineRule="auto"/>
        <w:ind w:left="0" w:right="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000000"/>
          <w:spacing w:val="0"/>
          <w:sz w:val="21"/>
          <w:szCs w:val="21"/>
        </w:rPr>
        <w:t>    传    真：/ </w:t>
      </w:r>
    </w:p>
    <w:p>
      <w:pPr>
        <w:pStyle w:val="53"/>
        <w:keepNext w:val="0"/>
        <w:keepLines w:val="0"/>
        <w:widowControl/>
        <w:suppressLineNumbers w:val="0"/>
        <w:spacing w:before="75" w:beforeAutospacing="0" w:after="75" w:afterAutospacing="0" w:line="240" w:lineRule="auto"/>
        <w:ind w:left="0" w:right="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000000"/>
          <w:spacing w:val="0"/>
          <w:sz w:val="21"/>
          <w:szCs w:val="21"/>
        </w:rPr>
        <w:t>    联系人 ：方女士 </w:t>
      </w:r>
    </w:p>
    <w:p>
      <w:pPr>
        <w:pStyle w:val="53"/>
        <w:keepNext w:val="0"/>
        <w:keepLines w:val="0"/>
        <w:widowControl/>
        <w:suppressLineNumbers w:val="0"/>
        <w:spacing w:before="75" w:beforeAutospacing="0" w:after="75" w:afterAutospacing="0" w:line="240" w:lineRule="auto"/>
        <w:ind w:left="0" w:right="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000000"/>
          <w:spacing w:val="0"/>
          <w:sz w:val="21"/>
          <w:szCs w:val="21"/>
        </w:rPr>
        <w:t>    监督投诉电话：0573-82720086</w:t>
      </w:r>
    </w:p>
    <w:p>
      <w:pPr>
        <w:keepNext w:val="0"/>
        <w:keepLines w:val="0"/>
        <w:widowControl/>
        <w:suppressLineNumbers w:val="0"/>
        <w:jc w:val="left"/>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br w:type="textWrapping"/>
      </w:r>
      <w:r>
        <w:rPr>
          <w:rFonts w:hint="eastAsia" w:ascii="微软雅黑" w:hAnsi="微软雅黑" w:eastAsia="微软雅黑" w:cs="微软雅黑"/>
          <w:i w:val="0"/>
          <w:iCs w:val="0"/>
          <w:caps w:val="0"/>
          <w:color w:val="000000"/>
          <w:spacing w:val="0"/>
          <w:kern w:val="0"/>
          <w:sz w:val="21"/>
          <w:szCs w:val="21"/>
          <w:lang w:val="en-US" w:eastAsia="zh-CN" w:bidi="ar"/>
        </w:rPr>
        <w:t>     </w:t>
      </w:r>
      <w:r>
        <w:rPr>
          <w:rFonts w:hint="eastAsia" w:ascii="微软雅黑" w:hAnsi="微软雅黑" w:eastAsia="微软雅黑" w:cs="微软雅黑"/>
          <w:i w:val="0"/>
          <w:iCs w:val="0"/>
          <w:caps w:val="0"/>
          <w:color w:val="000000"/>
          <w:spacing w:val="0"/>
          <w:kern w:val="0"/>
          <w:sz w:val="21"/>
          <w:szCs w:val="21"/>
          <w:lang w:val="en-US" w:eastAsia="zh-CN" w:bidi="ar"/>
        </w:rPr>
        <w:br w:type="textWrapping"/>
      </w:r>
      <w:r>
        <w:rPr>
          <w:rFonts w:hint="eastAsia" w:ascii="微软雅黑" w:hAnsi="微软雅黑" w:eastAsia="微软雅黑" w:cs="微软雅黑"/>
          <w:i w:val="0"/>
          <w:iCs w:val="0"/>
          <w:caps w:val="0"/>
          <w:color w:val="000000"/>
          <w:spacing w:val="0"/>
          <w:kern w:val="0"/>
          <w:sz w:val="21"/>
          <w:szCs w:val="21"/>
          <w:lang w:val="en-US" w:eastAsia="zh-CN" w:bidi="ar"/>
        </w:rPr>
        <w:t>     </w:t>
      </w:r>
    </w:p>
    <w:p>
      <w:pPr>
        <w:pStyle w:val="53"/>
        <w:keepNext w:val="0"/>
        <w:keepLines w:val="0"/>
        <w:widowControl/>
        <w:suppressLineNumbers w:val="0"/>
        <w:spacing w:before="75" w:beforeAutospacing="0" w:after="75" w:afterAutospacing="0"/>
        <w:ind w:left="0" w:right="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000000"/>
          <w:spacing w:val="0"/>
          <w:sz w:val="21"/>
          <w:szCs w:val="21"/>
        </w:rPr>
        <w:t>若对项目采购电子交易系统操作有疑问，可登录政采云（https://www.zcygov.cn/），点击右侧咨询小采，获取采小蜜智能服务管家帮助，或拨打政采云服务热线400-881-7190获取热线服务帮助。        </w:t>
      </w:r>
    </w:p>
    <w:p>
      <w:pPr>
        <w:pStyle w:val="53"/>
        <w:keepNext w:val="0"/>
        <w:keepLines w:val="0"/>
        <w:widowControl/>
        <w:suppressLineNumbers w:val="0"/>
        <w:spacing w:before="75" w:beforeAutospacing="0" w:after="75" w:afterAutospacing="0"/>
        <w:ind w:left="0" w:right="0"/>
        <w:rPr>
          <w:rFonts w:ascii="微软雅黑" w:hAnsi="微软雅黑" w:eastAsia="微软雅黑" w:cs="Arial"/>
          <w:color w:val="auto"/>
          <w:szCs w:val="21"/>
          <w:highlight w:val="none"/>
        </w:rPr>
      </w:pPr>
      <w:r>
        <w:rPr>
          <w:rFonts w:hint="eastAsia" w:ascii="微软雅黑" w:hAnsi="微软雅黑" w:eastAsia="微软雅黑" w:cs="微软雅黑"/>
          <w:i w:val="0"/>
          <w:iCs w:val="0"/>
          <w:caps w:val="0"/>
          <w:color w:val="000000"/>
          <w:spacing w:val="0"/>
          <w:sz w:val="21"/>
          <w:szCs w:val="21"/>
        </w:rPr>
        <w:t>CA问题联系电话（人工）：汇信CA 400-888-4636；天谷CA 400-087-8198</w:t>
      </w:r>
      <w:r>
        <w:rPr>
          <w:rFonts w:hint="eastAsia" w:ascii="微软雅黑" w:hAnsi="微软雅黑" w:eastAsia="微软雅黑" w:cs="微软雅黑"/>
          <w:color w:val="auto"/>
          <w:sz w:val="21"/>
          <w:szCs w:val="21"/>
          <w:highlight w:val="none"/>
        </w:rPr>
        <w:t>。</w:t>
      </w:r>
      <w:r>
        <w:rPr>
          <w:rFonts w:hint="eastAsia" w:ascii="微软雅黑" w:hAnsi="微软雅黑" w:eastAsia="微软雅黑"/>
          <w:color w:val="auto"/>
          <w:szCs w:val="21"/>
          <w:highlight w:val="none"/>
        </w:rPr>
        <w:br w:type="textWrapping"/>
      </w:r>
    </w:p>
    <w:p>
      <w:pPr>
        <w:pStyle w:val="6"/>
        <w:numPr>
          <w:ilvl w:val="0"/>
          <w:numId w:val="19"/>
        </w:numPr>
        <w:spacing w:beforeLines="0" w:after="0" w:line="500" w:lineRule="exact"/>
        <w:ind w:left="0"/>
        <w:jc w:val="center"/>
        <w:rPr>
          <w:rFonts w:ascii="微软雅黑" w:hAnsi="微软雅黑" w:cs="微软雅黑"/>
          <w:color w:val="auto"/>
          <w:szCs w:val="21"/>
          <w:highlight w:val="none"/>
        </w:rPr>
      </w:pPr>
      <w:r>
        <w:rPr>
          <w:rFonts w:hint="eastAsia" w:ascii="微软雅黑" w:hAnsi="微软雅黑" w:cs="微软雅黑"/>
          <w:color w:val="auto"/>
          <w:szCs w:val="21"/>
          <w:highlight w:val="none"/>
        </w:rPr>
        <w:br w:type="page"/>
      </w:r>
      <w:bookmarkStart w:id="641" w:name="_GoBack"/>
      <w:bookmarkEnd w:id="641"/>
      <w:bookmarkStart w:id="9" w:name="_Toc19798"/>
      <w:bookmarkStart w:id="10" w:name="_Toc100764192"/>
      <w:bookmarkStart w:id="11" w:name="_Toc15094"/>
      <w:r>
        <w:rPr>
          <w:rFonts w:hint="eastAsia" w:ascii="微软雅黑" w:hAnsi="微软雅黑" w:cs="微软雅黑"/>
          <w:color w:val="auto"/>
          <w:szCs w:val="21"/>
          <w:highlight w:val="none"/>
        </w:rPr>
        <w:t>供应商须知</w:t>
      </w:r>
      <w:bookmarkEnd w:id="7"/>
      <w:bookmarkEnd w:id="8"/>
      <w:bookmarkEnd w:id="9"/>
      <w:bookmarkEnd w:id="10"/>
      <w:bookmarkEnd w:id="11"/>
    </w:p>
    <w:p>
      <w:pPr>
        <w:pStyle w:val="8"/>
        <w:spacing w:before="0" w:after="0" w:line="500" w:lineRule="exact"/>
        <w:rPr>
          <w:rFonts w:ascii="微软雅黑" w:hAnsi="微软雅黑" w:eastAsia="微软雅黑" w:cs="微软雅黑"/>
          <w:b w:val="0"/>
          <w:bCs/>
          <w:color w:val="auto"/>
          <w:sz w:val="21"/>
          <w:szCs w:val="21"/>
          <w:highlight w:val="none"/>
        </w:rPr>
      </w:pPr>
      <w:bookmarkStart w:id="12" w:name="_Toc89266796"/>
      <w:bookmarkStart w:id="13" w:name="_Toc100764193"/>
      <w:bookmarkStart w:id="14" w:name="_Toc53062671"/>
      <w:bookmarkStart w:id="15" w:name="_Toc493699291"/>
      <w:bookmarkStart w:id="16" w:name="_Toc40788009"/>
      <w:r>
        <w:rPr>
          <w:rFonts w:hint="eastAsia" w:ascii="微软雅黑" w:hAnsi="微软雅黑" w:eastAsia="微软雅黑" w:cs="微软雅黑"/>
          <w:bCs/>
          <w:color w:val="auto"/>
          <w:sz w:val="21"/>
          <w:szCs w:val="21"/>
          <w:highlight w:val="none"/>
        </w:rPr>
        <w:t>电子交易注意事项</w:t>
      </w:r>
      <w:bookmarkEnd w:id="12"/>
      <w:bookmarkEnd w:id="13"/>
    </w:p>
    <w:p>
      <w:pPr>
        <w:spacing w:after="0" w:line="500" w:lineRule="exact"/>
        <w:ind w:firstLine="210" w:firstLineChars="100"/>
        <w:jc w:val="left"/>
        <w:rPr>
          <w:rFonts w:ascii="微软雅黑" w:hAnsi="微软雅黑" w:eastAsia="微软雅黑" w:cs="微软雅黑"/>
          <w:color w:val="auto"/>
          <w:szCs w:val="21"/>
          <w:highlight w:val="none"/>
          <w:shd w:val="clear" w:color="auto" w:fill="FFFFFF"/>
        </w:rPr>
      </w:pPr>
      <w:r>
        <w:rPr>
          <w:rFonts w:hint="eastAsia" w:ascii="微软雅黑" w:hAnsi="微软雅黑" w:eastAsia="微软雅黑" w:cs="微软雅黑"/>
          <w:color w:val="auto"/>
          <w:szCs w:val="21"/>
          <w:highlight w:val="none"/>
          <w:shd w:val="clear" w:color="auto" w:fill="FFFFFF"/>
        </w:rPr>
        <w:t>　政府采购项目电子交易活动适用《浙江省政府采购项目电子交易管理暂行办法》，现将相关注意事项告知如下：</w:t>
      </w:r>
    </w:p>
    <w:p>
      <w:pPr>
        <w:spacing w:after="0" w:line="500" w:lineRule="exact"/>
        <w:ind w:firstLine="210" w:firstLineChars="1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　1、代理机构按照竞争性磋商文件规定的时间通过电子交易平台组织开标、开启竞争性磋商响应文件，所有供应商均应当准时在线参加，直至评审结束。</w:t>
      </w:r>
    </w:p>
    <w:p>
      <w:pPr>
        <w:pStyle w:val="53"/>
        <w:spacing w:before="0" w:beforeAutospacing="0" w:after="0" w:afterAutospacing="0" w:line="500" w:lineRule="exact"/>
        <w:ind w:firstLine="210" w:firstLineChars="100"/>
        <w:rPr>
          <w:rFonts w:ascii="微软雅黑" w:hAnsi="微软雅黑" w:eastAsia="微软雅黑" w:cs="微软雅黑"/>
          <w:color w:val="auto"/>
          <w:kern w:val="2"/>
          <w:sz w:val="21"/>
          <w:szCs w:val="21"/>
          <w:highlight w:val="none"/>
        </w:rPr>
      </w:pPr>
      <w:r>
        <w:rPr>
          <w:rFonts w:hint="eastAsia" w:ascii="微软雅黑" w:hAnsi="微软雅黑" w:eastAsia="微软雅黑" w:cs="微软雅黑"/>
          <w:color w:val="auto"/>
          <w:kern w:val="2"/>
          <w:sz w:val="21"/>
          <w:szCs w:val="21"/>
          <w:highlight w:val="none"/>
        </w:rPr>
        <w:t>　2、竞争性磋商响应文件未按时解密，供应商如提供备份竞争性磋商响应文件的，以符合要求的备份竞争性磋商响应文件作为依据，否则视为竞争性磋商响应文件撤回。竞争性磋商响应文件已按时解密的，备份竞争性磋商响应文件自动失效。</w:t>
      </w:r>
    </w:p>
    <w:p>
      <w:pPr>
        <w:pStyle w:val="53"/>
        <w:spacing w:before="0" w:beforeAutospacing="0" w:after="0" w:afterAutospacing="0" w:line="500" w:lineRule="exact"/>
        <w:ind w:firstLine="210" w:firstLineChars="100"/>
        <w:rPr>
          <w:rFonts w:ascii="微软雅黑" w:hAnsi="微软雅黑" w:eastAsia="微软雅黑" w:cs="微软雅黑"/>
          <w:color w:val="auto"/>
          <w:kern w:val="2"/>
          <w:sz w:val="21"/>
          <w:szCs w:val="21"/>
          <w:highlight w:val="none"/>
        </w:rPr>
      </w:pPr>
      <w:r>
        <w:rPr>
          <w:rFonts w:hint="eastAsia" w:ascii="微软雅黑" w:hAnsi="微软雅黑" w:eastAsia="微软雅黑" w:cs="微软雅黑"/>
          <w:color w:val="auto"/>
          <w:kern w:val="2"/>
          <w:sz w:val="21"/>
          <w:szCs w:val="21"/>
          <w:highlight w:val="none"/>
        </w:rPr>
        <w:t>　3、采购过程中出现以下情形，导致电子交易平台无法正常运行，或者无法保证电子交易的公平、公正和安全时，代理机构可中止电子交易活动：</w:t>
      </w:r>
    </w:p>
    <w:p>
      <w:pPr>
        <w:pStyle w:val="53"/>
        <w:spacing w:before="0" w:beforeAutospacing="0" w:after="0" w:afterAutospacing="0" w:line="500" w:lineRule="exact"/>
        <w:ind w:firstLine="645"/>
        <w:rPr>
          <w:rFonts w:ascii="微软雅黑" w:hAnsi="微软雅黑" w:eastAsia="微软雅黑" w:cs="微软雅黑"/>
          <w:color w:val="auto"/>
          <w:kern w:val="2"/>
          <w:sz w:val="21"/>
          <w:szCs w:val="21"/>
          <w:highlight w:val="none"/>
        </w:rPr>
      </w:pPr>
      <w:r>
        <w:rPr>
          <w:rFonts w:hint="eastAsia" w:ascii="微软雅黑" w:hAnsi="微软雅黑" w:eastAsia="微软雅黑" w:cs="微软雅黑"/>
          <w:color w:val="auto"/>
          <w:kern w:val="2"/>
          <w:sz w:val="21"/>
          <w:szCs w:val="21"/>
          <w:highlight w:val="none"/>
        </w:rPr>
        <w:t>（一）电子交易平台发生故障而无法登录访问的； </w:t>
      </w:r>
    </w:p>
    <w:p>
      <w:pPr>
        <w:pStyle w:val="53"/>
        <w:spacing w:before="0" w:beforeAutospacing="0" w:after="0" w:afterAutospacing="0" w:line="500" w:lineRule="exact"/>
        <w:ind w:firstLine="645"/>
        <w:rPr>
          <w:rFonts w:ascii="微软雅黑" w:hAnsi="微软雅黑" w:eastAsia="微软雅黑" w:cs="微软雅黑"/>
          <w:color w:val="auto"/>
          <w:kern w:val="2"/>
          <w:sz w:val="21"/>
          <w:szCs w:val="21"/>
          <w:highlight w:val="none"/>
        </w:rPr>
      </w:pPr>
      <w:r>
        <w:rPr>
          <w:rFonts w:hint="eastAsia" w:ascii="微软雅黑" w:hAnsi="微软雅黑" w:eastAsia="微软雅黑" w:cs="微软雅黑"/>
          <w:color w:val="auto"/>
          <w:kern w:val="2"/>
          <w:sz w:val="21"/>
          <w:szCs w:val="21"/>
          <w:highlight w:val="none"/>
        </w:rPr>
        <w:t>（二）电子交易平台应用或数据库出现错误，不能进行正常操作的；</w:t>
      </w:r>
    </w:p>
    <w:p>
      <w:pPr>
        <w:pStyle w:val="53"/>
        <w:spacing w:before="0" w:beforeAutospacing="0" w:after="0" w:afterAutospacing="0" w:line="500" w:lineRule="exact"/>
        <w:ind w:firstLine="645"/>
        <w:rPr>
          <w:rFonts w:ascii="微软雅黑" w:hAnsi="微软雅黑" w:eastAsia="微软雅黑" w:cs="微软雅黑"/>
          <w:color w:val="auto"/>
          <w:kern w:val="2"/>
          <w:sz w:val="21"/>
          <w:szCs w:val="21"/>
          <w:highlight w:val="none"/>
        </w:rPr>
      </w:pPr>
      <w:r>
        <w:rPr>
          <w:rFonts w:hint="eastAsia" w:ascii="微软雅黑" w:hAnsi="微软雅黑" w:eastAsia="微软雅黑" w:cs="微软雅黑"/>
          <w:color w:val="auto"/>
          <w:kern w:val="2"/>
          <w:sz w:val="21"/>
          <w:szCs w:val="21"/>
          <w:highlight w:val="none"/>
        </w:rPr>
        <w:t>（三）电子交易平台发现严重安全漏洞，有潜在泄密危险的；</w:t>
      </w:r>
    </w:p>
    <w:p>
      <w:pPr>
        <w:pStyle w:val="53"/>
        <w:spacing w:before="0" w:beforeAutospacing="0" w:after="0" w:afterAutospacing="0" w:line="500" w:lineRule="exact"/>
        <w:ind w:firstLine="645"/>
        <w:rPr>
          <w:rFonts w:ascii="微软雅黑" w:hAnsi="微软雅黑" w:eastAsia="微软雅黑" w:cs="微软雅黑"/>
          <w:color w:val="auto"/>
          <w:kern w:val="2"/>
          <w:sz w:val="21"/>
          <w:szCs w:val="21"/>
          <w:highlight w:val="none"/>
        </w:rPr>
      </w:pPr>
      <w:r>
        <w:rPr>
          <w:rFonts w:hint="eastAsia" w:ascii="微软雅黑" w:hAnsi="微软雅黑" w:eastAsia="微软雅黑" w:cs="微软雅黑"/>
          <w:color w:val="auto"/>
          <w:kern w:val="2"/>
          <w:sz w:val="21"/>
          <w:szCs w:val="21"/>
          <w:highlight w:val="none"/>
        </w:rPr>
        <w:t>（四）病毒发作导致不能进行正常操作的； </w:t>
      </w:r>
    </w:p>
    <w:p>
      <w:pPr>
        <w:pStyle w:val="53"/>
        <w:spacing w:before="0" w:beforeAutospacing="0" w:after="0" w:afterAutospacing="0" w:line="500" w:lineRule="exact"/>
        <w:ind w:firstLine="645"/>
        <w:rPr>
          <w:rFonts w:ascii="微软雅黑" w:hAnsi="微软雅黑" w:eastAsia="微软雅黑" w:cs="微软雅黑"/>
          <w:color w:val="auto"/>
          <w:kern w:val="2"/>
          <w:sz w:val="21"/>
          <w:szCs w:val="21"/>
          <w:highlight w:val="none"/>
        </w:rPr>
      </w:pPr>
      <w:r>
        <w:rPr>
          <w:rFonts w:hint="eastAsia" w:ascii="微软雅黑" w:hAnsi="微软雅黑" w:eastAsia="微软雅黑" w:cs="微软雅黑"/>
          <w:color w:val="auto"/>
          <w:kern w:val="2"/>
          <w:sz w:val="21"/>
          <w:szCs w:val="21"/>
          <w:highlight w:val="none"/>
        </w:rPr>
        <w:t>（五）其他无法保证电子交易的公平、公正和安全的情况。</w:t>
      </w:r>
    </w:p>
    <w:p>
      <w:pPr>
        <w:pStyle w:val="53"/>
        <w:spacing w:before="0" w:beforeAutospacing="0" w:after="0" w:afterAutospacing="0" w:line="500" w:lineRule="exact"/>
        <w:ind w:firstLine="480"/>
        <w:rPr>
          <w:rFonts w:ascii="微软雅黑" w:hAnsi="微软雅黑" w:eastAsia="微软雅黑" w:cs="微软雅黑"/>
          <w:color w:val="auto"/>
          <w:kern w:val="2"/>
          <w:sz w:val="21"/>
          <w:szCs w:val="21"/>
          <w:highlight w:val="none"/>
        </w:rPr>
      </w:pPr>
      <w:r>
        <w:rPr>
          <w:rFonts w:hint="eastAsia" w:ascii="微软雅黑" w:hAnsi="微软雅黑" w:eastAsia="微软雅黑" w:cs="微软雅黑"/>
          <w:color w:val="auto"/>
          <w:kern w:val="2"/>
          <w:sz w:val="21"/>
          <w:szCs w:val="21"/>
          <w:highlight w:val="none"/>
        </w:rPr>
        <w:t>出现前款规定情形，不影响采购公平、公正性的，代理机构可以待上述情形消除后继续组织电子交易活动，也可以决定某些环节以纸质形式进行；影响或可能影响采购公平、公正性的，应当重新采购。</w:t>
      </w:r>
    </w:p>
    <w:p>
      <w:pPr>
        <w:pStyle w:val="53"/>
        <w:numPr>
          <w:ilvl w:val="0"/>
          <w:numId w:val="20"/>
        </w:numPr>
        <w:spacing w:before="0" w:beforeAutospacing="0" w:after="0" w:afterAutospacing="0" w:line="500" w:lineRule="exact"/>
        <w:ind w:firstLine="480"/>
        <w:rPr>
          <w:rFonts w:ascii="微软雅黑" w:hAnsi="微软雅黑" w:eastAsia="微软雅黑" w:cs="微软雅黑"/>
          <w:color w:val="auto"/>
          <w:sz w:val="21"/>
          <w:szCs w:val="21"/>
          <w:highlight w:val="none"/>
          <w:shd w:val="clear" w:color="auto" w:fill="FFFFFF"/>
        </w:rPr>
      </w:pPr>
      <w:r>
        <w:rPr>
          <w:rFonts w:hint="eastAsia" w:ascii="微软雅黑" w:hAnsi="微软雅黑" w:eastAsia="微软雅黑" w:cs="微软雅黑"/>
          <w:color w:val="auto"/>
          <w:sz w:val="21"/>
          <w:szCs w:val="21"/>
          <w:highlight w:val="none"/>
          <w:shd w:val="clear" w:color="auto" w:fill="FFFFFF"/>
        </w:rPr>
        <w:t>评审中需要供应商对竞争性磋商响应文件作出澄清、说明或者补正的，评审小组和供应商应当通过电子交易平台交换数据电文。供应商需在半小时内提交澄清说明或补正，供应商已经明确表示澄清说明或补正完毕的除外。</w:t>
      </w:r>
    </w:p>
    <w:p>
      <w:pPr>
        <w:pStyle w:val="53"/>
        <w:numPr>
          <w:ilvl w:val="0"/>
          <w:numId w:val="20"/>
        </w:numPr>
        <w:spacing w:before="0" w:beforeAutospacing="0" w:after="0" w:afterAutospacing="0" w:line="500" w:lineRule="exact"/>
        <w:ind w:firstLine="480"/>
        <w:rPr>
          <w:rFonts w:ascii="微软雅黑" w:hAnsi="微软雅黑" w:eastAsia="微软雅黑" w:cs="微软雅黑"/>
          <w:b/>
          <w:bCs/>
          <w:color w:val="auto"/>
          <w:sz w:val="21"/>
          <w:szCs w:val="21"/>
          <w:highlight w:val="none"/>
          <w:shd w:val="clear" w:color="auto" w:fill="FFFFFF"/>
        </w:rPr>
      </w:pPr>
      <w:r>
        <w:rPr>
          <w:rFonts w:hint="eastAsia" w:ascii="微软雅黑" w:hAnsi="微软雅黑" w:eastAsia="微软雅黑" w:cs="微软雅黑"/>
          <w:b/>
          <w:bCs/>
          <w:color w:val="auto"/>
          <w:sz w:val="21"/>
          <w:szCs w:val="21"/>
          <w:highlight w:val="none"/>
          <w:shd w:val="clear" w:color="auto" w:fill="FFFFFF"/>
        </w:rPr>
        <w:t>供应商须在代理机构宣布评审结束、产生中标候选人期间时刻关注项目政采云，配合专家组工作，如有询标（澄清、质疑），在30分钟内（具体时间以询标函上规定的时间为准备）通过ＣＡ进行回复。过期不按要求回复，视为默认原竞争性磋商响应文件内容。</w:t>
      </w:r>
    </w:p>
    <w:p>
      <w:pPr>
        <w:spacing w:line="460" w:lineRule="exact"/>
        <w:rPr>
          <w:rFonts w:ascii="微软雅黑" w:hAnsi="微软雅黑" w:eastAsia="微软雅黑" w:cs="微软雅黑"/>
          <w:b/>
          <w:color w:val="auto"/>
          <w:kern w:val="0"/>
          <w:szCs w:val="21"/>
          <w:highlight w:val="none"/>
          <w:shd w:val="pct10" w:color="auto" w:fill="FFFFFF"/>
        </w:rPr>
      </w:pPr>
    </w:p>
    <w:p>
      <w:pPr>
        <w:rPr>
          <w:rFonts w:ascii="微软雅黑" w:hAnsi="微软雅黑" w:eastAsia="微软雅黑" w:cs="微软雅黑"/>
          <w:b/>
          <w:color w:val="auto"/>
          <w:szCs w:val="21"/>
          <w:highlight w:val="none"/>
        </w:rPr>
      </w:pPr>
      <w:bookmarkStart w:id="17" w:name="_Toc89266797"/>
      <w:bookmarkStart w:id="18" w:name="_Toc100764194"/>
      <w:r>
        <w:rPr>
          <w:rFonts w:hint="eastAsia" w:ascii="微软雅黑" w:hAnsi="微软雅黑" w:eastAsia="微软雅黑" w:cs="微软雅黑"/>
          <w:b/>
          <w:color w:val="auto"/>
          <w:szCs w:val="21"/>
          <w:highlight w:val="none"/>
        </w:rPr>
        <w:br w:type="page"/>
      </w:r>
    </w:p>
    <w:p>
      <w:pPr>
        <w:snapToGrid w:val="0"/>
        <w:spacing w:line="460" w:lineRule="exact"/>
        <w:ind w:left="238"/>
        <w:jc w:val="center"/>
        <w:outlineLvl w:val="1"/>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前附表</w:t>
      </w:r>
      <w:bookmarkEnd w:id="14"/>
      <w:bookmarkEnd w:id="15"/>
      <w:bookmarkEnd w:id="16"/>
      <w:bookmarkEnd w:id="17"/>
      <w:bookmarkEnd w:id="18"/>
    </w:p>
    <w:tbl>
      <w:tblPr>
        <w:tblStyle w:val="58"/>
        <w:tblW w:w="92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0"/>
        <w:gridCol w:w="83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after="0" w:line="50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序号</w:t>
            </w:r>
          </w:p>
        </w:tc>
        <w:tc>
          <w:tcPr>
            <w:tcW w:w="8350" w:type="dxa"/>
            <w:tcBorders>
              <w:top w:val="single" w:color="auto" w:sz="4" w:space="0"/>
              <w:left w:val="single" w:color="auto" w:sz="4" w:space="0"/>
              <w:bottom w:val="single" w:color="auto" w:sz="4" w:space="0"/>
              <w:right w:val="single" w:color="auto" w:sz="4" w:space="0"/>
            </w:tcBorders>
            <w:vAlign w:val="center"/>
          </w:tcPr>
          <w:p>
            <w:pPr>
              <w:snapToGrid w:val="0"/>
              <w:spacing w:after="0" w:line="500" w:lineRule="exact"/>
              <w:ind w:firstLine="2625" w:firstLineChars="125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after="0" w:line="50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w:t>
            </w:r>
          </w:p>
        </w:tc>
        <w:tc>
          <w:tcPr>
            <w:tcW w:w="8350" w:type="dxa"/>
            <w:tcBorders>
              <w:top w:val="single" w:color="auto" w:sz="4" w:space="0"/>
              <w:left w:val="single" w:color="auto" w:sz="4" w:space="0"/>
              <w:bottom w:val="single" w:color="auto" w:sz="4" w:space="0"/>
              <w:right w:val="single" w:color="auto" w:sz="4" w:space="0"/>
            </w:tcBorders>
            <w:vAlign w:val="center"/>
          </w:tcPr>
          <w:p>
            <w:pPr>
              <w:snapToGrid w:val="0"/>
              <w:spacing w:after="0" w:line="500" w:lineRule="exact"/>
              <w:rPr>
                <w:rFonts w:hint="eastAsia" w:ascii="微软雅黑" w:hAnsi="微软雅黑" w:eastAsia="微软雅黑" w:cs="微软雅黑"/>
                <w:color w:val="auto"/>
                <w:szCs w:val="21"/>
                <w:highlight w:val="none"/>
                <w:lang w:eastAsia="zh-CN"/>
              </w:rPr>
            </w:pPr>
            <w:r>
              <w:rPr>
                <w:rFonts w:hint="eastAsia" w:ascii="微软雅黑" w:hAnsi="微软雅黑" w:eastAsia="微软雅黑" w:cs="微软雅黑"/>
                <w:color w:val="auto"/>
                <w:szCs w:val="21"/>
                <w:highlight w:val="none"/>
              </w:rPr>
              <w:t xml:space="preserve">项目名称： </w:t>
            </w:r>
            <w:r>
              <w:rPr>
                <w:rFonts w:hint="eastAsia" w:ascii="微软雅黑" w:hAnsi="微软雅黑" w:eastAsia="微软雅黑" w:cs="微软雅黑"/>
                <w:color w:val="auto"/>
                <w:szCs w:val="21"/>
                <w:highlight w:val="none"/>
                <w:lang w:eastAsia="zh-CN"/>
              </w:rPr>
              <w:t>嘉兴市秀洲区文化和旅游局送戏下乡服务采购项目</w:t>
            </w:r>
          </w:p>
          <w:p>
            <w:pPr>
              <w:snapToGrid w:val="0"/>
              <w:spacing w:after="0" w:line="50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采购计划文号</w:t>
            </w:r>
            <w:r>
              <w:rPr>
                <w:rFonts w:hint="eastAsia" w:ascii="微软雅黑" w:hAnsi="微软雅黑" w:eastAsia="微软雅黑" w:cs="微软雅黑"/>
                <w:color w:val="auto"/>
                <w:szCs w:val="21"/>
                <w:highlight w:val="none"/>
                <w:lang w:eastAsia="zh-CN"/>
              </w:rPr>
              <w:t>：</w:t>
            </w:r>
            <w:r>
              <w:rPr>
                <w:rFonts w:hint="eastAsia" w:ascii="微软雅黑" w:hAnsi="微软雅黑" w:eastAsia="微软雅黑" w:cs="微软雅黑"/>
                <w:color w:val="auto"/>
                <w:szCs w:val="21"/>
                <w:highlight w:val="none"/>
                <w:lang w:eastAsia="zh-CN"/>
              </w:rPr>
              <w:fldChar w:fldCharType="begin"/>
            </w:r>
            <w:r>
              <w:rPr>
                <w:rFonts w:hint="eastAsia" w:ascii="微软雅黑" w:hAnsi="微软雅黑" w:eastAsia="微软雅黑" w:cs="微软雅黑"/>
                <w:color w:val="auto"/>
                <w:szCs w:val="21"/>
                <w:highlight w:val="none"/>
                <w:lang w:eastAsia="zh-CN"/>
              </w:rPr>
              <w:instrText xml:space="preserve"> HYPERLINK "https://pay.zcygov.cn/purchaseplan_front/" \l "/plan/list/view?id=1000000000010159393" \t "https://www.zcygov.cn/delegation-order/order/orderInfo/detail/_blank" </w:instrText>
            </w:r>
            <w:r>
              <w:rPr>
                <w:rFonts w:hint="eastAsia" w:ascii="微软雅黑" w:hAnsi="微软雅黑" w:eastAsia="微软雅黑" w:cs="微软雅黑"/>
                <w:color w:val="auto"/>
                <w:szCs w:val="21"/>
                <w:highlight w:val="none"/>
                <w:lang w:eastAsia="zh-CN"/>
              </w:rPr>
              <w:fldChar w:fldCharType="separate"/>
            </w:r>
            <w:r>
              <w:rPr>
                <w:rFonts w:hint="eastAsia" w:ascii="微软雅黑" w:hAnsi="微软雅黑" w:eastAsia="微软雅黑" w:cs="微软雅黑"/>
                <w:color w:val="auto"/>
                <w:szCs w:val="21"/>
                <w:highlight w:val="none"/>
                <w:lang w:eastAsia="zh-CN"/>
              </w:rPr>
              <w:t>临[2023]744号</w:t>
            </w:r>
            <w:r>
              <w:rPr>
                <w:rFonts w:hint="eastAsia" w:ascii="微软雅黑" w:hAnsi="微软雅黑" w:eastAsia="微软雅黑" w:cs="微软雅黑"/>
                <w:color w:val="auto"/>
                <w:szCs w:val="21"/>
                <w:highlight w:val="none"/>
                <w:lang w:eastAsia="zh-CN"/>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after="0" w:line="50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w:t>
            </w:r>
          </w:p>
        </w:tc>
        <w:tc>
          <w:tcPr>
            <w:tcW w:w="8350" w:type="dxa"/>
            <w:tcBorders>
              <w:top w:val="single" w:color="auto" w:sz="4" w:space="0"/>
              <w:left w:val="single" w:color="auto" w:sz="4" w:space="0"/>
              <w:bottom w:val="single" w:color="auto" w:sz="4" w:space="0"/>
              <w:right w:val="single" w:color="auto" w:sz="4" w:space="0"/>
            </w:tcBorders>
            <w:vAlign w:val="center"/>
          </w:tcPr>
          <w:p>
            <w:pPr>
              <w:snapToGrid w:val="0"/>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采购内容：</w:t>
            </w:r>
            <w:r>
              <w:rPr>
                <w:rFonts w:hint="eastAsia" w:ascii="微软雅黑" w:hAnsi="微软雅黑" w:eastAsia="微软雅黑" w:cs="微软雅黑"/>
                <w:bCs/>
                <w:color w:val="auto"/>
                <w:szCs w:val="21"/>
                <w:highlight w:val="none"/>
              </w:rPr>
              <w:t>详见第三章项目需求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after="0" w:line="50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w:t>
            </w:r>
          </w:p>
        </w:tc>
        <w:tc>
          <w:tcPr>
            <w:tcW w:w="8350" w:type="dxa"/>
            <w:tcBorders>
              <w:top w:val="single" w:color="auto" w:sz="4" w:space="0"/>
              <w:left w:val="single" w:color="auto" w:sz="4" w:space="0"/>
              <w:bottom w:val="single" w:color="auto" w:sz="4" w:space="0"/>
              <w:right w:val="single" w:color="auto" w:sz="4" w:space="0"/>
            </w:tcBorders>
            <w:vAlign w:val="center"/>
          </w:tcPr>
          <w:p>
            <w:pPr>
              <w:snapToGrid w:val="0"/>
              <w:spacing w:after="0" w:line="50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投标报价及费用：</w:t>
            </w:r>
          </w:p>
          <w:p>
            <w:pPr>
              <w:snapToGrid w:val="0"/>
              <w:spacing w:after="0" w:line="50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1、本项目投标应以人民币报价；</w:t>
            </w:r>
          </w:p>
          <w:p>
            <w:pPr>
              <w:snapToGrid w:val="0"/>
              <w:spacing w:after="0" w:line="50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after="0" w:line="500" w:lineRule="exact"/>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4</w:t>
            </w:r>
          </w:p>
        </w:tc>
        <w:tc>
          <w:tcPr>
            <w:tcW w:w="8350" w:type="dxa"/>
            <w:tcBorders>
              <w:top w:val="single" w:color="auto" w:sz="4" w:space="0"/>
              <w:left w:val="single" w:color="auto" w:sz="4" w:space="0"/>
              <w:bottom w:val="single" w:color="auto" w:sz="4" w:space="0"/>
              <w:right w:val="single" w:color="auto" w:sz="4" w:space="0"/>
            </w:tcBorders>
            <w:vAlign w:val="center"/>
          </w:tcPr>
          <w:p>
            <w:pPr>
              <w:pStyle w:val="53"/>
              <w:spacing w:before="0" w:beforeAutospacing="0" w:after="0" w:afterAutospacing="0" w:line="460" w:lineRule="exact"/>
              <w:rPr>
                <w:rFonts w:hint="default"/>
                <w:color w:val="auto"/>
                <w:sz w:val="21"/>
                <w:szCs w:val="21"/>
                <w:highlight w:val="none"/>
                <w:lang w:val="en-US" w:eastAsia="zh-CN"/>
              </w:rPr>
            </w:pPr>
            <w:r>
              <w:rPr>
                <w:rFonts w:hint="eastAsia" w:ascii="微软雅黑" w:hAnsi="微软雅黑" w:eastAsia="微软雅黑" w:cs="微软雅黑"/>
                <w:color w:val="auto"/>
                <w:sz w:val="21"/>
                <w:szCs w:val="21"/>
                <w:highlight w:val="none"/>
              </w:rPr>
              <w:t>预算金额：人民币</w:t>
            </w:r>
            <w:r>
              <w:rPr>
                <w:rFonts w:hint="eastAsia" w:ascii="微软雅黑" w:hAnsi="微软雅黑" w:eastAsia="微软雅黑" w:cs="微软雅黑"/>
                <w:color w:val="auto"/>
                <w:sz w:val="21"/>
                <w:szCs w:val="21"/>
                <w:highlight w:val="none"/>
                <w:lang w:val="en-US" w:eastAsia="zh-CN"/>
              </w:rPr>
              <w:t>420000.00</w:t>
            </w:r>
            <w:r>
              <w:rPr>
                <w:rFonts w:hint="eastAsia" w:ascii="微软雅黑" w:hAnsi="微软雅黑" w:eastAsia="微软雅黑" w:cs="微软雅黑"/>
                <w:color w:val="auto"/>
                <w:sz w:val="21"/>
                <w:szCs w:val="21"/>
                <w:highlight w:val="none"/>
              </w:rPr>
              <w:t>元</w:t>
            </w:r>
            <w:r>
              <w:rPr>
                <w:rFonts w:hint="eastAsia" w:ascii="微软雅黑" w:hAnsi="微软雅黑" w:eastAsia="微软雅黑" w:cs="微软雅黑"/>
                <w:color w:val="auto"/>
                <w:sz w:val="21"/>
                <w:szCs w:val="21"/>
                <w:highlight w:val="none"/>
                <w:lang w:eastAsia="zh-CN"/>
              </w:rPr>
              <w:t>（一标段：人民币</w:t>
            </w:r>
            <w:r>
              <w:rPr>
                <w:rFonts w:hint="eastAsia" w:ascii="微软雅黑" w:hAnsi="微软雅黑" w:eastAsia="微软雅黑" w:cs="微软雅黑"/>
                <w:color w:val="auto"/>
                <w:sz w:val="21"/>
                <w:szCs w:val="21"/>
                <w:highlight w:val="none"/>
                <w:lang w:val="en-US" w:eastAsia="zh-CN"/>
              </w:rPr>
              <w:t>105000.00元；二标段：人民币105000.00元；三标段：人民币105000.00元；四标段：人民币105000.00元；）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after="0" w:line="50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5</w:t>
            </w:r>
          </w:p>
        </w:tc>
        <w:tc>
          <w:tcPr>
            <w:tcW w:w="8350" w:type="dxa"/>
            <w:tcBorders>
              <w:top w:val="single" w:color="auto" w:sz="4" w:space="0"/>
              <w:left w:val="single" w:color="auto" w:sz="4" w:space="0"/>
              <w:bottom w:val="single" w:color="auto" w:sz="4" w:space="0"/>
              <w:right w:val="single" w:color="auto" w:sz="4" w:space="0"/>
            </w:tcBorders>
            <w:vAlign w:val="center"/>
          </w:tcPr>
          <w:p>
            <w:pPr>
              <w:snapToGrid w:val="0"/>
              <w:spacing w:after="0" w:line="50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投标保证金：无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6"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after="0" w:line="50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6</w:t>
            </w:r>
          </w:p>
        </w:tc>
        <w:tc>
          <w:tcPr>
            <w:tcW w:w="8350" w:type="dxa"/>
            <w:tcBorders>
              <w:top w:val="single" w:color="auto" w:sz="4" w:space="0"/>
              <w:left w:val="single" w:color="auto" w:sz="4" w:space="0"/>
              <w:bottom w:val="single" w:color="auto" w:sz="4" w:space="0"/>
              <w:right w:val="single" w:color="auto" w:sz="4" w:space="0"/>
            </w:tcBorders>
            <w:vAlign w:val="center"/>
          </w:tcPr>
          <w:p>
            <w:pPr>
              <w:pStyle w:val="53"/>
              <w:spacing w:before="0" w:beforeAutospacing="0" w:after="0" w:afterAutospacing="0" w:line="500" w:lineRule="exact"/>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rPr>
              <w:t>现场踏勘：</w:t>
            </w:r>
            <w:r>
              <w:rPr>
                <w:rFonts w:hint="eastAsia" w:ascii="微软雅黑" w:hAnsi="微软雅黑" w:eastAsia="微软雅黑" w:cs="微软雅黑"/>
                <w:color w:val="auto"/>
                <w:sz w:val="21"/>
                <w:szCs w:val="21"/>
                <w:highlight w:val="none"/>
                <w:lang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4"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after="0" w:line="50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7</w:t>
            </w:r>
          </w:p>
        </w:tc>
        <w:tc>
          <w:tcPr>
            <w:tcW w:w="835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after="0" w:line="500" w:lineRule="exact"/>
              <w:textAlignment w:val="bottom"/>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竞争性磋商响应文件组成：</w:t>
            </w:r>
            <w:r>
              <w:rPr>
                <w:rFonts w:hint="eastAsia" w:ascii="微软雅黑" w:hAnsi="微软雅黑" w:eastAsia="微软雅黑" w:cs="微软雅黑"/>
                <w:bCs/>
                <w:color w:val="auto"/>
                <w:szCs w:val="21"/>
                <w:highlight w:val="none"/>
              </w:rPr>
              <w:t>完整的《竞争性磋商响应文件》由</w:t>
            </w:r>
            <w:r>
              <w:rPr>
                <w:rFonts w:hint="eastAsia" w:ascii="微软雅黑" w:hAnsi="微软雅黑" w:eastAsia="微软雅黑" w:cs="微软雅黑"/>
                <w:b/>
                <w:color w:val="auto"/>
                <w:szCs w:val="21"/>
                <w:highlight w:val="none"/>
              </w:rPr>
              <w:t>资信技术文件及商务报价文件二部份组成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after="0" w:line="50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8</w:t>
            </w:r>
          </w:p>
        </w:tc>
        <w:tc>
          <w:tcPr>
            <w:tcW w:w="8350" w:type="dxa"/>
            <w:tcBorders>
              <w:top w:val="single" w:color="auto" w:sz="4" w:space="0"/>
              <w:left w:val="single" w:color="auto" w:sz="4" w:space="0"/>
              <w:bottom w:val="single" w:color="auto" w:sz="4" w:space="0"/>
              <w:right w:val="single" w:color="auto" w:sz="4" w:space="0"/>
            </w:tcBorders>
            <w:vAlign w:val="center"/>
          </w:tcPr>
          <w:p>
            <w:pPr>
              <w:spacing w:after="0" w:line="500" w:lineRule="exact"/>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竞争性磋商响应文件的编制：供应商应先安装“政采云电子交易客户端”，并按照本竞争性磋商文件和“政府采购云平台”的要求，通过“政采云电子交易客户端”编制并加密竞争性磋商响应文件。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after="0" w:line="50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9</w:t>
            </w:r>
          </w:p>
        </w:tc>
        <w:tc>
          <w:tcPr>
            <w:tcW w:w="8350" w:type="dxa"/>
            <w:tcBorders>
              <w:top w:val="single" w:color="auto" w:sz="4" w:space="0"/>
              <w:left w:val="single" w:color="auto" w:sz="4" w:space="0"/>
              <w:bottom w:val="single" w:color="auto" w:sz="4" w:space="0"/>
              <w:right w:val="single" w:color="auto" w:sz="4" w:space="0"/>
            </w:tcBorders>
            <w:vAlign w:val="center"/>
          </w:tcPr>
          <w:p>
            <w:pPr>
              <w:spacing w:after="0" w:line="500" w:lineRule="exact"/>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竞争性磋商响应文件的签章：电子签章。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after="0" w:line="50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10</w:t>
            </w:r>
          </w:p>
        </w:tc>
        <w:tc>
          <w:tcPr>
            <w:tcW w:w="8350" w:type="dxa"/>
            <w:tcBorders>
              <w:top w:val="single" w:color="auto" w:sz="4" w:space="0"/>
              <w:left w:val="single" w:color="auto" w:sz="4" w:space="0"/>
              <w:bottom w:val="single" w:color="auto" w:sz="4" w:space="0"/>
              <w:right w:val="single" w:color="auto" w:sz="4" w:space="0"/>
            </w:tcBorders>
            <w:vAlign w:val="center"/>
          </w:tcPr>
          <w:p>
            <w:pPr>
              <w:spacing w:after="0" w:line="500" w:lineRule="exact"/>
              <w:jc w:val="lef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竞争性磋商响应文件的形式：</w:t>
            </w:r>
            <w:r>
              <w:rPr>
                <w:rFonts w:hint="eastAsia" w:ascii="微软雅黑" w:hAnsi="微软雅黑" w:eastAsia="微软雅黑" w:cs="微软雅黑"/>
                <w:bCs/>
                <w:color w:val="auto"/>
                <w:szCs w:val="21"/>
                <w:highlight w:val="none"/>
              </w:rPr>
              <w:t>☑电子竞争性磋商响应文件（包括“电子加密竞争性磋商响应文件”和“备份竞争性磋商响应文件”，在竞争性磋商响应文件编制完成后同时生成）；</w:t>
            </w:r>
          </w:p>
          <w:p>
            <w:pPr>
              <w:spacing w:after="0" w:line="500" w:lineRule="exact"/>
              <w:jc w:val="left"/>
              <w:rPr>
                <w:rFonts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（1）“电子加密竞争性磋商响应文件”是指通过“政采云电子交易客户端”完成竞争性磋商响应文件编制后生成并加密的数据电文形式的竞争性磋商响应文件。</w:t>
            </w:r>
          </w:p>
          <w:p>
            <w:pPr>
              <w:snapToGrid w:val="0"/>
              <w:spacing w:after="0" w:line="500" w:lineRule="exact"/>
              <w:rPr>
                <w:rFonts w:ascii="微软雅黑" w:hAnsi="微软雅黑" w:eastAsia="微软雅黑" w:cs="微软雅黑"/>
                <w:color w:val="auto"/>
                <w:szCs w:val="21"/>
                <w:highlight w:val="none"/>
              </w:rPr>
            </w:pPr>
            <w:r>
              <w:rPr>
                <w:rFonts w:hint="eastAsia" w:ascii="微软雅黑" w:hAnsi="微软雅黑" w:eastAsia="微软雅黑" w:cs="微软雅黑"/>
                <w:bCs/>
                <w:color w:val="auto"/>
                <w:szCs w:val="21"/>
                <w:highlight w:val="none"/>
              </w:rPr>
              <w:t>（2）“备份竞争性磋商响应文件”是指与“电子加密竞争性磋商响应文件”同时生成的数据电文形式的电子文件（备份标书），其他方式编制的备份竞争性磋商响应文件视为无效备份竞争性磋商响应文件。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after="0" w:line="50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11</w:t>
            </w:r>
          </w:p>
        </w:tc>
        <w:tc>
          <w:tcPr>
            <w:tcW w:w="8350" w:type="dxa"/>
            <w:tcBorders>
              <w:top w:val="single" w:color="auto" w:sz="4" w:space="0"/>
              <w:left w:val="single" w:color="auto" w:sz="4" w:space="0"/>
              <w:bottom w:val="single" w:color="auto" w:sz="4" w:space="0"/>
              <w:right w:val="single" w:color="auto" w:sz="4" w:space="0"/>
            </w:tcBorders>
            <w:vAlign w:val="center"/>
          </w:tcPr>
          <w:p>
            <w:pPr>
              <w:snapToGrid w:val="0"/>
              <w:spacing w:after="0" w:line="50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竞争性磋商响应文件份数：</w:t>
            </w:r>
            <w:r>
              <w:rPr>
                <w:rFonts w:hint="eastAsia" w:ascii="微软雅黑" w:hAnsi="微软雅黑" w:eastAsia="微软雅黑" w:cs="微软雅黑"/>
                <w:bCs/>
                <w:color w:val="auto"/>
                <w:szCs w:val="21"/>
                <w:highlight w:val="none"/>
              </w:rPr>
              <w:t>（1）“电子加密竞争性磋商响应文件”：在线上传递交。（2）“备份竞争性磋商响应文件”：密封包装后（邮寄形式）投标截止时间前递交、一份（邮寄地址：嘉兴市秀洲区新平路299号中禾广场23楼嘉兴市千秋工程咨询有限公司（章莉莉电话：13605735186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after="0" w:line="50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12</w:t>
            </w:r>
          </w:p>
        </w:tc>
        <w:tc>
          <w:tcPr>
            <w:tcW w:w="8350" w:type="dxa"/>
            <w:tcBorders>
              <w:top w:val="single" w:color="auto" w:sz="4" w:space="0"/>
              <w:left w:val="single" w:color="auto" w:sz="4" w:space="0"/>
              <w:bottom w:val="single" w:color="auto" w:sz="4" w:space="0"/>
              <w:right w:val="single" w:color="auto" w:sz="4" w:space="0"/>
            </w:tcBorders>
            <w:vAlign w:val="center"/>
          </w:tcPr>
          <w:p>
            <w:pPr>
              <w:spacing w:after="0" w:line="500" w:lineRule="exact"/>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竞争性磋商响应文件的上传和递交：</w:t>
            </w:r>
          </w:p>
          <w:p>
            <w:pPr>
              <w:spacing w:after="0" w:line="500" w:lineRule="exact"/>
              <w:jc w:val="left"/>
              <w:rPr>
                <w:rFonts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（1）“电子加密竞争性磋商响应文件”的上传、递交：</w:t>
            </w:r>
          </w:p>
          <w:p>
            <w:pPr>
              <w:spacing w:after="0" w:line="500" w:lineRule="exact"/>
              <w:jc w:val="left"/>
              <w:rPr>
                <w:rFonts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a.投标供应商应在投标截止时间前将“电子加密竞争性磋商响应文件”成功上传递交至“政府采购云平台”，否则投标无效。</w:t>
            </w:r>
          </w:p>
          <w:p>
            <w:pPr>
              <w:spacing w:after="0" w:line="500" w:lineRule="exact"/>
              <w:jc w:val="left"/>
              <w:rPr>
                <w:rFonts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b.“电子加密竞争性磋商响应文件”成功上传递交后，供应商可自行打印竞争性磋商响应文件接收回执。</w:t>
            </w:r>
          </w:p>
          <w:p>
            <w:pPr>
              <w:spacing w:after="0" w:line="500" w:lineRule="exact"/>
              <w:jc w:val="left"/>
              <w:rPr>
                <w:rFonts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（2）“备份竞争性磋商响应文件”的密封包装、递交：</w:t>
            </w:r>
          </w:p>
          <w:p>
            <w:pPr>
              <w:spacing w:after="0" w:line="500" w:lineRule="exact"/>
              <w:jc w:val="left"/>
              <w:rPr>
                <w:rFonts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a、投标供应商在“政府采购云平台”完成“电子加密竞争性磋商响应文件”的上传递交后，还可以（邮寄形式）在投标截止时间前递交以介质（U盘）存储的“备份竞争性磋商响应文件”（一份）；</w:t>
            </w:r>
          </w:p>
          <w:p>
            <w:pPr>
              <w:spacing w:after="0" w:line="500" w:lineRule="exact"/>
              <w:jc w:val="left"/>
              <w:rPr>
                <w:rFonts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b.“备份竞争性磋商响应文件”应当密封包装，并在包装上标注投标项目名称、投标单位名称并加盖公章。没有密封包装或者逾期邮寄送达至上述邮寄地点的“备份竞争性磋商响应文件”将不予接收；</w:t>
            </w:r>
          </w:p>
          <w:p>
            <w:pPr>
              <w:snapToGrid w:val="0"/>
              <w:spacing w:after="0" w:line="500" w:lineRule="exact"/>
              <w:rPr>
                <w:rFonts w:ascii="微软雅黑" w:hAnsi="微软雅黑" w:eastAsia="微软雅黑" w:cs="微软雅黑"/>
                <w:color w:val="auto"/>
                <w:szCs w:val="21"/>
                <w:highlight w:val="none"/>
              </w:rPr>
            </w:pPr>
            <w:r>
              <w:rPr>
                <w:rFonts w:hint="eastAsia" w:ascii="微软雅黑" w:hAnsi="微软雅黑" w:eastAsia="微软雅黑" w:cs="微软雅黑"/>
                <w:bCs/>
                <w:color w:val="auto"/>
                <w:szCs w:val="21"/>
                <w:highlight w:val="none"/>
              </w:rPr>
              <w:t>c.通过“政府采购云平台”成功上传递交的“电子加密竞争性磋商响应文件”已按时解密的，“备份竞争性磋商响应文件”自动失效。投标截止时间前，投标供应商仅递交了“备份竞争性磋商响应文件”而未将“电子加密竞争性磋商响应文件”成功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after="0" w:line="50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13</w:t>
            </w:r>
          </w:p>
        </w:tc>
        <w:tc>
          <w:tcPr>
            <w:tcW w:w="8350" w:type="dxa"/>
            <w:tcBorders>
              <w:top w:val="single" w:color="auto" w:sz="4" w:space="0"/>
              <w:left w:val="single" w:color="auto" w:sz="4" w:space="0"/>
              <w:bottom w:val="single" w:color="auto" w:sz="4" w:space="0"/>
              <w:right w:val="single" w:color="auto" w:sz="4" w:space="0"/>
            </w:tcBorders>
            <w:vAlign w:val="center"/>
          </w:tcPr>
          <w:p>
            <w:pPr>
              <w:spacing w:after="0" w:line="500" w:lineRule="exact"/>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电子加密竞争性磋商响应文件的解密和异常情况处理：</w:t>
            </w:r>
          </w:p>
          <w:p>
            <w:pPr>
              <w:spacing w:after="0" w:line="500" w:lineRule="exact"/>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（1）开标后，采购组织机构将向各投标供应商发出“电子加密竞争性磋商响应文件”的解密通知，各投标供应商代表应当在接到解密通知后30分钟内自行完成“电子加密竞争性磋商响应文件”的在线解密。</w:t>
            </w:r>
          </w:p>
          <w:p>
            <w:pPr>
              <w:spacing w:after="0" w:line="500" w:lineRule="exact"/>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通过“政府采购云平台”成功上传递交的“电子加密竞争性磋商响应文件”无法按时解密，投标供应商如按规定递交了“备份竞争性磋商响应文件”的，以“备份竞争性磋商响应文件”为依据（由采购组织机构按“政府采购云平台”操作规范将“备份竞争性磋商响应文件”上传至“政府采购云平台”，上传成功后，“电子加密竞争性磋商响应文件”自动失效），否则视为竞争性磋商响应文件撤回。</w:t>
            </w:r>
          </w:p>
          <w:p>
            <w:pPr>
              <w:spacing w:after="0" w:line="500" w:lineRule="exact"/>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（3）投标截止时间前，投标供应商仅递交了“备份竞争性磋商响应文件”而未将电子加密竞争性磋商响应文件上传至“政府采购云平台”的，投标无效。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after="0" w:line="50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14</w:t>
            </w:r>
          </w:p>
        </w:tc>
        <w:tc>
          <w:tcPr>
            <w:tcW w:w="8350" w:type="dxa"/>
            <w:tcBorders>
              <w:top w:val="single" w:color="auto" w:sz="4" w:space="0"/>
              <w:left w:val="single" w:color="auto" w:sz="4" w:space="0"/>
              <w:bottom w:val="single" w:color="auto" w:sz="4" w:space="0"/>
              <w:right w:val="single" w:color="auto" w:sz="4" w:space="0"/>
            </w:tcBorders>
            <w:vAlign w:val="center"/>
          </w:tcPr>
          <w:p>
            <w:pPr>
              <w:snapToGrid w:val="0"/>
              <w:spacing w:after="0" w:line="50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投标截止时间及地点：</w:t>
            </w:r>
            <w:r>
              <w:rPr>
                <w:rFonts w:hint="eastAsia" w:ascii="微软雅黑" w:hAnsi="微软雅黑" w:eastAsia="微软雅黑" w:cs="微软雅黑"/>
                <w:color w:val="auto"/>
                <w:sz w:val="21"/>
                <w:szCs w:val="21"/>
                <w:highlight w:val="none"/>
              </w:rPr>
              <w:t>2023年</w:t>
            </w:r>
            <w:r>
              <w:rPr>
                <w:rFonts w:hint="eastAsia" w:ascii="微软雅黑" w:hAnsi="微软雅黑" w:eastAsia="微软雅黑" w:cs="微软雅黑"/>
                <w:color w:val="auto"/>
                <w:sz w:val="21"/>
                <w:szCs w:val="21"/>
                <w:highlight w:val="none"/>
                <w:lang w:val="en-US" w:eastAsia="zh-CN"/>
              </w:rPr>
              <w:t>04</w:t>
            </w:r>
            <w:r>
              <w:rPr>
                <w:rFonts w:hint="eastAsia" w:ascii="微软雅黑" w:hAnsi="微软雅黑" w:eastAsia="微软雅黑" w:cs="微软雅黑"/>
                <w:color w:val="auto"/>
                <w:sz w:val="21"/>
                <w:szCs w:val="21"/>
                <w:highlight w:val="none"/>
              </w:rPr>
              <w:t>月</w:t>
            </w:r>
            <w:r>
              <w:rPr>
                <w:rFonts w:hint="eastAsia" w:ascii="微软雅黑" w:hAnsi="微软雅黑" w:eastAsia="微软雅黑" w:cs="微软雅黑"/>
                <w:color w:val="auto"/>
                <w:sz w:val="21"/>
                <w:szCs w:val="21"/>
                <w:highlight w:val="none"/>
                <w:lang w:val="en-US" w:eastAsia="zh-CN"/>
              </w:rPr>
              <w:t>17</w:t>
            </w:r>
            <w:r>
              <w:rPr>
                <w:rFonts w:hint="eastAsia" w:ascii="微软雅黑" w:hAnsi="微软雅黑" w:eastAsia="微软雅黑" w:cs="微软雅黑"/>
                <w:color w:val="auto"/>
                <w:sz w:val="21"/>
                <w:szCs w:val="21"/>
                <w:highlight w:val="none"/>
              </w:rPr>
              <w:t>日</w:t>
            </w:r>
            <w:r>
              <w:rPr>
                <w:rFonts w:hint="eastAsia" w:ascii="微软雅黑" w:hAnsi="微软雅黑" w:eastAsia="微软雅黑" w:cs="微软雅黑"/>
                <w:color w:val="auto"/>
                <w:sz w:val="21"/>
                <w:szCs w:val="21"/>
                <w:highlight w:val="none"/>
                <w:lang w:val="en-US" w:eastAsia="zh-CN"/>
              </w:rPr>
              <w:t>09</w:t>
            </w:r>
            <w:r>
              <w:rPr>
                <w:rFonts w:hint="eastAsia" w:ascii="微软雅黑" w:hAnsi="微软雅黑" w:eastAsia="微软雅黑" w:cs="微软雅黑"/>
                <w:color w:val="auto"/>
                <w:sz w:val="21"/>
                <w:szCs w:val="21"/>
                <w:highlight w:val="none"/>
                <w:lang w:eastAsia="zh-CN"/>
              </w:rPr>
              <w:t>：</w:t>
            </w:r>
            <w:r>
              <w:rPr>
                <w:rFonts w:hint="eastAsia" w:ascii="微软雅黑" w:hAnsi="微软雅黑" w:eastAsia="微软雅黑" w:cs="微软雅黑"/>
                <w:color w:val="auto"/>
                <w:sz w:val="21"/>
                <w:szCs w:val="21"/>
                <w:highlight w:val="none"/>
                <w:lang w:val="en-US" w:eastAsia="zh-CN"/>
              </w:rPr>
              <w:t>00</w:t>
            </w:r>
            <w:r>
              <w:rPr>
                <w:rFonts w:hint="eastAsia" w:ascii="微软雅黑" w:hAnsi="微软雅黑" w:eastAsia="微软雅黑" w:cs="微软雅黑"/>
                <w:color w:val="auto"/>
                <w:szCs w:val="21"/>
                <w:highlight w:val="none"/>
              </w:rPr>
              <w:t>，政采云线上投标；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after="0" w:line="50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15</w:t>
            </w:r>
          </w:p>
        </w:tc>
        <w:tc>
          <w:tcPr>
            <w:tcW w:w="8350" w:type="dxa"/>
            <w:tcBorders>
              <w:top w:val="single" w:color="auto" w:sz="4" w:space="0"/>
              <w:left w:val="single" w:color="auto" w:sz="4" w:space="0"/>
              <w:bottom w:val="single" w:color="auto" w:sz="4" w:space="0"/>
              <w:right w:val="single" w:color="auto" w:sz="4" w:space="0"/>
            </w:tcBorders>
            <w:vAlign w:val="center"/>
          </w:tcPr>
          <w:p>
            <w:pPr>
              <w:widowControl/>
              <w:snapToGrid w:val="0"/>
              <w:spacing w:after="0" w:line="500" w:lineRule="exact"/>
              <w:jc w:val="left"/>
              <w:rPr>
                <w:rStyle w:val="197"/>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开标时间及地点：</w:t>
            </w:r>
            <w:r>
              <w:rPr>
                <w:rFonts w:hint="eastAsia" w:ascii="微软雅黑" w:hAnsi="微软雅黑" w:eastAsia="微软雅黑" w:cs="微软雅黑"/>
                <w:color w:val="auto"/>
                <w:sz w:val="21"/>
                <w:szCs w:val="21"/>
                <w:highlight w:val="none"/>
              </w:rPr>
              <w:t>2023年</w:t>
            </w:r>
            <w:r>
              <w:rPr>
                <w:rFonts w:hint="eastAsia" w:ascii="微软雅黑" w:hAnsi="微软雅黑" w:eastAsia="微软雅黑" w:cs="微软雅黑"/>
                <w:color w:val="auto"/>
                <w:sz w:val="21"/>
                <w:szCs w:val="21"/>
                <w:highlight w:val="none"/>
                <w:lang w:val="en-US" w:eastAsia="zh-CN"/>
              </w:rPr>
              <w:t>04</w:t>
            </w:r>
            <w:r>
              <w:rPr>
                <w:rFonts w:hint="eastAsia" w:ascii="微软雅黑" w:hAnsi="微软雅黑" w:eastAsia="微软雅黑" w:cs="微软雅黑"/>
                <w:color w:val="auto"/>
                <w:sz w:val="21"/>
                <w:szCs w:val="21"/>
                <w:highlight w:val="none"/>
              </w:rPr>
              <w:t>月</w:t>
            </w:r>
            <w:r>
              <w:rPr>
                <w:rFonts w:hint="eastAsia" w:ascii="微软雅黑" w:hAnsi="微软雅黑" w:eastAsia="微软雅黑" w:cs="微软雅黑"/>
                <w:color w:val="auto"/>
                <w:sz w:val="21"/>
                <w:szCs w:val="21"/>
                <w:highlight w:val="none"/>
                <w:lang w:val="en-US" w:eastAsia="zh-CN"/>
              </w:rPr>
              <w:t>17</w:t>
            </w:r>
            <w:r>
              <w:rPr>
                <w:rFonts w:hint="eastAsia" w:ascii="微软雅黑" w:hAnsi="微软雅黑" w:eastAsia="微软雅黑" w:cs="微软雅黑"/>
                <w:color w:val="auto"/>
                <w:sz w:val="21"/>
                <w:szCs w:val="21"/>
                <w:highlight w:val="none"/>
              </w:rPr>
              <w:t>日</w:t>
            </w:r>
            <w:r>
              <w:rPr>
                <w:rFonts w:hint="eastAsia" w:ascii="微软雅黑" w:hAnsi="微软雅黑" w:eastAsia="微软雅黑" w:cs="微软雅黑"/>
                <w:color w:val="auto"/>
                <w:sz w:val="21"/>
                <w:szCs w:val="21"/>
                <w:highlight w:val="none"/>
                <w:lang w:val="en-US" w:eastAsia="zh-CN"/>
              </w:rPr>
              <w:t>09</w:t>
            </w:r>
            <w:r>
              <w:rPr>
                <w:rFonts w:hint="eastAsia" w:ascii="微软雅黑" w:hAnsi="微软雅黑" w:eastAsia="微软雅黑" w:cs="微软雅黑"/>
                <w:color w:val="auto"/>
                <w:sz w:val="21"/>
                <w:szCs w:val="21"/>
                <w:highlight w:val="none"/>
                <w:lang w:eastAsia="zh-CN"/>
              </w:rPr>
              <w:t>：</w:t>
            </w:r>
            <w:r>
              <w:rPr>
                <w:rFonts w:hint="eastAsia" w:ascii="微软雅黑" w:hAnsi="微软雅黑" w:eastAsia="微软雅黑" w:cs="微软雅黑"/>
                <w:color w:val="auto"/>
                <w:sz w:val="21"/>
                <w:szCs w:val="21"/>
                <w:highlight w:val="none"/>
                <w:lang w:val="en-US" w:eastAsia="zh-CN"/>
              </w:rPr>
              <w:t>00</w:t>
            </w:r>
            <w:r>
              <w:rPr>
                <w:rStyle w:val="197"/>
                <w:rFonts w:hint="eastAsia" w:ascii="微软雅黑" w:hAnsi="微软雅黑" w:eastAsia="微软雅黑" w:cs="微软雅黑"/>
                <w:color w:val="auto"/>
                <w:szCs w:val="21"/>
                <w:highlight w:val="none"/>
              </w:rPr>
              <w:t>；</w:t>
            </w:r>
          </w:p>
          <w:p>
            <w:pPr>
              <w:widowControl/>
              <w:snapToGrid w:val="0"/>
              <w:spacing w:after="0" w:line="500" w:lineRule="exact"/>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u w:val="single"/>
              </w:rPr>
              <w:t> </w:t>
            </w:r>
            <w:r>
              <w:rPr>
                <w:rStyle w:val="197"/>
                <w:rFonts w:hint="eastAsia" w:ascii="微软雅黑" w:hAnsi="微软雅黑" w:eastAsia="微软雅黑" w:cs="微软雅黑"/>
                <w:color w:val="auto"/>
                <w:szCs w:val="21"/>
                <w:highlight w:val="none"/>
                <w:u w:val="single"/>
              </w:rPr>
              <w:t>嘉兴市千秋工程咨询有限公司三号会议室（嘉兴市秀洲区新平路299号中禾广场23楼）</w:t>
            </w:r>
            <w:r>
              <w:rPr>
                <w:rFonts w:hint="eastAsia" w:ascii="微软雅黑" w:hAnsi="微软雅黑" w:eastAsia="微软雅黑" w:cs="微软雅黑"/>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after="0" w:line="50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16</w:t>
            </w:r>
          </w:p>
        </w:tc>
        <w:tc>
          <w:tcPr>
            <w:tcW w:w="835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after="0" w:line="500" w:lineRule="exact"/>
              <w:textAlignment w:val="bottom"/>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投标费用：中标单位支付招标代理服务费（收费标准详见竞争性磋商文件）；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after="0" w:line="50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17</w:t>
            </w:r>
          </w:p>
        </w:tc>
        <w:tc>
          <w:tcPr>
            <w:tcW w:w="835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after="0" w:line="500" w:lineRule="exact"/>
              <w:textAlignment w:val="bottom"/>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评标办法及评分标准：详见第四章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after="0" w:line="50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18</w:t>
            </w:r>
          </w:p>
        </w:tc>
        <w:tc>
          <w:tcPr>
            <w:tcW w:w="835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after="0" w:line="500" w:lineRule="exact"/>
              <w:jc w:val="left"/>
              <w:textAlignment w:val="bottom"/>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评标结果公告：评标结束后2天内，评标结果公告于浙江政府采购网(https://zfcg.czt.zj.gov.cn/)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after="0" w:line="50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19</w:t>
            </w:r>
          </w:p>
        </w:tc>
        <w:tc>
          <w:tcPr>
            <w:tcW w:w="835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after="0" w:line="500" w:lineRule="exact"/>
              <w:textAlignment w:val="bottom"/>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中标公告：中标公告发布于上述媒体，公告1个工作日；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after="0" w:line="50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20</w:t>
            </w:r>
          </w:p>
        </w:tc>
        <w:tc>
          <w:tcPr>
            <w:tcW w:w="835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after="0" w:line="500" w:lineRule="exact"/>
              <w:textAlignment w:val="bottom"/>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 xml:space="preserve">履约保证金的收取及退还： </w:t>
            </w:r>
            <w:r>
              <w:rPr>
                <w:rFonts w:hint="eastAsia" w:ascii="微软雅黑" w:hAnsi="微软雅黑" w:eastAsia="微软雅黑" w:cs="微软雅黑"/>
                <w:color w:val="auto"/>
                <w:szCs w:val="21"/>
                <w:highlight w:val="none"/>
              </w:rPr>
              <w:br w:type="textWrapping"/>
            </w:r>
            <w:r>
              <w:rPr>
                <w:rFonts w:hint="eastAsia" w:ascii="微软雅黑" w:hAnsi="微软雅黑" w:eastAsia="微软雅黑" w:cs="微软雅黑"/>
                <w:color w:val="auto"/>
                <w:szCs w:val="21"/>
                <w:highlight w:val="none"/>
              </w:rPr>
              <w:t>（根据《浙江省财政厅关于进一步加大政府采购 支持中小企业力度 助力扎实稳住经济的通知》（浙财采监〔2022〕8号）规定：鼓励采购单位免收履约保证金，政府采购货物和服务项目确需收取履约保证金的，最高比例不超过合同金额的1%。</w:t>
            </w:r>
            <w:r>
              <w:rPr>
                <w:rFonts w:hint="eastAsia" w:ascii="微软雅黑" w:hAnsi="微软雅黑" w:eastAsia="微软雅黑" w:cs="微软雅黑"/>
                <w:color w:val="auto"/>
                <w:szCs w:val="21"/>
                <w:highlight w:val="none"/>
              </w:rPr>
              <w:br w:type="textWrapping"/>
            </w:r>
            <w:r>
              <w:rPr>
                <w:rFonts w:hint="eastAsia" w:ascii="微软雅黑" w:hAnsi="微软雅黑" w:eastAsia="微软雅黑" w:cs="微软雅黑"/>
                <w:color w:val="auto"/>
                <w:szCs w:val="21"/>
                <w:highlight w:val="none"/>
              </w:rPr>
              <w:t>根据《浙江省财政厅关于进一步发挥政府采购政策功能全力推动经济稳进提质的通知》[浙财采监〔2022〕3号]规定：项目验收结束后应及时退还。供应商以银行、保险公司出具保函形式提交履约保证金的，采购单位不得拒收。政府采购货物和服务项目不得收取质量保证金，政府采购工程以及与工程建设有关的货物、服务，采用招标方式采购的，按国家和省有关规定执行。）</w:t>
            </w:r>
          </w:p>
          <w:p>
            <w:pPr>
              <w:autoSpaceDE w:val="0"/>
              <w:autoSpaceDN w:val="0"/>
              <w:snapToGrid w:val="0"/>
              <w:spacing w:after="0" w:line="500" w:lineRule="exact"/>
              <w:textAlignment w:val="bottom"/>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 xml:space="preserve">采购中标人在收到中标通知书后，需向采购人提供不超过合同总价1%的履约保证金,在中标人与采购人签订合同前递交,投标人可以支票、汇票、本票或者金融机构、保险公司、担保机构出具的保函/保险等非现金形式提交，建议优先使用保险/保函。中标供应商若想了解或使用保险/保函，可通过政采云平台或其他渠道进行咨询。政采云金融热线400-903-9583，也可登录政采云平台查看相关内容: </w:t>
            </w:r>
            <w:r>
              <w:rPr>
                <w:color w:val="auto"/>
                <w:highlight w:val="none"/>
              </w:rPr>
              <w:fldChar w:fldCharType="begin"/>
            </w:r>
            <w:r>
              <w:rPr>
                <w:color w:val="auto"/>
                <w:highlight w:val="none"/>
              </w:rPr>
              <w:instrText xml:space="preserve"> HYPERLINK "https://jinrong.zcygov.cn/finance-service/" \l "/letter" </w:instrText>
            </w:r>
            <w:r>
              <w:rPr>
                <w:color w:val="auto"/>
                <w:highlight w:val="none"/>
              </w:rPr>
              <w:fldChar w:fldCharType="separate"/>
            </w:r>
            <w:r>
              <w:rPr>
                <w:rStyle w:val="70"/>
                <w:rFonts w:hint="eastAsia" w:ascii="微软雅黑" w:hAnsi="微软雅黑" w:eastAsia="微软雅黑" w:cs="微软雅黑"/>
                <w:color w:val="auto"/>
                <w:szCs w:val="21"/>
                <w:highlight w:val="none"/>
              </w:rPr>
              <w:t>https://jinrong.zcygov.cn/finance-service/#/letter</w:t>
            </w:r>
            <w:r>
              <w:rPr>
                <w:rStyle w:val="70"/>
                <w:rFonts w:hint="eastAsia" w:ascii="微软雅黑" w:hAnsi="微软雅黑" w:eastAsia="微软雅黑" w:cs="微软雅黑"/>
                <w:color w:val="auto"/>
                <w:szCs w:val="21"/>
                <w:highlight w:val="none"/>
              </w:rPr>
              <w:fldChar w:fldCharType="end"/>
            </w:r>
            <w:r>
              <w:rPr>
                <w:rFonts w:hint="eastAsia" w:ascii="微软雅黑" w:hAnsi="微软雅黑" w:eastAsia="微软雅黑" w:cs="微软雅黑"/>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after="0" w:line="50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21</w:t>
            </w:r>
          </w:p>
        </w:tc>
        <w:tc>
          <w:tcPr>
            <w:tcW w:w="835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after="0" w:line="500" w:lineRule="exact"/>
              <w:textAlignment w:val="bottom"/>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after="0" w:line="50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22</w:t>
            </w:r>
          </w:p>
        </w:tc>
        <w:tc>
          <w:tcPr>
            <w:tcW w:w="835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after="0" w:line="500" w:lineRule="exact"/>
              <w:textAlignment w:val="bottom"/>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竞争性磋商响应文件有效期：</w:t>
            </w:r>
            <w:r>
              <w:rPr>
                <w:rFonts w:hint="eastAsia" w:ascii="微软雅黑" w:hAnsi="微软雅黑" w:eastAsia="微软雅黑" w:cs="微软雅黑"/>
                <w:color w:val="auto"/>
                <w:szCs w:val="21"/>
                <w:highlight w:val="none"/>
                <w:u w:val="single"/>
              </w:rPr>
              <w:t>60</w:t>
            </w:r>
            <w:r>
              <w:rPr>
                <w:rFonts w:hint="eastAsia" w:ascii="微软雅黑" w:hAnsi="微软雅黑" w:eastAsia="微软雅黑" w:cs="微软雅黑"/>
                <w:color w:val="auto"/>
                <w:szCs w:val="21"/>
                <w:highlight w:val="none"/>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after="0" w:line="50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23</w:t>
            </w:r>
          </w:p>
        </w:tc>
        <w:tc>
          <w:tcPr>
            <w:tcW w:w="8350" w:type="dxa"/>
            <w:tcBorders>
              <w:top w:val="single" w:color="auto" w:sz="4" w:space="0"/>
              <w:left w:val="single" w:color="auto" w:sz="4" w:space="0"/>
              <w:bottom w:val="single" w:color="auto" w:sz="4" w:space="0"/>
              <w:right w:val="single" w:color="auto" w:sz="4" w:space="0"/>
            </w:tcBorders>
            <w:vAlign w:val="center"/>
          </w:tcPr>
          <w:p>
            <w:pPr>
              <w:snapToGrid w:val="0"/>
              <w:spacing w:after="0" w:line="50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kern w:val="0"/>
                <w:szCs w:val="21"/>
                <w:highlight w:val="none"/>
              </w:rPr>
              <w:t>网上注册：</w:t>
            </w:r>
            <w:r>
              <w:rPr>
                <w:rFonts w:hint="eastAsia" w:ascii="微软雅黑" w:hAnsi="微软雅黑" w:eastAsia="微软雅黑" w:cs="微软雅黑"/>
                <w:color w:val="auto"/>
                <w:kern w:val="0"/>
                <w:szCs w:val="21"/>
                <w:highlight w:val="none"/>
              </w:rPr>
              <w:br w:type="textWrapping"/>
            </w:r>
            <w:r>
              <w:rPr>
                <w:rFonts w:hint="eastAsia" w:ascii="微软雅黑" w:hAnsi="微软雅黑" w:eastAsia="微软雅黑" w:cs="微软雅黑"/>
                <w:color w:val="auto"/>
                <w:kern w:val="0"/>
                <w:szCs w:val="21"/>
                <w:highlight w:val="none"/>
              </w:rPr>
              <w:t>本项目不接受现场报名，须注册后进行网上报名。在浙江政府采购网进行供应商注册后完成报名；（详情请见第一章公告“七、报名及竞争性磋商文件的获取”）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after="0" w:line="50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24</w:t>
            </w:r>
          </w:p>
        </w:tc>
        <w:tc>
          <w:tcPr>
            <w:tcW w:w="8350" w:type="dxa"/>
            <w:tcBorders>
              <w:top w:val="single" w:color="auto" w:sz="4" w:space="0"/>
              <w:left w:val="single" w:color="auto" w:sz="4" w:space="0"/>
              <w:bottom w:val="single" w:color="auto" w:sz="4" w:space="0"/>
              <w:right w:val="single" w:color="auto" w:sz="4" w:space="0"/>
            </w:tcBorders>
            <w:vAlign w:val="center"/>
          </w:tcPr>
          <w:p>
            <w:pPr>
              <w:snapToGrid w:val="0"/>
              <w:spacing w:after="0" w:line="50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注：根据财库（[2015] 124号）采用竞争性磋商采购方式采购的政府购买服务项目（含政府和社会资本合作项目），在采购过程中符合要求的供应商（社会资本）只有2家的，竞争性磋商采购活动可以继续进行。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1"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after="0" w:line="50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25</w:t>
            </w:r>
          </w:p>
        </w:tc>
        <w:tc>
          <w:tcPr>
            <w:tcW w:w="835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after="0" w:line="500" w:lineRule="exact"/>
              <w:textAlignment w:val="bottom"/>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解释：本竞争性磋商文件的解释权属于招标采购单位。</w:t>
            </w:r>
          </w:p>
        </w:tc>
      </w:tr>
    </w:tbl>
    <w:p>
      <w:pPr>
        <w:spacing w:after="0" w:line="500" w:lineRule="exact"/>
        <w:rPr>
          <w:rFonts w:ascii="微软雅黑" w:hAnsi="微软雅黑" w:eastAsia="微软雅黑" w:cs="微软雅黑"/>
          <w:color w:val="auto"/>
          <w:szCs w:val="21"/>
          <w:highlight w:val="none"/>
        </w:rPr>
      </w:pPr>
      <w:bookmarkStart w:id="19" w:name="_Toc493699292"/>
      <w:bookmarkStart w:id="20" w:name="_Toc192313101"/>
    </w:p>
    <w:p>
      <w:pPr>
        <w:pStyle w:val="8"/>
        <w:spacing w:before="0" w:after="0" w:line="500" w:lineRule="exact"/>
        <w:outlineLvl w:val="9"/>
        <w:rPr>
          <w:rFonts w:ascii="微软雅黑" w:hAnsi="微软雅黑" w:eastAsia="微软雅黑" w:cs="微软雅黑"/>
          <w:color w:val="auto"/>
          <w:sz w:val="21"/>
          <w:szCs w:val="21"/>
          <w:highlight w:val="none"/>
        </w:rPr>
        <w:sectPr>
          <w:headerReference r:id="rId13" w:type="first"/>
          <w:footerReference r:id="rId16" w:type="first"/>
          <w:headerReference r:id="rId11" w:type="default"/>
          <w:footerReference r:id="rId14" w:type="default"/>
          <w:headerReference r:id="rId12" w:type="even"/>
          <w:footerReference r:id="rId15" w:type="even"/>
          <w:pgSz w:w="11906" w:h="16838"/>
          <w:pgMar w:top="1440" w:right="1558" w:bottom="1440" w:left="1797" w:header="851" w:footer="992" w:gutter="0"/>
          <w:pgNumType w:start="1"/>
          <w:cols w:space="720" w:num="1"/>
          <w:docGrid w:linePitch="312" w:charSpace="0"/>
        </w:sectPr>
      </w:pPr>
      <w:bookmarkStart w:id="21" w:name="_Toc40788010"/>
      <w:bookmarkStart w:id="22" w:name="_Toc89266798"/>
      <w:bookmarkStart w:id="23" w:name="_Toc53062672"/>
      <w:bookmarkStart w:id="24" w:name="_Toc100764195"/>
    </w:p>
    <w:p>
      <w:pPr>
        <w:pStyle w:val="8"/>
        <w:spacing w:before="0" w:after="0" w:line="500" w:lineRule="exact"/>
        <w:ind w:firstLine="420" w:firstLineChars="20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一 总则</w:t>
      </w:r>
      <w:bookmarkEnd w:id="19"/>
      <w:bookmarkEnd w:id="20"/>
      <w:bookmarkEnd w:id="21"/>
      <w:bookmarkEnd w:id="22"/>
      <w:bookmarkEnd w:id="23"/>
      <w:bookmarkEnd w:id="24"/>
    </w:p>
    <w:p>
      <w:pPr>
        <w:snapToGrid w:val="0"/>
        <w:spacing w:after="0" w:line="500" w:lineRule="exact"/>
        <w:ind w:firstLine="420" w:firstLineChars="200"/>
        <w:jc w:val="left"/>
        <w:outlineLvl w:val="1"/>
        <w:rPr>
          <w:rFonts w:ascii="微软雅黑" w:hAnsi="微软雅黑" w:eastAsia="微软雅黑" w:cs="微软雅黑"/>
          <w:b/>
          <w:color w:val="auto"/>
          <w:szCs w:val="21"/>
          <w:highlight w:val="none"/>
        </w:rPr>
      </w:pPr>
      <w:bookmarkStart w:id="25" w:name="_Toc177824872"/>
      <w:bookmarkStart w:id="26" w:name="_Toc493082109"/>
      <w:bookmarkStart w:id="27" w:name="_Toc100764196"/>
      <w:bookmarkStart w:id="28" w:name="_Toc177870537"/>
      <w:bookmarkStart w:id="29" w:name="_Toc493699293"/>
      <w:bookmarkStart w:id="30" w:name="_Toc53062673"/>
      <w:bookmarkStart w:id="31" w:name="_Toc89266799"/>
      <w:bookmarkStart w:id="32" w:name="_Toc437979771"/>
      <w:bookmarkStart w:id="33" w:name="_Toc177824939"/>
      <w:bookmarkStart w:id="34" w:name="_Toc177825120"/>
      <w:bookmarkStart w:id="35" w:name="_Toc487793381"/>
      <w:bookmarkStart w:id="36" w:name="_Toc448487530"/>
      <w:bookmarkStart w:id="37" w:name="_Toc192313102"/>
      <w:bookmarkStart w:id="38" w:name="_Toc487802019"/>
      <w:bookmarkStart w:id="39" w:name="_Toc487802088"/>
      <w:bookmarkStart w:id="40" w:name="_Toc40788011"/>
      <w:r>
        <w:rPr>
          <w:rFonts w:hint="eastAsia" w:ascii="微软雅黑" w:hAnsi="微软雅黑" w:eastAsia="微软雅黑" w:cs="微软雅黑"/>
          <w:b/>
          <w:color w:val="auto"/>
          <w:szCs w:val="21"/>
          <w:highlight w:val="none"/>
        </w:rPr>
        <w:t>1、适用范围</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pPr>
        <w:snapToGrid w:val="0"/>
        <w:spacing w:after="0" w:line="500" w:lineRule="exact"/>
        <w:ind w:firstLine="420" w:firstLineChars="200"/>
        <w:jc w:val="left"/>
        <w:outlineLvl w:val="1"/>
        <w:rPr>
          <w:rFonts w:ascii="微软雅黑" w:hAnsi="微软雅黑" w:eastAsia="微软雅黑" w:cs="微软雅黑"/>
          <w:color w:val="auto"/>
          <w:szCs w:val="21"/>
          <w:highlight w:val="none"/>
        </w:rPr>
      </w:pPr>
      <w:bookmarkStart w:id="41" w:name="_Toc40788012"/>
      <w:bookmarkStart w:id="42" w:name="_Toc100764197"/>
      <w:bookmarkStart w:id="43" w:name="_Toc53062674"/>
      <w:bookmarkStart w:id="44" w:name="_Toc89266800"/>
      <w:r>
        <w:rPr>
          <w:rFonts w:hint="eastAsia" w:ascii="微软雅黑" w:hAnsi="微软雅黑" w:eastAsia="微软雅黑" w:cs="微软雅黑"/>
          <w:color w:val="auto"/>
          <w:szCs w:val="21"/>
          <w:highlight w:val="none"/>
        </w:rPr>
        <w:t>1.1、本磋商文件适用于本项目的磋商。</w:t>
      </w:r>
      <w:bookmarkEnd w:id="41"/>
      <w:bookmarkEnd w:id="42"/>
      <w:bookmarkEnd w:id="43"/>
      <w:bookmarkEnd w:id="44"/>
      <w:bookmarkStart w:id="45" w:name="_Toc437979772"/>
      <w:bookmarkStart w:id="46" w:name="_Toc487802020"/>
      <w:bookmarkStart w:id="47" w:name="_Toc177824940"/>
      <w:bookmarkStart w:id="48" w:name="_Toc487802089"/>
      <w:bookmarkStart w:id="49" w:name="_Toc487793382"/>
      <w:bookmarkStart w:id="50" w:name="_Toc177825121"/>
      <w:bookmarkStart w:id="51" w:name="_Toc448487531"/>
      <w:bookmarkStart w:id="52" w:name="_Toc493699294"/>
      <w:bookmarkStart w:id="53" w:name="_Toc493082110"/>
      <w:bookmarkStart w:id="54" w:name="_Toc177824873"/>
      <w:bookmarkStart w:id="55" w:name="_Toc177870538"/>
      <w:bookmarkStart w:id="56" w:name="_Toc192313103"/>
    </w:p>
    <w:p>
      <w:pPr>
        <w:snapToGrid w:val="0"/>
        <w:spacing w:after="0" w:line="500" w:lineRule="exact"/>
        <w:ind w:firstLine="420" w:firstLineChars="200"/>
        <w:jc w:val="left"/>
        <w:outlineLvl w:val="1"/>
        <w:rPr>
          <w:rFonts w:ascii="微软雅黑" w:hAnsi="微软雅黑" w:eastAsia="微软雅黑" w:cs="微软雅黑"/>
          <w:b/>
          <w:color w:val="auto"/>
          <w:szCs w:val="21"/>
          <w:highlight w:val="none"/>
        </w:rPr>
      </w:pPr>
      <w:bookmarkStart w:id="57" w:name="_Toc100764198"/>
      <w:bookmarkStart w:id="58" w:name="_Toc53062675"/>
      <w:bookmarkStart w:id="59" w:name="_Toc40788013"/>
      <w:bookmarkStart w:id="60" w:name="_Toc89266801"/>
      <w:r>
        <w:rPr>
          <w:rFonts w:hint="eastAsia" w:ascii="微软雅黑" w:hAnsi="微软雅黑" w:eastAsia="微软雅黑" w:cs="微软雅黑"/>
          <w:b/>
          <w:color w:val="auto"/>
          <w:szCs w:val="21"/>
          <w:highlight w:val="none"/>
        </w:rPr>
        <w:t>2、定义</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pPr>
        <w:snapToGrid w:val="0"/>
        <w:spacing w:after="0" w:line="500" w:lineRule="exact"/>
        <w:ind w:firstLine="420" w:firstLineChars="200"/>
        <w:jc w:val="left"/>
        <w:outlineLvl w:val="1"/>
        <w:rPr>
          <w:rFonts w:ascii="微软雅黑" w:hAnsi="微软雅黑" w:eastAsia="微软雅黑" w:cs="微软雅黑"/>
          <w:color w:val="auto"/>
          <w:szCs w:val="21"/>
          <w:highlight w:val="none"/>
        </w:rPr>
      </w:pPr>
      <w:bookmarkStart w:id="61" w:name="_Toc53062676"/>
      <w:bookmarkStart w:id="62" w:name="_Toc40788014"/>
      <w:bookmarkStart w:id="63" w:name="_Toc89266802"/>
      <w:bookmarkStart w:id="64" w:name="_Toc100764199"/>
      <w:r>
        <w:rPr>
          <w:rFonts w:hint="eastAsia" w:ascii="微软雅黑" w:hAnsi="微软雅黑" w:eastAsia="微软雅黑" w:cs="微软雅黑"/>
          <w:color w:val="auto"/>
          <w:szCs w:val="21"/>
          <w:highlight w:val="none"/>
        </w:rPr>
        <w:t>2.1、“供应商”系指向代理机构提交磋商文件的供应商。</w:t>
      </w:r>
      <w:bookmarkEnd w:id="61"/>
      <w:bookmarkEnd w:id="62"/>
      <w:bookmarkEnd w:id="63"/>
      <w:bookmarkEnd w:id="64"/>
    </w:p>
    <w:p>
      <w:pPr>
        <w:snapToGrid w:val="0"/>
        <w:spacing w:after="0" w:line="500" w:lineRule="exact"/>
        <w:ind w:firstLine="420" w:firstLineChars="200"/>
        <w:jc w:val="left"/>
        <w:outlineLvl w:val="1"/>
        <w:rPr>
          <w:rFonts w:ascii="微软雅黑" w:hAnsi="微软雅黑" w:eastAsia="微软雅黑" w:cs="微软雅黑"/>
          <w:color w:val="auto"/>
          <w:szCs w:val="21"/>
          <w:highlight w:val="none"/>
        </w:rPr>
      </w:pPr>
      <w:bookmarkStart w:id="65" w:name="_Toc100764200"/>
      <w:bookmarkStart w:id="66" w:name="_Toc53062677"/>
      <w:bookmarkStart w:id="67" w:name="_Toc89266803"/>
      <w:bookmarkStart w:id="68" w:name="_Toc40788015"/>
      <w:r>
        <w:rPr>
          <w:rFonts w:hint="eastAsia" w:ascii="微软雅黑" w:hAnsi="微软雅黑" w:eastAsia="微软雅黑" w:cs="微软雅黑"/>
          <w:color w:val="auto"/>
          <w:szCs w:val="21"/>
          <w:highlight w:val="none"/>
        </w:rPr>
        <w:t>2.2、“产品”系指供方按磋商文件规定，须向采购人提供的一切设备、保险、税金、备品备件、工具、手册及其它有关技术资料和材料。</w:t>
      </w:r>
      <w:bookmarkEnd w:id="65"/>
      <w:bookmarkEnd w:id="66"/>
      <w:bookmarkEnd w:id="67"/>
      <w:bookmarkEnd w:id="68"/>
    </w:p>
    <w:p>
      <w:pPr>
        <w:snapToGrid w:val="0"/>
        <w:spacing w:after="0" w:line="500" w:lineRule="exact"/>
        <w:ind w:firstLine="420" w:firstLineChars="200"/>
        <w:jc w:val="left"/>
        <w:outlineLvl w:val="1"/>
        <w:rPr>
          <w:rFonts w:ascii="微软雅黑" w:hAnsi="微软雅黑" w:eastAsia="微软雅黑" w:cs="微软雅黑"/>
          <w:color w:val="auto"/>
          <w:szCs w:val="21"/>
          <w:highlight w:val="none"/>
        </w:rPr>
      </w:pPr>
      <w:bookmarkStart w:id="69" w:name="_Toc53062678"/>
      <w:bookmarkStart w:id="70" w:name="_Toc100764201"/>
      <w:bookmarkStart w:id="71" w:name="_Toc89266804"/>
      <w:bookmarkStart w:id="72" w:name="_Toc40788016"/>
      <w:r>
        <w:rPr>
          <w:rFonts w:hint="eastAsia" w:ascii="微软雅黑" w:hAnsi="微软雅黑" w:eastAsia="微软雅黑" w:cs="微软雅黑"/>
          <w:color w:val="auto"/>
          <w:szCs w:val="21"/>
          <w:highlight w:val="none"/>
        </w:rPr>
        <w:t>2.3、“服务”系指磋商文件规定供应商须承担的安装、调试、技术协助、校准、培训、技术指导以及其他类似的义务。</w:t>
      </w:r>
      <w:bookmarkEnd w:id="69"/>
      <w:bookmarkEnd w:id="70"/>
      <w:bookmarkEnd w:id="71"/>
      <w:bookmarkEnd w:id="72"/>
    </w:p>
    <w:p>
      <w:pPr>
        <w:snapToGrid w:val="0"/>
        <w:spacing w:after="0" w:line="500" w:lineRule="exact"/>
        <w:ind w:firstLine="420" w:firstLineChars="200"/>
        <w:jc w:val="left"/>
        <w:outlineLvl w:val="1"/>
        <w:rPr>
          <w:rFonts w:ascii="微软雅黑" w:hAnsi="微软雅黑" w:eastAsia="微软雅黑" w:cs="微软雅黑"/>
          <w:color w:val="auto"/>
          <w:szCs w:val="21"/>
          <w:highlight w:val="none"/>
        </w:rPr>
      </w:pPr>
      <w:bookmarkStart w:id="73" w:name="_Toc89266805"/>
      <w:bookmarkStart w:id="74" w:name="_Toc40788017"/>
      <w:bookmarkStart w:id="75" w:name="_Toc53062679"/>
      <w:bookmarkStart w:id="76" w:name="_Toc100764202"/>
      <w:r>
        <w:rPr>
          <w:rFonts w:hint="eastAsia" w:ascii="微软雅黑" w:hAnsi="微软雅黑" w:eastAsia="微软雅黑" w:cs="微软雅黑"/>
          <w:color w:val="auto"/>
          <w:szCs w:val="21"/>
          <w:highlight w:val="none"/>
        </w:rPr>
        <w:t>2.4、“项目”系指供应商按磋商文件规定向采购人提供的产品和服务。</w:t>
      </w:r>
      <w:bookmarkEnd w:id="73"/>
      <w:bookmarkEnd w:id="74"/>
      <w:bookmarkEnd w:id="75"/>
      <w:bookmarkEnd w:id="76"/>
    </w:p>
    <w:p>
      <w:pPr>
        <w:snapToGrid w:val="0"/>
        <w:spacing w:after="0" w:line="500" w:lineRule="exact"/>
        <w:ind w:firstLine="420" w:firstLineChars="200"/>
        <w:jc w:val="left"/>
        <w:outlineLvl w:val="1"/>
        <w:rPr>
          <w:rFonts w:ascii="微软雅黑" w:hAnsi="微软雅黑" w:eastAsia="微软雅黑" w:cs="微软雅黑"/>
          <w:color w:val="auto"/>
          <w:szCs w:val="21"/>
          <w:highlight w:val="none"/>
        </w:rPr>
      </w:pPr>
      <w:bookmarkStart w:id="77" w:name="_Toc100764203"/>
      <w:bookmarkStart w:id="78" w:name="_Toc53062680"/>
      <w:bookmarkStart w:id="79" w:name="_Toc40788018"/>
      <w:bookmarkStart w:id="80" w:name="_Toc89266806"/>
      <w:r>
        <w:rPr>
          <w:rFonts w:hint="eastAsia" w:ascii="微软雅黑" w:hAnsi="微软雅黑" w:eastAsia="微软雅黑" w:cs="微软雅黑"/>
          <w:color w:val="auto"/>
          <w:szCs w:val="21"/>
          <w:highlight w:val="none"/>
        </w:rPr>
        <w:t>2.5、“书面形式”包括信函、传真、电报、电子文档等。</w:t>
      </w:r>
      <w:bookmarkEnd w:id="77"/>
      <w:bookmarkEnd w:id="78"/>
      <w:bookmarkEnd w:id="79"/>
      <w:bookmarkEnd w:id="80"/>
    </w:p>
    <w:p>
      <w:pPr>
        <w:snapToGrid w:val="0"/>
        <w:spacing w:after="0" w:line="500" w:lineRule="exact"/>
        <w:ind w:firstLine="420" w:firstLineChars="200"/>
        <w:jc w:val="left"/>
        <w:outlineLvl w:val="1"/>
        <w:rPr>
          <w:rFonts w:ascii="微软雅黑" w:hAnsi="微软雅黑" w:eastAsia="微软雅黑" w:cs="微软雅黑"/>
          <w:color w:val="auto"/>
          <w:szCs w:val="21"/>
          <w:highlight w:val="none"/>
        </w:rPr>
      </w:pPr>
      <w:bookmarkStart w:id="81" w:name="_Toc100764204"/>
      <w:bookmarkStart w:id="82" w:name="_Toc40788019"/>
      <w:bookmarkStart w:id="83" w:name="_Toc89266807"/>
      <w:bookmarkStart w:id="84" w:name="_Toc53062681"/>
      <w:r>
        <w:rPr>
          <w:rFonts w:hint="eastAsia" w:ascii="微软雅黑" w:hAnsi="微软雅黑" w:eastAsia="微软雅黑" w:cs="微软雅黑"/>
          <w:color w:val="auto"/>
          <w:szCs w:val="21"/>
          <w:highlight w:val="none"/>
        </w:rPr>
        <w:t>2.6、“▲”系指实质性要求条款。</w:t>
      </w:r>
      <w:bookmarkEnd w:id="81"/>
      <w:bookmarkEnd w:id="82"/>
      <w:bookmarkEnd w:id="83"/>
      <w:bookmarkEnd w:id="84"/>
      <w:bookmarkStart w:id="85" w:name="_Toc448487532"/>
      <w:bookmarkStart w:id="86" w:name="_Toc487802090"/>
      <w:bookmarkStart w:id="87" w:name="_Toc493082111"/>
      <w:bookmarkStart w:id="88" w:name="_Toc487793383"/>
      <w:bookmarkStart w:id="89" w:name="_Toc177870539"/>
      <w:bookmarkStart w:id="90" w:name="_Toc192313104"/>
      <w:bookmarkStart w:id="91" w:name="_Toc437979773"/>
      <w:bookmarkStart w:id="92" w:name="_Toc493699295"/>
      <w:bookmarkStart w:id="93" w:name="_Toc487802021"/>
    </w:p>
    <w:p>
      <w:pPr>
        <w:snapToGrid w:val="0"/>
        <w:spacing w:after="0" w:line="500" w:lineRule="exact"/>
        <w:ind w:firstLine="420" w:firstLineChars="200"/>
        <w:jc w:val="left"/>
        <w:outlineLvl w:val="1"/>
        <w:rPr>
          <w:rFonts w:ascii="微软雅黑" w:hAnsi="微软雅黑" w:eastAsia="微软雅黑" w:cs="微软雅黑"/>
          <w:b/>
          <w:color w:val="auto"/>
          <w:szCs w:val="21"/>
          <w:highlight w:val="none"/>
        </w:rPr>
      </w:pPr>
      <w:bookmarkStart w:id="94" w:name="_Toc40788020"/>
      <w:bookmarkStart w:id="95" w:name="_Toc100764205"/>
      <w:bookmarkStart w:id="96" w:name="_Toc89266808"/>
      <w:bookmarkStart w:id="97" w:name="_Toc53062682"/>
      <w:r>
        <w:rPr>
          <w:rFonts w:hint="eastAsia" w:ascii="微软雅黑" w:hAnsi="微软雅黑" w:eastAsia="微软雅黑" w:cs="微软雅黑"/>
          <w:b/>
          <w:color w:val="auto"/>
          <w:szCs w:val="21"/>
          <w:highlight w:val="none"/>
        </w:rPr>
        <w:t>3、磋商方式</w:t>
      </w:r>
      <w:bookmarkEnd w:id="85"/>
      <w:bookmarkEnd w:id="86"/>
      <w:bookmarkEnd w:id="87"/>
      <w:bookmarkEnd w:id="88"/>
      <w:bookmarkEnd w:id="89"/>
      <w:bookmarkEnd w:id="90"/>
      <w:bookmarkEnd w:id="91"/>
      <w:bookmarkEnd w:id="92"/>
      <w:bookmarkEnd w:id="93"/>
      <w:bookmarkEnd w:id="94"/>
      <w:bookmarkEnd w:id="95"/>
      <w:bookmarkEnd w:id="96"/>
      <w:bookmarkEnd w:id="97"/>
    </w:p>
    <w:p>
      <w:pPr>
        <w:snapToGrid w:val="0"/>
        <w:spacing w:after="0" w:line="500" w:lineRule="exact"/>
        <w:ind w:firstLine="420" w:firstLineChars="200"/>
        <w:jc w:val="left"/>
        <w:outlineLvl w:val="1"/>
        <w:rPr>
          <w:rFonts w:ascii="微软雅黑" w:hAnsi="微软雅黑" w:eastAsia="微软雅黑" w:cs="微软雅黑"/>
          <w:color w:val="auto"/>
          <w:szCs w:val="21"/>
          <w:highlight w:val="none"/>
        </w:rPr>
      </w:pPr>
      <w:bookmarkStart w:id="98" w:name="_Toc100764206"/>
      <w:bookmarkStart w:id="99" w:name="_Toc53062683"/>
      <w:bookmarkStart w:id="100" w:name="_Toc40788021"/>
      <w:bookmarkStart w:id="101" w:name="_Toc89266809"/>
      <w:r>
        <w:rPr>
          <w:rFonts w:hint="eastAsia" w:ascii="微软雅黑" w:hAnsi="微软雅黑" w:eastAsia="微软雅黑" w:cs="微软雅黑"/>
          <w:color w:val="auto"/>
          <w:szCs w:val="21"/>
          <w:highlight w:val="none"/>
        </w:rPr>
        <w:t>3.1、本次磋商采用竞争性磋商方式进行。</w:t>
      </w:r>
      <w:bookmarkEnd w:id="98"/>
      <w:bookmarkEnd w:id="99"/>
      <w:bookmarkEnd w:id="100"/>
      <w:bookmarkEnd w:id="101"/>
    </w:p>
    <w:p>
      <w:pPr>
        <w:snapToGrid w:val="0"/>
        <w:spacing w:after="0" w:line="500" w:lineRule="exact"/>
        <w:ind w:firstLine="420" w:firstLineChars="200"/>
        <w:jc w:val="left"/>
        <w:outlineLvl w:val="1"/>
        <w:rPr>
          <w:rFonts w:ascii="微软雅黑" w:hAnsi="微软雅黑" w:eastAsia="微软雅黑" w:cs="微软雅黑"/>
          <w:b/>
          <w:color w:val="auto"/>
          <w:szCs w:val="21"/>
          <w:highlight w:val="none"/>
        </w:rPr>
      </w:pPr>
      <w:bookmarkStart w:id="102" w:name="_Toc53062685"/>
      <w:bookmarkStart w:id="103" w:name="_Toc177824941"/>
      <w:bookmarkStart w:id="104" w:name="_Toc192313105"/>
      <w:bookmarkStart w:id="105" w:name="_Toc493699296"/>
      <w:bookmarkStart w:id="106" w:name="_Toc177870540"/>
      <w:bookmarkStart w:id="107" w:name="_Toc437979774"/>
      <w:bookmarkStart w:id="108" w:name="_Toc487793384"/>
      <w:bookmarkStart w:id="109" w:name="_Toc487802091"/>
      <w:bookmarkStart w:id="110" w:name="_Toc40788023"/>
      <w:bookmarkStart w:id="111" w:name="_Toc448487533"/>
      <w:bookmarkStart w:id="112" w:name="_Toc177825122"/>
      <w:bookmarkStart w:id="113" w:name="_Toc100764208"/>
      <w:bookmarkStart w:id="114" w:name="_Toc89266811"/>
      <w:bookmarkStart w:id="115" w:name="_Toc487802022"/>
      <w:bookmarkStart w:id="116" w:name="_Toc493082112"/>
      <w:bookmarkStart w:id="117" w:name="_Toc177824874"/>
      <w:r>
        <w:rPr>
          <w:rFonts w:hint="eastAsia" w:ascii="微软雅黑" w:hAnsi="微软雅黑" w:eastAsia="微软雅黑" w:cs="微软雅黑"/>
          <w:b/>
          <w:color w:val="auto"/>
          <w:szCs w:val="21"/>
          <w:highlight w:val="none"/>
        </w:rPr>
        <w:t>4、磋商委托</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Start w:id="118" w:name="_Toc40788024"/>
      <w:bookmarkStart w:id="119" w:name="_Toc53062686"/>
      <w:bookmarkStart w:id="120" w:name="_Toc89266812"/>
    </w:p>
    <w:p>
      <w:pPr>
        <w:spacing w:after="0" w:line="50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 xml:space="preserve">    如供应商代表不是法定代表人，须有法定代表人出具的授权委托书。</w:t>
      </w:r>
      <w:bookmarkEnd w:id="118"/>
      <w:bookmarkEnd w:id="119"/>
      <w:bookmarkEnd w:id="120"/>
      <w:bookmarkStart w:id="121" w:name="_Toc493082113"/>
      <w:bookmarkStart w:id="122" w:name="_Toc487802092"/>
      <w:bookmarkStart w:id="123" w:name="_Toc177824942"/>
      <w:bookmarkStart w:id="124" w:name="_Toc177870541"/>
      <w:bookmarkStart w:id="125" w:name="_Toc487802023"/>
      <w:bookmarkStart w:id="126" w:name="_Toc437979775"/>
      <w:bookmarkStart w:id="127" w:name="_Toc487793385"/>
      <w:bookmarkStart w:id="128" w:name="_Toc493699297"/>
      <w:bookmarkStart w:id="129" w:name="_Toc192313106"/>
      <w:bookmarkStart w:id="130" w:name="_Toc177824875"/>
      <w:bookmarkStart w:id="131" w:name="_Toc448487534"/>
      <w:bookmarkStart w:id="132" w:name="_Toc177825123"/>
    </w:p>
    <w:p>
      <w:pPr>
        <w:snapToGrid w:val="0"/>
        <w:spacing w:after="0" w:line="500" w:lineRule="exact"/>
        <w:ind w:firstLine="420" w:firstLineChars="200"/>
        <w:jc w:val="left"/>
        <w:outlineLvl w:val="1"/>
        <w:rPr>
          <w:rFonts w:ascii="微软雅黑" w:hAnsi="微软雅黑" w:eastAsia="微软雅黑" w:cs="微软雅黑"/>
          <w:b/>
          <w:color w:val="auto"/>
          <w:szCs w:val="21"/>
          <w:highlight w:val="none"/>
        </w:rPr>
      </w:pPr>
      <w:bookmarkStart w:id="133" w:name="_Toc53062687"/>
      <w:bookmarkStart w:id="134" w:name="_Toc40788025"/>
      <w:bookmarkStart w:id="135" w:name="_Toc89266813"/>
      <w:bookmarkStart w:id="136" w:name="_Toc100764209"/>
      <w:r>
        <w:rPr>
          <w:rFonts w:hint="eastAsia" w:ascii="微软雅黑" w:hAnsi="微软雅黑" w:eastAsia="微软雅黑" w:cs="微软雅黑"/>
          <w:b/>
          <w:color w:val="auto"/>
          <w:szCs w:val="21"/>
          <w:highlight w:val="none"/>
        </w:rPr>
        <w:t>5、磋商费用</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pPr>
        <w:snapToGrid w:val="0"/>
        <w:spacing w:after="0" w:line="500" w:lineRule="exact"/>
        <w:ind w:firstLine="420" w:firstLineChars="2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不论磋商结果如何，供应商均应自行承担与磋商有关的全部费用。</w:t>
      </w:r>
    </w:p>
    <w:p>
      <w:pPr>
        <w:snapToGrid w:val="0"/>
        <w:spacing w:after="0" w:line="500" w:lineRule="exact"/>
        <w:ind w:firstLine="420" w:firstLineChars="200"/>
        <w:jc w:val="left"/>
        <w:outlineLvl w:val="1"/>
        <w:rPr>
          <w:rFonts w:ascii="微软雅黑" w:hAnsi="微软雅黑" w:eastAsia="微软雅黑" w:cs="微软雅黑"/>
          <w:b/>
          <w:color w:val="auto"/>
          <w:szCs w:val="21"/>
          <w:highlight w:val="none"/>
        </w:rPr>
      </w:pPr>
      <w:bookmarkStart w:id="137" w:name="_Toc100764210"/>
      <w:r>
        <w:rPr>
          <w:rFonts w:hint="eastAsia" w:ascii="微软雅黑" w:hAnsi="微软雅黑" w:eastAsia="微软雅黑" w:cs="微软雅黑"/>
          <w:b/>
          <w:color w:val="auto"/>
          <w:szCs w:val="21"/>
          <w:highlight w:val="none"/>
        </w:rPr>
        <w:t>6、联合体参与磋商</w:t>
      </w:r>
      <w:bookmarkEnd w:id="137"/>
    </w:p>
    <w:p>
      <w:pPr>
        <w:snapToGrid w:val="0"/>
        <w:spacing w:after="0" w:line="500" w:lineRule="exact"/>
        <w:ind w:firstLine="420" w:firstLineChars="2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本项目不接受联合体参与磋商。</w:t>
      </w:r>
    </w:p>
    <w:p>
      <w:pPr>
        <w:snapToGrid w:val="0"/>
        <w:spacing w:after="0" w:line="500" w:lineRule="exact"/>
        <w:ind w:firstLine="420" w:firstLineChars="200"/>
        <w:jc w:val="left"/>
        <w:outlineLvl w:val="1"/>
        <w:rPr>
          <w:rFonts w:ascii="微软雅黑" w:hAnsi="微软雅黑" w:eastAsia="微软雅黑" w:cs="微软雅黑"/>
          <w:b/>
          <w:color w:val="auto"/>
          <w:szCs w:val="21"/>
          <w:highlight w:val="none"/>
        </w:rPr>
      </w:pPr>
      <w:bookmarkStart w:id="138" w:name="_Toc100764211"/>
      <w:r>
        <w:rPr>
          <w:rFonts w:hint="eastAsia" w:ascii="微软雅黑" w:hAnsi="微软雅黑" w:eastAsia="微软雅黑" w:cs="微软雅黑"/>
          <w:b/>
          <w:color w:val="auto"/>
          <w:szCs w:val="21"/>
          <w:highlight w:val="none"/>
        </w:rPr>
        <w:t>7、关联企业参与磋商</w:t>
      </w:r>
      <w:bookmarkEnd w:id="138"/>
    </w:p>
    <w:p>
      <w:pPr>
        <w:snapToGrid w:val="0"/>
        <w:spacing w:after="0" w:line="500" w:lineRule="exact"/>
        <w:ind w:firstLine="420" w:firstLineChars="2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7.1、本磋商文件所称关联企业,是指存在“关联关系”的企业;“关联关系”的界定适用《中华人民共和国公司法》217条之规定。</w:t>
      </w:r>
    </w:p>
    <w:p>
      <w:pPr>
        <w:snapToGrid w:val="0"/>
        <w:spacing w:after="0" w:line="500" w:lineRule="exact"/>
        <w:ind w:firstLine="420" w:firstLineChars="2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7.2、▲关联企业中,法定代表人为同一个的两个及两个以上法人，母公司、全资子公司及其控股公司，都不得同时参加磋商;一经发现，将导致磋商响应同时被拒绝。</w:t>
      </w:r>
    </w:p>
    <w:p>
      <w:pPr>
        <w:snapToGrid w:val="0"/>
        <w:spacing w:after="0" w:line="500" w:lineRule="exact"/>
        <w:ind w:firstLine="420" w:firstLineChars="200"/>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7.3、多家代理商或经销商参加采购活动，如其中两家或两家以上供应商存在分级代理或代销关系，且提供的是其所代理品牌的产品的，评审时，取其中通过资格审查后的报价最低一家为有效供应商；当报价相同时，则以技术标最优一家为有效供应商；均相同时，由评标委员会集体决定。</w:t>
      </w:r>
    </w:p>
    <w:p>
      <w:pPr>
        <w:snapToGrid w:val="0"/>
        <w:spacing w:after="0" w:line="500" w:lineRule="exact"/>
        <w:ind w:firstLine="420" w:firstLineChars="200"/>
        <w:jc w:val="left"/>
        <w:outlineLvl w:val="1"/>
        <w:rPr>
          <w:rFonts w:ascii="微软雅黑" w:hAnsi="微软雅黑" w:eastAsia="微软雅黑" w:cs="微软雅黑"/>
          <w:b/>
          <w:color w:val="auto"/>
          <w:szCs w:val="21"/>
          <w:highlight w:val="none"/>
        </w:rPr>
      </w:pPr>
      <w:bookmarkStart w:id="139" w:name="_Toc100764212"/>
      <w:r>
        <w:rPr>
          <w:rFonts w:hint="eastAsia" w:ascii="微软雅黑" w:hAnsi="微软雅黑" w:eastAsia="微软雅黑" w:cs="微软雅黑"/>
          <w:b/>
          <w:color w:val="auto"/>
          <w:szCs w:val="21"/>
          <w:highlight w:val="none"/>
        </w:rPr>
        <w:t>8、转包与分包</w:t>
      </w:r>
      <w:bookmarkEnd w:id="139"/>
    </w:p>
    <w:p>
      <w:pPr>
        <w:snapToGrid w:val="0"/>
        <w:spacing w:after="0" w:line="500" w:lineRule="exact"/>
        <w:ind w:firstLine="420" w:firstLineChars="200"/>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8.1、本项目不允许转包。</w:t>
      </w:r>
    </w:p>
    <w:p>
      <w:pPr>
        <w:snapToGrid w:val="0"/>
        <w:spacing w:after="0" w:line="500" w:lineRule="exact"/>
        <w:ind w:firstLine="420" w:firstLineChars="200"/>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8.2、本项目不可以分包。</w:t>
      </w:r>
      <w:bookmarkStart w:id="140" w:name="_Toc437979776"/>
      <w:bookmarkStart w:id="141" w:name="_Toc493699298"/>
      <w:bookmarkStart w:id="142" w:name="_Toc493082114"/>
      <w:bookmarkStart w:id="143" w:name="_Toc487802024"/>
      <w:bookmarkStart w:id="144" w:name="_Toc487793386"/>
      <w:bookmarkStart w:id="145" w:name="_Toc487802093"/>
      <w:bookmarkStart w:id="146" w:name="_Toc192313107"/>
      <w:bookmarkStart w:id="147" w:name="_Toc177870542"/>
      <w:bookmarkStart w:id="148" w:name="_Toc448487535"/>
    </w:p>
    <w:p>
      <w:pPr>
        <w:snapToGrid w:val="0"/>
        <w:spacing w:after="0" w:line="500" w:lineRule="exact"/>
        <w:ind w:firstLine="420" w:firstLineChars="200"/>
        <w:jc w:val="left"/>
        <w:outlineLvl w:val="1"/>
        <w:rPr>
          <w:rFonts w:ascii="微软雅黑" w:hAnsi="微软雅黑" w:eastAsia="微软雅黑" w:cs="微软雅黑"/>
          <w:b/>
          <w:color w:val="auto"/>
          <w:szCs w:val="21"/>
          <w:highlight w:val="none"/>
        </w:rPr>
      </w:pPr>
      <w:bookmarkStart w:id="149" w:name="_Toc100764213"/>
      <w:r>
        <w:rPr>
          <w:rFonts w:hint="eastAsia" w:ascii="微软雅黑" w:hAnsi="微软雅黑" w:eastAsia="微软雅黑" w:cs="微软雅黑"/>
          <w:b/>
          <w:color w:val="auto"/>
          <w:szCs w:val="21"/>
          <w:highlight w:val="none"/>
        </w:rPr>
        <w:t>9、特别说明：</w:t>
      </w:r>
      <w:bookmarkEnd w:id="140"/>
      <w:bookmarkEnd w:id="141"/>
      <w:bookmarkEnd w:id="142"/>
      <w:bookmarkEnd w:id="143"/>
      <w:bookmarkEnd w:id="144"/>
      <w:bookmarkEnd w:id="145"/>
      <w:bookmarkEnd w:id="146"/>
      <w:bookmarkEnd w:id="147"/>
      <w:bookmarkEnd w:id="148"/>
      <w:bookmarkEnd w:id="149"/>
    </w:p>
    <w:p>
      <w:pPr>
        <w:snapToGrid w:val="0"/>
        <w:spacing w:after="0" w:line="500" w:lineRule="exact"/>
        <w:ind w:firstLine="420" w:firstLineChars="2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9.1、▲供应商磋商所使用的资格、信誉、荣誉、业绩与企业认证必须为本法人所拥有。</w:t>
      </w:r>
    </w:p>
    <w:p>
      <w:pPr>
        <w:snapToGrid w:val="0"/>
        <w:spacing w:after="0" w:line="500" w:lineRule="exact"/>
        <w:ind w:firstLine="420" w:firstLineChars="2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9.2、▲供应商磋商不得含有任何虚假材料,否则作无效处理;成交后发现的, 成交供应商须依照《中华人民共和国消费者权益保护法》第49条之规定双倍赔偿采购人。民事上之赔偿不免除作假供应商之行政与刑事责任。</w:t>
      </w:r>
      <w:bookmarkStart w:id="150" w:name="_Toc437979777"/>
      <w:bookmarkStart w:id="151" w:name="_Toc487802094"/>
      <w:bookmarkStart w:id="152" w:name="_Toc192313108"/>
      <w:bookmarkStart w:id="153" w:name="_Toc177870543"/>
      <w:bookmarkStart w:id="154" w:name="_Toc487793387"/>
      <w:bookmarkStart w:id="155" w:name="_Toc493082115"/>
      <w:bookmarkStart w:id="156" w:name="_Toc448487536"/>
      <w:bookmarkStart w:id="157" w:name="_Toc487802025"/>
      <w:bookmarkStart w:id="158" w:name="_Toc493699299"/>
    </w:p>
    <w:p>
      <w:pPr>
        <w:snapToGrid w:val="0"/>
        <w:spacing w:after="0" w:line="500" w:lineRule="exact"/>
        <w:ind w:firstLine="420" w:firstLineChars="200"/>
        <w:jc w:val="left"/>
        <w:outlineLvl w:val="1"/>
        <w:rPr>
          <w:rFonts w:ascii="微软雅黑" w:hAnsi="微软雅黑" w:eastAsia="微软雅黑" w:cs="微软雅黑"/>
          <w:b/>
          <w:color w:val="auto"/>
          <w:szCs w:val="21"/>
          <w:highlight w:val="none"/>
        </w:rPr>
      </w:pPr>
      <w:bookmarkStart w:id="159" w:name="_Toc100764214"/>
      <w:r>
        <w:rPr>
          <w:rFonts w:hint="eastAsia" w:ascii="微软雅黑" w:hAnsi="微软雅黑" w:eastAsia="微软雅黑" w:cs="微软雅黑"/>
          <w:b/>
          <w:color w:val="auto"/>
          <w:szCs w:val="21"/>
          <w:highlight w:val="none"/>
        </w:rPr>
        <w:t>10、质疑</w:t>
      </w:r>
      <w:bookmarkEnd w:id="150"/>
      <w:bookmarkEnd w:id="151"/>
      <w:bookmarkEnd w:id="152"/>
      <w:bookmarkEnd w:id="153"/>
      <w:bookmarkEnd w:id="154"/>
      <w:bookmarkEnd w:id="155"/>
      <w:bookmarkEnd w:id="156"/>
      <w:bookmarkEnd w:id="157"/>
      <w:bookmarkEnd w:id="158"/>
      <w:bookmarkEnd w:id="159"/>
    </w:p>
    <w:p>
      <w:pPr>
        <w:snapToGrid w:val="0"/>
        <w:spacing w:after="0" w:line="500" w:lineRule="exact"/>
        <w:ind w:firstLine="420" w:firstLineChars="200"/>
        <w:jc w:val="left"/>
        <w:rPr>
          <w:rFonts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10.1、供应商认为磋商文件、磋商过程和成交结果使自己的合法权益受到损害的，应当在知道或者应知其权益受到损害之日起七个工作日内，以书面形式向采购人、采购代理机构提出质疑。</w:t>
      </w:r>
    </w:p>
    <w:p>
      <w:pPr>
        <w:snapToGrid w:val="0"/>
        <w:spacing w:after="0" w:line="500" w:lineRule="exact"/>
        <w:ind w:firstLine="420" w:firstLineChars="200"/>
        <w:jc w:val="left"/>
        <w:rPr>
          <w:rFonts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10.2、供应商认可代理机构在质疑答复程序中启用的调查和复评等程序，在该程序操作过程未明显违反法律禁止性规定时，不得提出疑义。</w:t>
      </w:r>
      <w:bookmarkStart w:id="160" w:name="_Toc192313109"/>
      <w:bookmarkStart w:id="161" w:name="_Toc493699300"/>
      <w:bookmarkStart w:id="162" w:name="_Toc487802095"/>
    </w:p>
    <w:p>
      <w:pPr>
        <w:pStyle w:val="8"/>
        <w:spacing w:before="0" w:after="0" w:line="500" w:lineRule="exact"/>
        <w:ind w:firstLine="420" w:firstLineChars="200"/>
        <w:rPr>
          <w:rFonts w:ascii="微软雅黑" w:hAnsi="微软雅黑" w:eastAsia="微软雅黑" w:cs="微软雅黑"/>
          <w:color w:val="auto"/>
          <w:sz w:val="21"/>
          <w:szCs w:val="21"/>
          <w:highlight w:val="none"/>
        </w:rPr>
      </w:pPr>
      <w:bookmarkStart w:id="163" w:name="_Toc89266814"/>
      <w:bookmarkStart w:id="164" w:name="_Toc100764215"/>
      <w:bookmarkStart w:id="165" w:name="_Toc40788026"/>
      <w:bookmarkStart w:id="166" w:name="_Toc53062688"/>
      <w:r>
        <w:rPr>
          <w:rFonts w:hint="eastAsia" w:ascii="微软雅黑" w:hAnsi="微软雅黑" w:eastAsia="微软雅黑" w:cs="微软雅黑"/>
          <w:color w:val="auto"/>
          <w:sz w:val="21"/>
          <w:szCs w:val="21"/>
          <w:highlight w:val="none"/>
        </w:rPr>
        <w:t>二 磋商文件</w:t>
      </w:r>
      <w:bookmarkEnd w:id="160"/>
      <w:bookmarkEnd w:id="161"/>
      <w:bookmarkEnd w:id="162"/>
      <w:bookmarkEnd w:id="163"/>
      <w:bookmarkEnd w:id="164"/>
      <w:bookmarkEnd w:id="165"/>
      <w:bookmarkEnd w:id="166"/>
    </w:p>
    <w:p>
      <w:pPr>
        <w:snapToGrid w:val="0"/>
        <w:spacing w:after="0" w:line="500" w:lineRule="exact"/>
        <w:ind w:firstLine="420" w:firstLineChars="200"/>
        <w:jc w:val="left"/>
        <w:outlineLvl w:val="1"/>
        <w:rPr>
          <w:rFonts w:ascii="微软雅黑" w:hAnsi="微软雅黑" w:eastAsia="微软雅黑" w:cs="微软雅黑"/>
          <w:b/>
          <w:color w:val="auto"/>
          <w:szCs w:val="21"/>
          <w:highlight w:val="none"/>
        </w:rPr>
      </w:pPr>
      <w:bookmarkStart w:id="167" w:name="_Toc100764216"/>
      <w:r>
        <w:rPr>
          <w:rFonts w:hint="eastAsia" w:ascii="微软雅黑" w:hAnsi="微软雅黑" w:eastAsia="微软雅黑" w:cs="微软雅黑"/>
          <w:b/>
          <w:color w:val="auto"/>
          <w:szCs w:val="21"/>
          <w:highlight w:val="none"/>
        </w:rPr>
        <w:t>1、磋商文件的构成</w:t>
      </w:r>
      <w:bookmarkEnd w:id="167"/>
    </w:p>
    <w:p>
      <w:pPr>
        <w:spacing w:after="0" w:line="500" w:lineRule="exact"/>
        <w:ind w:firstLine="420" w:firstLineChars="2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1.1、磋商公告</w:t>
      </w:r>
    </w:p>
    <w:p>
      <w:pPr>
        <w:spacing w:after="0" w:line="500" w:lineRule="exact"/>
        <w:ind w:firstLine="420" w:firstLineChars="2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1.2、供应商须知</w:t>
      </w:r>
    </w:p>
    <w:p>
      <w:pPr>
        <w:spacing w:after="0" w:line="500" w:lineRule="exact"/>
        <w:ind w:firstLine="420" w:firstLineChars="2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1.3、磋商项目需求</w:t>
      </w:r>
    </w:p>
    <w:p>
      <w:pPr>
        <w:spacing w:after="0" w:line="500" w:lineRule="exact"/>
        <w:ind w:firstLine="420" w:firstLineChars="2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1.4、评审办法及标准</w:t>
      </w:r>
    </w:p>
    <w:p>
      <w:pPr>
        <w:spacing w:after="0" w:line="500" w:lineRule="exact"/>
        <w:ind w:firstLine="420" w:firstLineChars="2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1.5、合同主要条款</w:t>
      </w:r>
    </w:p>
    <w:p>
      <w:pPr>
        <w:spacing w:after="0" w:line="500" w:lineRule="exact"/>
        <w:ind w:firstLine="420" w:firstLineChars="2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1.6、磋商文件相关文件格式</w:t>
      </w:r>
    </w:p>
    <w:p>
      <w:pPr>
        <w:snapToGrid w:val="0"/>
        <w:spacing w:after="0" w:line="500" w:lineRule="exact"/>
        <w:ind w:firstLine="420" w:firstLineChars="200"/>
        <w:jc w:val="left"/>
        <w:outlineLvl w:val="1"/>
        <w:rPr>
          <w:rFonts w:ascii="微软雅黑" w:hAnsi="微软雅黑" w:eastAsia="微软雅黑" w:cs="微软雅黑"/>
          <w:b/>
          <w:color w:val="auto"/>
          <w:szCs w:val="21"/>
          <w:highlight w:val="none"/>
        </w:rPr>
      </w:pPr>
      <w:bookmarkStart w:id="168" w:name="_Toc100764217"/>
      <w:r>
        <w:rPr>
          <w:rFonts w:hint="eastAsia" w:ascii="微软雅黑" w:hAnsi="微软雅黑" w:eastAsia="微软雅黑" w:cs="微软雅黑"/>
          <w:b/>
          <w:color w:val="auto"/>
          <w:szCs w:val="21"/>
          <w:highlight w:val="none"/>
        </w:rPr>
        <w:t>2、存在的风险</w:t>
      </w:r>
      <w:bookmarkEnd w:id="168"/>
    </w:p>
    <w:p>
      <w:pPr>
        <w:spacing w:after="0" w:line="500" w:lineRule="exact"/>
        <w:ind w:firstLine="420" w:firstLineChars="2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供应商没有按照磋商文件要求提供全部资料，或者供应商没有对磋商文件在各方面都作出实质性响应是供应商的风险，并可能导致其磋商被拒绝。</w:t>
      </w:r>
    </w:p>
    <w:p>
      <w:pPr>
        <w:snapToGrid w:val="0"/>
        <w:spacing w:after="0" w:line="500" w:lineRule="exact"/>
        <w:ind w:firstLine="420" w:firstLineChars="200"/>
        <w:jc w:val="left"/>
        <w:outlineLvl w:val="1"/>
        <w:rPr>
          <w:rFonts w:ascii="微软雅黑" w:hAnsi="微软雅黑" w:eastAsia="微软雅黑" w:cs="微软雅黑"/>
          <w:b/>
          <w:color w:val="auto"/>
          <w:szCs w:val="21"/>
          <w:highlight w:val="none"/>
        </w:rPr>
      </w:pPr>
      <w:bookmarkStart w:id="169" w:name="_Toc100764218"/>
      <w:r>
        <w:rPr>
          <w:rFonts w:hint="eastAsia" w:ascii="微软雅黑" w:hAnsi="微软雅黑" w:eastAsia="微软雅黑" w:cs="微软雅黑"/>
          <w:b/>
          <w:color w:val="auto"/>
          <w:szCs w:val="21"/>
          <w:highlight w:val="none"/>
        </w:rPr>
        <w:t>3、磋商文件的澄清与修改</w:t>
      </w:r>
      <w:bookmarkEnd w:id="169"/>
    </w:p>
    <w:p>
      <w:pPr>
        <w:spacing w:after="0" w:line="500" w:lineRule="exact"/>
        <w:ind w:firstLine="420" w:firstLineChars="2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3.1、</w:t>
      </w:r>
      <w:r>
        <w:rPr>
          <w:rFonts w:hint="eastAsia" w:ascii="微软雅黑" w:hAnsi="微软雅黑" w:eastAsia="微软雅黑" w:cs="微软雅黑"/>
          <w:bCs/>
          <w:color w:val="auto"/>
          <w:szCs w:val="21"/>
          <w:highlight w:val="none"/>
        </w:rPr>
        <w:t>供应商应认真阅读本磋商文件，发现其中有误或有要求不合理的，供应商必须在在知道或者应当知道之日起三个工作日内以书面形式要求采购代理机构澄清，否则，由此产生的后果由供应商负责</w:t>
      </w:r>
      <w:r>
        <w:rPr>
          <w:rFonts w:hint="eastAsia" w:ascii="微软雅黑" w:hAnsi="微软雅黑" w:eastAsia="微软雅黑" w:cs="微软雅黑"/>
          <w:color w:val="auto"/>
          <w:szCs w:val="21"/>
          <w:highlight w:val="none"/>
        </w:rPr>
        <w:t>。</w:t>
      </w:r>
    </w:p>
    <w:p>
      <w:pPr>
        <w:spacing w:after="0" w:line="500" w:lineRule="exact"/>
        <w:ind w:firstLine="420" w:firstLineChars="2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3.2、采购代理机构对已发出的磋商文件进行必要澄清或者修改的，应当在财政部门指定的政府采购信息发布媒体上发布更正公告。该澄清或者修改的内容为磋商文件的组成部分。</w:t>
      </w:r>
    </w:p>
    <w:p>
      <w:pPr>
        <w:spacing w:after="0" w:line="500" w:lineRule="exact"/>
        <w:ind w:firstLine="420" w:firstLineChars="2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3.3、采购代理机构和采购单位可以视采购具体情况，延长提交磋商文件的截止时间和磋商时间，但至少应当在磋商文件要求提交磋商文件的截止时间三日前，在财政部门指定的政府采购信息发布媒体上发布变更公告。</w:t>
      </w:r>
    </w:p>
    <w:p>
      <w:pPr>
        <w:spacing w:after="0" w:line="500" w:lineRule="exact"/>
        <w:ind w:firstLine="420" w:firstLineChars="2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3.4、磋商文件的澄清或者修改都应该通过本代理机构以法定形式发布，采购人非通过本机构，不得擅自澄清或者修改磋商文件。</w:t>
      </w:r>
      <w:bookmarkStart w:id="170" w:name="_Toc192313110"/>
      <w:bookmarkStart w:id="171" w:name="_Toc493699301"/>
    </w:p>
    <w:p>
      <w:pPr>
        <w:pStyle w:val="8"/>
        <w:spacing w:before="0" w:after="0" w:line="500" w:lineRule="exact"/>
        <w:ind w:firstLine="420" w:firstLineChars="200"/>
        <w:rPr>
          <w:rFonts w:ascii="微软雅黑" w:hAnsi="微软雅黑" w:eastAsia="微软雅黑" w:cs="微软雅黑"/>
          <w:color w:val="auto"/>
          <w:sz w:val="21"/>
          <w:szCs w:val="21"/>
          <w:highlight w:val="none"/>
        </w:rPr>
      </w:pPr>
      <w:bookmarkStart w:id="172" w:name="_Toc53062689"/>
      <w:bookmarkStart w:id="173" w:name="_Toc40788027"/>
      <w:bookmarkStart w:id="174" w:name="_Toc100764219"/>
      <w:bookmarkStart w:id="175" w:name="_Toc89266815"/>
      <w:r>
        <w:rPr>
          <w:rFonts w:hint="eastAsia" w:ascii="微软雅黑" w:hAnsi="微软雅黑" w:eastAsia="微软雅黑" w:cs="微软雅黑"/>
          <w:color w:val="auto"/>
          <w:sz w:val="21"/>
          <w:szCs w:val="21"/>
          <w:highlight w:val="none"/>
        </w:rPr>
        <w:t>三 磋商响应文件的编制</w:t>
      </w:r>
      <w:bookmarkEnd w:id="170"/>
      <w:bookmarkEnd w:id="171"/>
      <w:bookmarkEnd w:id="172"/>
      <w:bookmarkEnd w:id="173"/>
      <w:bookmarkEnd w:id="174"/>
      <w:bookmarkEnd w:id="175"/>
    </w:p>
    <w:p>
      <w:pPr>
        <w:spacing w:after="0" w:line="500" w:lineRule="exact"/>
        <w:ind w:firstLine="420" w:firstLineChars="200"/>
        <w:rPr>
          <w:rFonts w:ascii="微软雅黑" w:hAnsi="微软雅黑" w:eastAsia="微软雅黑" w:cs="微软雅黑"/>
          <w:b/>
          <w:color w:val="auto"/>
          <w:szCs w:val="21"/>
          <w:highlight w:val="none"/>
        </w:rPr>
      </w:pPr>
      <w:bookmarkStart w:id="176" w:name="_Toc53062690"/>
      <w:bookmarkStart w:id="177" w:name="_Toc89266816"/>
      <w:bookmarkStart w:id="178" w:name="_Toc40788028"/>
      <w:r>
        <w:rPr>
          <w:rFonts w:hint="eastAsia" w:ascii="微软雅黑" w:hAnsi="微软雅黑" w:eastAsia="微软雅黑" w:cs="微软雅黑"/>
          <w:b/>
          <w:color w:val="auto"/>
          <w:szCs w:val="21"/>
          <w:highlight w:val="none"/>
        </w:rPr>
        <w:t xml:space="preserve">   本项目所涉竞争性磋商响应文件格式请详见第六章，未给出的格式请自拟。</w:t>
      </w:r>
      <w:bookmarkEnd w:id="176"/>
      <w:bookmarkEnd w:id="177"/>
      <w:bookmarkEnd w:id="178"/>
    </w:p>
    <w:p>
      <w:pPr>
        <w:pStyle w:val="34"/>
        <w:snapToGrid w:val="0"/>
        <w:spacing w:after="0" w:line="500" w:lineRule="exact"/>
        <w:ind w:firstLine="420" w:firstLineChars="200"/>
        <w:outlineLvl w:val="1"/>
        <w:rPr>
          <w:rFonts w:ascii="微软雅黑" w:hAnsi="微软雅黑" w:eastAsia="微软雅黑" w:cs="微软雅黑"/>
          <w:b/>
          <w:color w:val="auto"/>
          <w:szCs w:val="21"/>
          <w:highlight w:val="none"/>
        </w:rPr>
      </w:pPr>
      <w:bookmarkStart w:id="179" w:name="_Toc89266817"/>
      <w:bookmarkStart w:id="180" w:name="_Toc100764220"/>
      <w:bookmarkStart w:id="181" w:name="_Toc40788029"/>
      <w:bookmarkStart w:id="182" w:name="_Toc53062691"/>
      <w:bookmarkStart w:id="183" w:name="_Toc33535357"/>
      <w:r>
        <w:rPr>
          <w:rFonts w:hint="eastAsia" w:ascii="微软雅黑" w:hAnsi="微软雅黑" w:eastAsia="微软雅黑" w:cs="微软雅黑"/>
          <w:b/>
          <w:color w:val="auto"/>
          <w:szCs w:val="21"/>
          <w:highlight w:val="none"/>
        </w:rPr>
        <w:t>（一）、总体要求：</w:t>
      </w:r>
      <w:bookmarkEnd w:id="179"/>
      <w:bookmarkEnd w:id="180"/>
      <w:bookmarkEnd w:id="181"/>
      <w:bookmarkEnd w:id="182"/>
      <w:bookmarkEnd w:id="183"/>
    </w:p>
    <w:p>
      <w:pPr>
        <w:spacing w:after="0" w:line="50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1.1、供应商应仔细阅读竞争性磋商文件的所有内容，按本文件的要求提供竞争性磋商响应文件，并保证所提供的全部资料的真实性，以使其竞争性磋商响应文件对竞争性磋商文件作出实质性响应，否则，竞争性磋商响应文件可能视为无效竞争性磋商响应文件。</w:t>
      </w:r>
    </w:p>
    <w:p>
      <w:pPr>
        <w:spacing w:after="0" w:line="50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1.2、竞争性磋商响应文件及供应商与采购有关的来往通知，函件和文件均应使用中文。</w:t>
      </w:r>
    </w:p>
    <w:p>
      <w:pPr>
        <w:spacing w:after="0" w:line="50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1.3、供应商应按本文件中提供的文件格式、内容和要求制作竞争性磋商响应文件。</w:t>
      </w:r>
    </w:p>
    <w:p>
      <w:pPr>
        <w:spacing w:after="0" w:line="500" w:lineRule="exact"/>
        <w:ind w:firstLine="420" w:firstLineChars="200"/>
        <w:jc w:val="left"/>
        <w:rPr>
          <w:rFonts w:ascii="微软雅黑" w:hAnsi="微软雅黑" w:eastAsia="微软雅黑" w:cs="微软雅黑"/>
          <w:bCs/>
          <w:color w:val="auto"/>
          <w:szCs w:val="21"/>
          <w:highlight w:val="none"/>
        </w:rPr>
      </w:pPr>
      <w:r>
        <w:rPr>
          <w:rFonts w:hint="eastAsia" w:ascii="微软雅黑" w:hAnsi="微软雅黑" w:eastAsia="微软雅黑" w:cs="微软雅黑"/>
          <w:b/>
          <w:color w:val="auto"/>
          <w:szCs w:val="21"/>
          <w:highlight w:val="none"/>
        </w:rPr>
        <w:t>1.4、竞争性磋商响应文件的效力：竞争性磋商响应文件的启用，按先后顺位分别为电子竞争性磋商响应文件、电子</w:t>
      </w:r>
      <w:r>
        <w:rPr>
          <w:rFonts w:hint="eastAsia" w:ascii="微软雅黑" w:hAnsi="微软雅黑" w:eastAsia="微软雅黑" w:cs="微软雅黑"/>
          <w:bCs/>
          <w:color w:val="auto"/>
          <w:szCs w:val="21"/>
          <w:highlight w:val="none"/>
        </w:rPr>
        <w:t>备份竞争性磋商响应文件</w:t>
      </w:r>
      <w:r>
        <w:rPr>
          <w:rFonts w:hint="eastAsia" w:ascii="微软雅黑" w:hAnsi="微软雅黑" w:eastAsia="微软雅黑" w:cs="微软雅黑"/>
          <w:b/>
          <w:color w:val="auto"/>
          <w:szCs w:val="21"/>
          <w:highlight w:val="none"/>
        </w:rPr>
        <w:t>。</w:t>
      </w:r>
      <w:r>
        <w:rPr>
          <w:rFonts w:hint="eastAsia" w:ascii="微软雅黑" w:hAnsi="微软雅黑" w:eastAsia="微软雅黑" w:cs="微软雅黑"/>
          <w:bCs/>
          <w:color w:val="auto"/>
          <w:szCs w:val="21"/>
          <w:highlight w:val="none"/>
        </w:rPr>
        <w:t>通过“政府采购云平台”成功上传递交的“电子加密竞争性磋商响应文件”无法按时解密，投标供应商如按规定递交了“备份竞争性磋商响应文件”的，以“备份竞争性磋商响应文件”为依据（由采购组织机构按“政府采购云平台”操作规范将“备份竞争性磋商响应文件”上传至“政府采购云平台”，上传成功后，“电子加密竞争性磋商响应文件”自动失效），否则视为竞争性磋商响应文件撤回。</w:t>
      </w:r>
      <w:bookmarkStart w:id="184" w:name="_Toc177825124"/>
      <w:bookmarkStart w:id="185" w:name="_Toc493082118"/>
      <w:bookmarkStart w:id="186" w:name="_Toc448487539"/>
      <w:bookmarkStart w:id="187" w:name="_Toc177824943"/>
      <w:bookmarkStart w:id="188" w:name="_Toc493699302"/>
      <w:bookmarkStart w:id="189" w:name="_Toc177870546"/>
      <w:bookmarkStart w:id="190" w:name="_Toc437979780"/>
      <w:bookmarkStart w:id="191" w:name="_Toc192313111"/>
      <w:bookmarkStart w:id="192" w:name="_Toc177824876"/>
    </w:p>
    <w:p>
      <w:pPr>
        <w:pStyle w:val="34"/>
        <w:snapToGrid w:val="0"/>
        <w:spacing w:after="0" w:line="500" w:lineRule="exact"/>
        <w:ind w:firstLine="420" w:firstLineChars="200"/>
        <w:outlineLvl w:val="1"/>
        <w:rPr>
          <w:rFonts w:ascii="微软雅黑" w:hAnsi="微软雅黑" w:eastAsia="微软雅黑" w:cs="微软雅黑"/>
          <w:b/>
          <w:color w:val="auto"/>
          <w:szCs w:val="21"/>
          <w:highlight w:val="none"/>
        </w:rPr>
      </w:pPr>
      <w:bookmarkStart w:id="193" w:name="_Toc100764221"/>
      <w:r>
        <w:rPr>
          <w:rFonts w:hint="eastAsia" w:ascii="微软雅黑" w:hAnsi="微软雅黑" w:eastAsia="微软雅黑" w:cs="微软雅黑"/>
          <w:b/>
          <w:color w:val="auto"/>
          <w:szCs w:val="21"/>
          <w:highlight w:val="none"/>
        </w:rPr>
        <w:t>（二）、磋商响应文件的组成</w:t>
      </w:r>
      <w:bookmarkEnd w:id="184"/>
      <w:bookmarkEnd w:id="185"/>
      <w:bookmarkEnd w:id="186"/>
      <w:bookmarkEnd w:id="187"/>
      <w:bookmarkEnd w:id="188"/>
      <w:bookmarkEnd w:id="189"/>
      <w:bookmarkEnd w:id="190"/>
      <w:bookmarkEnd w:id="191"/>
      <w:bookmarkEnd w:id="192"/>
      <w:bookmarkEnd w:id="193"/>
      <w:bookmarkStart w:id="194" w:name="_Toc493511650"/>
    </w:p>
    <w:p>
      <w:pPr>
        <w:spacing w:after="0" w:line="500" w:lineRule="exact"/>
        <w:ind w:firstLine="420" w:firstLineChars="200"/>
        <w:jc w:val="left"/>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包括电子竞争性磋商响应文件和电子备份竞争性磋商响应文件（选送），均由资格响应文件、商务技术文件、报价文件三部份组成。其中电子竞争性磋商响应文件中所须加盖公章部分均采用CA签章。</w:t>
      </w:r>
    </w:p>
    <w:p>
      <w:pPr>
        <w:numPr>
          <w:ilvl w:val="0"/>
          <w:numId w:val="21"/>
        </w:numPr>
        <w:spacing w:after="0" w:line="500" w:lineRule="exact"/>
        <w:ind w:left="0" w:firstLine="420" w:firstLineChars="200"/>
        <w:jc w:val="left"/>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资格响应文件：</w:t>
      </w:r>
    </w:p>
    <w:p>
      <w:pPr>
        <w:pStyle w:val="129"/>
        <w:numPr>
          <w:ilvl w:val="1"/>
          <w:numId w:val="22"/>
        </w:numPr>
        <w:snapToGrid w:val="0"/>
        <w:spacing w:after="0" w:line="500" w:lineRule="exact"/>
        <w:ind w:left="0" w:firstLine="42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具有独立承担民事责任的能力（供应商营业执照副本复印件）；</w:t>
      </w:r>
    </w:p>
    <w:p>
      <w:pPr>
        <w:pStyle w:val="129"/>
        <w:numPr>
          <w:ilvl w:val="1"/>
          <w:numId w:val="22"/>
        </w:numPr>
        <w:snapToGrid w:val="0"/>
        <w:spacing w:after="0" w:line="500" w:lineRule="exact"/>
        <w:ind w:left="0" w:firstLine="42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供应商书面承诺符合参与政府采购活动资格条件的承诺函（格式见附件）；</w:t>
      </w:r>
    </w:p>
    <w:p>
      <w:pPr>
        <w:pStyle w:val="129"/>
        <w:numPr>
          <w:ilvl w:val="1"/>
          <w:numId w:val="22"/>
        </w:numPr>
        <w:snapToGrid w:val="0"/>
        <w:spacing w:after="0" w:line="500" w:lineRule="exact"/>
        <w:ind w:left="0" w:firstLine="42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提供自招标公告发布之日起至投标截止日内任意时间的“信用中国”网站（www.creditchina.gov.cn）（未被信用中国网站www.creditchina.gov.cn查询网页截图）、中国政府采购网（www.ccgp.gov.cn）（未被中国政府采购网www.ccgp.gov.cn查询网页截图）（以开标当日采购单位或由采购单位委托的评标委员会核实的查询结果为准）。</w:t>
      </w:r>
    </w:p>
    <w:p>
      <w:pPr>
        <w:pStyle w:val="129"/>
        <w:numPr>
          <w:ilvl w:val="1"/>
          <w:numId w:val="22"/>
        </w:numPr>
        <w:snapToGrid w:val="0"/>
        <w:spacing w:after="0" w:line="500" w:lineRule="exact"/>
        <w:ind w:left="0" w:firstLine="42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法定代表人授权委托书；</w:t>
      </w:r>
    </w:p>
    <w:p>
      <w:pPr>
        <w:pStyle w:val="129"/>
        <w:numPr>
          <w:ilvl w:val="1"/>
          <w:numId w:val="22"/>
        </w:numPr>
        <w:snapToGrid w:val="0"/>
        <w:spacing w:after="0" w:line="500" w:lineRule="exact"/>
        <w:ind w:left="0" w:firstLine="42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中小企业声明函、残疾人福利性单位声明函及其他符合政策性条件的承诺函或证明材料；</w:t>
      </w:r>
    </w:p>
    <w:p>
      <w:pPr>
        <w:numPr>
          <w:ilvl w:val="0"/>
          <w:numId w:val="21"/>
        </w:numPr>
        <w:spacing w:after="0" w:line="500" w:lineRule="exact"/>
        <w:ind w:left="0" w:firstLine="420" w:firstLineChars="200"/>
        <w:jc w:val="left"/>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商务技术文件</w:t>
      </w:r>
    </w:p>
    <w:p>
      <w:pPr>
        <w:pStyle w:val="129"/>
        <w:numPr>
          <w:ilvl w:val="0"/>
          <w:numId w:val="22"/>
        </w:numPr>
        <w:snapToGrid w:val="0"/>
        <w:spacing w:after="0" w:line="500" w:lineRule="exact"/>
        <w:ind w:left="0" w:firstLine="420"/>
        <w:rPr>
          <w:rFonts w:ascii="微软雅黑" w:hAnsi="微软雅黑" w:eastAsia="微软雅黑" w:cs="微软雅黑"/>
          <w:vanish/>
          <w:color w:val="auto"/>
          <w:highlight w:val="none"/>
        </w:rPr>
      </w:pPr>
    </w:p>
    <w:p>
      <w:pPr>
        <w:pStyle w:val="129"/>
        <w:numPr>
          <w:ilvl w:val="1"/>
          <w:numId w:val="22"/>
        </w:numPr>
        <w:snapToGrid w:val="0"/>
        <w:spacing w:after="0" w:line="500" w:lineRule="exact"/>
        <w:ind w:left="0" w:firstLine="42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▲磋商响应函；</w:t>
      </w:r>
    </w:p>
    <w:p>
      <w:pPr>
        <w:pStyle w:val="129"/>
        <w:numPr>
          <w:ilvl w:val="1"/>
          <w:numId w:val="22"/>
        </w:numPr>
        <w:snapToGrid w:val="0"/>
        <w:spacing w:after="0" w:line="500" w:lineRule="exact"/>
        <w:ind w:left="0" w:firstLine="42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类似案例成功的业绩（合同复印件）；</w:t>
      </w:r>
    </w:p>
    <w:p>
      <w:pPr>
        <w:pStyle w:val="129"/>
        <w:numPr>
          <w:ilvl w:val="1"/>
          <w:numId w:val="22"/>
        </w:numPr>
        <w:snapToGrid w:val="0"/>
        <w:spacing w:after="0" w:line="500" w:lineRule="exact"/>
        <w:ind w:left="0" w:firstLine="42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与本项目实施相关的供应商各类资质证书、认证证书、许可证等（如信誉荣誉等。提供复印件）；</w:t>
      </w:r>
    </w:p>
    <w:p>
      <w:pPr>
        <w:pStyle w:val="129"/>
        <w:numPr>
          <w:ilvl w:val="1"/>
          <w:numId w:val="22"/>
        </w:numPr>
        <w:snapToGrid w:val="0"/>
        <w:spacing w:after="0" w:line="500" w:lineRule="exact"/>
        <w:ind w:left="0" w:firstLine="42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供应商情况介绍；</w:t>
      </w:r>
    </w:p>
    <w:p>
      <w:pPr>
        <w:pStyle w:val="129"/>
        <w:numPr>
          <w:ilvl w:val="1"/>
          <w:numId w:val="22"/>
        </w:numPr>
        <w:snapToGrid w:val="0"/>
        <w:spacing w:after="0" w:line="500" w:lineRule="exact"/>
        <w:ind w:left="0" w:firstLine="42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商务响应表；</w:t>
      </w:r>
    </w:p>
    <w:p>
      <w:pPr>
        <w:pStyle w:val="129"/>
        <w:numPr>
          <w:ilvl w:val="1"/>
          <w:numId w:val="22"/>
        </w:numPr>
        <w:snapToGrid w:val="0"/>
        <w:spacing w:after="0" w:line="500" w:lineRule="exact"/>
        <w:ind w:left="0" w:firstLine="42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项目实施方案。</w:t>
      </w:r>
    </w:p>
    <w:p>
      <w:pPr>
        <w:pStyle w:val="129"/>
        <w:numPr>
          <w:ilvl w:val="1"/>
          <w:numId w:val="22"/>
        </w:numPr>
        <w:snapToGrid w:val="0"/>
        <w:spacing w:after="0" w:line="500" w:lineRule="exact"/>
        <w:ind w:left="0" w:firstLine="42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从业人员的配备及素质情况；</w:t>
      </w:r>
    </w:p>
    <w:p>
      <w:pPr>
        <w:pStyle w:val="129"/>
        <w:numPr>
          <w:ilvl w:val="1"/>
          <w:numId w:val="22"/>
        </w:numPr>
        <w:snapToGrid w:val="0"/>
        <w:spacing w:after="0" w:line="500" w:lineRule="exact"/>
        <w:ind w:left="0" w:firstLine="42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对本项目的合理化建议；</w:t>
      </w:r>
    </w:p>
    <w:p>
      <w:pPr>
        <w:pStyle w:val="129"/>
        <w:numPr>
          <w:ilvl w:val="1"/>
          <w:numId w:val="22"/>
        </w:numPr>
        <w:snapToGrid w:val="0"/>
        <w:spacing w:after="0" w:line="500" w:lineRule="exact"/>
        <w:ind w:left="0" w:firstLine="42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投标人认为需要提供的其他文件及资料（格式自拟）。</w:t>
      </w:r>
    </w:p>
    <w:p>
      <w:pPr>
        <w:pStyle w:val="129"/>
        <w:numPr>
          <w:ilvl w:val="1"/>
          <w:numId w:val="22"/>
        </w:numPr>
        <w:snapToGrid w:val="0"/>
        <w:spacing w:after="0" w:line="500" w:lineRule="exact"/>
        <w:ind w:left="0" w:firstLine="42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未尽事宜请各投标人按评分细则制作技术部分。（格式自拟）</w:t>
      </w:r>
    </w:p>
    <w:p>
      <w:pPr>
        <w:numPr>
          <w:ilvl w:val="0"/>
          <w:numId w:val="21"/>
        </w:numPr>
        <w:spacing w:after="0" w:line="500" w:lineRule="exact"/>
        <w:ind w:left="0" w:firstLine="420" w:firstLineChars="200"/>
        <w:jc w:val="left"/>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投标报价文件：</w:t>
      </w:r>
    </w:p>
    <w:p>
      <w:pPr>
        <w:numPr>
          <w:ilvl w:val="1"/>
          <w:numId w:val="21"/>
        </w:numPr>
        <w:spacing w:after="0" w:line="500" w:lineRule="exact"/>
        <w:ind w:left="0" w:firstLine="420" w:firstLineChars="200"/>
        <w:jc w:val="left"/>
        <w:rPr>
          <w:rFonts w:ascii="微软雅黑" w:hAnsi="微软雅黑" w:eastAsia="微软雅黑" w:cs="微软雅黑"/>
          <w:color w:val="auto"/>
          <w:szCs w:val="21"/>
          <w:highlight w:val="none"/>
        </w:rPr>
      </w:pPr>
      <w:r>
        <w:rPr>
          <w:rFonts w:hint="eastAsia" w:ascii="微软雅黑" w:hAnsi="微软雅黑" w:eastAsia="微软雅黑" w:cs="微软雅黑"/>
          <w:b/>
          <w:color w:val="auto"/>
          <w:szCs w:val="21"/>
          <w:highlight w:val="none"/>
        </w:rPr>
        <w:t>▲</w:t>
      </w:r>
      <w:r>
        <w:rPr>
          <w:rFonts w:hint="eastAsia" w:ascii="微软雅黑" w:hAnsi="微软雅黑" w:eastAsia="微软雅黑" w:cs="微软雅黑"/>
          <w:color w:val="auto"/>
          <w:szCs w:val="21"/>
          <w:highlight w:val="none"/>
        </w:rPr>
        <w:t>报价一览表（初次报价）；</w:t>
      </w:r>
    </w:p>
    <w:p>
      <w:pPr>
        <w:numPr>
          <w:ilvl w:val="1"/>
          <w:numId w:val="21"/>
        </w:numPr>
        <w:spacing w:after="0" w:line="500" w:lineRule="exact"/>
        <w:ind w:left="0" w:firstLine="420" w:firstLineChars="2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供应商针对报价需要说明的其他文件和说明。</w:t>
      </w:r>
      <w:bookmarkEnd w:id="194"/>
      <w:bookmarkStart w:id="195" w:name="_Toc177824877"/>
      <w:bookmarkStart w:id="196" w:name="_Toc177870547"/>
      <w:bookmarkStart w:id="197" w:name="_Toc493699303"/>
      <w:bookmarkStart w:id="198" w:name="_Toc448487540"/>
      <w:bookmarkStart w:id="199" w:name="_Toc437979781"/>
      <w:bookmarkStart w:id="200" w:name="_Toc177825125"/>
      <w:bookmarkStart w:id="201" w:name="_Toc192313112"/>
      <w:bookmarkStart w:id="202" w:name="_Toc493082119"/>
      <w:bookmarkStart w:id="203" w:name="_Toc177824944"/>
    </w:p>
    <w:p>
      <w:pPr>
        <w:pStyle w:val="34"/>
        <w:snapToGrid w:val="0"/>
        <w:spacing w:after="0" w:line="500" w:lineRule="exact"/>
        <w:ind w:firstLine="420" w:firstLineChars="200"/>
        <w:outlineLvl w:val="1"/>
        <w:rPr>
          <w:rFonts w:ascii="微软雅黑" w:hAnsi="微软雅黑" w:eastAsia="微软雅黑" w:cs="微软雅黑"/>
          <w:b/>
          <w:color w:val="auto"/>
          <w:szCs w:val="21"/>
          <w:highlight w:val="none"/>
        </w:rPr>
      </w:pPr>
      <w:bookmarkStart w:id="204" w:name="_Toc100764222"/>
      <w:r>
        <w:rPr>
          <w:rFonts w:hint="eastAsia" w:ascii="微软雅黑" w:hAnsi="微软雅黑" w:eastAsia="微软雅黑" w:cs="微软雅黑"/>
          <w:b/>
          <w:color w:val="auto"/>
          <w:szCs w:val="21"/>
          <w:highlight w:val="none"/>
        </w:rPr>
        <w:t>（三）、磋商响应文件的语言及计量</w:t>
      </w:r>
      <w:bookmarkEnd w:id="195"/>
      <w:bookmarkEnd w:id="196"/>
      <w:bookmarkEnd w:id="197"/>
      <w:bookmarkEnd w:id="198"/>
      <w:bookmarkEnd w:id="199"/>
      <w:bookmarkEnd w:id="200"/>
      <w:bookmarkEnd w:id="201"/>
      <w:bookmarkEnd w:id="202"/>
      <w:bookmarkEnd w:id="203"/>
      <w:bookmarkEnd w:id="204"/>
      <w:bookmarkStart w:id="205" w:name="_Toc53062692"/>
      <w:bookmarkStart w:id="206" w:name="_Toc40788030"/>
      <w:bookmarkStart w:id="207" w:name="_Toc89266818"/>
    </w:p>
    <w:p>
      <w:pPr>
        <w:spacing w:after="0" w:line="500" w:lineRule="exact"/>
        <w:ind w:firstLine="420" w:firstLineChars="2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3.1、▲磋商计量单位，除磋商文件中有特殊要求外，应采用中华人民共和国法定计量单位，货币单位：人民币元。</w:t>
      </w:r>
      <w:bookmarkEnd w:id="205"/>
      <w:bookmarkEnd w:id="206"/>
      <w:bookmarkEnd w:id="207"/>
      <w:bookmarkStart w:id="208" w:name="_Toc177825126"/>
      <w:bookmarkStart w:id="209" w:name="_Toc448487541"/>
      <w:bookmarkStart w:id="210" w:name="_Toc177870548"/>
      <w:bookmarkStart w:id="211" w:name="_Toc177824878"/>
      <w:bookmarkStart w:id="212" w:name="_Toc177824945"/>
      <w:bookmarkStart w:id="213" w:name="_Toc437979782"/>
      <w:bookmarkStart w:id="214" w:name="_Toc493699304"/>
      <w:bookmarkStart w:id="215" w:name="_Toc493082120"/>
      <w:bookmarkStart w:id="216" w:name="_Toc192313113"/>
    </w:p>
    <w:p>
      <w:pPr>
        <w:snapToGrid w:val="0"/>
        <w:spacing w:after="0" w:line="500" w:lineRule="exact"/>
        <w:ind w:firstLine="420" w:firstLineChars="200"/>
        <w:jc w:val="left"/>
        <w:outlineLvl w:val="1"/>
        <w:rPr>
          <w:rFonts w:ascii="微软雅黑" w:hAnsi="微软雅黑" w:eastAsia="微软雅黑" w:cs="微软雅黑"/>
          <w:b/>
          <w:color w:val="auto"/>
          <w:szCs w:val="21"/>
          <w:highlight w:val="none"/>
        </w:rPr>
      </w:pPr>
      <w:bookmarkStart w:id="217" w:name="_Toc53062693"/>
      <w:bookmarkStart w:id="218" w:name="_Toc100764223"/>
      <w:bookmarkStart w:id="219" w:name="_Toc40788031"/>
      <w:bookmarkStart w:id="220" w:name="_Toc89266819"/>
      <w:r>
        <w:rPr>
          <w:rFonts w:hint="eastAsia" w:ascii="微软雅黑" w:hAnsi="微软雅黑" w:eastAsia="微软雅黑" w:cs="微软雅黑"/>
          <w:b/>
          <w:color w:val="auto"/>
          <w:szCs w:val="21"/>
          <w:highlight w:val="none"/>
        </w:rPr>
        <w:t>（四）、磋商响应报价</w:t>
      </w:r>
      <w:bookmarkEnd w:id="208"/>
      <w:bookmarkEnd w:id="209"/>
      <w:bookmarkEnd w:id="210"/>
      <w:bookmarkEnd w:id="211"/>
      <w:bookmarkEnd w:id="212"/>
      <w:bookmarkEnd w:id="213"/>
      <w:bookmarkEnd w:id="214"/>
      <w:bookmarkEnd w:id="215"/>
      <w:bookmarkEnd w:id="216"/>
      <w:bookmarkEnd w:id="217"/>
      <w:bookmarkEnd w:id="218"/>
      <w:bookmarkEnd w:id="219"/>
      <w:bookmarkEnd w:id="220"/>
      <w:bookmarkStart w:id="221" w:name="_Toc53062694"/>
      <w:bookmarkStart w:id="222" w:name="_Toc89266820"/>
      <w:bookmarkStart w:id="223" w:name="_Toc40788032"/>
    </w:p>
    <w:p>
      <w:pPr>
        <w:spacing w:after="0" w:line="50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4.1、磋商响应报价应按磋商文件中相关附表格式填写。</w:t>
      </w:r>
      <w:bookmarkEnd w:id="221"/>
      <w:bookmarkEnd w:id="222"/>
      <w:bookmarkEnd w:id="223"/>
      <w:bookmarkStart w:id="224" w:name="_Toc89266821"/>
      <w:bookmarkStart w:id="225" w:name="_Toc40788033"/>
      <w:bookmarkStart w:id="226" w:name="_Toc53062695"/>
    </w:p>
    <w:p>
      <w:pPr>
        <w:spacing w:after="0" w:line="50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4.2、▲</w:t>
      </w:r>
      <w:bookmarkEnd w:id="224"/>
      <w:bookmarkEnd w:id="225"/>
      <w:bookmarkEnd w:id="226"/>
      <w:bookmarkStart w:id="227" w:name="_Toc53062696"/>
      <w:bookmarkStart w:id="228" w:name="_Toc40788034"/>
      <w:bookmarkStart w:id="229" w:name="_Toc89266822"/>
      <w:r>
        <w:rPr>
          <w:rFonts w:hint="eastAsia" w:ascii="微软雅黑" w:hAnsi="微软雅黑" w:eastAsia="微软雅黑" w:cs="微软雅黑"/>
          <w:color w:val="auto"/>
          <w:szCs w:val="21"/>
          <w:highlight w:val="none"/>
        </w:rPr>
        <w:t>报价必须包括提供项目服务所需的一切人员工资、奖金、各种加班费、夜餐费、各种社会保险（基本养老保险、基本医疗保险、工伤保险、失业保险）、食宿与交通、高温补偿费、管理费用、税费、利润等完成合同所需的一切本身和不可或缺的所有工作开支、政策性文件规定及合同包含的所有风险、责任等各项全部费用并承担一切风险责任。</w:t>
      </w:r>
    </w:p>
    <w:p>
      <w:pPr>
        <w:spacing w:after="0" w:line="50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4.3、▲磋商响应报价只允许有一个报价，有选择的报价将不予接受。</w:t>
      </w:r>
      <w:bookmarkEnd w:id="227"/>
      <w:bookmarkEnd w:id="228"/>
      <w:bookmarkEnd w:id="229"/>
    </w:p>
    <w:p>
      <w:pPr>
        <w:snapToGrid w:val="0"/>
        <w:spacing w:after="0" w:line="500" w:lineRule="exact"/>
        <w:ind w:firstLine="420" w:firstLineChars="200"/>
        <w:jc w:val="left"/>
        <w:outlineLvl w:val="1"/>
        <w:rPr>
          <w:rFonts w:ascii="微软雅黑" w:hAnsi="微软雅黑" w:eastAsia="微软雅黑" w:cs="微软雅黑"/>
          <w:b/>
          <w:color w:val="auto"/>
          <w:szCs w:val="21"/>
          <w:highlight w:val="none"/>
        </w:rPr>
      </w:pPr>
      <w:bookmarkStart w:id="230" w:name="_Toc100764224"/>
      <w:bookmarkStart w:id="231" w:name="_Toc53062697"/>
      <w:bookmarkStart w:id="232" w:name="_Toc40788035"/>
      <w:bookmarkStart w:id="233" w:name="_Toc89266823"/>
      <w:r>
        <w:rPr>
          <w:rFonts w:hint="eastAsia" w:ascii="微软雅黑" w:hAnsi="微软雅黑" w:eastAsia="微软雅黑" w:cs="微软雅黑"/>
          <w:b/>
          <w:color w:val="auto"/>
          <w:szCs w:val="21"/>
          <w:highlight w:val="none"/>
        </w:rPr>
        <w:t>（五）、磋商响应文件的有效期</w:t>
      </w:r>
      <w:bookmarkEnd w:id="230"/>
      <w:bookmarkEnd w:id="231"/>
      <w:bookmarkEnd w:id="232"/>
      <w:bookmarkEnd w:id="233"/>
    </w:p>
    <w:p>
      <w:pPr>
        <w:spacing w:after="0" w:line="500" w:lineRule="exact"/>
        <w:ind w:firstLine="420" w:firstLineChars="200"/>
        <w:rPr>
          <w:rFonts w:ascii="微软雅黑" w:hAnsi="微软雅黑" w:eastAsia="微软雅黑" w:cs="微软雅黑"/>
          <w:color w:val="auto"/>
          <w:szCs w:val="21"/>
          <w:highlight w:val="none"/>
        </w:rPr>
      </w:pPr>
      <w:bookmarkStart w:id="234" w:name="_Toc40788036"/>
      <w:bookmarkStart w:id="235" w:name="_Toc89266824"/>
      <w:bookmarkStart w:id="236" w:name="_Toc53062698"/>
      <w:r>
        <w:rPr>
          <w:rFonts w:hint="eastAsia" w:ascii="微软雅黑" w:hAnsi="微软雅黑" w:eastAsia="微软雅黑" w:cs="微软雅黑"/>
          <w:color w:val="auto"/>
          <w:szCs w:val="21"/>
          <w:highlight w:val="none"/>
        </w:rPr>
        <w:t>5.1、▲自磋商响应截止日起 60天磋商响应文件应保持有效。如采购人认为必要可延长，但至总计最长不超过90 天。有效期短于这个规定期限的磋商响应文件将被拒绝。</w:t>
      </w:r>
      <w:bookmarkEnd w:id="234"/>
      <w:bookmarkEnd w:id="235"/>
      <w:bookmarkEnd w:id="236"/>
    </w:p>
    <w:p>
      <w:pPr>
        <w:spacing w:after="0" w:line="500" w:lineRule="exact"/>
        <w:ind w:firstLine="420" w:firstLineChars="200"/>
        <w:rPr>
          <w:rFonts w:ascii="微软雅黑" w:hAnsi="微软雅黑" w:eastAsia="微软雅黑" w:cs="微软雅黑"/>
          <w:color w:val="auto"/>
          <w:szCs w:val="21"/>
          <w:highlight w:val="none"/>
        </w:rPr>
      </w:pPr>
      <w:bookmarkStart w:id="237" w:name="_Toc53062699"/>
      <w:bookmarkStart w:id="238" w:name="_Toc89266825"/>
      <w:bookmarkStart w:id="239" w:name="_Toc40788037"/>
      <w:r>
        <w:rPr>
          <w:rFonts w:hint="eastAsia" w:ascii="微软雅黑" w:hAnsi="微软雅黑" w:eastAsia="微软雅黑" w:cs="微软雅黑"/>
          <w:color w:val="auto"/>
          <w:szCs w:val="21"/>
          <w:highlight w:val="none"/>
        </w:rPr>
        <w:t>5.2、在特殊情况下，磋商人可与供应商协商延长磋商响应文件的有效期，这种要求和答复均以书面形式进行。</w:t>
      </w:r>
      <w:bookmarkEnd w:id="237"/>
      <w:bookmarkEnd w:id="238"/>
      <w:bookmarkEnd w:id="239"/>
      <w:bookmarkStart w:id="240" w:name="_Toc487802108"/>
      <w:bookmarkStart w:id="241" w:name="_Toc487802039"/>
      <w:bookmarkStart w:id="242" w:name="_Toc493699306"/>
      <w:bookmarkStart w:id="243" w:name="_Toc493082122"/>
      <w:bookmarkStart w:id="244" w:name="_Toc487793394"/>
      <w:bookmarkStart w:id="245" w:name="_Toc107820050"/>
      <w:bookmarkStart w:id="246" w:name="_Toc170792769"/>
    </w:p>
    <w:p>
      <w:pPr>
        <w:snapToGrid w:val="0"/>
        <w:spacing w:after="0" w:line="500" w:lineRule="exact"/>
        <w:ind w:firstLine="420" w:firstLineChars="200"/>
        <w:jc w:val="left"/>
        <w:outlineLvl w:val="1"/>
        <w:rPr>
          <w:rFonts w:ascii="微软雅黑" w:hAnsi="微软雅黑" w:eastAsia="微软雅黑" w:cs="微软雅黑"/>
          <w:b/>
          <w:color w:val="auto"/>
          <w:szCs w:val="21"/>
          <w:highlight w:val="none"/>
        </w:rPr>
      </w:pPr>
      <w:bookmarkStart w:id="247" w:name="_Toc40788038"/>
      <w:bookmarkStart w:id="248" w:name="_Toc89266826"/>
      <w:bookmarkStart w:id="249" w:name="_Toc100764225"/>
      <w:bookmarkStart w:id="250" w:name="_Toc53062700"/>
      <w:r>
        <w:rPr>
          <w:rFonts w:hint="eastAsia" w:ascii="微软雅黑" w:hAnsi="微软雅黑" w:eastAsia="微软雅黑" w:cs="微软雅黑"/>
          <w:b/>
          <w:color w:val="auto"/>
          <w:szCs w:val="21"/>
          <w:highlight w:val="none"/>
        </w:rPr>
        <w:t>（六）、下列情况，投标单位将由代理机构上报行政主管部门，接受行政主管部门的处罚：</w:t>
      </w:r>
      <w:bookmarkEnd w:id="240"/>
      <w:bookmarkEnd w:id="241"/>
      <w:bookmarkEnd w:id="242"/>
      <w:bookmarkEnd w:id="243"/>
      <w:bookmarkEnd w:id="244"/>
      <w:bookmarkEnd w:id="247"/>
      <w:bookmarkEnd w:id="248"/>
      <w:bookmarkEnd w:id="249"/>
      <w:bookmarkEnd w:id="250"/>
    </w:p>
    <w:p>
      <w:pPr>
        <w:spacing w:after="0" w:line="500" w:lineRule="exact"/>
        <w:ind w:firstLine="420" w:firstLineChars="200"/>
        <w:rPr>
          <w:rFonts w:ascii="微软雅黑" w:hAnsi="微软雅黑" w:eastAsia="微软雅黑" w:cs="微软雅黑"/>
          <w:color w:val="auto"/>
          <w:szCs w:val="21"/>
          <w:highlight w:val="none"/>
        </w:rPr>
      </w:pPr>
      <w:bookmarkStart w:id="251" w:name="_Toc40788039"/>
      <w:bookmarkStart w:id="252" w:name="_Toc53062701"/>
      <w:bookmarkStart w:id="253" w:name="_Toc89266827"/>
      <w:r>
        <w:rPr>
          <w:rFonts w:hint="eastAsia" w:ascii="微软雅黑" w:hAnsi="微软雅黑" w:eastAsia="微软雅黑" w:cs="微软雅黑"/>
          <w:color w:val="auto"/>
          <w:szCs w:val="21"/>
          <w:highlight w:val="none"/>
        </w:rPr>
        <w:t>6.1、供应商在磋商响应文件有效期内撤回磋商响应文件的；</w:t>
      </w:r>
      <w:bookmarkEnd w:id="251"/>
      <w:bookmarkEnd w:id="252"/>
      <w:bookmarkEnd w:id="253"/>
    </w:p>
    <w:p>
      <w:pPr>
        <w:spacing w:after="0" w:line="500" w:lineRule="exact"/>
        <w:ind w:firstLine="420" w:firstLineChars="200"/>
        <w:rPr>
          <w:rFonts w:ascii="微软雅黑" w:hAnsi="微软雅黑" w:eastAsia="微软雅黑" w:cs="微软雅黑"/>
          <w:color w:val="auto"/>
          <w:szCs w:val="21"/>
          <w:highlight w:val="none"/>
        </w:rPr>
      </w:pPr>
      <w:bookmarkStart w:id="254" w:name="_Toc53062702"/>
      <w:bookmarkStart w:id="255" w:name="_Toc89266828"/>
      <w:bookmarkStart w:id="256" w:name="_Toc40788040"/>
      <w:r>
        <w:rPr>
          <w:rFonts w:hint="eastAsia" w:ascii="微软雅黑" w:hAnsi="微软雅黑" w:eastAsia="微软雅黑" w:cs="微软雅黑"/>
          <w:color w:val="auto"/>
          <w:szCs w:val="21"/>
          <w:highlight w:val="none"/>
        </w:rPr>
        <w:t>6.2、中标供应商未按规定的时间、地点与采购人签订合同的；</w:t>
      </w:r>
      <w:bookmarkEnd w:id="254"/>
      <w:bookmarkEnd w:id="255"/>
      <w:bookmarkEnd w:id="256"/>
    </w:p>
    <w:p>
      <w:pPr>
        <w:spacing w:after="0" w:line="500" w:lineRule="exact"/>
        <w:ind w:firstLine="420" w:firstLineChars="200"/>
        <w:rPr>
          <w:rFonts w:ascii="微软雅黑" w:hAnsi="微软雅黑" w:eastAsia="微软雅黑" w:cs="微软雅黑"/>
          <w:color w:val="auto"/>
          <w:szCs w:val="21"/>
          <w:highlight w:val="none"/>
        </w:rPr>
      </w:pPr>
      <w:bookmarkStart w:id="257" w:name="_Toc40788041"/>
      <w:bookmarkStart w:id="258" w:name="_Toc53062703"/>
      <w:bookmarkStart w:id="259" w:name="_Toc89266829"/>
      <w:r>
        <w:rPr>
          <w:rFonts w:hint="eastAsia" w:ascii="微软雅黑" w:hAnsi="微软雅黑" w:eastAsia="微软雅黑" w:cs="微软雅黑"/>
          <w:color w:val="auto"/>
          <w:szCs w:val="21"/>
          <w:highlight w:val="none"/>
        </w:rPr>
        <w:t>6.3、供应商在磋商过程中弄虚作假，提供虚假材料；</w:t>
      </w:r>
      <w:bookmarkEnd w:id="257"/>
      <w:bookmarkEnd w:id="258"/>
      <w:bookmarkEnd w:id="259"/>
    </w:p>
    <w:p>
      <w:pPr>
        <w:spacing w:after="0" w:line="500" w:lineRule="exact"/>
        <w:ind w:firstLine="420" w:firstLineChars="200"/>
        <w:rPr>
          <w:rFonts w:ascii="微软雅黑" w:hAnsi="微软雅黑" w:eastAsia="微软雅黑" w:cs="微软雅黑"/>
          <w:color w:val="auto"/>
          <w:szCs w:val="21"/>
          <w:highlight w:val="none"/>
        </w:rPr>
      </w:pPr>
      <w:bookmarkStart w:id="260" w:name="_Toc40788042"/>
      <w:bookmarkStart w:id="261" w:name="_Toc53062704"/>
      <w:bookmarkStart w:id="262" w:name="_Toc89266830"/>
      <w:r>
        <w:rPr>
          <w:rFonts w:hint="eastAsia" w:ascii="微软雅黑" w:hAnsi="微软雅黑" w:eastAsia="微软雅黑" w:cs="微软雅黑"/>
          <w:color w:val="auto"/>
          <w:szCs w:val="21"/>
          <w:highlight w:val="none"/>
        </w:rPr>
        <w:t>6.4、其他严重扰乱竞争性磋商程序的；</w:t>
      </w:r>
      <w:bookmarkEnd w:id="260"/>
      <w:bookmarkEnd w:id="261"/>
      <w:bookmarkEnd w:id="262"/>
      <w:bookmarkStart w:id="263" w:name="_Toc177870551"/>
      <w:bookmarkStart w:id="264" w:name="_Toc192313116"/>
      <w:bookmarkStart w:id="265" w:name="_Toc177824881"/>
      <w:bookmarkStart w:id="266" w:name="_Toc177825129"/>
      <w:bookmarkStart w:id="267" w:name="_Toc177824948"/>
    </w:p>
    <w:p>
      <w:pPr>
        <w:snapToGrid w:val="0"/>
        <w:spacing w:after="0" w:line="500" w:lineRule="exact"/>
        <w:ind w:firstLine="420" w:firstLineChars="200"/>
        <w:jc w:val="left"/>
        <w:outlineLvl w:val="1"/>
        <w:rPr>
          <w:rFonts w:ascii="微软雅黑" w:hAnsi="微软雅黑" w:eastAsia="微软雅黑" w:cs="微软雅黑"/>
          <w:b/>
          <w:color w:val="auto"/>
          <w:szCs w:val="21"/>
          <w:highlight w:val="none"/>
        </w:rPr>
      </w:pPr>
      <w:bookmarkStart w:id="268" w:name="_Toc89266831"/>
      <w:bookmarkStart w:id="269" w:name="_Toc40788043"/>
      <w:bookmarkStart w:id="270" w:name="_Toc100764226"/>
      <w:bookmarkStart w:id="271" w:name="_Toc53062705"/>
      <w:r>
        <w:rPr>
          <w:rFonts w:hint="eastAsia" w:ascii="微软雅黑" w:hAnsi="微软雅黑" w:eastAsia="微软雅黑" w:cs="微软雅黑"/>
          <w:b/>
          <w:color w:val="auto"/>
          <w:szCs w:val="21"/>
          <w:highlight w:val="none"/>
        </w:rPr>
        <w:t>（七）、磋商响应文件的签署和份数</w:t>
      </w:r>
      <w:bookmarkEnd w:id="263"/>
      <w:bookmarkEnd w:id="264"/>
      <w:bookmarkEnd w:id="265"/>
      <w:bookmarkEnd w:id="266"/>
      <w:bookmarkEnd w:id="267"/>
      <w:bookmarkEnd w:id="268"/>
      <w:bookmarkEnd w:id="269"/>
      <w:bookmarkEnd w:id="270"/>
      <w:bookmarkEnd w:id="271"/>
      <w:bookmarkStart w:id="272" w:name="_Toc493699307"/>
      <w:bookmarkStart w:id="273" w:name="_Toc448487544"/>
      <w:bookmarkStart w:id="274" w:name="_Toc487793395"/>
      <w:bookmarkStart w:id="275" w:name="_Toc192313117"/>
      <w:bookmarkStart w:id="276" w:name="_Toc493082123"/>
      <w:bookmarkStart w:id="277" w:name="_Toc487802109"/>
      <w:bookmarkStart w:id="278" w:name="_Toc487802040"/>
      <w:bookmarkStart w:id="279" w:name="_Toc437979785"/>
      <w:bookmarkStart w:id="280" w:name="_Toc177870552"/>
    </w:p>
    <w:p>
      <w:pPr>
        <w:spacing w:after="0" w:line="500" w:lineRule="exact"/>
        <w:ind w:firstLine="420" w:firstLineChars="200"/>
        <w:rPr>
          <w:rFonts w:ascii="微软雅黑" w:hAnsi="微软雅黑" w:eastAsia="微软雅黑" w:cs="微软雅黑"/>
          <w:b/>
          <w:bCs/>
          <w:color w:val="auto"/>
          <w:szCs w:val="21"/>
          <w:highlight w:val="none"/>
        </w:rPr>
      </w:pPr>
      <w:bookmarkStart w:id="281" w:name="_Toc89266832"/>
      <w:bookmarkStart w:id="282" w:name="_Toc53062706"/>
      <w:bookmarkStart w:id="283" w:name="_Toc40788044"/>
      <w:r>
        <w:rPr>
          <w:rFonts w:hint="eastAsia" w:ascii="微软雅黑" w:hAnsi="微软雅黑" w:eastAsia="微软雅黑" w:cs="微软雅黑"/>
          <w:color w:val="auto"/>
          <w:szCs w:val="21"/>
          <w:highlight w:val="none"/>
        </w:rPr>
        <w:t>竞争性磋商响应文件的形式：</w:t>
      </w:r>
      <w:r>
        <w:rPr>
          <w:rFonts w:hint="eastAsia" w:ascii="微软雅黑" w:hAnsi="微软雅黑" w:eastAsia="微软雅黑" w:cs="微软雅黑"/>
          <w:b/>
          <w:bCs/>
          <w:color w:val="auto"/>
          <w:szCs w:val="21"/>
          <w:highlight w:val="none"/>
        </w:rPr>
        <w:t>☑电子竞争性磋商响应文件（包括“电子加密竞争性磋商响应文件”和“备份竞争性磋商响应文件”，在竞争性磋商响应文件编制完成后同时生成）；</w:t>
      </w:r>
      <w:bookmarkEnd w:id="281"/>
      <w:bookmarkEnd w:id="282"/>
      <w:bookmarkEnd w:id="283"/>
    </w:p>
    <w:p>
      <w:pPr>
        <w:spacing w:after="0" w:line="500" w:lineRule="exact"/>
        <w:ind w:firstLine="420" w:firstLineChars="200"/>
        <w:rPr>
          <w:rFonts w:ascii="微软雅黑" w:hAnsi="微软雅黑" w:eastAsia="微软雅黑" w:cs="微软雅黑"/>
          <w:b/>
          <w:bCs/>
          <w:color w:val="auto"/>
          <w:szCs w:val="21"/>
          <w:highlight w:val="none"/>
        </w:rPr>
      </w:pPr>
      <w:bookmarkStart w:id="284" w:name="_Toc40788045"/>
      <w:bookmarkStart w:id="285" w:name="_Toc53062707"/>
      <w:bookmarkStart w:id="286" w:name="_Toc89266833"/>
      <w:r>
        <w:rPr>
          <w:rFonts w:hint="eastAsia" w:ascii="微软雅黑" w:hAnsi="微软雅黑" w:eastAsia="微软雅黑" w:cs="微软雅黑"/>
          <w:b/>
          <w:bCs/>
          <w:color w:val="auto"/>
          <w:szCs w:val="21"/>
          <w:highlight w:val="none"/>
        </w:rPr>
        <w:t>（1）“电子加密竞争性磋商响应文件”是指通过“政采云电子交易客户端”完成竞争性磋商响应文件编制后生成并加密的数据电文形式的竞争性磋商响应文件。</w:t>
      </w:r>
      <w:bookmarkEnd w:id="284"/>
      <w:bookmarkEnd w:id="285"/>
      <w:bookmarkEnd w:id="286"/>
    </w:p>
    <w:p>
      <w:pPr>
        <w:spacing w:after="0" w:line="500" w:lineRule="exact"/>
        <w:ind w:firstLine="420" w:firstLineChars="200"/>
        <w:rPr>
          <w:rFonts w:ascii="微软雅黑" w:hAnsi="微软雅黑" w:eastAsia="微软雅黑" w:cs="微软雅黑"/>
          <w:b/>
          <w:bCs/>
          <w:color w:val="auto"/>
          <w:szCs w:val="21"/>
          <w:highlight w:val="none"/>
        </w:rPr>
      </w:pPr>
      <w:bookmarkStart w:id="287" w:name="_Toc53062708"/>
      <w:bookmarkStart w:id="288" w:name="_Toc40788046"/>
      <w:bookmarkStart w:id="289" w:name="_Toc89266834"/>
      <w:r>
        <w:rPr>
          <w:rFonts w:hint="eastAsia" w:ascii="微软雅黑" w:hAnsi="微软雅黑" w:eastAsia="微软雅黑" w:cs="微软雅黑"/>
          <w:b/>
          <w:bCs/>
          <w:color w:val="auto"/>
          <w:szCs w:val="21"/>
          <w:highlight w:val="none"/>
        </w:rPr>
        <w:t>（2）“备份竞争性磋商响应文件”是指与“电子加密竞争性磋商响应文件”同时生成的数据电文形式的电子文件（备份标书），其他方式编制的备份竞争性磋商响应文件视为无效备份竞争性磋商响应文件。</w:t>
      </w:r>
      <w:bookmarkEnd w:id="287"/>
      <w:bookmarkEnd w:id="288"/>
      <w:bookmarkEnd w:id="289"/>
    </w:p>
    <w:p>
      <w:pPr>
        <w:snapToGrid w:val="0"/>
        <w:spacing w:after="0" w:line="500" w:lineRule="exact"/>
        <w:ind w:firstLine="420" w:firstLineChars="200"/>
        <w:jc w:val="left"/>
        <w:outlineLvl w:val="1"/>
        <w:rPr>
          <w:rFonts w:ascii="微软雅黑" w:hAnsi="微软雅黑" w:eastAsia="微软雅黑" w:cs="微软雅黑"/>
          <w:b/>
          <w:bCs/>
          <w:color w:val="auto"/>
          <w:szCs w:val="21"/>
          <w:highlight w:val="none"/>
        </w:rPr>
      </w:pPr>
      <w:bookmarkStart w:id="290" w:name="_Toc53062709"/>
      <w:bookmarkStart w:id="291" w:name="_Toc40788047"/>
      <w:bookmarkStart w:id="292" w:name="_Toc100764227"/>
      <w:bookmarkStart w:id="293" w:name="_Toc89266835"/>
      <w:r>
        <w:rPr>
          <w:rFonts w:hint="eastAsia" w:ascii="微软雅黑" w:hAnsi="微软雅黑" w:eastAsia="微软雅黑" w:cs="微软雅黑"/>
          <w:b/>
          <w:color w:val="auto"/>
          <w:szCs w:val="21"/>
          <w:highlight w:val="none"/>
        </w:rPr>
        <w:t>（八）、</w:t>
      </w:r>
      <w:r>
        <w:rPr>
          <w:rFonts w:hint="eastAsia" w:ascii="微软雅黑" w:hAnsi="微软雅黑" w:eastAsia="微软雅黑" w:cs="微软雅黑"/>
          <w:b/>
          <w:bCs/>
          <w:color w:val="auto"/>
          <w:szCs w:val="21"/>
          <w:highlight w:val="none"/>
        </w:rPr>
        <w:t>竞争性磋商响应文件的上传和递交：</w:t>
      </w:r>
      <w:bookmarkEnd w:id="290"/>
      <w:bookmarkEnd w:id="291"/>
      <w:bookmarkEnd w:id="292"/>
      <w:bookmarkEnd w:id="293"/>
    </w:p>
    <w:p>
      <w:pPr>
        <w:spacing w:after="0" w:line="500" w:lineRule="exact"/>
        <w:ind w:firstLine="420" w:firstLineChars="200"/>
        <w:rPr>
          <w:rFonts w:ascii="微软雅黑" w:hAnsi="微软雅黑" w:eastAsia="微软雅黑" w:cs="微软雅黑"/>
          <w:b/>
          <w:bCs/>
          <w:color w:val="auto"/>
          <w:szCs w:val="21"/>
          <w:highlight w:val="none"/>
        </w:rPr>
      </w:pPr>
      <w:bookmarkStart w:id="294" w:name="_Toc53062710"/>
      <w:bookmarkStart w:id="295" w:name="_Toc89266836"/>
      <w:bookmarkStart w:id="296" w:name="_Toc40788048"/>
      <w:r>
        <w:rPr>
          <w:rFonts w:hint="eastAsia" w:ascii="微软雅黑" w:hAnsi="微软雅黑" w:eastAsia="微软雅黑" w:cs="微软雅黑"/>
          <w:b/>
          <w:bCs/>
          <w:color w:val="auto"/>
          <w:szCs w:val="21"/>
          <w:highlight w:val="none"/>
        </w:rPr>
        <w:t>（1）“电子加密竞争性磋商响应文件”的上传、递交：</w:t>
      </w:r>
      <w:bookmarkEnd w:id="294"/>
      <w:bookmarkEnd w:id="295"/>
      <w:bookmarkEnd w:id="296"/>
    </w:p>
    <w:p>
      <w:pPr>
        <w:spacing w:after="0" w:line="500" w:lineRule="exact"/>
        <w:ind w:firstLine="420" w:firstLineChars="200"/>
        <w:rPr>
          <w:rFonts w:ascii="微软雅黑" w:hAnsi="微软雅黑" w:eastAsia="微软雅黑" w:cs="微软雅黑"/>
          <w:b/>
          <w:bCs/>
          <w:color w:val="auto"/>
          <w:szCs w:val="21"/>
          <w:highlight w:val="none"/>
        </w:rPr>
      </w:pPr>
      <w:bookmarkStart w:id="297" w:name="_Toc89266837"/>
      <w:bookmarkStart w:id="298" w:name="_Toc53062711"/>
      <w:bookmarkStart w:id="299" w:name="_Toc40788049"/>
      <w:r>
        <w:rPr>
          <w:rFonts w:hint="eastAsia" w:ascii="微软雅黑" w:hAnsi="微软雅黑" w:eastAsia="微软雅黑" w:cs="微软雅黑"/>
          <w:b/>
          <w:bCs/>
          <w:color w:val="auto"/>
          <w:szCs w:val="21"/>
          <w:highlight w:val="none"/>
        </w:rPr>
        <w:t>A、投标供应商应在投标截止时间前将“电子加密竞争性磋商响应文件”成功上传递交至“政府采购云平台”，否则投标无效。</w:t>
      </w:r>
      <w:bookmarkEnd w:id="297"/>
      <w:bookmarkEnd w:id="298"/>
      <w:bookmarkEnd w:id="299"/>
    </w:p>
    <w:p>
      <w:pPr>
        <w:spacing w:after="0" w:line="500" w:lineRule="exact"/>
        <w:ind w:firstLine="420" w:firstLineChars="200"/>
        <w:rPr>
          <w:rFonts w:ascii="微软雅黑" w:hAnsi="微软雅黑" w:eastAsia="微软雅黑" w:cs="微软雅黑"/>
          <w:b/>
          <w:bCs/>
          <w:color w:val="auto"/>
          <w:szCs w:val="21"/>
          <w:highlight w:val="none"/>
        </w:rPr>
      </w:pPr>
      <w:bookmarkStart w:id="300" w:name="_Toc40788050"/>
      <w:bookmarkStart w:id="301" w:name="_Toc53062712"/>
      <w:bookmarkStart w:id="302" w:name="_Toc89266838"/>
      <w:r>
        <w:rPr>
          <w:rFonts w:hint="eastAsia" w:ascii="微软雅黑" w:hAnsi="微软雅黑" w:eastAsia="微软雅黑" w:cs="微软雅黑"/>
          <w:b/>
          <w:bCs/>
          <w:color w:val="auto"/>
          <w:szCs w:val="21"/>
          <w:highlight w:val="none"/>
        </w:rPr>
        <w:t>B、“电子加密竞争性磋商响应文件”成功上传递交后，供应商可自行打印竞争性磋商响应文件接收回执。</w:t>
      </w:r>
      <w:bookmarkEnd w:id="300"/>
      <w:bookmarkEnd w:id="301"/>
      <w:bookmarkEnd w:id="302"/>
    </w:p>
    <w:p>
      <w:pPr>
        <w:spacing w:after="0" w:line="500" w:lineRule="exact"/>
        <w:ind w:firstLine="420" w:firstLineChars="200"/>
        <w:rPr>
          <w:rFonts w:ascii="微软雅黑" w:hAnsi="微软雅黑" w:eastAsia="微软雅黑" w:cs="微软雅黑"/>
          <w:b/>
          <w:bCs/>
          <w:color w:val="auto"/>
          <w:szCs w:val="21"/>
          <w:highlight w:val="none"/>
        </w:rPr>
      </w:pPr>
      <w:bookmarkStart w:id="303" w:name="_Toc89266839"/>
      <w:bookmarkStart w:id="304" w:name="_Toc53062713"/>
      <w:bookmarkStart w:id="305" w:name="_Toc40788051"/>
      <w:r>
        <w:rPr>
          <w:rFonts w:hint="eastAsia" w:ascii="微软雅黑" w:hAnsi="微软雅黑" w:eastAsia="微软雅黑" w:cs="微软雅黑"/>
          <w:b/>
          <w:bCs/>
          <w:color w:val="auto"/>
          <w:szCs w:val="21"/>
          <w:highlight w:val="none"/>
        </w:rPr>
        <w:t>（2）“备份竞争性磋商响应文件”的密封包装、递交：</w:t>
      </w:r>
      <w:bookmarkEnd w:id="303"/>
      <w:bookmarkEnd w:id="304"/>
      <w:bookmarkEnd w:id="305"/>
    </w:p>
    <w:p>
      <w:pPr>
        <w:spacing w:after="0" w:line="500" w:lineRule="exact"/>
        <w:ind w:firstLine="420" w:firstLineChars="200"/>
        <w:rPr>
          <w:rFonts w:ascii="微软雅黑" w:hAnsi="微软雅黑" w:eastAsia="微软雅黑" w:cs="微软雅黑"/>
          <w:b/>
          <w:bCs/>
          <w:color w:val="auto"/>
          <w:szCs w:val="21"/>
          <w:highlight w:val="none"/>
        </w:rPr>
      </w:pPr>
      <w:bookmarkStart w:id="306" w:name="_Toc53062714"/>
      <w:bookmarkStart w:id="307" w:name="_Toc40788052"/>
      <w:bookmarkStart w:id="308" w:name="_Toc89266840"/>
      <w:r>
        <w:rPr>
          <w:rFonts w:hint="eastAsia" w:ascii="微软雅黑" w:hAnsi="微软雅黑" w:eastAsia="微软雅黑" w:cs="微软雅黑"/>
          <w:b/>
          <w:bCs/>
          <w:color w:val="auto"/>
          <w:szCs w:val="21"/>
          <w:highlight w:val="none"/>
        </w:rPr>
        <w:t>A、投标供应商在“政府采购云平台”完成“电子加密竞争性磋商响应文件”的上传递交后，还可以（邮寄形式）在投标截止时间前递交以介质（U盘）存储的“备份竞争性磋商响应文件”（一份）；</w:t>
      </w:r>
      <w:bookmarkEnd w:id="306"/>
      <w:bookmarkEnd w:id="307"/>
      <w:bookmarkEnd w:id="308"/>
    </w:p>
    <w:p>
      <w:pPr>
        <w:spacing w:after="0" w:line="500" w:lineRule="exact"/>
        <w:ind w:firstLine="420" w:firstLineChars="200"/>
        <w:rPr>
          <w:rFonts w:ascii="微软雅黑" w:hAnsi="微软雅黑" w:eastAsia="微软雅黑" w:cs="微软雅黑"/>
          <w:b/>
          <w:bCs/>
          <w:color w:val="auto"/>
          <w:szCs w:val="21"/>
          <w:highlight w:val="none"/>
        </w:rPr>
      </w:pPr>
      <w:bookmarkStart w:id="309" w:name="_Toc40788053"/>
      <w:bookmarkStart w:id="310" w:name="_Toc53062715"/>
      <w:bookmarkStart w:id="311" w:name="_Toc89266841"/>
      <w:r>
        <w:rPr>
          <w:rFonts w:hint="eastAsia" w:ascii="微软雅黑" w:hAnsi="微软雅黑" w:eastAsia="微软雅黑" w:cs="微软雅黑"/>
          <w:b/>
          <w:bCs/>
          <w:color w:val="auto"/>
          <w:szCs w:val="21"/>
          <w:highlight w:val="none"/>
        </w:rPr>
        <w:t>B、“备份竞争性磋商响应文件”应当密封包装，并在包装上标注投标项目名称、投标单位名称并加盖公章。没有密封包装或者逾期邮寄送达至邮寄接收地点的“备份竞争性磋商响应文件”将不予接收；</w:t>
      </w:r>
      <w:bookmarkEnd w:id="309"/>
      <w:bookmarkEnd w:id="310"/>
      <w:bookmarkEnd w:id="311"/>
    </w:p>
    <w:p>
      <w:pPr>
        <w:spacing w:after="0" w:line="500" w:lineRule="exact"/>
        <w:ind w:firstLine="420" w:firstLineChars="200"/>
        <w:rPr>
          <w:rFonts w:ascii="微软雅黑" w:hAnsi="微软雅黑" w:eastAsia="微软雅黑" w:cs="微软雅黑"/>
          <w:b/>
          <w:bCs/>
          <w:color w:val="auto"/>
          <w:szCs w:val="21"/>
          <w:highlight w:val="none"/>
        </w:rPr>
      </w:pPr>
      <w:bookmarkStart w:id="312" w:name="_Toc89266842"/>
      <w:bookmarkStart w:id="313" w:name="_Toc53062716"/>
      <w:bookmarkStart w:id="314" w:name="_Toc40788054"/>
      <w:r>
        <w:rPr>
          <w:rFonts w:hint="eastAsia" w:ascii="微软雅黑" w:hAnsi="微软雅黑" w:eastAsia="微软雅黑" w:cs="微软雅黑"/>
          <w:b/>
          <w:bCs/>
          <w:color w:val="auto"/>
          <w:szCs w:val="21"/>
          <w:highlight w:val="none"/>
        </w:rPr>
        <w:t>C、通过“政府采购云平台”成功上传递交的“电子加密竞争性磋商响应文件”已按时解密的，“备份竞争性磋商响应文件”自动失效。投标截止时间前，投标供应商仅递交了“备份竞争性磋商响应文件”而未将“电子加密竞争性磋商响应文件”成功上传至“政府采购云平台”的，投标无效。</w:t>
      </w:r>
      <w:bookmarkEnd w:id="312"/>
      <w:bookmarkEnd w:id="313"/>
      <w:bookmarkEnd w:id="314"/>
    </w:p>
    <w:p>
      <w:pPr>
        <w:snapToGrid w:val="0"/>
        <w:spacing w:after="0" w:line="500" w:lineRule="exact"/>
        <w:ind w:firstLine="420" w:firstLineChars="200"/>
        <w:jc w:val="left"/>
        <w:outlineLvl w:val="1"/>
        <w:rPr>
          <w:rFonts w:ascii="微软雅黑" w:hAnsi="微软雅黑" w:eastAsia="微软雅黑" w:cs="微软雅黑"/>
          <w:b/>
          <w:color w:val="auto"/>
          <w:szCs w:val="21"/>
          <w:highlight w:val="none"/>
        </w:rPr>
      </w:pPr>
      <w:bookmarkStart w:id="315" w:name="_Toc100764228"/>
      <w:bookmarkStart w:id="316" w:name="_Toc53062717"/>
      <w:bookmarkStart w:id="317" w:name="_Toc40788055"/>
      <w:bookmarkStart w:id="318" w:name="_Toc89266843"/>
      <w:r>
        <w:rPr>
          <w:rFonts w:hint="eastAsia" w:ascii="微软雅黑" w:hAnsi="微软雅黑" w:eastAsia="微软雅黑" w:cs="微软雅黑"/>
          <w:b/>
          <w:color w:val="auto"/>
          <w:szCs w:val="21"/>
          <w:highlight w:val="none"/>
        </w:rPr>
        <w:t>（九）、无效响应文件条款：</w:t>
      </w:r>
      <w:bookmarkEnd w:id="272"/>
      <w:bookmarkEnd w:id="273"/>
      <w:bookmarkEnd w:id="274"/>
      <w:bookmarkEnd w:id="275"/>
      <w:bookmarkEnd w:id="276"/>
      <w:bookmarkEnd w:id="277"/>
      <w:bookmarkEnd w:id="278"/>
      <w:bookmarkEnd w:id="279"/>
      <w:bookmarkEnd w:id="280"/>
      <w:bookmarkEnd w:id="315"/>
      <w:bookmarkEnd w:id="316"/>
      <w:bookmarkEnd w:id="317"/>
      <w:bookmarkEnd w:id="318"/>
    </w:p>
    <w:p>
      <w:pPr>
        <w:spacing w:after="0" w:line="500" w:lineRule="exact"/>
        <w:ind w:firstLine="420" w:firstLineChars="200"/>
        <w:rPr>
          <w:rFonts w:ascii="微软雅黑" w:hAnsi="微软雅黑" w:eastAsia="微软雅黑" w:cs="微软雅黑"/>
          <w:color w:val="auto"/>
          <w:szCs w:val="21"/>
          <w:highlight w:val="none"/>
        </w:rPr>
      </w:pPr>
      <w:bookmarkStart w:id="319" w:name="_Toc89266844"/>
      <w:bookmarkStart w:id="320" w:name="_Toc53062718"/>
      <w:bookmarkStart w:id="321" w:name="_Toc40788056"/>
      <w:r>
        <w:rPr>
          <w:rFonts w:hint="eastAsia" w:ascii="微软雅黑" w:hAnsi="微软雅黑" w:eastAsia="微软雅黑" w:cs="微软雅黑"/>
          <w:color w:val="auto"/>
          <w:szCs w:val="21"/>
          <w:highlight w:val="none"/>
        </w:rPr>
        <w:t>存在下列情况之一的,其磋商将响应文件被作无效文件处理:</w:t>
      </w:r>
      <w:bookmarkEnd w:id="319"/>
      <w:bookmarkEnd w:id="320"/>
      <w:bookmarkEnd w:id="321"/>
    </w:p>
    <w:p>
      <w:pPr>
        <w:spacing w:after="0" w:line="500" w:lineRule="exact"/>
        <w:ind w:firstLine="420" w:firstLineChars="200"/>
        <w:rPr>
          <w:rFonts w:ascii="微软雅黑" w:hAnsi="微软雅黑" w:eastAsia="微软雅黑" w:cs="微软雅黑"/>
          <w:color w:val="auto"/>
          <w:szCs w:val="21"/>
          <w:highlight w:val="none"/>
        </w:rPr>
      </w:pPr>
      <w:bookmarkStart w:id="322" w:name="_Toc53062719"/>
      <w:bookmarkStart w:id="323" w:name="_Toc40788057"/>
      <w:bookmarkStart w:id="324" w:name="_Toc89266845"/>
      <w:r>
        <w:rPr>
          <w:rFonts w:hint="eastAsia" w:ascii="微软雅黑" w:hAnsi="微软雅黑" w:eastAsia="微软雅黑" w:cs="微软雅黑"/>
          <w:color w:val="auto"/>
          <w:szCs w:val="21"/>
          <w:highlight w:val="none"/>
        </w:rPr>
        <w:t>9.1、超过截止时间送达的或未按规定地点送达的；</w:t>
      </w:r>
      <w:bookmarkEnd w:id="322"/>
      <w:bookmarkEnd w:id="323"/>
      <w:bookmarkEnd w:id="324"/>
    </w:p>
    <w:p>
      <w:pPr>
        <w:spacing w:after="0" w:line="500" w:lineRule="exact"/>
        <w:ind w:firstLine="420" w:firstLineChars="200"/>
        <w:rPr>
          <w:rFonts w:ascii="微软雅黑" w:hAnsi="微软雅黑" w:eastAsia="微软雅黑" w:cs="微软雅黑"/>
          <w:color w:val="auto"/>
          <w:szCs w:val="21"/>
          <w:highlight w:val="none"/>
        </w:rPr>
      </w:pPr>
      <w:bookmarkStart w:id="325" w:name="_Toc53062720"/>
      <w:bookmarkStart w:id="326" w:name="_Toc89266846"/>
      <w:bookmarkStart w:id="327" w:name="_Toc40788058"/>
      <w:r>
        <w:rPr>
          <w:rFonts w:hint="eastAsia" w:ascii="微软雅黑" w:hAnsi="微软雅黑" w:eastAsia="微软雅黑" w:cs="微软雅黑"/>
          <w:color w:val="auto"/>
          <w:szCs w:val="21"/>
          <w:highlight w:val="none"/>
        </w:rPr>
        <w:t>9.2、未按规定密封、签章的；</w:t>
      </w:r>
      <w:bookmarkEnd w:id="325"/>
      <w:bookmarkEnd w:id="326"/>
      <w:bookmarkEnd w:id="327"/>
    </w:p>
    <w:p>
      <w:pPr>
        <w:spacing w:after="0" w:line="500" w:lineRule="exact"/>
        <w:ind w:firstLine="420" w:firstLineChars="200"/>
        <w:rPr>
          <w:rFonts w:ascii="微软雅黑" w:hAnsi="微软雅黑" w:eastAsia="微软雅黑" w:cs="微软雅黑"/>
          <w:color w:val="auto"/>
          <w:szCs w:val="21"/>
          <w:highlight w:val="none"/>
        </w:rPr>
      </w:pPr>
      <w:bookmarkStart w:id="328" w:name="_Toc53062721"/>
      <w:bookmarkStart w:id="329" w:name="_Toc40788059"/>
      <w:bookmarkStart w:id="330" w:name="_Toc89266847"/>
      <w:r>
        <w:rPr>
          <w:rFonts w:hint="eastAsia" w:ascii="微软雅黑" w:hAnsi="微软雅黑" w:eastAsia="微软雅黑" w:cs="微软雅黑"/>
          <w:color w:val="auto"/>
          <w:szCs w:val="21"/>
          <w:highlight w:val="none"/>
        </w:rPr>
        <w:t>9.3、超出经营范围参加磋商的；</w:t>
      </w:r>
      <w:bookmarkEnd w:id="328"/>
      <w:bookmarkEnd w:id="329"/>
      <w:bookmarkEnd w:id="330"/>
    </w:p>
    <w:p>
      <w:pPr>
        <w:spacing w:after="0" w:line="500" w:lineRule="exact"/>
        <w:ind w:firstLine="420" w:firstLineChars="200"/>
        <w:rPr>
          <w:rFonts w:ascii="微软雅黑" w:hAnsi="微软雅黑" w:eastAsia="微软雅黑" w:cs="微软雅黑"/>
          <w:bCs/>
          <w:color w:val="auto"/>
          <w:szCs w:val="21"/>
          <w:highlight w:val="none"/>
        </w:rPr>
      </w:pPr>
      <w:bookmarkStart w:id="331" w:name="_Toc53062722"/>
      <w:bookmarkStart w:id="332" w:name="_Toc89266848"/>
      <w:bookmarkStart w:id="333" w:name="_Toc40788060"/>
      <w:r>
        <w:rPr>
          <w:rFonts w:hint="eastAsia" w:ascii="微软雅黑" w:hAnsi="微软雅黑" w:eastAsia="微软雅黑" w:cs="微软雅黑"/>
          <w:bCs/>
          <w:color w:val="auto"/>
          <w:szCs w:val="21"/>
          <w:highlight w:val="none"/>
        </w:rPr>
        <w:t>9.4、资格证明文件不全的；</w:t>
      </w:r>
      <w:bookmarkEnd w:id="331"/>
      <w:bookmarkEnd w:id="332"/>
      <w:bookmarkEnd w:id="333"/>
    </w:p>
    <w:p>
      <w:pPr>
        <w:spacing w:after="0" w:line="500" w:lineRule="exact"/>
        <w:ind w:firstLine="420" w:firstLineChars="200"/>
        <w:rPr>
          <w:rFonts w:ascii="微软雅黑" w:hAnsi="微软雅黑" w:eastAsia="微软雅黑" w:cs="微软雅黑"/>
          <w:color w:val="auto"/>
          <w:szCs w:val="21"/>
          <w:highlight w:val="none"/>
        </w:rPr>
      </w:pPr>
      <w:bookmarkStart w:id="334" w:name="_Toc40788061"/>
      <w:bookmarkStart w:id="335" w:name="_Toc89266849"/>
      <w:bookmarkStart w:id="336" w:name="_Toc53062723"/>
      <w:r>
        <w:rPr>
          <w:rFonts w:hint="eastAsia" w:ascii="微软雅黑" w:hAnsi="微软雅黑" w:eastAsia="微软雅黑" w:cs="微软雅黑"/>
          <w:color w:val="auto"/>
          <w:szCs w:val="21"/>
          <w:highlight w:val="none"/>
        </w:rPr>
        <w:t>9.5、磋商响应文件无法定代表人签字,或无法定代表人有效授权委托书的; 或磋商代表人未能出具身份证明或与法定代表人授权委托人身份不符的；</w:t>
      </w:r>
      <w:bookmarkEnd w:id="334"/>
      <w:bookmarkEnd w:id="335"/>
      <w:bookmarkEnd w:id="336"/>
    </w:p>
    <w:p>
      <w:pPr>
        <w:spacing w:after="0" w:line="500" w:lineRule="exact"/>
        <w:ind w:firstLine="420" w:firstLineChars="200"/>
        <w:rPr>
          <w:rFonts w:ascii="微软雅黑" w:hAnsi="微软雅黑" w:eastAsia="微软雅黑" w:cs="微软雅黑"/>
          <w:snapToGrid w:val="0"/>
          <w:color w:val="auto"/>
          <w:szCs w:val="21"/>
          <w:highlight w:val="none"/>
        </w:rPr>
      </w:pPr>
      <w:bookmarkStart w:id="337" w:name="_Toc40788062"/>
      <w:bookmarkStart w:id="338" w:name="_Toc53062724"/>
      <w:bookmarkStart w:id="339" w:name="_Toc89266850"/>
      <w:r>
        <w:rPr>
          <w:rFonts w:hint="eastAsia" w:ascii="微软雅黑" w:hAnsi="微软雅黑" w:eastAsia="微软雅黑" w:cs="微软雅黑"/>
          <w:color w:val="auto"/>
          <w:szCs w:val="21"/>
          <w:highlight w:val="none"/>
        </w:rPr>
        <w:t>9.6、</w:t>
      </w:r>
      <w:r>
        <w:rPr>
          <w:rFonts w:hint="eastAsia" w:ascii="微软雅黑" w:hAnsi="微软雅黑" w:eastAsia="微软雅黑" w:cs="微软雅黑"/>
          <w:snapToGrid w:val="0"/>
          <w:color w:val="auto"/>
          <w:szCs w:val="21"/>
          <w:highlight w:val="none"/>
        </w:rPr>
        <w:t>明显不符合技术规格、技术标准的要求；</w:t>
      </w:r>
      <w:bookmarkEnd w:id="337"/>
      <w:bookmarkEnd w:id="338"/>
      <w:bookmarkEnd w:id="339"/>
    </w:p>
    <w:p>
      <w:pPr>
        <w:spacing w:after="0" w:line="500" w:lineRule="exact"/>
        <w:ind w:firstLine="420" w:firstLineChars="200"/>
        <w:rPr>
          <w:rFonts w:ascii="微软雅黑" w:hAnsi="微软雅黑" w:eastAsia="微软雅黑" w:cs="微软雅黑"/>
          <w:color w:val="auto"/>
          <w:szCs w:val="21"/>
          <w:highlight w:val="none"/>
        </w:rPr>
      </w:pPr>
      <w:bookmarkStart w:id="340" w:name="_Toc53062725"/>
      <w:bookmarkStart w:id="341" w:name="_Toc89266851"/>
      <w:bookmarkStart w:id="342" w:name="_Toc40788063"/>
      <w:r>
        <w:rPr>
          <w:rFonts w:hint="eastAsia" w:ascii="微软雅黑" w:hAnsi="微软雅黑" w:eastAsia="微软雅黑" w:cs="微软雅黑"/>
          <w:snapToGrid w:val="0"/>
          <w:color w:val="auto"/>
          <w:szCs w:val="21"/>
          <w:highlight w:val="none"/>
        </w:rPr>
        <w:t>9.7、最后一轮</w:t>
      </w:r>
      <w:r>
        <w:rPr>
          <w:rFonts w:hint="eastAsia" w:ascii="微软雅黑" w:hAnsi="微软雅黑" w:eastAsia="微软雅黑" w:cs="微软雅黑"/>
          <w:color w:val="auto"/>
          <w:szCs w:val="21"/>
          <w:highlight w:val="none"/>
        </w:rPr>
        <w:t>报价超出采购项目预算范围的;</w:t>
      </w:r>
      <w:bookmarkEnd w:id="340"/>
      <w:bookmarkEnd w:id="341"/>
      <w:bookmarkEnd w:id="342"/>
    </w:p>
    <w:p>
      <w:pPr>
        <w:spacing w:after="0" w:line="500" w:lineRule="exact"/>
        <w:ind w:firstLine="420" w:firstLineChars="200"/>
        <w:rPr>
          <w:rFonts w:ascii="微软雅黑" w:hAnsi="微软雅黑" w:eastAsia="微软雅黑" w:cs="微软雅黑"/>
          <w:color w:val="auto"/>
          <w:szCs w:val="21"/>
          <w:highlight w:val="none"/>
        </w:rPr>
      </w:pPr>
      <w:bookmarkStart w:id="343" w:name="_Toc53062726"/>
      <w:bookmarkStart w:id="344" w:name="_Toc89266852"/>
      <w:bookmarkStart w:id="345" w:name="_Toc40788064"/>
      <w:r>
        <w:rPr>
          <w:rFonts w:hint="eastAsia" w:ascii="微软雅黑" w:hAnsi="微软雅黑" w:eastAsia="微软雅黑" w:cs="微软雅黑"/>
          <w:color w:val="auto"/>
          <w:szCs w:val="21"/>
          <w:highlight w:val="none"/>
        </w:rPr>
        <w:t>9.8、磋商供应商提出采购方不能接受之条件的；</w:t>
      </w:r>
      <w:bookmarkEnd w:id="343"/>
      <w:bookmarkEnd w:id="344"/>
      <w:bookmarkEnd w:id="345"/>
    </w:p>
    <w:p>
      <w:pPr>
        <w:spacing w:after="0" w:line="500" w:lineRule="exact"/>
        <w:ind w:firstLine="420" w:firstLineChars="200"/>
        <w:rPr>
          <w:rFonts w:ascii="微软雅黑" w:hAnsi="微软雅黑" w:eastAsia="微软雅黑" w:cs="微软雅黑"/>
          <w:snapToGrid w:val="0"/>
          <w:color w:val="auto"/>
          <w:szCs w:val="21"/>
          <w:highlight w:val="none"/>
        </w:rPr>
      </w:pPr>
      <w:bookmarkStart w:id="346" w:name="_Toc89266853"/>
      <w:bookmarkStart w:id="347" w:name="_Toc53062727"/>
      <w:bookmarkStart w:id="348" w:name="_Toc40788065"/>
      <w:r>
        <w:rPr>
          <w:rFonts w:hint="eastAsia" w:ascii="微软雅黑" w:hAnsi="微软雅黑" w:eastAsia="微软雅黑" w:cs="微软雅黑"/>
          <w:snapToGrid w:val="0"/>
          <w:color w:val="auto"/>
          <w:szCs w:val="21"/>
          <w:highlight w:val="none"/>
        </w:rPr>
        <w:t>9.9、两份磋商</w:t>
      </w:r>
      <w:r>
        <w:rPr>
          <w:rFonts w:hint="eastAsia" w:ascii="微软雅黑" w:hAnsi="微软雅黑" w:eastAsia="微软雅黑" w:cs="微软雅黑"/>
          <w:color w:val="auto"/>
          <w:szCs w:val="21"/>
          <w:highlight w:val="none"/>
        </w:rPr>
        <w:t>响应</w:t>
      </w:r>
      <w:r>
        <w:rPr>
          <w:rFonts w:hint="eastAsia" w:ascii="微软雅黑" w:hAnsi="微软雅黑" w:eastAsia="微软雅黑" w:cs="微软雅黑"/>
          <w:snapToGrid w:val="0"/>
          <w:color w:val="auto"/>
          <w:szCs w:val="21"/>
          <w:highlight w:val="none"/>
        </w:rPr>
        <w:t>文件存在以下情况之一:两处或两处以上差错相同; 两处或两处以上技术文件文字表述相同连续二十行及以上的；</w:t>
      </w:r>
      <w:bookmarkEnd w:id="346"/>
      <w:bookmarkEnd w:id="347"/>
      <w:bookmarkEnd w:id="348"/>
    </w:p>
    <w:p>
      <w:pPr>
        <w:spacing w:after="0" w:line="500" w:lineRule="exact"/>
        <w:ind w:firstLine="420" w:firstLineChars="200"/>
        <w:rPr>
          <w:rFonts w:ascii="微软雅黑" w:hAnsi="微软雅黑" w:eastAsia="微软雅黑" w:cs="微软雅黑"/>
          <w:color w:val="auto"/>
          <w:szCs w:val="21"/>
          <w:highlight w:val="none"/>
        </w:rPr>
      </w:pPr>
      <w:bookmarkStart w:id="349" w:name="_Toc40788066"/>
      <w:bookmarkStart w:id="350" w:name="_Toc89266854"/>
      <w:bookmarkStart w:id="351" w:name="_Toc53062728"/>
      <w:r>
        <w:rPr>
          <w:rFonts w:hint="eastAsia" w:ascii="微软雅黑" w:hAnsi="微软雅黑" w:eastAsia="微软雅黑" w:cs="微软雅黑"/>
          <w:snapToGrid w:val="0"/>
          <w:color w:val="auto"/>
          <w:szCs w:val="21"/>
          <w:highlight w:val="none"/>
        </w:rPr>
        <w:t>9.10、存在带</w:t>
      </w:r>
      <w:r>
        <w:rPr>
          <w:rFonts w:hint="eastAsia" w:ascii="微软雅黑" w:hAnsi="微软雅黑" w:eastAsia="微软雅黑" w:cs="微软雅黑"/>
          <w:color w:val="auto"/>
          <w:szCs w:val="21"/>
          <w:highlight w:val="none"/>
        </w:rPr>
        <w:t>“▲”条款的负偏离的；</w:t>
      </w:r>
      <w:bookmarkEnd w:id="349"/>
      <w:bookmarkEnd w:id="350"/>
      <w:bookmarkEnd w:id="351"/>
    </w:p>
    <w:p>
      <w:pPr>
        <w:spacing w:after="0" w:line="500" w:lineRule="exact"/>
        <w:ind w:firstLine="420" w:firstLineChars="200"/>
        <w:rPr>
          <w:rFonts w:ascii="微软雅黑" w:hAnsi="微软雅黑" w:eastAsia="微软雅黑" w:cs="微软雅黑"/>
          <w:color w:val="auto"/>
          <w:szCs w:val="21"/>
          <w:highlight w:val="none"/>
        </w:rPr>
      </w:pPr>
      <w:bookmarkStart w:id="352" w:name="_Toc40788067"/>
      <w:bookmarkStart w:id="353" w:name="_Toc89266855"/>
      <w:bookmarkStart w:id="354" w:name="_Toc53062729"/>
      <w:r>
        <w:rPr>
          <w:rFonts w:hint="eastAsia" w:ascii="微软雅黑" w:hAnsi="微软雅黑" w:eastAsia="微软雅黑" w:cs="微软雅黑"/>
          <w:color w:val="auto"/>
          <w:szCs w:val="21"/>
          <w:highlight w:val="none"/>
        </w:rPr>
        <w:t>9.11、本磋商文件其他部分已规定为无效响应文件的情形;</w:t>
      </w:r>
      <w:bookmarkEnd w:id="352"/>
      <w:bookmarkEnd w:id="353"/>
      <w:bookmarkEnd w:id="354"/>
    </w:p>
    <w:p>
      <w:pPr>
        <w:spacing w:after="0" w:line="500" w:lineRule="exact"/>
        <w:ind w:firstLine="420" w:firstLineChars="200"/>
        <w:rPr>
          <w:rFonts w:ascii="微软雅黑" w:hAnsi="微软雅黑" w:eastAsia="微软雅黑" w:cs="微软雅黑"/>
          <w:color w:val="auto"/>
          <w:szCs w:val="21"/>
          <w:highlight w:val="none"/>
        </w:rPr>
      </w:pPr>
      <w:bookmarkStart w:id="355" w:name="_Toc53062730"/>
      <w:bookmarkStart w:id="356" w:name="_Toc89266856"/>
      <w:bookmarkStart w:id="357" w:name="_Toc40788068"/>
      <w:r>
        <w:rPr>
          <w:rFonts w:hint="eastAsia" w:ascii="微软雅黑" w:hAnsi="微软雅黑" w:eastAsia="微软雅黑" w:cs="微软雅黑"/>
          <w:color w:val="auto"/>
          <w:szCs w:val="21"/>
          <w:highlight w:val="none"/>
        </w:rPr>
        <w:t>9.12、评审专家认定的其他必须按无效响应文件处理的。</w:t>
      </w:r>
      <w:bookmarkEnd w:id="355"/>
      <w:bookmarkEnd w:id="356"/>
      <w:bookmarkEnd w:id="357"/>
    </w:p>
    <w:p>
      <w:pPr>
        <w:pStyle w:val="8"/>
        <w:spacing w:before="0" w:after="0" w:line="500" w:lineRule="exact"/>
        <w:ind w:firstLine="420" w:firstLineChars="200"/>
        <w:rPr>
          <w:rFonts w:ascii="微软雅黑" w:hAnsi="微软雅黑" w:eastAsia="微软雅黑" w:cs="微软雅黑"/>
          <w:color w:val="auto"/>
          <w:sz w:val="21"/>
          <w:szCs w:val="21"/>
          <w:highlight w:val="none"/>
        </w:rPr>
      </w:pPr>
      <w:bookmarkStart w:id="358" w:name="_Toc192313118"/>
      <w:bookmarkStart w:id="359" w:name="_Toc40788069"/>
      <w:bookmarkStart w:id="360" w:name="_Toc53062731"/>
      <w:bookmarkStart w:id="361" w:name="_Toc89266857"/>
      <w:bookmarkStart w:id="362" w:name="_Toc100764229"/>
      <w:bookmarkStart w:id="363" w:name="_Toc493699308"/>
      <w:r>
        <w:rPr>
          <w:rFonts w:hint="eastAsia" w:ascii="微软雅黑" w:hAnsi="微软雅黑" w:eastAsia="微软雅黑" w:cs="微软雅黑"/>
          <w:color w:val="auto"/>
          <w:sz w:val="21"/>
          <w:szCs w:val="21"/>
          <w:highlight w:val="none"/>
        </w:rPr>
        <w:t>四</w:t>
      </w:r>
      <w:bookmarkEnd w:id="245"/>
      <w:bookmarkEnd w:id="246"/>
      <w:bookmarkEnd w:id="358"/>
      <w:r>
        <w:rPr>
          <w:rFonts w:hint="eastAsia" w:ascii="微软雅黑" w:hAnsi="微软雅黑" w:eastAsia="微软雅黑" w:cs="微软雅黑"/>
          <w:color w:val="auto"/>
          <w:sz w:val="21"/>
          <w:szCs w:val="21"/>
          <w:highlight w:val="none"/>
        </w:rPr>
        <w:t xml:space="preserve">  磋商前的准备</w:t>
      </w:r>
      <w:bookmarkEnd w:id="359"/>
      <w:bookmarkEnd w:id="360"/>
      <w:bookmarkEnd w:id="361"/>
      <w:bookmarkEnd w:id="362"/>
      <w:bookmarkEnd w:id="363"/>
    </w:p>
    <w:p>
      <w:pPr>
        <w:pStyle w:val="34"/>
        <w:spacing w:after="0" w:line="500" w:lineRule="exact"/>
        <w:ind w:firstLine="420" w:firstLineChars="200"/>
        <w:rPr>
          <w:rFonts w:ascii="微软雅黑" w:hAnsi="微软雅黑" w:eastAsia="微软雅黑" w:cs="微软雅黑"/>
          <w:b/>
          <w:bCs/>
          <w:color w:val="auto"/>
          <w:szCs w:val="21"/>
          <w:highlight w:val="none"/>
        </w:rPr>
      </w:pPr>
      <w:r>
        <w:rPr>
          <w:rFonts w:hint="eastAsia" w:ascii="微软雅黑" w:hAnsi="微软雅黑" w:eastAsia="微软雅黑" w:cs="微软雅黑"/>
          <w:b/>
          <w:color w:val="auto"/>
          <w:szCs w:val="21"/>
          <w:highlight w:val="none"/>
        </w:rPr>
        <w:t>1、</w:t>
      </w:r>
      <w:r>
        <w:rPr>
          <w:rFonts w:hint="eastAsia" w:ascii="微软雅黑" w:hAnsi="微软雅黑" w:eastAsia="微软雅黑" w:cs="微软雅黑"/>
          <w:b/>
          <w:bCs/>
          <w:color w:val="auto"/>
          <w:szCs w:val="21"/>
          <w:highlight w:val="none"/>
        </w:rPr>
        <w:t>开标的准备工作由采购组织机构负责落实；</w:t>
      </w:r>
    </w:p>
    <w:p>
      <w:pPr>
        <w:pStyle w:val="34"/>
        <w:spacing w:after="0" w:line="500" w:lineRule="exact"/>
        <w:ind w:firstLine="420" w:firstLineChars="200"/>
        <w:rPr>
          <w:rFonts w:ascii="微软雅黑" w:hAnsi="微软雅黑" w:eastAsia="微软雅黑" w:cs="微软雅黑"/>
          <w:b/>
          <w:bCs/>
          <w:color w:val="auto"/>
          <w:szCs w:val="21"/>
          <w:highlight w:val="none"/>
        </w:rPr>
      </w:pPr>
      <w:r>
        <w:rPr>
          <w:rFonts w:hint="eastAsia" w:ascii="微软雅黑" w:hAnsi="微软雅黑" w:eastAsia="微软雅黑" w:cs="微软雅黑"/>
          <w:b/>
          <w:bCs/>
          <w:color w:val="auto"/>
          <w:szCs w:val="21"/>
          <w:highlight w:val="none"/>
        </w:rPr>
        <w:t>2、采购组织机构将按照竞争性磋商文件规定的时间通过“政府采购云平台”组织开标、开启竞争性磋商响应文件，所有供应商均应当准时在线参加。投标供应商如不参加开标大会的，视同认可开标结果，事后不得对采购相关人员、开标过程和开标结果提出异议，同时投标供应商因未在线参加开标而导致竞争性磋商响应文件无法按时解密等一切后果由供应商自己承担。</w:t>
      </w:r>
      <w:bookmarkStart w:id="364" w:name="_Toc192313119"/>
      <w:bookmarkStart w:id="365" w:name="_Toc493699309"/>
    </w:p>
    <w:p>
      <w:pPr>
        <w:pStyle w:val="8"/>
        <w:spacing w:before="0" w:after="0" w:line="500" w:lineRule="exact"/>
        <w:ind w:firstLine="420" w:firstLineChars="200"/>
        <w:rPr>
          <w:rFonts w:ascii="微软雅黑" w:hAnsi="微软雅黑" w:eastAsia="微软雅黑" w:cs="微软雅黑"/>
          <w:color w:val="auto"/>
          <w:sz w:val="21"/>
          <w:szCs w:val="21"/>
          <w:highlight w:val="none"/>
        </w:rPr>
      </w:pPr>
      <w:bookmarkStart w:id="366" w:name="_Toc100764230"/>
      <w:bookmarkStart w:id="367" w:name="_Toc40788070"/>
      <w:bookmarkStart w:id="368" w:name="_Toc53062732"/>
      <w:bookmarkStart w:id="369" w:name="_Toc89266858"/>
      <w:r>
        <w:rPr>
          <w:rFonts w:hint="eastAsia" w:ascii="微软雅黑" w:hAnsi="微软雅黑" w:eastAsia="微软雅黑" w:cs="微软雅黑"/>
          <w:color w:val="auto"/>
          <w:sz w:val="21"/>
          <w:szCs w:val="21"/>
          <w:highlight w:val="none"/>
        </w:rPr>
        <w:t>五</w:t>
      </w:r>
      <w:bookmarkEnd w:id="364"/>
      <w:r>
        <w:rPr>
          <w:rFonts w:hint="eastAsia" w:ascii="微软雅黑" w:hAnsi="微软雅黑" w:eastAsia="微软雅黑" w:cs="微软雅黑"/>
          <w:color w:val="auto"/>
          <w:sz w:val="21"/>
          <w:szCs w:val="21"/>
          <w:highlight w:val="none"/>
        </w:rPr>
        <w:t xml:space="preserve">  磋商程序</w:t>
      </w:r>
      <w:bookmarkEnd w:id="365"/>
      <w:bookmarkEnd w:id="366"/>
      <w:bookmarkEnd w:id="367"/>
      <w:bookmarkEnd w:id="368"/>
      <w:bookmarkEnd w:id="369"/>
    </w:p>
    <w:p>
      <w:pPr>
        <w:spacing w:after="0" w:line="500" w:lineRule="exact"/>
        <w:ind w:firstLine="420" w:firstLineChars="200"/>
        <w:outlineLvl w:val="2"/>
        <w:rPr>
          <w:rFonts w:ascii="微软雅黑" w:hAnsi="微软雅黑" w:eastAsia="微软雅黑" w:cs="微软雅黑"/>
          <w:b/>
          <w:snapToGrid w:val="0"/>
          <w:color w:val="auto"/>
          <w:szCs w:val="21"/>
          <w:highlight w:val="none"/>
        </w:rPr>
      </w:pPr>
      <w:bookmarkStart w:id="370" w:name="_Toc100764231"/>
      <w:bookmarkStart w:id="371" w:name="_Toc192313120"/>
      <w:r>
        <w:rPr>
          <w:rFonts w:hint="eastAsia" w:ascii="微软雅黑" w:hAnsi="微软雅黑" w:eastAsia="微软雅黑" w:cs="微软雅黑"/>
          <w:b/>
          <w:snapToGrid w:val="0"/>
          <w:color w:val="auto"/>
          <w:szCs w:val="21"/>
          <w:highlight w:val="none"/>
        </w:rPr>
        <w:t>1、磋商流程：</w:t>
      </w:r>
      <w:bookmarkEnd w:id="370"/>
    </w:p>
    <w:p>
      <w:pPr>
        <w:pStyle w:val="34"/>
        <w:spacing w:after="0" w:line="500" w:lineRule="exact"/>
        <w:ind w:firstLine="420" w:firstLineChars="200"/>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1.1、磋商小组讨论、通过磋商工作流程和磋商要点。</w:t>
      </w:r>
    </w:p>
    <w:p>
      <w:pPr>
        <w:pStyle w:val="34"/>
        <w:spacing w:after="0" w:line="500" w:lineRule="exact"/>
        <w:ind w:firstLine="420" w:firstLineChars="200"/>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1.2、主持人宣布磋商的有关事项；</w:t>
      </w:r>
    </w:p>
    <w:p>
      <w:pPr>
        <w:pStyle w:val="34"/>
        <w:spacing w:after="0" w:line="500" w:lineRule="exact"/>
        <w:ind w:firstLine="420" w:firstLineChars="200"/>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1.3、磋商小组对所提交的磋商响应文件进行审查，审查结束后，由主持人公布无效磋商响应方名单、磋商响应无效的原因、标项废标情况；</w:t>
      </w:r>
    </w:p>
    <w:p>
      <w:pPr>
        <w:pStyle w:val="34"/>
        <w:spacing w:after="0" w:line="500" w:lineRule="exact"/>
        <w:ind w:firstLine="420" w:firstLineChars="200"/>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1.4、磋商小组按标项与各磋商响应方就公司情况、项目需求、售后服务、价格构成、供货时间、付款方式等要素分别进行磋商。逐家磋商一次为一个轮次，磋商轮次由磋商小组视情况决定。</w:t>
      </w:r>
    </w:p>
    <w:p>
      <w:pPr>
        <w:pStyle w:val="34"/>
        <w:spacing w:after="0" w:line="500" w:lineRule="exact"/>
        <w:ind w:firstLine="420" w:firstLineChars="200"/>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1.5、项目磋商结束后，主持人宣布本次最终报价的最高限价，并要求各磋商响应方在规定时间内进行最终报价，密封后统一时间收取保存。在规定时间内没有提交最终报价的磋商供应商，其磋商文件视为无效。</w:t>
      </w:r>
    </w:p>
    <w:p>
      <w:pPr>
        <w:pStyle w:val="34"/>
        <w:spacing w:after="0" w:line="500" w:lineRule="exact"/>
        <w:ind w:firstLine="420" w:firstLineChars="200"/>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1.6、在各磋商响应方最终报价过程中，同时磋商小组根据第三章评审方法对各磋商响应方的资信及商务、技术情况进行评审打分。工作人员按照磋商小组独立评定结果进行算术平均值计算。</w:t>
      </w:r>
    </w:p>
    <w:p>
      <w:pPr>
        <w:pStyle w:val="34"/>
        <w:spacing w:after="0" w:line="500" w:lineRule="exact"/>
        <w:ind w:firstLine="420" w:firstLineChars="200"/>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1.7、主持人宣布磋商最终报价（价格标）评审的有关事项。</w:t>
      </w:r>
    </w:p>
    <w:p>
      <w:pPr>
        <w:pStyle w:val="34"/>
        <w:spacing w:after="0" w:line="500" w:lineRule="exact"/>
        <w:ind w:firstLine="420" w:firstLineChars="200"/>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1.8、工作人员查验最终报价的密封情况，确认无误后拆封各磋商响应方提交的按规定进入价格标评审的磋商最终报价，并公开宣读最终报价，最后要求磋商响应方公开确认无误。</w:t>
      </w:r>
    </w:p>
    <w:p>
      <w:pPr>
        <w:pStyle w:val="34"/>
        <w:spacing w:after="0" w:line="500" w:lineRule="exact"/>
        <w:ind w:firstLine="420" w:firstLineChars="200"/>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1.9、磋商小组对最终报价的合理性进行审核，决定是否结束磋商。若报价合理，磋商小组则根据第三章评审方法计算出总得分并推荐中标商；</w:t>
      </w:r>
    </w:p>
    <w:p>
      <w:pPr>
        <w:pStyle w:val="34"/>
        <w:spacing w:after="0" w:line="500" w:lineRule="exact"/>
        <w:ind w:firstLine="420" w:firstLineChars="200"/>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1.10、磋商结束后，主持人公布有效磋商响应方的总得分结果和推荐的中标商。</w:t>
      </w:r>
    </w:p>
    <w:p>
      <w:pPr>
        <w:pStyle w:val="34"/>
        <w:spacing w:after="0" w:line="500" w:lineRule="exact"/>
        <w:ind w:firstLine="420" w:firstLineChars="200"/>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1.11、磋商原则：磋商小组必须公平、公正、客观，不带任何倾向性和启发性；不得向外界透露任何与磋商有关的内容；任何单位和个人不得干扰、影响磋商的正常进行；磋商小组及有关工作人员不得私下与磋商响应方接触。</w:t>
      </w:r>
    </w:p>
    <w:p>
      <w:pPr>
        <w:spacing w:after="0" w:line="500" w:lineRule="exact"/>
        <w:ind w:firstLine="420" w:firstLineChars="200"/>
        <w:outlineLvl w:val="2"/>
        <w:rPr>
          <w:rFonts w:ascii="微软雅黑" w:hAnsi="微软雅黑" w:eastAsia="微软雅黑" w:cs="微软雅黑"/>
          <w:b/>
          <w:snapToGrid w:val="0"/>
          <w:color w:val="auto"/>
          <w:szCs w:val="21"/>
          <w:highlight w:val="none"/>
        </w:rPr>
      </w:pPr>
      <w:bookmarkStart w:id="372" w:name="_Toc100764232"/>
      <w:bookmarkStart w:id="373" w:name="_Toc493699311"/>
      <w:bookmarkStart w:id="374" w:name="_Toc493082127"/>
      <w:bookmarkStart w:id="375" w:name="_Toc448487547"/>
      <w:bookmarkStart w:id="376" w:name="_Toc437979788"/>
      <w:bookmarkStart w:id="377" w:name="_Toc332724041"/>
      <w:r>
        <w:rPr>
          <w:rFonts w:hint="eastAsia" w:ascii="微软雅黑" w:hAnsi="微软雅黑" w:eastAsia="微软雅黑" w:cs="微软雅黑"/>
          <w:b/>
          <w:snapToGrid w:val="0"/>
          <w:color w:val="auto"/>
          <w:szCs w:val="21"/>
          <w:highlight w:val="none"/>
        </w:rPr>
        <w:t>2、磋商文件的澄清</w:t>
      </w:r>
      <w:bookmarkEnd w:id="372"/>
      <w:bookmarkEnd w:id="373"/>
      <w:bookmarkEnd w:id="374"/>
      <w:bookmarkEnd w:id="375"/>
      <w:bookmarkEnd w:id="376"/>
      <w:bookmarkEnd w:id="377"/>
    </w:p>
    <w:p>
      <w:pPr>
        <w:spacing w:after="0" w:line="500" w:lineRule="exact"/>
        <w:ind w:firstLine="420" w:firstLineChars="200"/>
        <w:rPr>
          <w:rFonts w:ascii="微软雅黑" w:hAnsi="微软雅黑" w:eastAsia="微软雅黑" w:cs="微软雅黑"/>
          <w:snapToGrid w:val="0"/>
          <w:color w:val="auto"/>
          <w:szCs w:val="21"/>
          <w:highlight w:val="none"/>
        </w:rPr>
      </w:pPr>
      <w:bookmarkStart w:id="378" w:name="_Toc89266859"/>
      <w:bookmarkStart w:id="379" w:name="_Toc40788071"/>
      <w:bookmarkStart w:id="380" w:name="_Toc53062733"/>
      <w:r>
        <w:rPr>
          <w:rFonts w:hint="eastAsia" w:ascii="微软雅黑" w:hAnsi="微软雅黑" w:eastAsia="微软雅黑" w:cs="微软雅黑"/>
          <w:snapToGrid w:val="0"/>
          <w:color w:val="auto"/>
          <w:szCs w:val="21"/>
          <w:highlight w:val="none"/>
        </w:rPr>
        <w:t>2.1、在磋商期间，磋商小组有权要求磋商供应商对其磋商文件含义不明确、同类问题表述不一致或者有明显文字和计算错误的内容进行澄清。磋商供应商应派授权代表和技术人员按磋商小组通知的时间和地点接受询标。</w:t>
      </w:r>
      <w:bookmarkEnd w:id="378"/>
      <w:bookmarkEnd w:id="379"/>
      <w:bookmarkEnd w:id="380"/>
    </w:p>
    <w:p>
      <w:pPr>
        <w:spacing w:after="0" w:line="500" w:lineRule="exact"/>
        <w:ind w:firstLine="420" w:firstLineChars="200"/>
        <w:rPr>
          <w:rFonts w:ascii="微软雅黑" w:hAnsi="微软雅黑" w:eastAsia="微软雅黑" w:cs="微软雅黑"/>
          <w:snapToGrid w:val="0"/>
          <w:color w:val="auto"/>
          <w:szCs w:val="21"/>
          <w:highlight w:val="none"/>
        </w:rPr>
      </w:pPr>
      <w:bookmarkStart w:id="381" w:name="_Toc53062734"/>
      <w:bookmarkStart w:id="382" w:name="_Toc89266860"/>
      <w:bookmarkStart w:id="383" w:name="_Toc40788072"/>
      <w:r>
        <w:rPr>
          <w:rFonts w:hint="eastAsia" w:ascii="微软雅黑" w:hAnsi="微软雅黑" w:eastAsia="微软雅黑" w:cs="微软雅黑"/>
          <w:snapToGrid w:val="0"/>
          <w:color w:val="auto"/>
          <w:szCs w:val="21"/>
          <w:highlight w:val="none"/>
        </w:rPr>
        <w:t>2.2、磋商小组认为有必要，可要求磋商供应商对某些问题作出必要的澄清、说明和纠正。投标人的澄清、说明或者补正应当采用书面形式，由其授权的代表签字。投标人的书面澄清材料作为磋商文件的补充。</w:t>
      </w:r>
      <w:bookmarkEnd w:id="381"/>
      <w:bookmarkEnd w:id="382"/>
      <w:bookmarkEnd w:id="383"/>
    </w:p>
    <w:p>
      <w:pPr>
        <w:spacing w:after="0" w:line="500" w:lineRule="exact"/>
        <w:ind w:firstLine="420" w:firstLineChars="200"/>
        <w:rPr>
          <w:rFonts w:ascii="微软雅黑" w:hAnsi="微软雅黑" w:eastAsia="微软雅黑" w:cs="微软雅黑"/>
          <w:snapToGrid w:val="0"/>
          <w:color w:val="auto"/>
          <w:szCs w:val="21"/>
          <w:highlight w:val="none"/>
        </w:rPr>
      </w:pPr>
      <w:bookmarkStart w:id="384" w:name="_Toc40788073"/>
      <w:bookmarkStart w:id="385" w:name="_Toc53062735"/>
      <w:bookmarkStart w:id="386" w:name="_Toc89266861"/>
      <w:r>
        <w:rPr>
          <w:rFonts w:hint="eastAsia" w:ascii="微软雅黑" w:hAnsi="微软雅黑" w:eastAsia="微软雅黑" w:cs="微软雅黑"/>
          <w:snapToGrid w:val="0"/>
          <w:color w:val="auto"/>
          <w:szCs w:val="21"/>
          <w:highlight w:val="none"/>
        </w:rPr>
        <w:t>2.3、磋商供应商不按磋商小组规定的时间和地点作书面澄清，将视为放弃该权利。</w:t>
      </w:r>
      <w:bookmarkEnd w:id="384"/>
      <w:bookmarkEnd w:id="385"/>
      <w:bookmarkEnd w:id="386"/>
    </w:p>
    <w:p>
      <w:pPr>
        <w:spacing w:after="0" w:line="500" w:lineRule="exact"/>
        <w:ind w:firstLine="420" w:firstLineChars="200"/>
        <w:rPr>
          <w:rFonts w:ascii="微软雅黑" w:hAnsi="微软雅黑" w:eastAsia="微软雅黑" w:cs="微软雅黑"/>
          <w:snapToGrid w:val="0"/>
          <w:color w:val="auto"/>
          <w:szCs w:val="21"/>
          <w:highlight w:val="none"/>
        </w:rPr>
      </w:pPr>
      <w:bookmarkStart w:id="387" w:name="_Toc40788074"/>
      <w:bookmarkStart w:id="388" w:name="_Toc89266862"/>
      <w:bookmarkStart w:id="389" w:name="_Toc53062736"/>
      <w:r>
        <w:rPr>
          <w:rFonts w:hint="eastAsia" w:ascii="微软雅黑" w:hAnsi="微软雅黑" w:eastAsia="微软雅黑" w:cs="微软雅黑"/>
          <w:snapToGrid w:val="0"/>
          <w:color w:val="auto"/>
          <w:szCs w:val="21"/>
          <w:highlight w:val="none"/>
        </w:rPr>
        <w:t>2.4、并非每个磋商供应商都将被询标。</w:t>
      </w:r>
      <w:bookmarkEnd w:id="387"/>
      <w:bookmarkEnd w:id="388"/>
      <w:bookmarkEnd w:id="389"/>
    </w:p>
    <w:p>
      <w:pPr>
        <w:spacing w:after="0" w:line="500" w:lineRule="exact"/>
        <w:ind w:firstLine="420" w:firstLineChars="200"/>
        <w:outlineLvl w:val="2"/>
        <w:rPr>
          <w:rFonts w:ascii="微软雅黑" w:hAnsi="微软雅黑" w:eastAsia="微软雅黑" w:cs="微软雅黑"/>
          <w:b/>
          <w:snapToGrid w:val="0"/>
          <w:color w:val="auto"/>
          <w:szCs w:val="21"/>
          <w:highlight w:val="none"/>
        </w:rPr>
      </w:pPr>
      <w:bookmarkStart w:id="390" w:name="_Toc53062737"/>
      <w:bookmarkStart w:id="391" w:name="_Toc437979789"/>
      <w:bookmarkStart w:id="392" w:name="_Toc332724042"/>
      <w:bookmarkStart w:id="393" w:name="_Toc493082128"/>
      <w:bookmarkStart w:id="394" w:name="_Toc40788075"/>
      <w:bookmarkStart w:id="395" w:name="_Toc448487548"/>
      <w:bookmarkStart w:id="396" w:name="_Toc100764233"/>
      <w:bookmarkStart w:id="397" w:name="_Toc89266863"/>
      <w:bookmarkStart w:id="398" w:name="_Toc493699312"/>
      <w:r>
        <w:rPr>
          <w:rFonts w:hint="eastAsia" w:ascii="微软雅黑" w:hAnsi="微软雅黑" w:eastAsia="微软雅黑" w:cs="微软雅黑"/>
          <w:b/>
          <w:snapToGrid w:val="0"/>
          <w:color w:val="auto"/>
          <w:szCs w:val="21"/>
          <w:highlight w:val="none"/>
        </w:rPr>
        <w:t>3、确定成交供应商</w:t>
      </w:r>
      <w:bookmarkEnd w:id="390"/>
      <w:bookmarkEnd w:id="391"/>
      <w:bookmarkEnd w:id="392"/>
      <w:bookmarkEnd w:id="393"/>
      <w:bookmarkEnd w:id="394"/>
      <w:bookmarkEnd w:id="395"/>
      <w:bookmarkEnd w:id="396"/>
      <w:bookmarkEnd w:id="397"/>
      <w:bookmarkEnd w:id="398"/>
    </w:p>
    <w:p>
      <w:pPr>
        <w:spacing w:after="0" w:line="500" w:lineRule="exact"/>
        <w:ind w:firstLine="420" w:firstLineChars="200"/>
        <w:rPr>
          <w:rFonts w:ascii="微软雅黑" w:hAnsi="微软雅黑" w:eastAsia="微软雅黑" w:cs="微软雅黑"/>
          <w:snapToGrid w:val="0"/>
          <w:color w:val="auto"/>
          <w:szCs w:val="21"/>
          <w:highlight w:val="none"/>
        </w:rPr>
      </w:pPr>
      <w:bookmarkStart w:id="399" w:name="_Toc53062738"/>
      <w:bookmarkStart w:id="400" w:name="_Toc89266864"/>
      <w:bookmarkStart w:id="401" w:name="_Toc40788076"/>
      <w:r>
        <w:rPr>
          <w:rFonts w:hint="eastAsia" w:ascii="微软雅黑" w:hAnsi="微软雅黑" w:eastAsia="微软雅黑" w:cs="微软雅黑"/>
          <w:snapToGrid w:val="0"/>
          <w:color w:val="auto"/>
          <w:szCs w:val="21"/>
          <w:highlight w:val="none"/>
        </w:rPr>
        <w:t>3.1、磋商小组将对通过资格性审查和符合性审查的磋商文件进行评价和比较。</w:t>
      </w:r>
      <w:bookmarkEnd w:id="399"/>
      <w:bookmarkEnd w:id="400"/>
      <w:bookmarkEnd w:id="401"/>
    </w:p>
    <w:p>
      <w:pPr>
        <w:spacing w:after="0" w:line="500" w:lineRule="exact"/>
        <w:ind w:firstLine="420" w:firstLineChars="200"/>
        <w:rPr>
          <w:rFonts w:ascii="微软雅黑" w:hAnsi="微软雅黑" w:eastAsia="微软雅黑" w:cs="微软雅黑"/>
          <w:snapToGrid w:val="0"/>
          <w:color w:val="auto"/>
          <w:szCs w:val="21"/>
          <w:highlight w:val="none"/>
        </w:rPr>
      </w:pPr>
      <w:bookmarkStart w:id="402" w:name="_Toc53062739"/>
      <w:bookmarkStart w:id="403" w:name="_Toc40788077"/>
      <w:bookmarkStart w:id="404" w:name="_Toc89266865"/>
      <w:r>
        <w:rPr>
          <w:rFonts w:hint="eastAsia" w:ascii="微软雅黑" w:hAnsi="微软雅黑" w:eastAsia="微软雅黑" w:cs="微软雅黑"/>
          <w:snapToGrid w:val="0"/>
          <w:color w:val="auto"/>
          <w:szCs w:val="21"/>
          <w:highlight w:val="none"/>
        </w:rPr>
        <w:t>3.2、磋商小组按采购文件第三章中公布的评定成交标准对磋商文件进行评审，确定成交候选人。最低报价等任何单项因素的最优不能作为成交的保证。</w:t>
      </w:r>
      <w:bookmarkEnd w:id="402"/>
      <w:bookmarkEnd w:id="403"/>
      <w:bookmarkEnd w:id="404"/>
    </w:p>
    <w:p>
      <w:pPr>
        <w:spacing w:after="0" w:line="500" w:lineRule="exact"/>
        <w:ind w:firstLine="420" w:firstLineChars="200"/>
        <w:outlineLvl w:val="2"/>
        <w:rPr>
          <w:rFonts w:ascii="微软雅黑" w:hAnsi="微软雅黑" w:eastAsia="微软雅黑" w:cs="微软雅黑"/>
          <w:b/>
          <w:snapToGrid w:val="0"/>
          <w:color w:val="auto"/>
          <w:szCs w:val="21"/>
          <w:highlight w:val="none"/>
        </w:rPr>
      </w:pPr>
      <w:bookmarkStart w:id="405" w:name="_Toc40788078"/>
      <w:bookmarkStart w:id="406" w:name="_Toc437979790"/>
      <w:bookmarkStart w:id="407" w:name="_Toc332724043"/>
      <w:bookmarkStart w:id="408" w:name="_Toc89266866"/>
      <w:bookmarkStart w:id="409" w:name="_Toc100764234"/>
      <w:bookmarkStart w:id="410" w:name="_Toc493082129"/>
      <w:bookmarkStart w:id="411" w:name="_Toc493699313"/>
      <w:bookmarkStart w:id="412" w:name="_Toc53062740"/>
      <w:bookmarkStart w:id="413" w:name="_Toc448487549"/>
      <w:r>
        <w:rPr>
          <w:rFonts w:hint="eastAsia" w:ascii="微软雅黑" w:hAnsi="微软雅黑" w:eastAsia="微软雅黑" w:cs="微软雅黑"/>
          <w:b/>
          <w:snapToGrid w:val="0"/>
          <w:color w:val="auto"/>
          <w:szCs w:val="21"/>
          <w:highlight w:val="none"/>
        </w:rPr>
        <w:t>4、磋商过程保密</w:t>
      </w:r>
      <w:bookmarkEnd w:id="405"/>
      <w:bookmarkEnd w:id="406"/>
      <w:bookmarkEnd w:id="407"/>
      <w:bookmarkEnd w:id="408"/>
      <w:bookmarkEnd w:id="409"/>
      <w:bookmarkEnd w:id="410"/>
      <w:bookmarkEnd w:id="411"/>
      <w:bookmarkEnd w:id="412"/>
      <w:bookmarkEnd w:id="413"/>
    </w:p>
    <w:p>
      <w:pPr>
        <w:spacing w:after="0" w:line="500" w:lineRule="exact"/>
        <w:ind w:firstLine="420" w:firstLineChars="200"/>
        <w:rPr>
          <w:rFonts w:ascii="微软雅黑" w:hAnsi="微软雅黑" w:eastAsia="微软雅黑" w:cs="微软雅黑"/>
          <w:snapToGrid w:val="0"/>
          <w:color w:val="auto"/>
          <w:szCs w:val="21"/>
          <w:highlight w:val="none"/>
        </w:rPr>
      </w:pPr>
      <w:bookmarkStart w:id="414" w:name="_Toc89266867"/>
      <w:bookmarkStart w:id="415" w:name="_Toc40788079"/>
      <w:bookmarkStart w:id="416" w:name="_Toc53062741"/>
      <w:r>
        <w:rPr>
          <w:rFonts w:hint="eastAsia" w:ascii="微软雅黑" w:hAnsi="微软雅黑" w:eastAsia="微软雅黑" w:cs="微软雅黑"/>
          <w:snapToGrid w:val="0"/>
          <w:color w:val="auto"/>
          <w:szCs w:val="21"/>
          <w:highlight w:val="none"/>
        </w:rPr>
        <w:t>4.1、在宣布成交结果之前，凡属于审查、澄清、评价、比较磋商文件等有关信息，相关当事人均不得泄露给任何磋商供应商或与磋商工作无关的人员。</w:t>
      </w:r>
      <w:bookmarkEnd w:id="414"/>
      <w:bookmarkEnd w:id="415"/>
      <w:bookmarkEnd w:id="416"/>
    </w:p>
    <w:p>
      <w:pPr>
        <w:spacing w:after="0" w:line="500" w:lineRule="exact"/>
        <w:ind w:firstLine="420" w:firstLineChars="200"/>
        <w:rPr>
          <w:rFonts w:ascii="微软雅黑" w:hAnsi="微软雅黑" w:eastAsia="微软雅黑" w:cs="微软雅黑"/>
          <w:snapToGrid w:val="0"/>
          <w:color w:val="auto"/>
          <w:szCs w:val="21"/>
          <w:highlight w:val="none"/>
        </w:rPr>
      </w:pPr>
      <w:bookmarkStart w:id="417" w:name="_Toc40788080"/>
      <w:bookmarkStart w:id="418" w:name="_Toc53062742"/>
      <w:bookmarkStart w:id="419" w:name="_Toc89266868"/>
      <w:r>
        <w:rPr>
          <w:rFonts w:hint="eastAsia" w:ascii="微软雅黑" w:hAnsi="微软雅黑" w:eastAsia="微软雅黑" w:cs="微软雅黑"/>
          <w:snapToGrid w:val="0"/>
          <w:color w:val="auto"/>
          <w:szCs w:val="21"/>
          <w:highlight w:val="none"/>
        </w:rPr>
        <w:t>4.2、磋商供应商不得探听上述信息，不得以任何行为影响磋商过程，否则其磋商文件将被作为无效磋商文件。</w:t>
      </w:r>
      <w:bookmarkEnd w:id="417"/>
      <w:bookmarkEnd w:id="418"/>
      <w:bookmarkEnd w:id="419"/>
    </w:p>
    <w:p>
      <w:pPr>
        <w:spacing w:after="0" w:line="500" w:lineRule="exact"/>
        <w:ind w:firstLine="420" w:firstLineChars="200"/>
        <w:rPr>
          <w:rFonts w:ascii="微软雅黑" w:hAnsi="微软雅黑" w:eastAsia="微软雅黑" w:cs="微软雅黑"/>
          <w:snapToGrid w:val="0"/>
          <w:color w:val="auto"/>
          <w:szCs w:val="21"/>
          <w:highlight w:val="none"/>
        </w:rPr>
      </w:pPr>
      <w:bookmarkStart w:id="420" w:name="_Toc89266869"/>
      <w:bookmarkStart w:id="421" w:name="_Toc40788081"/>
      <w:bookmarkStart w:id="422" w:name="_Toc53062743"/>
      <w:r>
        <w:rPr>
          <w:rFonts w:hint="eastAsia" w:ascii="微软雅黑" w:hAnsi="微软雅黑" w:eastAsia="微软雅黑" w:cs="微软雅黑"/>
          <w:snapToGrid w:val="0"/>
          <w:color w:val="auto"/>
          <w:szCs w:val="21"/>
          <w:highlight w:val="none"/>
        </w:rPr>
        <w:t>4.3、在磋商期间，采购中心将有专门人员与磋商供应商进行联络。</w:t>
      </w:r>
      <w:bookmarkEnd w:id="420"/>
      <w:bookmarkEnd w:id="421"/>
      <w:bookmarkEnd w:id="422"/>
    </w:p>
    <w:p>
      <w:pPr>
        <w:spacing w:after="0" w:line="500" w:lineRule="exact"/>
        <w:ind w:firstLine="420" w:firstLineChars="200"/>
        <w:rPr>
          <w:rFonts w:ascii="微软雅黑" w:hAnsi="微软雅黑" w:eastAsia="微软雅黑" w:cs="微软雅黑"/>
          <w:snapToGrid w:val="0"/>
          <w:color w:val="auto"/>
          <w:szCs w:val="21"/>
          <w:highlight w:val="none"/>
        </w:rPr>
      </w:pPr>
      <w:bookmarkStart w:id="423" w:name="_Toc53062744"/>
      <w:bookmarkStart w:id="424" w:name="_Toc89266870"/>
      <w:bookmarkStart w:id="425" w:name="_Toc40788082"/>
      <w:r>
        <w:rPr>
          <w:rFonts w:hint="eastAsia" w:ascii="微软雅黑" w:hAnsi="微软雅黑" w:eastAsia="微软雅黑" w:cs="微软雅黑"/>
          <w:snapToGrid w:val="0"/>
          <w:color w:val="auto"/>
          <w:szCs w:val="21"/>
          <w:highlight w:val="none"/>
        </w:rPr>
        <w:t>4.4、采购中心和磋商小组不向未成交的磋商供应商解释未成交原因，也不对磋商过程中的细节问题进行公布。</w:t>
      </w:r>
      <w:bookmarkEnd w:id="423"/>
      <w:bookmarkEnd w:id="424"/>
      <w:bookmarkEnd w:id="425"/>
    </w:p>
    <w:p>
      <w:pPr>
        <w:spacing w:after="0" w:line="500" w:lineRule="exact"/>
        <w:ind w:firstLine="420" w:firstLineChars="200"/>
        <w:outlineLvl w:val="2"/>
        <w:rPr>
          <w:rFonts w:ascii="微软雅黑" w:hAnsi="微软雅黑" w:eastAsia="微软雅黑" w:cs="微软雅黑"/>
          <w:b/>
          <w:snapToGrid w:val="0"/>
          <w:color w:val="auto"/>
          <w:szCs w:val="21"/>
          <w:highlight w:val="none"/>
        </w:rPr>
      </w:pPr>
      <w:bookmarkStart w:id="426" w:name="_Toc53062745"/>
      <w:bookmarkStart w:id="427" w:name="_Toc40788083"/>
      <w:bookmarkStart w:id="428" w:name="_Toc448487550"/>
      <w:bookmarkStart w:id="429" w:name="_Toc332724044"/>
      <w:bookmarkStart w:id="430" w:name="_Toc89266871"/>
      <w:bookmarkStart w:id="431" w:name="_Toc493082130"/>
      <w:bookmarkStart w:id="432" w:name="_Toc493699314"/>
      <w:bookmarkStart w:id="433" w:name="_Toc437979791"/>
      <w:bookmarkStart w:id="434" w:name="_Toc100764235"/>
      <w:r>
        <w:rPr>
          <w:rFonts w:hint="eastAsia" w:ascii="微软雅黑" w:hAnsi="微软雅黑" w:eastAsia="微软雅黑" w:cs="微软雅黑"/>
          <w:b/>
          <w:snapToGrid w:val="0"/>
          <w:color w:val="auto"/>
          <w:szCs w:val="21"/>
          <w:highlight w:val="none"/>
        </w:rPr>
        <w:t>5、磋商供应商不足三家的处理</w:t>
      </w:r>
      <w:bookmarkEnd w:id="426"/>
      <w:bookmarkEnd w:id="427"/>
      <w:bookmarkEnd w:id="428"/>
      <w:bookmarkEnd w:id="429"/>
      <w:bookmarkEnd w:id="430"/>
      <w:bookmarkEnd w:id="431"/>
      <w:bookmarkEnd w:id="432"/>
      <w:bookmarkEnd w:id="433"/>
      <w:bookmarkEnd w:id="434"/>
    </w:p>
    <w:p>
      <w:pPr>
        <w:spacing w:after="0" w:line="500" w:lineRule="exact"/>
        <w:ind w:firstLine="420" w:firstLineChars="200"/>
        <w:rPr>
          <w:rFonts w:ascii="微软雅黑" w:hAnsi="微软雅黑" w:eastAsia="微软雅黑" w:cs="微软雅黑"/>
          <w:snapToGrid w:val="0"/>
          <w:color w:val="auto"/>
          <w:szCs w:val="21"/>
          <w:highlight w:val="none"/>
        </w:rPr>
      </w:pPr>
      <w:bookmarkStart w:id="435" w:name="_Toc487802117"/>
      <w:bookmarkStart w:id="436" w:name="_Toc487793403"/>
      <w:bookmarkStart w:id="437" w:name="_Toc53062746"/>
      <w:bookmarkStart w:id="438" w:name="_Toc89266872"/>
      <w:bookmarkStart w:id="439" w:name="_Toc487802048"/>
      <w:bookmarkStart w:id="440" w:name="_Toc40788084"/>
      <w:bookmarkStart w:id="441" w:name="_Toc487802118"/>
      <w:bookmarkStart w:id="442" w:name="_Toc493699315"/>
      <w:r>
        <w:rPr>
          <w:rFonts w:hint="eastAsia" w:ascii="微软雅黑" w:hAnsi="微软雅黑" w:eastAsia="微软雅黑" w:cs="微软雅黑"/>
          <w:snapToGrid w:val="0"/>
          <w:color w:val="auto"/>
          <w:szCs w:val="21"/>
          <w:highlight w:val="none"/>
        </w:rPr>
        <w:t>根据财库[2015] 124号，规定采用竞争性磋商采购方式采购的政府购买服务项目（含政府和社会资本合作项目），在采购过程中符合要求的供应商（社会资本）只有2家的，竞争性磋商采购活动可以继续进行采用竞争性磋商采购方式采购的政府购买服务项目（含政府和社会资本合作项目），采购过程中符合要求的供应商（社会资本）只有1家的，采购人（项目实施机构）或者采购代理机构应当终止竞争性磋商采购活动，发布项目终止公告并说明原因，重新开展采购活动。</w:t>
      </w:r>
      <w:bookmarkEnd w:id="435"/>
      <w:bookmarkEnd w:id="436"/>
      <w:bookmarkEnd w:id="437"/>
      <w:bookmarkEnd w:id="438"/>
      <w:bookmarkEnd w:id="439"/>
      <w:bookmarkEnd w:id="440"/>
    </w:p>
    <w:p>
      <w:pPr>
        <w:pStyle w:val="8"/>
        <w:spacing w:before="0" w:after="0" w:line="500" w:lineRule="exact"/>
        <w:ind w:firstLine="420" w:firstLineChars="200"/>
        <w:rPr>
          <w:rFonts w:ascii="微软雅黑" w:hAnsi="微软雅黑" w:eastAsia="微软雅黑" w:cs="微软雅黑"/>
          <w:color w:val="auto"/>
          <w:sz w:val="21"/>
          <w:szCs w:val="21"/>
          <w:highlight w:val="none"/>
        </w:rPr>
      </w:pPr>
      <w:bookmarkStart w:id="443" w:name="_Toc89266873"/>
      <w:bookmarkStart w:id="444" w:name="_Toc40788085"/>
      <w:bookmarkStart w:id="445" w:name="_Toc100764236"/>
      <w:bookmarkStart w:id="446" w:name="_Toc53062747"/>
      <w:r>
        <w:rPr>
          <w:rFonts w:hint="eastAsia" w:ascii="微软雅黑" w:hAnsi="微软雅黑" w:eastAsia="微软雅黑" w:cs="微软雅黑"/>
          <w:color w:val="auto"/>
          <w:sz w:val="21"/>
          <w:szCs w:val="21"/>
          <w:highlight w:val="none"/>
        </w:rPr>
        <w:t>六 评标</w:t>
      </w:r>
      <w:bookmarkEnd w:id="441"/>
      <w:bookmarkEnd w:id="442"/>
      <w:bookmarkEnd w:id="443"/>
      <w:bookmarkEnd w:id="444"/>
      <w:bookmarkEnd w:id="445"/>
      <w:bookmarkEnd w:id="446"/>
    </w:p>
    <w:p>
      <w:pPr>
        <w:spacing w:after="0" w:line="500" w:lineRule="exact"/>
        <w:ind w:firstLine="420" w:firstLineChars="200"/>
        <w:outlineLvl w:val="2"/>
        <w:rPr>
          <w:rFonts w:ascii="微软雅黑" w:hAnsi="微软雅黑" w:eastAsia="微软雅黑" w:cs="微软雅黑"/>
          <w:b/>
          <w:snapToGrid w:val="0"/>
          <w:color w:val="auto"/>
          <w:szCs w:val="21"/>
          <w:highlight w:val="none"/>
        </w:rPr>
      </w:pPr>
      <w:bookmarkStart w:id="447" w:name="_Toc53062748"/>
      <w:bookmarkStart w:id="448" w:name="_Toc100764237"/>
      <w:bookmarkStart w:id="449" w:name="_Toc40788086"/>
      <w:bookmarkStart w:id="450" w:name="_Toc89266874"/>
      <w:r>
        <w:rPr>
          <w:rFonts w:hint="eastAsia" w:ascii="微软雅黑" w:hAnsi="微软雅黑" w:eastAsia="微软雅黑" w:cs="微软雅黑"/>
          <w:b/>
          <w:snapToGrid w:val="0"/>
          <w:color w:val="auto"/>
          <w:szCs w:val="21"/>
          <w:highlight w:val="none"/>
        </w:rPr>
        <w:t>1、组建磋商小组</w:t>
      </w:r>
      <w:bookmarkEnd w:id="447"/>
      <w:bookmarkEnd w:id="448"/>
      <w:bookmarkEnd w:id="449"/>
      <w:bookmarkEnd w:id="450"/>
    </w:p>
    <w:p>
      <w:pPr>
        <w:spacing w:after="0" w:line="500" w:lineRule="exact"/>
        <w:ind w:firstLine="420" w:firstLineChars="200"/>
        <w:rPr>
          <w:rFonts w:ascii="微软雅黑" w:hAnsi="微软雅黑" w:eastAsia="微软雅黑" w:cs="微软雅黑"/>
          <w:snapToGrid w:val="0"/>
          <w:color w:val="auto"/>
          <w:szCs w:val="21"/>
          <w:highlight w:val="none"/>
        </w:rPr>
      </w:pPr>
      <w:bookmarkStart w:id="451" w:name="_Toc89266875"/>
      <w:bookmarkStart w:id="452" w:name="_Toc53062749"/>
      <w:bookmarkStart w:id="453" w:name="_Toc40788087"/>
      <w:r>
        <w:rPr>
          <w:rFonts w:hint="eastAsia" w:ascii="微软雅黑" w:hAnsi="微软雅黑" w:eastAsia="微软雅黑" w:cs="微软雅黑"/>
          <w:snapToGrid w:val="0"/>
          <w:color w:val="auto"/>
          <w:szCs w:val="21"/>
          <w:highlight w:val="none"/>
        </w:rPr>
        <w:t>本项目磋商小组由政府采购评审专家2人，采购单位代表1名，共3组成。</w:t>
      </w:r>
      <w:bookmarkEnd w:id="451"/>
      <w:bookmarkEnd w:id="452"/>
      <w:bookmarkEnd w:id="453"/>
    </w:p>
    <w:p>
      <w:pPr>
        <w:spacing w:after="0" w:line="500" w:lineRule="exact"/>
        <w:ind w:firstLine="420" w:firstLineChars="200"/>
        <w:outlineLvl w:val="2"/>
        <w:rPr>
          <w:rFonts w:ascii="微软雅黑" w:hAnsi="微软雅黑" w:eastAsia="微软雅黑" w:cs="微软雅黑"/>
          <w:b/>
          <w:snapToGrid w:val="0"/>
          <w:color w:val="auto"/>
          <w:szCs w:val="21"/>
          <w:highlight w:val="none"/>
        </w:rPr>
      </w:pPr>
      <w:bookmarkStart w:id="454" w:name="_Toc53062750"/>
      <w:bookmarkStart w:id="455" w:name="_Toc89266876"/>
      <w:bookmarkStart w:id="456" w:name="_Toc40788088"/>
      <w:bookmarkStart w:id="457" w:name="_Toc100764238"/>
      <w:r>
        <w:rPr>
          <w:rFonts w:hint="eastAsia" w:ascii="微软雅黑" w:hAnsi="微软雅黑" w:eastAsia="微软雅黑" w:cs="微软雅黑"/>
          <w:b/>
          <w:snapToGrid w:val="0"/>
          <w:color w:val="auto"/>
          <w:szCs w:val="21"/>
          <w:highlight w:val="none"/>
        </w:rPr>
        <w:t>2、磋商的方式</w:t>
      </w:r>
      <w:bookmarkEnd w:id="454"/>
      <w:bookmarkEnd w:id="455"/>
      <w:bookmarkEnd w:id="456"/>
      <w:bookmarkEnd w:id="457"/>
    </w:p>
    <w:p>
      <w:pPr>
        <w:spacing w:after="0" w:line="500" w:lineRule="exact"/>
        <w:ind w:firstLine="420" w:firstLineChars="200"/>
        <w:rPr>
          <w:rFonts w:ascii="微软雅黑" w:hAnsi="微软雅黑" w:eastAsia="微软雅黑" w:cs="微软雅黑"/>
          <w:snapToGrid w:val="0"/>
          <w:color w:val="auto"/>
          <w:szCs w:val="21"/>
          <w:highlight w:val="none"/>
        </w:rPr>
      </w:pPr>
      <w:bookmarkStart w:id="458" w:name="_Toc89266877"/>
      <w:bookmarkStart w:id="459" w:name="_Toc53062751"/>
      <w:bookmarkStart w:id="460" w:name="_Toc40788089"/>
      <w:r>
        <w:rPr>
          <w:rFonts w:hint="eastAsia" w:ascii="微软雅黑" w:hAnsi="微软雅黑" w:eastAsia="微软雅黑" w:cs="微软雅黑"/>
          <w:snapToGrid w:val="0"/>
          <w:color w:val="auto"/>
          <w:szCs w:val="21"/>
          <w:highlight w:val="none"/>
        </w:rPr>
        <w:t>本项目采用不公开方式磋商，磋商的依据为竞争性磋商文件和竞争性磋商响应文件。</w:t>
      </w:r>
      <w:bookmarkEnd w:id="458"/>
      <w:bookmarkEnd w:id="459"/>
      <w:bookmarkEnd w:id="460"/>
    </w:p>
    <w:p>
      <w:pPr>
        <w:spacing w:after="0" w:line="500" w:lineRule="exact"/>
        <w:ind w:firstLine="420" w:firstLineChars="200"/>
        <w:outlineLvl w:val="2"/>
        <w:rPr>
          <w:rFonts w:ascii="微软雅黑" w:hAnsi="微软雅黑" w:eastAsia="微软雅黑" w:cs="微软雅黑"/>
          <w:b/>
          <w:snapToGrid w:val="0"/>
          <w:color w:val="auto"/>
          <w:szCs w:val="21"/>
          <w:highlight w:val="none"/>
        </w:rPr>
      </w:pPr>
      <w:bookmarkStart w:id="461" w:name="_Toc100764239"/>
      <w:bookmarkStart w:id="462" w:name="_Toc53062752"/>
      <w:bookmarkStart w:id="463" w:name="_Toc89266878"/>
      <w:bookmarkStart w:id="464" w:name="_Toc40788090"/>
      <w:r>
        <w:rPr>
          <w:rFonts w:hint="eastAsia" w:ascii="微软雅黑" w:hAnsi="微软雅黑" w:eastAsia="微软雅黑" w:cs="微软雅黑"/>
          <w:b/>
          <w:snapToGrid w:val="0"/>
          <w:color w:val="auto"/>
          <w:szCs w:val="21"/>
          <w:highlight w:val="none"/>
        </w:rPr>
        <w:t>3、磋商程序</w:t>
      </w:r>
      <w:bookmarkEnd w:id="461"/>
      <w:bookmarkEnd w:id="462"/>
      <w:bookmarkEnd w:id="463"/>
      <w:bookmarkEnd w:id="464"/>
    </w:p>
    <w:p>
      <w:pPr>
        <w:spacing w:after="0" w:line="500" w:lineRule="exact"/>
        <w:ind w:firstLine="420" w:firstLineChars="200"/>
        <w:rPr>
          <w:rFonts w:ascii="微软雅黑" w:hAnsi="微软雅黑" w:eastAsia="微软雅黑" w:cs="微软雅黑"/>
          <w:snapToGrid w:val="0"/>
          <w:color w:val="auto"/>
          <w:szCs w:val="21"/>
          <w:highlight w:val="none"/>
        </w:rPr>
      </w:pPr>
      <w:bookmarkStart w:id="465" w:name="_Toc40788091"/>
      <w:bookmarkStart w:id="466" w:name="_Toc89266879"/>
      <w:bookmarkStart w:id="467" w:name="_Toc53062753"/>
      <w:r>
        <w:rPr>
          <w:rFonts w:hint="eastAsia" w:ascii="微软雅黑" w:hAnsi="微软雅黑" w:eastAsia="微软雅黑" w:cs="微软雅黑"/>
          <w:snapToGrid w:val="0"/>
          <w:color w:val="auto"/>
          <w:szCs w:val="21"/>
          <w:highlight w:val="none"/>
        </w:rPr>
        <w:t>3.1、形式审查</w:t>
      </w:r>
      <w:bookmarkEnd w:id="465"/>
      <w:bookmarkEnd w:id="466"/>
      <w:bookmarkEnd w:id="467"/>
    </w:p>
    <w:p>
      <w:pPr>
        <w:spacing w:after="0" w:line="500" w:lineRule="exact"/>
        <w:ind w:firstLine="420" w:firstLineChars="200"/>
        <w:rPr>
          <w:rFonts w:ascii="微软雅黑" w:hAnsi="微软雅黑" w:eastAsia="微软雅黑" w:cs="微软雅黑"/>
          <w:snapToGrid w:val="0"/>
          <w:color w:val="auto"/>
          <w:szCs w:val="21"/>
          <w:highlight w:val="none"/>
        </w:rPr>
      </w:pPr>
      <w:bookmarkStart w:id="468" w:name="_Toc40788092"/>
      <w:bookmarkStart w:id="469" w:name="_Toc89266880"/>
      <w:bookmarkStart w:id="470" w:name="_Toc53062754"/>
      <w:r>
        <w:rPr>
          <w:rFonts w:hint="eastAsia" w:ascii="微软雅黑" w:hAnsi="微软雅黑" w:eastAsia="微软雅黑" w:cs="微软雅黑"/>
          <w:snapToGrid w:val="0"/>
          <w:color w:val="auto"/>
          <w:szCs w:val="21"/>
          <w:highlight w:val="none"/>
        </w:rPr>
        <w:t>磋商小组对磋商供应商的资格和竞争性磋商响应文件的完整性、合法性等进行审查。</w:t>
      </w:r>
      <w:bookmarkEnd w:id="468"/>
      <w:bookmarkEnd w:id="469"/>
      <w:bookmarkEnd w:id="470"/>
    </w:p>
    <w:p>
      <w:pPr>
        <w:spacing w:after="0" w:line="500" w:lineRule="exact"/>
        <w:ind w:firstLine="420" w:firstLineChars="200"/>
        <w:rPr>
          <w:rFonts w:ascii="微软雅黑" w:hAnsi="微软雅黑" w:eastAsia="微软雅黑" w:cs="微软雅黑"/>
          <w:snapToGrid w:val="0"/>
          <w:color w:val="auto"/>
          <w:szCs w:val="21"/>
          <w:highlight w:val="none"/>
        </w:rPr>
      </w:pPr>
      <w:bookmarkStart w:id="471" w:name="_Toc40788093"/>
      <w:bookmarkStart w:id="472" w:name="_Toc89266881"/>
      <w:bookmarkStart w:id="473" w:name="_Toc53062755"/>
      <w:r>
        <w:rPr>
          <w:rFonts w:hint="eastAsia" w:ascii="微软雅黑" w:hAnsi="微软雅黑" w:eastAsia="微软雅黑" w:cs="微软雅黑"/>
          <w:snapToGrid w:val="0"/>
          <w:color w:val="auto"/>
          <w:szCs w:val="21"/>
          <w:highlight w:val="none"/>
        </w:rPr>
        <w:t>3.2、实质审查与比较</w:t>
      </w:r>
      <w:bookmarkEnd w:id="471"/>
      <w:bookmarkEnd w:id="472"/>
      <w:bookmarkEnd w:id="473"/>
    </w:p>
    <w:p>
      <w:pPr>
        <w:spacing w:after="0" w:line="500" w:lineRule="exact"/>
        <w:ind w:firstLine="420" w:firstLineChars="200"/>
        <w:rPr>
          <w:rFonts w:ascii="微软雅黑" w:hAnsi="微软雅黑" w:eastAsia="微软雅黑" w:cs="微软雅黑"/>
          <w:snapToGrid w:val="0"/>
          <w:color w:val="auto"/>
          <w:szCs w:val="21"/>
          <w:highlight w:val="none"/>
        </w:rPr>
      </w:pPr>
      <w:bookmarkStart w:id="474" w:name="_Toc40788094"/>
      <w:bookmarkStart w:id="475" w:name="_Toc53062756"/>
      <w:bookmarkStart w:id="476" w:name="_Toc89266882"/>
      <w:r>
        <w:rPr>
          <w:rFonts w:hint="eastAsia" w:ascii="微软雅黑" w:hAnsi="微软雅黑" w:eastAsia="微软雅黑" w:cs="微软雅黑"/>
          <w:snapToGrid w:val="0"/>
          <w:color w:val="auto"/>
          <w:szCs w:val="21"/>
          <w:highlight w:val="none"/>
        </w:rPr>
        <w:t>3.2.1、磋商小组审查竞争性磋商响应文件的实质性内容是否符合竞争性磋商文件的实质性要求。</w:t>
      </w:r>
      <w:bookmarkEnd w:id="474"/>
      <w:bookmarkEnd w:id="475"/>
      <w:bookmarkEnd w:id="476"/>
    </w:p>
    <w:p>
      <w:pPr>
        <w:spacing w:after="0" w:line="500" w:lineRule="exact"/>
        <w:ind w:firstLine="420" w:firstLineChars="200"/>
        <w:rPr>
          <w:rFonts w:ascii="微软雅黑" w:hAnsi="微软雅黑" w:eastAsia="微软雅黑" w:cs="微软雅黑"/>
          <w:snapToGrid w:val="0"/>
          <w:color w:val="auto"/>
          <w:szCs w:val="21"/>
          <w:highlight w:val="none"/>
        </w:rPr>
      </w:pPr>
      <w:bookmarkStart w:id="477" w:name="_Toc89266883"/>
      <w:bookmarkStart w:id="478" w:name="_Toc53062757"/>
      <w:bookmarkStart w:id="479" w:name="_Toc40788095"/>
      <w:r>
        <w:rPr>
          <w:rFonts w:hint="eastAsia" w:ascii="微软雅黑" w:hAnsi="微软雅黑" w:eastAsia="微软雅黑" w:cs="微软雅黑"/>
          <w:snapToGrid w:val="0"/>
          <w:color w:val="auto"/>
          <w:szCs w:val="21"/>
          <w:highlight w:val="none"/>
        </w:rPr>
        <w:t>3.2.2、磋商小组将根据磋商供应商的竞争性磋商响应文件进行审查、核对,如有疑问,将对磋商供应商进行询标,磋商供应商要向磋商小组澄清有关问题,并最终以书面形式进行答复。</w:t>
      </w:r>
      <w:bookmarkEnd w:id="477"/>
      <w:bookmarkEnd w:id="478"/>
      <w:bookmarkEnd w:id="479"/>
    </w:p>
    <w:p>
      <w:pPr>
        <w:spacing w:after="0" w:line="500" w:lineRule="exact"/>
        <w:ind w:firstLine="420" w:firstLineChars="200"/>
        <w:rPr>
          <w:rFonts w:ascii="微软雅黑" w:hAnsi="微软雅黑" w:eastAsia="微软雅黑" w:cs="微软雅黑"/>
          <w:snapToGrid w:val="0"/>
          <w:color w:val="auto"/>
          <w:szCs w:val="21"/>
          <w:highlight w:val="none"/>
        </w:rPr>
      </w:pPr>
      <w:bookmarkStart w:id="480" w:name="_Toc53062758"/>
      <w:bookmarkStart w:id="481" w:name="_Toc40788096"/>
      <w:bookmarkStart w:id="482" w:name="_Toc89266884"/>
      <w:r>
        <w:rPr>
          <w:rFonts w:hint="eastAsia" w:ascii="微软雅黑" w:hAnsi="微软雅黑" w:eastAsia="微软雅黑" w:cs="微软雅黑"/>
          <w:snapToGrid w:val="0"/>
          <w:color w:val="auto"/>
          <w:szCs w:val="21"/>
          <w:highlight w:val="none"/>
        </w:rPr>
        <w:t>询标时，磋商供应商代表未到场或者拒绝澄清或者澄清的内容改变了竞争性磋商响应文件的实质性内容的，磋商小组有权对该竞争性磋商响应文件作出不利于磋商供应商的评判。</w:t>
      </w:r>
      <w:bookmarkEnd w:id="480"/>
      <w:bookmarkEnd w:id="481"/>
      <w:bookmarkEnd w:id="482"/>
    </w:p>
    <w:p>
      <w:pPr>
        <w:spacing w:after="0" w:line="500" w:lineRule="exact"/>
        <w:ind w:firstLine="420" w:firstLineChars="200"/>
        <w:rPr>
          <w:rFonts w:ascii="微软雅黑" w:hAnsi="微软雅黑" w:eastAsia="微软雅黑" w:cs="微软雅黑"/>
          <w:snapToGrid w:val="0"/>
          <w:color w:val="auto"/>
          <w:szCs w:val="21"/>
          <w:highlight w:val="none"/>
        </w:rPr>
      </w:pPr>
      <w:bookmarkStart w:id="483" w:name="_Toc89266885"/>
      <w:bookmarkStart w:id="484" w:name="_Toc53062759"/>
      <w:bookmarkStart w:id="485" w:name="_Toc40788097"/>
      <w:r>
        <w:rPr>
          <w:rFonts w:hint="eastAsia" w:ascii="微软雅黑" w:hAnsi="微软雅黑" w:eastAsia="微软雅黑" w:cs="微软雅黑"/>
          <w:snapToGrid w:val="0"/>
          <w:color w:val="auto"/>
          <w:szCs w:val="21"/>
          <w:highlight w:val="none"/>
        </w:rPr>
        <w:t>3.2.3、各磋商供应商的资信商务及技术分按照磋商小组成员的独立评分汇总后的算术平均分计算。</w:t>
      </w:r>
      <w:bookmarkEnd w:id="483"/>
      <w:bookmarkEnd w:id="484"/>
      <w:bookmarkEnd w:id="485"/>
    </w:p>
    <w:p>
      <w:pPr>
        <w:spacing w:after="0" w:line="500" w:lineRule="exact"/>
        <w:ind w:firstLine="420" w:firstLineChars="200"/>
        <w:rPr>
          <w:rFonts w:ascii="微软雅黑" w:hAnsi="微软雅黑" w:eastAsia="微软雅黑" w:cs="微软雅黑"/>
          <w:snapToGrid w:val="0"/>
          <w:color w:val="auto"/>
          <w:szCs w:val="21"/>
          <w:highlight w:val="none"/>
        </w:rPr>
      </w:pPr>
      <w:bookmarkStart w:id="486" w:name="_Toc53062760"/>
      <w:bookmarkStart w:id="487" w:name="_Toc40788098"/>
      <w:bookmarkStart w:id="488" w:name="_Toc89266886"/>
      <w:r>
        <w:rPr>
          <w:rFonts w:hint="eastAsia" w:ascii="微软雅黑" w:hAnsi="微软雅黑" w:eastAsia="微软雅黑" w:cs="微软雅黑"/>
          <w:snapToGrid w:val="0"/>
          <w:color w:val="auto"/>
          <w:szCs w:val="21"/>
          <w:highlight w:val="none"/>
        </w:rPr>
        <w:t>3.2.4、代理公司工作人员协助磋商小组根据本项目的评分标准操作政府采购业务系统，由系统计算各磋商供应商的商务报价得分。</w:t>
      </w:r>
      <w:bookmarkEnd w:id="486"/>
      <w:bookmarkEnd w:id="487"/>
      <w:bookmarkEnd w:id="488"/>
    </w:p>
    <w:p>
      <w:pPr>
        <w:spacing w:after="0" w:line="500" w:lineRule="exact"/>
        <w:ind w:firstLine="420" w:firstLineChars="200"/>
        <w:rPr>
          <w:rFonts w:ascii="微软雅黑" w:hAnsi="微软雅黑" w:eastAsia="微软雅黑" w:cs="微软雅黑"/>
          <w:snapToGrid w:val="0"/>
          <w:color w:val="auto"/>
          <w:szCs w:val="21"/>
          <w:highlight w:val="none"/>
        </w:rPr>
      </w:pPr>
      <w:bookmarkStart w:id="489" w:name="_Toc40788099"/>
      <w:bookmarkStart w:id="490" w:name="_Toc89266887"/>
      <w:bookmarkStart w:id="491" w:name="_Toc53062761"/>
      <w:r>
        <w:rPr>
          <w:rFonts w:hint="eastAsia" w:ascii="微软雅黑" w:hAnsi="微软雅黑" w:eastAsia="微软雅黑" w:cs="微软雅黑"/>
          <w:snapToGrid w:val="0"/>
          <w:color w:val="auto"/>
          <w:szCs w:val="21"/>
          <w:highlight w:val="none"/>
        </w:rPr>
        <w:t>3.2.5、磋商小组完成评标后,评委对各部分得分汇总,计算出本项目最终得分、性价比、评标价等。磋商小组按评标原则推荐中标候选人同时起草评标报告。</w:t>
      </w:r>
      <w:bookmarkEnd w:id="489"/>
      <w:bookmarkEnd w:id="490"/>
      <w:bookmarkEnd w:id="491"/>
    </w:p>
    <w:p>
      <w:pPr>
        <w:spacing w:after="0" w:line="500" w:lineRule="exact"/>
        <w:ind w:firstLine="420" w:firstLineChars="200"/>
        <w:outlineLvl w:val="2"/>
        <w:rPr>
          <w:rFonts w:ascii="微软雅黑" w:hAnsi="微软雅黑" w:eastAsia="微软雅黑" w:cs="微软雅黑"/>
          <w:b/>
          <w:snapToGrid w:val="0"/>
          <w:color w:val="auto"/>
          <w:szCs w:val="21"/>
          <w:highlight w:val="none"/>
        </w:rPr>
      </w:pPr>
      <w:bookmarkStart w:id="492" w:name="_Toc53062762"/>
      <w:bookmarkStart w:id="493" w:name="_Toc40788100"/>
      <w:bookmarkStart w:id="494" w:name="_Toc100764240"/>
      <w:bookmarkStart w:id="495" w:name="_Toc89266888"/>
      <w:r>
        <w:rPr>
          <w:rFonts w:hint="eastAsia" w:ascii="微软雅黑" w:hAnsi="微软雅黑" w:eastAsia="微软雅黑" w:cs="微软雅黑"/>
          <w:b/>
          <w:snapToGrid w:val="0"/>
          <w:color w:val="auto"/>
          <w:szCs w:val="21"/>
          <w:highlight w:val="none"/>
        </w:rPr>
        <w:t>4、澄清问题的形式</w:t>
      </w:r>
      <w:bookmarkEnd w:id="492"/>
      <w:bookmarkEnd w:id="493"/>
      <w:bookmarkEnd w:id="494"/>
      <w:bookmarkEnd w:id="495"/>
    </w:p>
    <w:p>
      <w:pPr>
        <w:spacing w:after="0" w:line="500" w:lineRule="exact"/>
        <w:ind w:firstLine="420" w:firstLineChars="200"/>
        <w:rPr>
          <w:rFonts w:ascii="微软雅黑" w:hAnsi="微软雅黑" w:eastAsia="微软雅黑" w:cs="微软雅黑"/>
          <w:snapToGrid w:val="0"/>
          <w:color w:val="auto"/>
          <w:szCs w:val="21"/>
          <w:highlight w:val="none"/>
        </w:rPr>
      </w:pPr>
      <w:bookmarkStart w:id="496" w:name="_Toc40788101"/>
      <w:bookmarkStart w:id="497" w:name="_Toc89266889"/>
      <w:bookmarkStart w:id="498" w:name="_Toc53062763"/>
      <w:r>
        <w:rPr>
          <w:rFonts w:hint="eastAsia" w:ascii="微软雅黑" w:hAnsi="微软雅黑" w:eastAsia="微软雅黑" w:cs="微软雅黑"/>
          <w:snapToGrid w:val="0"/>
          <w:color w:val="auto"/>
          <w:szCs w:val="21"/>
          <w:highlight w:val="none"/>
        </w:rPr>
        <w:t>对竞争性磋商响应文件中含义不明确、同类问题表述不一致或者有明显文字和计算错误的内容，磋商小组可要求磋商供应商作出必要的澄清、说明或者纠正。磋商供应商的澄清、说明或者补正应当采用书面（或通过“政府采购云平台”在线询标）的形式要求投标供应商在规定的时间内作出必要的澄清、说明或者补正，投标供应商澄清、说明或补正时间为不超过30分钟。</w:t>
      </w:r>
      <w:bookmarkEnd w:id="496"/>
      <w:bookmarkEnd w:id="497"/>
      <w:bookmarkEnd w:id="498"/>
    </w:p>
    <w:p>
      <w:pPr>
        <w:spacing w:after="0" w:line="500" w:lineRule="exact"/>
        <w:ind w:firstLine="420" w:firstLineChars="200"/>
        <w:outlineLvl w:val="2"/>
        <w:rPr>
          <w:rFonts w:ascii="微软雅黑" w:hAnsi="微软雅黑" w:eastAsia="微软雅黑" w:cs="微软雅黑"/>
          <w:b/>
          <w:snapToGrid w:val="0"/>
          <w:color w:val="auto"/>
          <w:szCs w:val="21"/>
          <w:highlight w:val="none"/>
        </w:rPr>
      </w:pPr>
      <w:bookmarkStart w:id="499" w:name="_Toc89266890"/>
      <w:bookmarkStart w:id="500" w:name="_Toc100764241"/>
      <w:bookmarkStart w:id="501" w:name="_Toc53062764"/>
      <w:bookmarkStart w:id="502" w:name="_Toc40788102"/>
      <w:r>
        <w:rPr>
          <w:rFonts w:hint="eastAsia" w:ascii="微软雅黑" w:hAnsi="微软雅黑" w:eastAsia="微软雅黑" w:cs="微软雅黑"/>
          <w:b/>
          <w:snapToGrid w:val="0"/>
          <w:color w:val="auto"/>
          <w:szCs w:val="21"/>
          <w:highlight w:val="none"/>
        </w:rPr>
        <w:t>5、错误修正</w:t>
      </w:r>
      <w:bookmarkEnd w:id="499"/>
      <w:bookmarkEnd w:id="500"/>
      <w:bookmarkEnd w:id="501"/>
      <w:bookmarkEnd w:id="502"/>
    </w:p>
    <w:p>
      <w:pPr>
        <w:spacing w:after="0" w:line="500" w:lineRule="exact"/>
        <w:ind w:firstLine="420" w:firstLineChars="200"/>
        <w:rPr>
          <w:rFonts w:ascii="微软雅黑" w:hAnsi="微软雅黑" w:eastAsia="微软雅黑" w:cs="微软雅黑"/>
          <w:snapToGrid w:val="0"/>
          <w:color w:val="auto"/>
          <w:szCs w:val="21"/>
          <w:highlight w:val="none"/>
        </w:rPr>
      </w:pPr>
      <w:bookmarkStart w:id="503" w:name="_Toc53062765"/>
      <w:bookmarkStart w:id="504" w:name="_Toc89266891"/>
      <w:bookmarkStart w:id="505" w:name="_Toc40788103"/>
      <w:r>
        <w:rPr>
          <w:rFonts w:hint="eastAsia" w:ascii="微软雅黑" w:hAnsi="微软雅黑" w:eastAsia="微软雅黑" w:cs="微软雅黑"/>
          <w:snapToGrid w:val="0"/>
          <w:color w:val="auto"/>
          <w:szCs w:val="21"/>
          <w:highlight w:val="none"/>
        </w:rPr>
        <w:t>竞争性磋商响应文件如果出现计算或表达上的错误，修正错误的原则如下：</w:t>
      </w:r>
      <w:bookmarkEnd w:id="503"/>
      <w:bookmarkEnd w:id="504"/>
      <w:bookmarkEnd w:id="505"/>
    </w:p>
    <w:p>
      <w:pPr>
        <w:spacing w:after="0" w:line="500" w:lineRule="exact"/>
        <w:ind w:firstLine="420" w:firstLineChars="200"/>
        <w:rPr>
          <w:rFonts w:ascii="微软雅黑" w:hAnsi="微软雅黑" w:eastAsia="微软雅黑" w:cs="微软雅黑"/>
          <w:snapToGrid w:val="0"/>
          <w:color w:val="auto"/>
          <w:szCs w:val="21"/>
          <w:highlight w:val="none"/>
        </w:rPr>
      </w:pPr>
      <w:bookmarkStart w:id="506" w:name="_Toc40788104"/>
      <w:bookmarkStart w:id="507" w:name="_Toc53062766"/>
      <w:bookmarkStart w:id="508" w:name="_Toc89266892"/>
      <w:r>
        <w:rPr>
          <w:rFonts w:hint="eastAsia" w:ascii="微软雅黑" w:hAnsi="微软雅黑" w:eastAsia="微软雅黑" w:cs="微软雅黑"/>
          <w:snapToGrid w:val="0"/>
          <w:color w:val="auto"/>
          <w:szCs w:val="21"/>
          <w:highlight w:val="none"/>
        </w:rPr>
        <w:t>5.1、开标一览表总价与投标报价明细表汇总数不一致的，以开标一览表为准；</w:t>
      </w:r>
      <w:bookmarkEnd w:id="506"/>
      <w:bookmarkEnd w:id="507"/>
      <w:bookmarkEnd w:id="508"/>
    </w:p>
    <w:p>
      <w:pPr>
        <w:spacing w:after="0" w:line="500" w:lineRule="exact"/>
        <w:ind w:firstLine="420" w:firstLineChars="200"/>
        <w:rPr>
          <w:rFonts w:ascii="微软雅黑" w:hAnsi="微软雅黑" w:eastAsia="微软雅黑" w:cs="微软雅黑"/>
          <w:snapToGrid w:val="0"/>
          <w:color w:val="auto"/>
          <w:szCs w:val="21"/>
          <w:highlight w:val="none"/>
        </w:rPr>
      </w:pPr>
      <w:bookmarkStart w:id="509" w:name="_Toc40788105"/>
      <w:bookmarkStart w:id="510" w:name="_Toc89266893"/>
      <w:bookmarkStart w:id="511" w:name="_Toc53062767"/>
      <w:r>
        <w:rPr>
          <w:rFonts w:hint="eastAsia" w:ascii="微软雅黑" w:hAnsi="微软雅黑" w:eastAsia="微软雅黑" w:cs="微软雅黑"/>
          <w:snapToGrid w:val="0"/>
          <w:color w:val="auto"/>
          <w:szCs w:val="21"/>
          <w:highlight w:val="none"/>
        </w:rPr>
        <w:t>5.2、竞争性磋商响应文件的大写金额和小写金额不一致的，以大写金额为准；</w:t>
      </w:r>
      <w:bookmarkEnd w:id="509"/>
      <w:bookmarkEnd w:id="510"/>
      <w:bookmarkEnd w:id="511"/>
    </w:p>
    <w:p>
      <w:pPr>
        <w:spacing w:after="0" w:line="500" w:lineRule="exact"/>
        <w:ind w:firstLine="420" w:firstLineChars="200"/>
        <w:rPr>
          <w:rFonts w:ascii="微软雅黑" w:hAnsi="微软雅黑" w:eastAsia="微软雅黑" w:cs="微软雅黑"/>
          <w:snapToGrid w:val="0"/>
          <w:color w:val="auto"/>
          <w:szCs w:val="21"/>
          <w:highlight w:val="none"/>
        </w:rPr>
      </w:pPr>
      <w:bookmarkStart w:id="512" w:name="_Toc53062768"/>
      <w:bookmarkStart w:id="513" w:name="_Toc89266894"/>
      <w:bookmarkStart w:id="514" w:name="_Toc40788106"/>
      <w:r>
        <w:rPr>
          <w:rFonts w:hint="eastAsia" w:ascii="微软雅黑" w:hAnsi="微软雅黑" w:eastAsia="微软雅黑" w:cs="微软雅黑"/>
          <w:snapToGrid w:val="0"/>
          <w:color w:val="auto"/>
          <w:szCs w:val="21"/>
          <w:highlight w:val="none"/>
        </w:rPr>
        <w:t>5.3、总价金额与按单价汇总金额不一致的，以单价金额计算结果为准；</w:t>
      </w:r>
      <w:bookmarkEnd w:id="512"/>
      <w:bookmarkEnd w:id="513"/>
      <w:bookmarkEnd w:id="514"/>
    </w:p>
    <w:p>
      <w:pPr>
        <w:spacing w:after="0" w:line="500" w:lineRule="exact"/>
        <w:ind w:firstLine="420" w:firstLineChars="200"/>
        <w:rPr>
          <w:rFonts w:ascii="微软雅黑" w:hAnsi="微软雅黑" w:eastAsia="微软雅黑" w:cs="微软雅黑"/>
          <w:snapToGrid w:val="0"/>
          <w:color w:val="auto"/>
          <w:szCs w:val="21"/>
          <w:highlight w:val="none"/>
        </w:rPr>
      </w:pPr>
      <w:bookmarkStart w:id="515" w:name="_Toc89266895"/>
      <w:bookmarkStart w:id="516" w:name="_Toc53062769"/>
      <w:bookmarkStart w:id="517" w:name="_Toc40788107"/>
      <w:r>
        <w:rPr>
          <w:rFonts w:hint="eastAsia" w:ascii="微软雅黑" w:hAnsi="微软雅黑" w:eastAsia="微软雅黑" w:cs="微软雅黑"/>
          <w:snapToGrid w:val="0"/>
          <w:color w:val="auto"/>
          <w:szCs w:val="21"/>
          <w:highlight w:val="none"/>
        </w:rPr>
        <w:t>5.4、对不同文字文本竞争性磋商响应文件的解释发生异议的，以中文文本为准。</w:t>
      </w:r>
      <w:bookmarkEnd w:id="515"/>
      <w:bookmarkEnd w:id="516"/>
      <w:bookmarkEnd w:id="517"/>
    </w:p>
    <w:p>
      <w:pPr>
        <w:spacing w:after="0" w:line="500" w:lineRule="exact"/>
        <w:ind w:firstLine="420" w:firstLineChars="200"/>
        <w:rPr>
          <w:rFonts w:ascii="微软雅黑" w:hAnsi="微软雅黑" w:eastAsia="微软雅黑" w:cs="微软雅黑"/>
          <w:snapToGrid w:val="0"/>
          <w:color w:val="auto"/>
          <w:szCs w:val="21"/>
          <w:highlight w:val="none"/>
        </w:rPr>
      </w:pPr>
      <w:bookmarkStart w:id="518" w:name="_Toc53062770"/>
      <w:bookmarkStart w:id="519" w:name="_Toc89266896"/>
      <w:bookmarkStart w:id="520" w:name="_Toc40788108"/>
      <w:r>
        <w:rPr>
          <w:rFonts w:hint="eastAsia" w:ascii="微软雅黑" w:hAnsi="微软雅黑" w:eastAsia="微软雅黑" w:cs="微软雅黑"/>
          <w:snapToGrid w:val="0"/>
          <w:color w:val="auto"/>
          <w:szCs w:val="21"/>
          <w:highlight w:val="none"/>
        </w:rPr>
        <w:t>按上述修正错误的原则及方法调整或修正竞争性磋商响应文件的投标报价，磋商供应商同意确认后，调整后的投标报价对磋商供应商具有约束作用。如果磋商供应商不接受修正后的报价，则其投标将作为无效投标处理。</w:t>
      </w:r>
      <w:bookmarkEnd w:id="518"/>
      <w:bookmarkEnd w:id="519"/>
      <w:bookmarkEnd w:id="520"/>
    </w:p>
    <w:p>
      <w:pPr>
        <w:spacing w:after="0" w:line="500" w:lineRule="exact"/>
        <w:ind w:firstLine="420" w:firstLineChars="200"/>
        <w:outlineLvl w:val="2"/>
        <w:rPr>
          <w:rFonts w:ascii="微软雅黑" w:hAnsi="微软雅黑" w:eastAsia="微软雅黑" w:cs="微软雅黑"/>
          <w:b/>
          <w:snapToGrid w:val="0"/>
          <w:color w:val="auto"/>
          <w:szCs w:val="21"/>
          <w:highlight w:val="none"/>
        </w:rPr>
      </w:pPr>
      <w:bookmarkStart w:id="521" w:name="_Toc40788109"/>
      <w:bookmarkStart w:id="522" w:name="_Toc89266897"/>
      <w:bookmarkStart w:id="523" w:name="_Toc100764242"/>
      <w:bookmarkStart w:id="524" w:name="_Toc53062771"/>
      <w:r>
        <w:rPr>
          <w:rFonts w:hint="eastAsia" w:ascii="微软雅黑" w:hAnsi="微软雅黑" w:eastAsia="微软雅黑" w:cs="微软雅黑"/>
          <w:b/>
          <w:snapToGrid w:val="0"/>
          <w:color w:val="auto"/>
          <w:szCs w:val="21"/>
          <w:highlight w:val="none"/>
        </w:rPr>
        <w:t>6、评标原则和评标办法</w:t>
      </w:r>
      <w:bookmarkEnd w:id="521"/>
      <w:bookmarkEnd w:id="522"/>
      <w:bookmarkEnd w:id="523"/>
      <w:bookmarkEnd w:id="524"/>
    </w:p>
    <w:p>
      <w:pPr>
        <w:spacing w:after="0" w:line="500" w:lineRule="exact"/>
        <w:ind w:firstLine="420" w:firstLineChars="200"/>
        <w:rPr>
          <w:rFonts w:ascii="微软雅黑" w:hAnsi="微软雅黑" w:eastAsia="微软雅黑" w:cs="微软雅黑"/>
          <w:snapToGrid w:val="0"/>
          <w:color w:val="auto"/>
          <w:szCs w:val="21"/>
          <w:highlight w:val="none"/>
        </w:rPr>
      </w:pPr>
      <w:bookmarkStart w:id="525" w:name="_Toc40788110"/>
      <w:bookmarkStart w:id="526" w:name="_Toc89266898"/>
      <w:bookmarkStart w:id="527" w:name="_Toc53062772"/>
      <w:r>
        <w:rPr>
          <w:rFonts w:hint="eastAsia" w:ascii="微软雅黑" w:hAnsi="微软雅黑" w:eastAsia="微软雅黑" w:cs="微软雅黑"/>
          <w:snapToGrid w:val="0"/>
          <w:color w:val="auto"/>
          <w:szCs w:val="21"/>
          <w:highlight w:val="none"/>
        </w:rPr>
        <w:t>6.1、评标原则。磋商小组必须公平、公正、客观，不带任何倾向性和启发性；不得向外界透露任何与评标有关的内容；任何单位和个人不得干扰、影响评标的正常进行；磋商小组及有关工作人员不得私下与磋商供应商接触。</w:t>
      </w:r>
      <w:bookmarkEnd w:id="525"/>
      <w:bookmarkEnd w:id="526"/>
      <w:bookmarkEnd w:id="527"/>
    </w:p>
    <w:p>
      <w:pPr>
        <w:spacing w:after="0" w:line="500" w:lineRule="exact"/>
        <w:ind w:firstLine="420" w:firstLineChars="200"/>
        <w:rPr>
          <w:rFonts w:ascii="微软雅黑" w:hAnsi="微软雅黑" w:eastAsia="微软雅黑" w:cs="微软雅黑"/>
          <w:snapToGrid w:val="0"/>
          <w:color w:val="auto"/>
          <w:szCs w:val="21"/>
          <w:highlight w:val="none"/>
        </w:rPr>
      </w:pPr>
      <w:bookmarkStart w:id="528" w:name="_Toc53062773"/>
      <w:bookmarkStart w:id="529" w:name="_Toc89266899"/>
      <w:bookmarkStart w:id="530" w:name="_Toc40788111"/>
      <w:r>
        <w:rPr>
          <w:rFonts w:hint="eastAsia" w:ascii="微软雅黑" w:hAnsi="微软雅黑" w:eastAsia="微软雅黑" w:cs="微软雅黑"/>
          <w:snapToGrid w:val="0"/>
          <w:color w:val="auto"/>
          <w:szCs w:val="21"/>
          <w:highlight w:val="none"/>
        </w:rPr>
        <w:t>6.2、评标办法。本项目评标办法是综合评标法，具体评标内容及评分标准等详见《第四章：评标办法及评分标准》。</w:t>
      </w:r>
      <w:bookmarkEnd w:id="528"/>
      <w:bookmarkEnd w:id="529"/>
      <w:bookmarkEnd w:id="530"/>
    </w:p>
    <w:p>
      <w:pPr>
        <w:spacing w:after="0" w:line="500" w:lineRule="exact"/>
        <w:ind w:firstLine="420" w:firstLineChars="200"/>
        <w:outlineLvl w:val="2"/>
        <w:rPr>
          <w:rFonts w:ascii="微软雅黑" w:hAnsi="微软雅黑" w:eastAsia="微软雅黑" w:cs="微软雅黑"/>
          <w:b/>
          <w:snapToGrid w:val="0"/>
          <w:color w:val="auto"/>
          <w:szCs w:val="21"/>
          <w:highlight w:val="none"/>
        </w:rPr>
      </w:pPr>
      <w:bookmarkStart w:id="531" w:name="_Toc100764243"/>
      <w:bookmarkStart w:id="532" w:name="_Toc40788112"/>
      <w:bookmarkStart w:id="533" w:name="_Toc53062774"/>
      <w:bookmarkStart w:id="534" w:name="_Toc89266900"/>
      <w:r>
        <w:rPr>
          <w:rFonts w:hint="eastAsia" w:ascii="微软雅黑" w:hAnsi="微软雅黑" w:eastAsia="微软雅黑" w:cs="微软雅黑"/>
          <w:b/>
          <w:snapToGrid w:val="0"/>
          <w:color w:val="auto"/>
          <w:szCs w:val="21"/>
          <w:highlight w:val="none"/>
        </w:rPr>
        <w:t>7、评标过程的监控</w:t>
      </w:r>
      <w:bookmarkEnd w:id="531"/>
      <w:bookmarkEnd w:id="532"/>
      <w:bookmarkEnd w:id="533"/>
      <w:bookmarkEnd w:id="534"/>
    </w:p>
    <w:p>
      <w:pPr>
        <w:spacing w:after="0" w:line="500" w:lineRule="exact"/>
        <w:ind w:firstLine="420" w:firstLineChars="200"/>
        <w:rPr>
          <w:rFonts w:ascii="微软雅黑" w:hAnsi="微软雅黑" w:eastAsia="微软雅黑" w:cs="微软雅黑"/>
          <w:snapToGrid w:val="0"/>
          <w:color w:val="auto"/>
          <w:szCs w:val="21"/>
          <w:highlight w:val="none"/>
        </w:rPr>
      </w:pPr>
      <w:bookmarkStart w:id="535" w:name="_Toc53062775"/>
      <w:bookmarkStart w:id="536" w:name="_Toc89266901"/>
      <w:bookmarkStart w:id="537" w:name="_Toc40788113"/>
      <w:r>
        <w:rPr>
          <w:rFonts w:hint="eastAsia" w:ascii="微软雅黑" w:hAnsi="微软雅黑" w:eastAsia="微软雅黑" w:cs="微软雅黑"/>
          <w:snapToGrid w:val="0"/>
          <w:color w:val="auto"/>
          <w:szCs w:val="21"/>
          <w:highlight w:val="none"/>
        </w:rPr>
        <w:t>本项目评标过程实行全程录音、录像监控。磋商供应商在评标过程中所进行的试图影响评标结果的不公正活动，可能导致其投标被拒绝。</w:t>
      </w:r>
      <w:bookmarkEnd w:id="535"/>
      <w:bookmarkEnd w:id="536"/>
      <w:bookmarkEnd w:id="537"/>
    </w:p>
    <w:bookmarkEnd w:id="371"/>
    <w:p>
      <w:pPr>
        <w:pStyle w:val="8"/>
        <w:spacing w:before="0" w:after="0" w:line="500" w:lineRule="exact"/>
        <w:ind w:firstLine="420" w:firstLineChars="200"/>
        <w:rPr>
          <w:rFonts w:ascii="微软雅黑" w:hAnsi="微软雅黑" w:eastAsia="微软雅黑" w:cs="微软雅黑"/>
          <w:color w:val="auto"/>
          <w:sz w:val="21"/>
          <w:szCs w:val="21"/>
          <w:highlight w:val="none"/>
        </w:rPr>
      </w:pPr>
      <w:bookmarkStart w:id="538" w:name="_Toc40788114"/>
      <w:bookmarkStart w:id="539" w:name="_Toc100764244"/>
      <w:bookmarkStart w:id="540" w:name="_Toc89266902"/>
      <w:bookmarkStart w:id="541" w:name="_Toc493699316"/>
      <w:bookmarkStart w:id="542" w:name="_Toc53062776"/>
      <w:r>
        <w:rPr>
          <w:rFonts w:hint="eastAsia" w:ascii="微软雅黑" w:hAnsi="微软雅黑" w:eastAsia="微软雅黑" w:cs="微软雅黑"/>
          <w:color w:val="auto"/>
          <w:sz w:val="21"/>
          <w:szCs w:val="21"/>
          <w:highlight w:val="none"/>
        </w:rPr>
        <w:t>七  磋商结果的确定</w:t>
      </w:r>
      <w:bookmarkEnd w:id="538"/>
      <w:bookmarkEnd w:id="539"/>
      <w:bookmarkEnd w:id="540"/>
      <w:bookmarkEnd w:id="541"/>
      <w:bookmarkEnd w:id="542"/>
    </w:p>
    <w:p>
      <w:pPr>
        <w:spacing w:after="0" w:line="500" w:lineRule="exact"/>
        <w:ind w:firstLine="420" w:firstLineChars="200"/>
        <w:outlineLvl w:val="2"/>
        <w:rPr>
          <w:rFonts w:ascii="微软雅黑" w:hAnsi="微软雅黑" w:eastAsia="微软雅黑" w:cs="微软雅黑"/>
          <w:b/>
          <w:snapToGrid w:val="0"/>
          <w:color w:val="auto"/>
          <w:szCs w:val="21"/>
          <w:highlight w:val="none"/>
        </w:rPr>
      </w:pPr>
      <w:bookmarkStart w:id="543" w:name="_Toc100764245"/>
      <w:r>
        <w:rPr>
          <w:rFonts w:hint="eastAsia" w:ascii="微软雅黑" w:hAnsi="微软雅黑" w:eastAsia="微软雅黑" w:cs="微软雅黑"/>
          <w:b/>
          <w:snapToGrid w:val="0"/>
          <w:color w:val="auto"/>
          <w:szCs w:val="21"/>
          <w:highlight w:val="none"/>
        </w:rPr>
        <w:t>1、磋商结果确定</w:t>
      </w:r>
      <w:bookmarkEnd w:id="543"/>
    </w:p>
    <w:p>
      <w:pPr>
        <w:spacing w:after="0" w:line="500" w:lineRule="exact"/>
        <w:ind w:firstLine="420" w:firstLineChars="200"/>
        <w:rPr>
          <w:rFonts w:ascii="微软雅黑" w:hAnsi="微软雅黑" w:eastAsia="微软雅黑" w:cs="微软雅黑"/>
          <w:snapToGrid w:val="0"/>
          <w:color w:val="auto"/>
          <w:szCs w:val="21"/>
          <w:highlight w:val="none"/>
        </w:rPr>
      </w:pPr>
      <w:bookmarkStart w:id="544" w:name="_Toc40788115"/>
      <w:bookmarkStart w:id="545" w:name="_Toc89266903"/>
      <w:bookmarkStart w:id="546" w:name="_Toc53062777"/>
      <w:r>
        <w:rPr>
          <w:rFonts w:hint="eastAsia" w:ascii="微软雅黑" w:hAnsi="微软雅黑" w:eastAsia="微软雅黑" w:cs="微软雅黑"/>
          <w:snapToGrid w:val="0"/>
          <w:color w:val="auto"/>
          <w:szCs w:val="21"/>
          <w:highlight w:val="none"/>
        </w:rPr>
        <w:t>1.1、采购单位事先授权磋商小组直接确定成交供应商，磋商小组可直接确定成交供应商。</w:t>
      </w:r>
      <w:bookmarkEnd w:id="544"/>
      <w:bookmarkEnd w:id="545"/>
      <w:bookmarkEnd w:id="546"/>
      <w:bookmarkStart w:id="547" w:name="_Toc107820051"/>
      <w:bookmarkStart w:id="548" w:name="_Toc170792772"/>
    </w:p>
    <w:p>
      <w:pPr>
        <w:spacing w:after="0" w:line="500" w:lineRule="exact"/>
        <w:ind w:firstLine="420" w:firstLineChars="200"/>
        <w:rPr>
          <w:rFonts w:ascii="微软雅黑" w:hAnsi="微软雅黑" w:eastAsia="微软雅黑" w:cs="微软雅黑"/>
          <w:snapToGrid w:val="0"/>
          <w:color w:val="auto"/>
          <w:szCs w:val="21"/>
          <w:highlight w:val="none"/>
        </w:rPr>
      </w:pPr>
      <w:bookmarkStart w:id="549" w:name="_Toc40788116"/>
      <w:bookmarkStart w:id="550" w:name="_Toc89266904"/>
      <w:bookmarkStart w:id="551" w:name="_Toc53062778"/>
      <w:r>
        <w:rPr>
          <w:rFonts w:hint="eastAsia" w:ascii="微软雅黑" w:hAnsi="微软雅黑" w:eastAsia="微软雅黑" w:cs="微软雅黑"/>
          <w:snapToGrid w:val="0"/>
          <w:color w:val="auto"/>
          <w:szCs w:val="21"/>
          <w:highlight w:val="none"/>
        </w:rPr>
        <w:t>1.2、没有事先授权的，采购代理机构在磋商结束后2个工作日内将磋商结果交采购人确认。采购人应在收到后5个工作日内对磋商结果进行确认。</w:t>
      </w:r>
      <w:bookmarkEnd w:id="549"/>
      <w:bookmarkEnd w:id="550"/>
      <w:bookmarkEnd w:id="551"/>
    </w:p>
    <w:p>
      <w:pPr>
        <w:spacing w:after="0" w:line="500" w:lineRule="exact"/>
        <w:ind w:firstLine="420" w:firstLineChars="200"/>
        <w:outlineLvl w:val="2"/>
        <w:rPr>
          <w:rFonts w:ascii="微软雅黑" w:hAnsi="微软雅黑" w:eastAsia="微软雅黑" w:cs="微软雅黑"/>
          <w:b/>
          <w:snapToGrid w:val="0"/>
          <w:color w:val="auto"/>
          <w:szCs w:val="21"/>
          <w:highlight w:val="none"/>
        </w:rPr>
      </w:pPr>
      <w:bookmarkStart w:id="552" w:name="_Toc100764246"/>
      <w:r>
        <w:rPr>
          <w:rFonts w:hint="eastAsia" w:ascii="微软雅黑" w:hAnsi="微软雅黑" w:eastAsia="微软雅黑" w:cs="微软雅黑"/>
          <w:b/>
          <w:snapToGrid w:val="0"/>
          <w:color w:val="auto"/>
          <w:szCs w:val="21"/>
          <w:highlight w:val="none"/>
        </w:rPr>
        <w:t>2、成交公告：公告1个工作日。</w:t>
      </w:r>
      <w:bookmarkEnd w:id="552"/>
    </w:p>
    <w:p>
      <w:pPr>
        <w:pStyle w:val="8"/>
        <w:spacing w:before="0" w:after="0" w:line="500" w:lineRule="exact"/>
        <w:ind w:firstLine="420" w:firstLineChars="200"/>
        <w:rPr>
          <w:rFonts w:ascii="微软雅黑" w:hAnsi="微软雅黑" w:eastAsia="微软雅黑" w:cs="微软雅黑"/>
          <w:color w:val="auto"/>
          <w:sz w:val="21"/>
          <w:szCs w:val="21"/>
          <w:highlight w:val="none"/>
        </w:rPr>
      </w:pPr>
      <w:bookmarkStart w:id="553" w:name="_Toc53062779"/>
      <w:bookmarkStart w:id="554" w:name="_Toc100764247"/>
      <w:bookmarkStart w:id="555" w:name="_Toc192313121"/>
      <w:bookmarkStart w:id="556" w:name="_Toc493699317"/>
      <w:bookmarkStart w:id="557" w:name="_Toc40788117"/>
      <w:bookmarkStart w:id="558" w:name="_Toc89266905"/>
      <w:r>
        <w:rPr>
          <w:rFonts w:hint="eastAsia" w:ascii="微软雅黑" w:hAnsi="微软雅黑" w:eastAsia="微软雅黑" w:cs="微软雅黑"/>
          <w:color w:val="auto"/>
          <w:sz w:val="21"/>
          <w:szCs w:val="21"/>
          <w:highlight w:val="none"/>
        </w:rPr>
        <w:t>八  合同</w:t>
      </w:r>
      <w:bookmarkEnd w:id="547"/>
      <w:bookmarkEnd w:id="548"/>
      <w:r>
        <w:rPr>
          <w:rFonts w:hint="eastAsia" w:ascii="微软雅黑" w:hAnsi="微软雅黑" w:eastAsia="微软雅黑" w:cs="微软雅黑"/>
          <w:color w:val="auto"/>
          <w:sz w:val="21"/>
          <w:szCs w:val="21"/>
          <w:highlight w:val="none"/>
        </w:rPr>
        <w:t>授予</w:t>
      </w:r>
      <w:bookmarkEnd w:id="553"/>
      <w:bookmarkEnd w:id="554"/>
      <w:bookmarkEnd w:id="555"/>
      <w:bookmarkEnd w:id="556"/>
      <w:bookmarkEnd w:id="557"/>
      <w:bookmarkEnd w:id="558"/>
    </w:p>
    <w:p>
      <w:pPr>
        <w:spacing w:after="0" w:line="500" w:lineRule="exact"/>
        <w:ind w:firstLine="420" w:firstLineChars="200"/>
        <w:outlineLvl w:val="2"/>
        <w:rPr>
          <w:rFonts w:ascii="微软雅黑" w:hAnsi="微软雅黑" w:eastAsia="微软雅黑" w:cs="微软雅黑"/>
          <w:b/>
          <w:snapToGrid w:val="0"/>
          <w:color w:val="auto"/>
          <w:szCs w:val="21"/>
          <w:highlight w:val="none"/>
        </w:rPr>
      </w:pPr>
      <w:bookmarkStart w:id="559" w:name="_Toc100764248"/>
      <w:r>
        <w:rPr>
          <w:rFonts w:hint="eastAsia" w:ascii="微软雅黑" w:hAnsi="微软雅黑" w:eastAsia="微软雅黑" w:cs="微软雅黑"/>
          <w:b/>
          <w:snapToGrid w:val="0"/>
          <w:color w:val="auto"/>
          <w:szCs w:val="21"/>
          <w:highlight w:val="none"/>
        </w:rPr>
        <w:t>1、签订合同</w:t>
      </w:r>
      <w:bookmarkEnd w:id="559"/>
    </w:p>
    <w:p>
      <w:pPr>
        <w:spacing w:after="0" w:line="50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1.1、成交供应商自接到成交通知书后30天内与采购人签订合同。同时采购代理机构对合同内容进行审查，如发现与采购结果和磋商承诺内容不一致的，应予以纠正。</w:t>
      </w:r>
    </w:p>
    <w:p>
      <w:pPr>
        <w:spacing w:after="0" w:line="50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1.2、成交供应商拖延、拒签合同的,将被扣罚磋商保证金并取消成交供应商资格。</w:t>
      </w:r>
    </w:p>
    <w:p>
      <w:pPr>
        <w:spacing w:after="0" w:line="500" w:lineRule="exact"/>
        <w:ind w:firstLine="420" w:firstLineChars="200"/>
        <w:outlineLvl w:val="2"/>
        <w:rPr>
          <w:rFonts w:ascii="微软雅黑" w:hAnsi="微软雅黑" w:eastAsia="微软雅黑" w:cs="微软雅黑"/>
          <w:b/>
          <w:snapToGrid w:val="0"/>
          <w:color w:val="auto"/>
          <w:szCs w:val="21"/>
          <w:highlight w:val="none"/>
        </w:rPr>
      </w:pPr>
      <w:bookmarkStart w:id="560" w:name="_Toc100764249"/>
      <w:r>
        <w:rPr>
          <w:rFonts w:hint="eastAsia" w:ascii="微软雅黑" w:hAnsi="微软雅黑" w:eastAsia="微软雅黑" w:cs="微软雅黑"/>
          <w:b/>
          <w:snapToGrid w:val="0"/>
          <w:color w:val="auto"/>
          <w:szCs w:val="21"/>
          <w:highlight w:val="none"/>
        </w:rPr>
        <w:t>2、履约保证金及质保金</w:t>
      </w:r>
      <w:bookmarkEnd w:id="560"/>
    </w:p>
    <w:p>
      <w:pPr>
        <w:spacing w:after="0" w:line="500" w:lineRule="exact"/>
        <w:ind w:firstLine="420" w:firstLineChars="200"/>
        <w:rPr>
          <w:rFonts w:ascii="微软雅黑" w:hAnsi="微软雅黑" w:eastAsia="微软雅黑" w:cs="微软雅黑"/>
          <w:color w:val="auto"/>
          <w:szCs w:val="21"/>
          <w:highlight w:val="none"/>
        </w:rPr>
      </w:pPr>
      <w:bookmarkStart w:id="561" w:name="_Toc40788118"/>
      <w:bookmarkStart w:id="562" w:name="_Toc53062780"/>
      <w:bookmarkStart w:id="563" w:name="_Toc89266906"/>
      <w:bookmarkStart w:id="564" w:name="_Toc493699318"/>
      <w:bookmarkStart w:id="565" w:name="_Toc192313122"/>
      <w:bookmarkStart w:id="566" w:name="_Toc170792774"/>
      <w:r>
        <w:rPr>
          <w:rFonts w:hint="eastAsia" w:ascii="微软雅黑" w:hAnsi="微软雅黑" w:eastAsia="微软雅黑" w:cs="微软雅黑"/>
          <w:color w:val="auto"/>
          <w:szCs w:val="21"/>
          <w:highlight w:val="none"/>
        </w:rPr>
        <w:t>2.1、</w:t>
      </w:r>
      <w:bookmarkEnd w:id="561"/>
      <w:r>
        <w:rPr>
          <w:rFonts w:hint="eastAsia" w:ascii="微软雅黑" w:hAnsi="微软雅黑" w:eastAsia="微软雅黑" w:cs="微软雅黑"/>
          <w:color w:val="auto"/>
          <w:szCs w:val="21"/>
          <w:highlight w:val="none"/>
        </w:rPr>
        <w:t>履约保证金详见竞争性磋商文件前附表</w:t>
      </w:r>
      <w:bookmarkEnd w:id="562"/>
      <w:bookmarkEnd w:id="563"/>
      <w:r>
        <w:rPr>
          <w:rFonts w:hint="eastAsia" w:ascii="微软雅黑" w:hAnsi="微软雅黑" w:eastAsia="微软雅黑" w:cs="微软雅黑"/>
          <w:color w:val="auto"/>
          <w:szCs w:val="21"/>
          <w:highlight w:val="none"/>
        </w:rPr>
        <w:t>；</w:t>
      </w:r>
    </w:p>
    <w:p>
      <w:pPr>
        <w:spacing w:after="0" w:line="50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2.2、质保金：无。</w:t>
      </w:r>
    </w:p>
    <w:p>
      <w:pPr>
        <w:pStyle w:val="8"/>
        <w:spacing w:before="0" w:after="0" w:line="500" w:lineRule="exact"/>
        <w:ind w:firstLine="420" w:firstLineChars="200"/>
        <w:rPr>
          <w:rFonts w:ascii="微软雅黑" w:hAnsi="微软雅黑" w:eastAsia="微软雅黑" w:cs="微软雅黑"/>
          <w:color w:val="auto"/>
          <w:sz w:val="21"/>
          <w:szCs w:val="21"/>
          <w:highlight w:val="none"/>
        </w:rPr>
      </w:pPr>
      <w:bookmarkStart w:id="567" w:name="_Toc53062781"/>
      <w:bookmarkStart w:id="568" w:name="_Toc40788119"/>
      <w:r>
        <w:rPr>
          <w:rFonts w:hint="eastAsia" w:ascii="微软雅黑" w:hAnsi="微软雅黑" w:eastAsia="微软雅黑" w:cs="微软雅黑"/>
          <w:color w:val="auto"/>
          <w:sz w:val="21"/>
          <w:szCs w:val="21"/>
          <w:highlight w:val="none"/>
        </w:rPr>
        <w:t>九   招标代理费</w:t>
      </w:r>
      <w:bookmarkEnd w:id="567"/>
      <w:bookmarkEnd w:id="568"/>
    </w:p>
    <w:p>
      <w:pPr>
        <w:snapToGrid w:val="0"/>
        <w:spacing w:line="500" w:lineRule="exact"/>
        <w:ind w:firstLine="420" w:firstLineChars="2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1、根据“国家发展和改革委员会办公厅《关于招标代理服务收费有关问题的通知》（发改办价格【2003】857号、财库【2018】2号第十五条）”规定，招标代理机构向中标人收取招标代理服务费。</w:t>
      </w:r>
      <w:r>
        <w:rPr>
          <w:rFonts w:hint="eastAsia" w:ascii="微软雅黑" w:hAnsi="微软雅黑" w:eastAsia="微软雅黑" w:cs="微软雅黑"/>
          <w:color w:val="auto"/>
          <w:szCs w:val="21"/>
          <w:highlight w:val="none"/>
        </w:rPr>
        <w:br w:type="textWrapping"/>
      </w:r>
      <w:r>
        <w:rPr>
          <w:rFonts w:hint="eastAsia" w:ascii="微软雅黑" w:hAnsi="微软雅黑" w:eastAsia="微软雅黑" w:cs="微软雅黑"/>
          <w:color w:val="auto"/>
          <w:szCs w:val="21"/>
          <w:highlight w:val="none"/>
        </w:rPr>
        <w:t xml:space="preserve">    2、中标人应在收取《中标通知书》时向采购代理机构交纳招标代理服务费，服务费的收费标准按浙价服〔2003〕77号文规定计算</w:t>
      </w:r>
    </w:p>
    <w:tbl>
      <w:tblPr>
        <w:tblStyle w:val="58"/>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508"/>
        <w:gridCol w:w="2508"/>
        <w:gridCol w:w="250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6" w:hRule="atLeast"/>
          <w:jc w:val="center"/>
        </w:trPr>
        <w:tc>
          <w:tcPr>
            <w:tcW w:w="2508" w:type="dxa"/>
            <w:tcBorders>
              <w:top w:val="double" w:color="auto" w:sz="4" w:space="0"/>
              <w:left w:val="double" w:color="auto" w:sz="4" w:space="0"/>
              <w:bottom w:val="single" w:color="auto" w:sz="6" w:space="0"/>
              <w:right w:val="single" w:color="auto" w:sz="6" w:space="0"/>
            </w:tcBorders>
            <w:shd w:val="clear" w:color="auto" w:fill="D9D9D9"/>
            <w:vAlign w:val="center"/>
          </w:tcPr>
          <w:p>
            <w:pPr>
              <w:spacing w:after="0" w:line="500" w:lineRule="exact"/>
              <w:jc w:val="center"/>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中标金额（万元）</w:t>
            </w:r>
          </w:p>
        </w:tc>
        <w:tc>
          <w:tcPr>
            <w:tcW w:w="2508" w:type="dxa"/>
            <w:tcBorders>
              <w:top w:val="double" w:color="auto" w:sz="4" w:space="0"/>
              <w:left w:val="single" w:color="auto" w:sz="6" w:space="0"/>
              <w:bottom w:val="single" w:color="auto" w:sz="6" w:space="0"/>
              <w:right w:val="single" w:color="auto" w:sz="6" w:space="0"/>
            </w:tcBorders>
            <w:shd w:val="clear" w:color="auto" w:fill="D9D9D9"/>
            <w:vAlign w:val="center"/>
          </w:tcPr>
          <w:p>
            <w:pPr>
              <w:adjustRightInd w:val="0"/>
              <w:snapToGrid w:val="0"/>
              <w:spacing w:after="0" w:line="500" w:lineRule="exact"/>
              <w:jc w:val="center"/>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货物类招标收费费率</w:t>
            </w:r>
          </w:p>
        </w:tc>
        <w:tc>
          <w:tcPr>
            <w:tcW w:w="2508" w:type="dxa"/>
            <w:tcBorders>
              <w:top w:val="double" w:color="auto" w:sz="4" w:space="0"/>
              <w:left w:val="single" w:color="auto" w:sz="6" w:space="0"/>
              <w:bottom w:val="single" w:color="auto" w:sz="6" w:space="0"/>
              <w:right w:val="double" w:color="auto" w:sz="4" w:space="0"/>
            </w:tcBorders>
            <w:shd w:val="clear" w:color="auto" w:fill="D9D9D9"/>
          </w:tcPr>
          <w:p>
            <w:pPr>
              <w:spacing w:after="0" w:line="500" w:lineRule="exact"/>
              <w:jc w:val="center"/>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服务类招标收费费率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508" w:type="dxa"/>
            <w:tcBorders>
              <w:top w:val="single" w:color="auto" w:sz="6" w:space="0"/>
              <w:left w:val="double" w:color="auto" w:sz="4" w:space="0"/>
              <w:bottom w:val="single" w:color="auto" w:sz="6" w:space="0"/>
              <w:right w:val="single" w:color="auto" w:sz="6" w:space="0"/>
            </w:tcBorders>
          </w:tcPr>
          <w:p>
            <w:pPr>
              <w:spacing w:after="0" w:line="50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100以下</w:t>
            </w:r>
          </w:p>
        </w:tc>
        <w:tc>
          <w:tcPr>
            <w:tcW w:w="2508" w:type="dxa"/>
            <w:tcBorders>
              <w:top w:val="single" w:color="auto" w:sz="6" w:space="0"/>
              <w:left w:val="single" w:color="auto" w:sz="6" w:space="0"/>
              <w:bottom w:val="single" w:color="auto" w:sz="6" w:space="0"/>
              <w:right w:val="single" w:color="auto" w:sz="6" w:space="0"/>
            </w:tcBorders>
          </w:tcPr>
          <w:p>
            <w:pPr>
              <w:adjustRightInd w:val="0"/>
              <w:snapToGrid w:val="0"/>
              <w:spacing w:after="0" w:line="50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1.5%</w:t>
            </w:r>
          </w:p>
        </w:tc>
        <w:tc>
          <w:tcPr>
            <w:tcW w:w="2508" w:type="dxa"/>
            <w:tcBorders>
              <w:top w:val="single" w:color="auto" w:sz="6" w:space="0"/>
              <w:left w:val="single" w:color="auto" w:sz="6" w:space="0"/>
              <w:bottom w:val="single" w:color="auto" w:sz="6" w:space="0"/>
              <w:right w:val="double" w:color="auto" w:sz="4" w:space="0"/>
            </w:tcBorders>
            <w:vAlign w:val="center"/>
          </w:tcPr>
          <w:p>
            <w:pPr>
              <w:spacing w:after="0" w:line="50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59" w:hRule="atLeast"/>
          <w:jc w:val="center"/>
        </w:trPr>
        <w:tc>
          <w:tcPr>
            <w:tcW w:w="2508" w:type="dxa"/>
            <w:tcBorders>
              <w:top w:val="single" w:color="auto" w:sz="6" w:space="0"/>
              <w:left w:val="double" w:color="auto" w:sz="4" w:space="0"/>
              <w:bottom w:val="single" w:color="auto" w:sz="6" w:space="0"/>
              <w:right w:val="single" w:color="auto" w:sz="6" w:space="0"/>
            </w:tcBorders>
          </w:tcPr>
          <w:p>
            <w:pPr>
              <w:spacing w:after="0" w:line="50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100-500</w:t>
            </w:r>
          </w:p>
        </w:tc>
        <w:tc>
          <w:tcPr>
            <w:tcW w:w="2508" w:type="dxa"/>
            <w:tcBorders>
              <w:top w:val="single" w:color="auto" w:sz="6" w:space="0"/>
              <w:left w:val="single" w:color="auto" w:sz="6" w:space="0"/>
              <w:bottom w:val="single" w:color="auto" w:sz="6" w:space="0"/>
              <w:right w:val="single" w:color="auto" w:sz="6" w:space="0"/>
            </w:tcBorders>
          </w:tcPr>
          <w:p>
            <w:pPr>
              <w:adjustRightInd w:val="0"/>
              <w:snapToGrid w:val="0"/>
              <w:spacing w:after="0" w:line="50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1.1%</w:t>
            </w:r>
          </w:p>
        </w:tc>
        <w:tc>
          <w:tcPr>
            <w:tcW w:w="2508" w:type="dxa"/>
            <w:tcBorders>
              <w:top w:val="single" w:color="auto" w:sz="6" w:space="0"/>
              <w:left w:val="single" w:color="auto" w:sz="6" w:space="0"/>
              <w:bottom w:val="single" w:color="auto" w:sz="6" w:space="0"/>
              <w:right w:val="double" w:color="auto" w:sz="4" w:space="0"/>
            </w:tcBorders>
            <w:vAlign w:val="center"/>
          </w:tcPr>
          <w:p>
            <w:pPr>
              <w:spacing w:after="0" w:line="50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0.8％</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59" w:hRule="atLeast"/>
          <w:jc w:val="center"/>
        </w:trPr>
        <w:tc>
          <w:tcPr>
            <w:tcW w:w="2508" w:type="dxa"/>
            <w:tcBorders>
              <w:top w:val="single" w:color="auto" w:sz="6" w:space="0"/>
              <w:left w:val="double" w:color="auto" w:sz="4" w:space="0"/>
              <w:bottom w:val="single" w:color="auto" w:sz="6" w:space="0"/>
              <w:right w:val="single" w:color="auto" w:sz="6" w:space="0"/>
            </w:tcBorders>
          </w:tcPr>
          <w:p>
            <w:pPr>
              <w:spacing w:after="0" w:line="50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500-1000</w:t>
            </w:r>
          </w:p>
        </w:tc>
        <w:tc>
          <w:tcPr>
            <w:tcW w:w="2508" w:type="dxa"/>
            <w:tcBorders>
              <w:top w:val="single" w:color="auto" w:sz="6" w:space="0"/>
              <w:left w:val="single" w:color="auto" w:sz="6" w:space="0"/>
              <w:bottom w:val="single" w:color="auto" w:sz="6" w:space="0"/>
              <w:right w:val="single" w:color="auto" w:sz="6" w:space="0"/>
            </w:tcBorders>
          </w:tcPr>
          <w:p>
            <w:pPr>
              <w:adjustRightInd w:val="0"/>
              <w:snapToGrid w:val="0"/>
              <w:spacing w:after="0" w:line="50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0.8%</w:t>
            </w:r>
          </w:p>
        </w:tc>
        <w:tc>
          <w:tcPr>
            <w:tcW w:w="2508" w:type="dxa"/>
            <w:tcBorders>
              <w:top w:val="single" w:color="auto" w:sz="6" w:space="0"/>
              <w:left w:val="single" w:color="auto" w:sz="6" w:space="0"/>
              <w:bottom w:val="single" w:color="auto" w:sz="6" w:space="0"/>
              <w:right w:val="double" w:color="auto" w:sz="4" w:space="0"/>
            </w:tcBorders>
            <w:vAlign w:val="center"/>
          </w:tcPr>
          <w:p>
            <w:pPr>
              <w:spacing w:after="0" w:line="50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0.45％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2508" w:type="dxa"/>
            <w:tcBorders>
              <w:top w:val="single" w:color="auto" w:sz="6" w:space="0"/>
              <w:left w:val="double" w:color="auto" w:sz="4" w:space="0"/>
              <w:bottom w:val="double" w:color="auto" w:sz="4" w:space="0"/>
              <w:right w:val="single" w:color="auto" w:sz="6" w:space="0"/>
            </w:tcBorders>
          </w:tcPr>
          <w:p>
            <w:pPr>
              <w:spacing w:after="0" w:line="50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1000-5000</w:t>
            </w:r>
          </w:p>
        </w:tc>
        <w:tc>
          <w:tcPr>
            <w:tcW w:w="2508" w:type="dxa"/>
            <w:tcBorders>
              <w:top w:val="single" w:color="auto" w:sz="6" w:space="0"/>
              <w:left w:val="single" w:color="auto" w:sz="6" w:space="0"/>
              <w:bottom w:val="double" w:color="auto" w:sz="4" w:space="0"/>
              <w:right w:val="single" w:color="auto" w:sz="6" w:space="0"/>
            </w:tcBorders>
          </w:tcPr>
          <w:p>
            <w:pPr>
              <w:adjustRightInd w:val="0"/>
              <w:snapToGrid w:val="0"/>
              <w:spacing w:after="0" w:line="50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0.45%</w:t>
            </w:r>
          </w:p>
        </w:tc>
        <w:tc>
          <w:tcPr>
            <w:tcW w:w="2508" w:type="dxa"/>
            <w:tcBorders>
              <w:top w:val="single" w:color="auto" w:sz="6" w:space="0"/>
              <w:left w:val="single" w:color="auto" w:sz="6" w:space="0"/>
              <w:bottom w:val="double" w:color="auto" w:sz="4" w:space="0"/>
              <w:right w:val="double" w:color="auto" w:sz="4" w:space="0"/>
            </w:tcBorders>
            <w:vAlign w:val="center"/>
          </w:tcPr>
          <w:p>
            <w:pPr>
              <w:spacing w:after="0" w:line="50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0.25％</w:t>
            </w:r>
          </w:p>
        </w:tc>
      </w:tr>
    </w:tbl>
    <w:p>
      <w:pPr>
        <w:snapToGrid w:val="0"/>
        <w:spacing w:after="0" w:line="500" w:lineRule="exact"/>
        <w:ind w:firstLine="42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例如：某项目服务类招标代理业务中标金额为900万元，计算中标服务费收费额如下：</w:t>
      </w:r>
    </w:p>
    <w:p>
      <w:pPr>
        <w:snapToGrid w:val="0"/>
        <w:spacing w:after="0" w:line="500" w:lineRule="exact"/>
        <w:ind w:firstLine="2910" w:firstLineChars="1386"/>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100万元 × 1.5% = 1.5万元</w:t>
      </w:r>
    </w:p>
    <w:p>
      <w:pPr>
        <w:snapToGrid w:val="0"/>
        <w:spacing w:after="0" w:line="500" w:lineRule="exact"/>
        <w:ind w:firstLine="2142" w:firstLineChars="102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（500-100）万元 × 0.8% = 3.2万元</w:t>
      </w:r>
    </w:p>
    <w:p>
      <w:pPr>
        <w:tabs>
          <w:tab w:val="left" w:pos="1862"/>
        </w:tabs>
        <w:snapToGrid w:val="0"/>
        <w:spacing w:after="0" w:line="500" w:lineRule="exact"/>
        <w:ind w:firstLine="1959" w:firstLineChars="933"/>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 xml:space="preserve">  （900-500）万元×0.45% = 1.8万元</w:t>
      </w:r>
    </w:p>
    <w:p>
      <w:pPr>
        <w:tabs>
          <w:tab w:val="left" w:pos="1862"/>
        </w:tabs>
        <w:snapToGrid w:val="0"/>
        <w:spacing w:after="0" w:line="500" w:lineRule="exact"/>
        <w:ind w:firstLine="1959" w:firstLineChars="933"/>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计收费 = 1.5万元 + 3.2万元+1.8万元 = 6.5万元</w:t>
      </w:r>
    </w:p>
    <w:p>
      <w:pPr>
        <w:snapToGrid w:val="0"/>
        <w:spacing w:after="0" w:line="500" w:lineRule="exact"/>
        <w:ind w:firstLine="420" w:firstLineChars="200"/>
        <w:jc w:val="left"/>
        <w:rPr>
          <w:rFonts w:ascii="微软雅黑" w:hAnsi="微软雅黑" w:eastAsia="微软雅黑" w:cs="微软雅黑"/>
          <w:bCs/>
          <w:color w:val="auto"/>
          <w:szCs w:val="21"/>
          <w:highlight w:val="none"/>
          <w:lang w:val="zh-CN"/>
        </w:rPr>
      </w:pPr>
      <w:r>
        <w:rPr>
          <w:rFonts w:hint="eastAsia" w:ascii="微软雅黑" w:hAnsi="微软雅黑" w:eastAsia="微软雅黑" w:cs="微软雅黑"/>
          <w:color w:val="auto"/>
          <w:szCs w:val="21"/>
          <w:highlight w:val="none"/>
        </w:rPr>
        <w:t>3、本项目以服务类招标收费标准的70%收取招标代理服务费服务费，</w:t>
      </w:r>
      <w:r>
        <w:rPr>
          <w:rFonts w:hint="eastAsia" w:ascii="微软雅黑" w:hAnsi="微软雅黑" w:eastAsia="微软雅黑" w:cs="微软雅黑"/>
          <w:bCs/>
          <w:color w:val="auto"/>
          <w:szCs w:val="21"/>
          <w:highlight w:val="none"/>
          <w:lang w:val="zh-CN"/>
        </w:rPr>
        <w:t>对于招标代理服务费不足</w:t>
      </w:r>
      <w:r>
        <w:rPr>
          <w:rFonts w:hint="eastAsia" w:ascii="微软雅黑" w:hAnsi="微软雅黑" w:eastAsia="微软雅黑" w:cs="微软雅黑"/>
          <w:bCs/>
          <w:color w:val="auto"/>
          <w:szCs w:val="21"/>
          <w:highlight w:val="none"/>
        </w:rPr>
        <w:t>5000</w:t>
      </w:r>
      <w:r>
        <w:rPr>
          <w:rFonts w:hint="eastAsia" w:ascii="微软雅黑" w:hAnsi="微软雅黑" w:eastAsia="微软雅黑" w:cs="微软雅黑"/>
          <w:bCs/>
          <w:color w:val="auto"/>
          <w:szCs w:val="21"/>
          <w:highlight w:val="none"/>
          <w:lang w:val="zh-CN"/>
        </w:rPr>
        <w:t>元的，按</w:t>
      </w:r>
      <w:r>
        <w:rPr>
          <w:rFonts w:hint="eastAsia" w:ascii="微软雅黑" w:hAnsi="微软雅黑" w:eastAsia="微软雅黑" w:cs="微软雅黑"/>
          <w:bCs/>
          <w:color w:val="auto"/>
          <w:szCs w:val="21"/>
          <w:highlight w:val="none"/>
        </w:rPr>
        <w:t>5000</w:t>
      </w:r>
      <w:r>
        <w:rPr>
          <w:rFonts w:hint="eastAsia" w:ascii="微软雅黑" w:hAnsi="微软雅黑" w:eastAsia="微软雅黑" w:cs="微软雅黑"/>
          <w:bCs/>
          <w:color w:val="auto"/>
          <w:szCs w:val="21"/>
          <w:highlight w:val="none"/>
          <w:lang w:val="zh-CN"/>
        </w:rPr>
        <w:t>元计收。</w:t>
      </w:r>
    </w:p>
    <w:p>
      <w:pPr>
        <w:snapToGrid w:val="0"/>
        <w:spacing w:after="0" w:line="500" w:lineRule="exact"/>
        <w:ind w:firstLine="420" w:firstLineChars="2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4、服务费的货币为人民币。</w:t>
      </w:r>
    </w:p>
    <w:p>
      <w:pPr>
        <w:snapToGrid w:val="0"/>
        <w:spacing w:after="0" w:line="500" w:lineRule="exact"/>
        <w:ind w:firstLine="420" w:firstLineChars="2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5、服务费支付方式：一次性以银行划账、电汇、汇票或支票的形式支付。</w:t>
      </w:r>
    </w:p>
    <w:p>
      <w:pPr>
        <w:snapToGrid w:val="0"/>
        <w:spacing w:after="0" w:line="500" w:lineRule="exact"/>
        <w:ind w:firstLine="420" w:firstLineChars="2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6、服务费以银行划账方式按下列要求提交：</w:t>
      </w:r>
    </w:p>
    <w:p>
      <w:pPr>
        <w:snapToGrid w:val="0"/>
        <w:spacing w:after="0" w:line="500" w:lineRule="exact"/>
        <w:ind w:firstLine="840" w:firstLineChars="400"/>
        <w:rPr>
          <w:rFonts w:ascii="微软雅黑" w:hAnsi="微软雅黑" w:eastAsia="微软雅黑" w:cs="微软雅黑"/>
          <w:b/>
          <w:color w:val="auto"/>
          <w:szCs w:val="21"/>
          <w:highlight w:val="none"/>
        </w:rPr>
      </w:pPr>
      <w:r>
        <w:rPr>
          <w:rFonts w:hint="eastAsia" w:ascii="微软雅黑" w:hAnsi="微软雅黑" w:eastAsia="微软雅黑" w:cs="微软雅黑"/>
          <w:color w:val="auto"/>
          <w:szCs w:val="21"/>
          <w:highlight w:val="none"/>
        </w:rPr>
        <w:t>收款人：</w:t>
      </w:r>
      <w:r>
        <w:rPr>
          <w:rFonts w:hint="eastAsia" w:ascii="微软雅黑" w:hAnsi="微软雅黑" w:eastAsia="微软雅黑" w:cs="微软雅黑"/>
          <w:b/>
          <w:color w:val="auto"/>
          <w:szCs w:val="21"/>
          <w:highlight w:val="none"/>
        </w:rPr>
        <w:t>嘉兴市千秋工程咨询有限公司</w:t>
      </w:r>
    </w:p>
    <w:p>
      <w:pPr>
        <w:widowControl/>
        <w:tabs>
          <w:tab w:val="left" w:pos="848"/>
        </w:tabs>
        <w:snapToGrid w:val="0"/>
        <w:spacing w:after="0" w:line="500" w:lineRule="exact"/>
        <w:ind w:firstLine="840" w:firstLineChars="4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户名：</w:t>
      </w:r>
      <w:r>
        <w:rPr>
          <w:rFonts w:hint="eastAsia" w:ascii="微软雅黑" w:hAnsi="微软雅黑" w:eastAsia="微软雅黑" w:cs="微软雅黑"/>
          <w:bCs/>
          <w:color w:val="auto"/>
          <w:szCs w:val="21"/>
          <w:highlight w:val="none"/>
        </w:rPr>
        <w:t>嘉兴市千秋工程咨询有限公司</w:t>
      </w:r>
    </w:p>
    <w:p>
      <w:pPr>
        <w:widowControl/>
        <w:snapToGrid w:val="0"/>
        <w:spacing w:after="0" w:line="500" w:lineRule="exact"/>
        <w:ind w:firstLine="840" w:firstLineChars="4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开户银行：</w:t>
      </w:r>
      <w:r>
        <w:rPr>
          <w:rFonts w:hint="eastAsia" w:ascii="微软雅黑" w:hAnsi="微软雅黑" w:eastAsia="微软雅黑" w:cs="微软雅黑"/>
          <w:b/>
          <w:color w:val="auto"/>
          <w:szCs w:val="21"/>
          <w:highlight w:val="none"/>
        </w:rPr>
        <w:t>交通银行嘉兴分行</w:t>
      </w:r>
    </w:p>
    <w:p>
      <w:pPr>
        <w:widowControl/>
        <w:snapToGrid w:val="0"/>
        <w:spacing w:after="0" w:line="500" w:lineRule="exact"/>
        <w:ind w:firstLine="840" w:firstLineChars="4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账号：</w:t>
      </w:r>
      <w:r>
        <w:rPr>
          <w:rFonts w:hint="eastAsia" w:ascii="微软雅黑" w:hAnsi="微软雅黑" w:eastAsia="微软雅黑" w:cs="微软雅黑"/>
          <w:b/>
          <w:color w:val="auto"/>
          <w:szCs w:val="21"/>
          <w:highlight w:val="none"/>
        </w:rPr>
        <w:t>334601000018170160050</w:t>
      </w:r>
    </w:p>
    <w:p>
      <w:pPr>
        <w:snapToGrid w:val="0"/>
        <w:spacing w:after="0" w:line="500" w:lineRule="exact"/>
        <w:ind w:firstLine="420" w:firstLineChars="2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7、服务费支付时间：服务费必须在中标人领取《中标通知书》时一次性付清，如果中标人未能按时交纳服务费，采购代理机构/采购人保留取消其中标资格并追究其法律责任的权利。</w:t>
      </w:r>
    </w:p>
    <w:p>
      <w:pPr>
        <w:pStyle w:val="2"/>
        <w:spacing w:line="500" w:lineRule="exact"/>
        <w:ind w:firstLine="42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8、服务费不在投标报价中单列。</w:t>
      </w:r>
    </w:p>
    <w:p>
      <w:pPr>
        <w:pStyle w:val="2"/>
        <w:ind w:firstLine="400"/>
        <w:rPr>
          <w:color w:val="auto"/>
          <w:highlight w:val="none"/>
        </w:rPr>
      </w:pPr>
    </w:p>
    <w:bookmarkEnd w:id="564"/>
    <w:p>
      <w:pPr>
        <w:spacing w:line="460" w:lineRule="exact"/>
        <w:ind w:firstLine="411" w:firstLineChars="196"/>
        <w:rPr>
          <w:rFonts w:ascii="微软雅黑" w:hAnsi="微软雅黑" w:eastAsia="微软雅黑" w:cs="微软雅黑"/>
          <w:color w:val="auto"/>
          <w:szCs w:val="21"/>
          <w:highlight w:val="none"/>
        </w:rPr>
        <w:sectPr>
          <w:pgSz w:w="11906" w:h="16838"/>
          <w:pgMar w:top="1440" w:right="1558" w:bottom="1440" w:left="1797" w:header="851" w:footer="992" w:gutter="0"/>
          <w:cols w:space="720" w:num="1"/>
          <w:docGrid w:linePitch="312" w:charSpace="0"/>
        </w:sectPr>
      </w:pPr>
      <w:bookmarkStart w:id="569" w:name="_Toc493699319"/>
    </w:p>
    <w:p>
      <w:pPr>
        <w:pStyle w:val="6"/>
        <w:numPr>
          <w:ilvl w:val="0"/>
          <w:numId w:val="19"/>
        </w:numPr>
        <w:spacing w:beforeLines="0" w:after="0" w:line="500" w:lineRule="exact"/>
        <w:ind w:left="0"/>
        <w:jc w:val="center"/>
        <w:rPr>
          <w:rStyle w:val="92"/>
          <w:rFonts w:ascii="微软雅黑" w:hAnsi="微软雅黑" w:eastAsia="微软雅黑" w:cs="微软雅黑"/>
          <w:b/>
          <w:bCs w:val="0"/>
          <w:color w:val="auto"/>
          <w:kern w:val="44"/>
          <w:sz w:val="21"/>
          <w:szCs w:val="21"/>
          <w:highlight w:val="none"/>
        </w:rPr>
      </w:pPr>
      <w:bookmarkStart w:id="570" w:name="_Toc100764251"/>
      <w:r>
        <w:rPr>
          <w:rStyle w:val="92"/>
          <w:rFonts w:hint="eastAsia" w:ascii="微软雅黑" w:hAnsi="微软雅黑" w:eastAsia="微软雅黑" w:cs="微软雅黑"/>
          <w:b/>
          <w:bCs w:val="0"/>
          <w:color w:val="auto"/>
          <w:kern w:val="44"/>
          <w:sz w:val="21"/>
          <w:szCs w:val="21"/>
          <w:highlight w:val="none"/>
        </w:rPr>
        <w:t xml:space="preserve">  </w:t>
      </w:r>
      <w:bookmarkStart w:id="571" w:name="_Toc16143"/>
      <w:bookmarkStart w:id="572" w:name="_Toc26656"/>
      <w:r>
        <w:rPr>
          <w:rStyle w:val="92"/>
          <w:rFonts w:hint="eastAsia" w:ascii="微软雅黑" w:hAnsi="微软雅黑" w:eastAsia="微软雅黑" w:cs="微软雅黑"/>
          <w:b/>
          <w:bCs w:val="0"/>
          <w:color w:val="auto"/>
          <w:kern w:val="44"/>
          <w:sz w:val="21"/>
          <w:szCs w:val="21"/>
          <w:highlight w:val="none"/>
        </w:rPr>
        <w:t>磋商项目要求</w:t>
      </w:r>
      <w:bookmarkEnd w:id="565"/>
      <w:bookmarkEnd w:id="566"/>
      <w:bookmarkEnd w:id="569"/>
      <w:bookmarkEnd w:id="570"/>
      <w:bookmarkEnd w:id="571"/>
      <w:bookmarkEnd w:id="572"/>
      <w:bookmarkStart w:id="573" w:name="_Toc71033410"/>
      <w:bookmarkStart w:id="574" w:name="_Toc170792778"/>
      <w:bookmarkStart w:id="575" w:name="_Toc72069792"/>
      <w:bookmarkStart w:id="576" w:name="_Toc119481961"/>
    </w:p>
    <w:bookmarkEnd w:id="573"/>
    <w:bookmarkEnd w:id="574"/>
    <w:bookmarkEnd w:id="575"/>
    <w:bookmarkEnd w:id="576"/>
    <w:p>
      <w:pPr>
        <w:pStyle w:val="6"/>
        <w:keepNext w:val="0"/>
        <w:keepLines w:val="0"/>
        <w:numPr>
          <w:ilvl w:val="0"/>
          <w:numId w:val="23"/>
        </w:numPr>
        <w:spacing w:beforeLines="0" w:after="0" w:line="500" w:lineRule="exact"/>
        <w:ind w:left="20" w:leftChars="0" w:firstLineChars="0"/>
        <w:jc w:val="both"/>
        <w:rPr>
          <w:rFonts w:ascii="微软雅黑" w:hAnsi="微软雅黑" w:cs="微软雅黑"/>
          <w:color w:val="auto"/>
          <w:szCs w:val="21"/>
          <w:highlight w:val="none"/>
        </w:rPr>
      </w:pPr>
      <w:bookmarkStart w:id="577" w:name="_Toc17383"/>
      <w:bookmarkStart w:id="578" w:name="_Toc12302"/>
      <w:bookmarkStart w:id="579" w:name="_Toc100764257"/>
      <w:bookmarkStart w:id="580" w:name="_Toc493699335"/>
      <w:bookmarkStart w:id="581" w:name="_Toc192313124"/>
      <w:bookmarkStart w:id="582" w:name="_Toc296611790"/>
      <w:r>
        <w:rPr>
          <w:rFonts w:hint="eastAsia" w:ascii="微软雅黑" w:hAnsi="微软雅黑" w:cs="微软雅黑"/>
          <w:color w:val="auto"/>
          <w:szCs w:val="21"/>
          <w:highlight w:val="none"/>
        </w:rPr>
        <w:t>项目</w:t>
      </w:r>
      <w:r>
        <w:rPr>
          <w:rFonts w:hint="eastAsia" w:ascii="微软雅黑" w:hAnsi="微软雅黑" w:cs="微软雅黑"/>
          <w:color w:val="auto"/>
          <w:szCs w:val="21"/>
          <w:highlight w:val="none"/>
          <w:lang w:eastAsia="zh-CN"/>
        </w:rPr>
        <w:t>需求</w:t>
      </w:r>
      <w:bookmarkEnd w:id="577"/>
    </w:p>
    <w:p>
      <w:pPr>
        <w:pStyle w:val="25"/>
        <w:keepNext w:val="0"/>
        <w:keepLines w:val="0"/>
        <w:pageBreakBefore w:val="0"/>
        <w:widowControl w:val="0"/>
        <w:numPr>
          <w:ilvl w:val="0"/>
          <w:numId w:val="24"/>
        </w:numPr>
        <w:kinsoku/>
        <w:wordWrap/>
        <w:overflowPunct/>
        <w:topLinePunct w:val="0"/>
        <w:autoSpaceDE/>
        <w:autoSpaceDN/>
        <w:bidi w:val="0"/>
        <w:adjustRightInd w:val="0"/>
        <w:snapToGrid w:val="0"/>
        <w:spacing w:after="0" w:line="360" w:lineRule="auto"/>
        <w:ind w:left="0" w:leftChars="0" w:firstLine="404" w:firstLineChars="200"/>
        <w:jc w:val="left"/>
        <w:textAlignment w:val="auto"/>
        <w:outlineLvl w:val="0"/>
        <w:rPr>
          <w:rFonts w:hint="eastAsia"/>
          <w:b/>
          <w:bCs/>
          <w:color w:val="auto"/>
          <w:sz w:val="21"/>
          <w:szCs w:val="21"/>
          <w:highlight w:val="none"/>
        </w:rPr>
      </w:pPr>
      <w:bookmarkStart w:id="583" w:name="_Toc13451"/>
      <w:r>
        <w:rPr>
          <w:rFonts w:hint="eastAsia" w:ascii="微软雅黑" w:hAnsi="微软雅黑" w:eastAsia="微软雅黑"/>
          <w:b/>
          <w:bCs/>
          <w:color w:val="auto"/>
          <w:sz w:val="21"/>
          <w:szCs w:val="21"/>
          <w:highlight w:val="none"/>
          <w:lang w:eastAsia="zh-CN"/>
        </w:rPr>
        <w:t>戏典专场（上限价为：</w:t>
      </w:r>
      <w:r>
        <w:rPr>
          <w:rFonts w:hint="eastAsia" w:ascii="微软雅黑" w:hAnsi="微软雅黑" w:eastAsia="微软雅黑"/>
          <w:b/>
          <w:bCs/>
          <w:color w:val="auto"/>
          <w:sz w:val="21"/>
          <w:szCs w:val="21"/>
          <w:highlight w:val="none"/>
          <w:lang w:val="en-US" w:eastAsia="zh-CN"/>
        </w:rPr>
        <w:t>3000元/每场）</w:t>
      </w:r>
      <w:bookmarkEnd w:id="583"/>
    </w:p>
    <w:p>
      <w:pPr>
        <w:pStyle w:val="25"/>
        <w:keepNext w:val="0"/>
        <w:keepLines w:val="0"/>
        <w:pageBreakBefore w:val="0"/>
        <w:widowControl w:val="0"/>
        <w:numPr>
          <w:ilvl w:val="1"/>
          <w:numId w:val="24"/>
        </w:numPr>
        <w:kinsoku/>
        <w:wordWrap/>
        <w:overflowPunct/>
        <w:topLinePunct w:val="0"/>
        <w:autoSpaceDE/>
        <w:autoSpaceDN/>
        <w:bidi w:val="0"/>
        <w:adjustRightInd w:val="0"/>
        <w:snapToGrid w:val="0"/>
        <w:spacing w:after="0" w:line="360" w:lineRule="auto"/>
        <w:ind w:left="0" w:leftChars="0" w:firstLine="404" w:firstLineChars="200"/>
        <w:jc w:val="left"/>
        <w:textAlignment w:val="auto"/>
        <w:outlineLvl w:val="0"/>
        <w:rPr>
          <w:rFonts w:hint="eastAsia" w:ascii="微软雅黑" w:hAnsi="微软雅黑" w:eastAsia="微软雅黑" w:cs="微软雅黑"/>
          <w:color w:val="auto"/>
          <w:sz w:val="21"/>
          <w:szCs w:val="21"/>
          <w:highlight w:val="none"/>
        </w:rPr>
      </w:pPr>
      <w:bookmarkStart w:id="584" w:name="_Toc32140"/>
      <w:r>
        <w:rPr>
          <w:rFonts w:hint="eastAsia" w:ascii="微软雅黑" w:hAnsi="微软雅黑" w:eastAsia="微软雅黑" w:cs="微软雅黑"/>
          <w:color w:val="auto"/>
          <w:sz w:val="21"/>
          <w:szCs w:val="21"/>
          <w:highlight w:val="none"/>
        </w:rPr>
        <w:t>年龄要求：</w:t>
      </w:r>
      <w:r>
        <w:rPr>
          <w:rFonts w:hint="eastAsia" w:ascii="微软雅黑" w:hAnsi="微软雅黑" w:eastAsia="微软雅黑" w:cs="微软雅黑"/>
          <w:color w:val="auto"/>
          <w:sz w:val="21"/>
          <w:szCs w:val="21"/>
          <w:highlight w:val="none"/>
          <w:lang w:eastAsia="zh-CN"/>
        </w:rPr>
        <w:t>参加演出人员年龄控制在</w:t>
      </w:r>
      <w:r>
        <w:rPr>
          <w:rFonts w:hint="eastAsia" w:ascii="微软雅黑" w:hAnsi="微软雅黑" w:eastAsia="微软雅黑" w:cs="微软雅黑"/>
          <w:color w:val="auto"/>
          <w:sz w:val="21"/>
          <w:szCs w:val="21"/>
          <w:highlight w:val="none"/>
        </w:rPr>
        <w:t>60周岁以下</w:t>
      </w:r>
      <w:r>
        <w:rPr>
          <w:rFonts w:hint="eastAsia" w:ascii="微软雅黑" w:hAnsi="微软雅黑" w:eastAsia="微软雅黑" w:cs="微软雅黑"/>
          <w:color w:val="auto"/>
          <w:sz w:val="21"/>
          <w:szCs w:val="21"/>
          <w:highlight w:val="none"/>
          <w:lang w:eastAsia="zh-CN"/>
        </w:rPr>
        <w:t>；</w:t>
      </w:r>
      <w:bookmarkEnd w:id="584"/>
      <w:r>
        <w:rPr>
          <w:rFonts w:hint="eastAsia" w:ascii="微软雅黑" w:hAnsi="微软雅黑" w:eastAsia="微软雅黑" w:cs="微软雅黑"/>
          <w:color w:val="auto"/>
          <w:sz w:val="21"/>
          <w:szCs w:val="21"/>
          <w:highlight w:val="none"/>
        </w:rPr>
        <w:t xml:space="preserve"> </w:t>
      </w:r>
    </w:p>
    <w:p>
      <w:pPr>
        <w:pStyle w:val="25"/>
        <w:keepNext w:val="0"/>
        <w:keepLines w:val="0"/>
        <w:pageBreakBefore w:val="0"/>
        <w:widowControl w:val="0"/>
        <w:numPr>
          <w:ilvl w:val="1"/>
          <w:numId w:val="24"/>
        </w:numPr>
        <w:kinsoku/>
        <w:wordWrap/>
        <w:overflowPunct/>
        <w:topLinePunct w:val="0"/>
        <w:autoSpaceDE/>
        <w:autoSpaceDN/>
        <w:bidi w:val="0"/>
        <w:adjustRightInd w:val="0"/>
        <w:snapToGrid w:val="0"/>
        <w:spacing w:after="0" w:line="360" w:lineRule="auto"/>
        <w:ind w:left="0" w:leftChars="0" w:firstLine="404" w:firstLineChars="200"/>
        <w:jc w:val="left"/>
        <w:textAlignment w:val="auto"/>
        <w:outlineLvl w:val="0"/>
        <w:rPr>
          <w:rFonts w:hint="eastAsia" w:ascii="微软雅黑" w:hAnsi="微软雅黑" w:eastAsia="微软雅黑" w:cs="微软雅黑"/>
          <w:color w:val="auto"/>
          <w:sz w:val="21"/>
          <w:szCs w:val="21"/>
          <w:highlight w:val="none"/>
        </w:rPr>
      </w:pPr>
      <w:bookmarkStart w:id="585" w:name="_Toc18542"/>
      <w:r>
        <w:rPr>
          <w:rFonts w:hint="eastAsia" w:ascii="微软雅黑" w:hAnsi="微软雅黑" w:eastAsia="微软雅黑" w:cs="微软雅黑"/>
          <w:color w:val="auto"/>
          <w:sz w:val="21"/>
          <w:szCs w:val="21"/>
          <w:highlight w:val="none"/>
        </w:rPr>
        <w:t>表演要求：现场实唱</w:t>
      </w:r>
      <w:r>
        <w:rPr>
          <w:rFonts w:hint="eastAsia" w:ascii="微软雅黑" w:hAnsi="微软雅黑" w:eastAsia="微软雅黑" w:cs="微软雅黑"/>
          <w:color w:val="auto"/>
          <w:sz w:val="21"/>
          <w:szCs w:val="21"/>
          <w:highlight w:val="none"/>
          <w:lang w:val="en-US" w:eastAsia="zh-CN"/>
        </w:rPr>
        <w:t>,</w:t>
      </w:r>
      <w:r>
        <w:rPr>
          <w:rFonts w:hint="eastAsia" w:ascii="微软雅黑" w:hAnsi="微软雅黑" w:eastAsia="微软雅黑" w:cs="微软雅黑"/>
          <w:color w:val="auto"/>
          <w:sz w:val="21"/>
          <w:szCs w:val="21"/>
          <w:highlight w:val="none"/>
        </w:rPr>
        <w:t xml:space="preserve"> 一旦发现有假唱者扣除整场演出费</w:t>
      </w:r>
      <w:r>
        <w:rPr>
          <w:rFonts w:hint="eastAsia" w:ascii="微软雅黑" w:hAnsi="微软雅黑" w:eastAsia="微软雅黑" w:cs="微软雅黑"/>
          <w:color w:val="auto"/>
          <w:sz w:val="21"/>
          <w:szCs w:val="21"/>
          <w:highlight w:val="none"/>
          <w:lang w:eastAsia="zh-CN"/>
        </w:rPr>
        <w:t>；</w:t>
      </w:r>
      <w:bookmarkEnd w:id="585"/>
    </w:p>
    <w:p>
      <w:pPr>
        <w:pStyle w:val="25"/>
        <w:keepNext w:val="0"/>
        <w:keepLines w:val="0"/>
        <w:pageBreakBefore w:val="0"/>
        <w:widowControl w:val="0"/>
        <w:numPr>
          <w:ilvl w:val="1"/>
          <w:numId w:val="24"/>
        </w:numPr>
        <w:kinsoku/>
        <w:wordWrap/>
        <w:overflowPunct/>
        <w:topLinePunct w:val="0"/>
        <w:autoSpaceDE/>
        <w:autoSpaceDN/>
        <w:bidi w:val="0"/>
        <w:adjustRightInd w:val="0"/>
        <w:snapToGrid w:val="0"/>
        <w:spacing w:after="0" w:line="360" w:lineRule="auto"/>
        <w:ind w:left="0" w:leftChars="0" w:firstLine="404" w:firstLineChars="200"/>
        <w:jc w:val="left"/>
        <w:textAlignment w:val="auto"/>
        <w:outlineLvl w:val="0"/>
        <w:rPr>
          <w:rFonts w:hint="eastAsia" w:ascii="微软雅黑" w:hAnsi="微软雅黑" w:eastAsia="微软雅黑" w:cs="微软雅黑"/>
          <w:color w:val="auto"/>
          <w:sz w:val="21"/>
          <w:szCs w:val="21"/>
          <w:highlight w:val="none"/>
        </w:rPr>
      </w:pPr>
      <w:bookmarkStart w:id="586" w:name="_Toc20998"/>
      <w:r>
        <w:rPr>
          <w:rFonts w:hint="eastAsia" w:ascii="微软雅黑" w:hAnsi="微软雅黑" w:eastAsia="微软雅黑" w:cs="微软雅黑"/>
          <w:color w:val="auto"/>
          <w:sz w:val="21"/>
          <w:szCs w:val="21"/>
          <w:highlight w:val="none"/>
        </w:rPr>
        <w:t>背景要求：由主办方提供主题后，承办方制作演出横幅</w:t>
      </w:r>
      <w:r>
        <w:rPr>
          <w:rFonts w:hint="eastAsia" w:ascii="微软雅黑" w:hAnsi="微软雅黑" w:eastAsia="微软雅黑" w:cs="微软雅黑"/>
          <w:color w:val="auto"/>
          <w:sz w:val="21"/>
          <w:szCs w:val="21"/>
          <w:highlight w:val="none"/>
          <w:lang w:eastAsia="zh-CN"/>
        </w:rPr>
        <w:t>；</w:t>
      </w:r>
      <w:bookmarkEnd w:id="586"/>
    </w:p>
    <w:p>
      <w:pPr>
        <w:pStyle w:val="25"/>
        <w:keepNext w:val="0"/>
        <w:keepLines w:val="0"/>
        <w:pageBreakBefore w:val="0"/>
        <w:widowControl w:val="0"/>
        <w:numPr>
          <w:ilvl w:val="1"/>
          <w:numId w:val="24"/>
        </w:numPr>
        <w:kinsoku/>
        <w:wordWrap/>
        <w:overflowPunct/>
        <w:topLinePunct w:val="0"/>
        <w:autoSpaceDE/>
        <w:autoSpaceDN/>
        <w:bidi w:val="0"/>
        <w:adjustRightInd w:val="0"/>
        <w:snapToGrid w:val="0"/>
        <w:spacing w:after="0" w:line="360" w:lineRule="auto"/>
        <w:ind w:left="0" w:leftChars="0" w:firstLine="404" w:firstLineChars="200"/>
        <w:jc w:val="left"/>
        <w:textAlignment w:val="auto"/>
        <w:outlineLvl w:val="0"/>
        <w:rPr>
          <w:rFonts w:hint="eastAsia" w:ascii="微软雅黑" w:hAnsi="微软雅黑" w:eastAsia="微软雅黑" w:cs="微软雅黑"/>
          <w:color w:val="auto"/>
          <w:sz w:val="21"/>
          <w:szCs w:val="21"/>
          <w:highlight w:val="none"/>
        </w:rPr>
      </w:pPr>
      <w:bookmarkStart w:id="587" w:name="_Toc8887"/>
      <w:r>
        <w:rPr>
          <w:rFonts w:hint="eastAsia" w:ascii="微软雅黑" w:hAnsi="微软雅黑" w:eastAsia="微软雅黑" w:cs="微软雅黑"/>
          <w:color w:val="auto"/>
          <w:sz w:val="21"/>
          <w:szCs w:val="21"/>
          <w:highlight w:val="none"/>
        </w:rPr>
        <w:t>演出要求：须保证整场</w:t>
      </w:r>
      <w:r>
        <w:rPr>
          <w:rFonts w:hint="eastAsia" w:ascii="微软雅黑" w:hAnsi="微软雅黑" w:eastAsia="微软雅黑" w:cs="微软雅黑"/>
          <w:color w:val="auto"/>
          <w:sz w:val="21"/>
          <w:szCs w:val="21"/>
          <w:highlight w:val="none"/>
          <w:lang w:eastAsia="zh-CN"/>
        </w:rPr>
        <w:t>演出</w:t>
      </w:r>
      <w:r>
        <w:rPr>
          <w:rFonts w:hint="eastAsia" w:ascii="微软雅黑" w:hAnsi="微软雅黑" w:eastAsia="微软雅黑" w:cs="微软雅黑"/>
          <w:color w:val="auto"/>
          <w:sz w:val="21"/>
          <w:szCs w:val="21"/>
          <w:highlight w:val="none"/>
        </w:rPr>
        <w:t>节目质量</w:t>
      </w:r>
      <w:r>
        <w:rPr>
          <w:rFonts w:hint="eastAsia" w:ascii="微软雅黑" w:hAnsi="微软雅黑" w:eastAsia="微软雅黑" w:cs="微软雅黑"/>
          <w:color w:val="auto"/>
          <w:sz w:val="21"/>
          <w:szCs w:val="21"/>
          <w:highlight w:val="none"/>
          <w:lang w:eastAsia="zh-CN"/>
        </w:rPr>
        <w:t>，每位演员最多不超过</w:t>
      </w:r>
      <w:r>
        <w:rPr>
          <w:rFonts w:hint="eastAsia" w:ascii="微软雅黑" w:hAnsi="微软雅黑" w:eastAsia="微软雅黑" w:cs="微软雅黑"/>
          <w:color w:val="auto"/>
          <w:sz w:val="21"/>
          <w:szCs w:val="21"/>
          <w:highlight w:val="none"/>
          <w:lang w:val="en-US" w:eastAsia="zh-CN"/>
        </w:rPr>
        <w:t>2个节目，并做好</w:t>
      </w:r>
      <w:r>
        <w:rPr>
          <w:rFonts w:hint="eastAsia" w:ascii="微软雅黑" w:hAnsi="微软雅黑" w:eastAsia="微软雅黑" w:cs="微软雅黑"/>
          <w:color w:val="auto"/>
          <w:sz w:val="21"/>
          <w:szCs w:val="21"/>
          <w:highlight w:val="none"/>
        </w:rPr>
        <w:t>演出现场的安全保障</w:t>
      </w:r>
      <w:r>
        <w:rPr>
          <w:rFonts w:hint="eastAsia" w:ascii="微软雅黑" w:hAnsi="微软雅黑" w:eastAsia="微软雅黑" w:cs="微软雅黑"/>
          <w:color w:val="auto"/>
          <w:sz w:val="21"/>
          <w:szCs w:val="21"/>
          <w:highlight w:val="none"/>
          <w:lang w:eastAsia="zh-CN"/>
        </w:rPr>
        <w:t>；</w:t>
      </w:r>
      <w:bookmarkEnd w:id="587"/>
    </w:p>
    <w:p>
      <w:pPr>
        <w:pStyle w:val="25"/>
        <w:keepNext w:val="0"/>
        <w:keepLines w:val="0"/>
        <w:pageBreakBefore w:val="0"/>
        <w:widowControl w:val="0"/>
        <w:numPr>
          <w:ilvl w:val="1"/>
          <w:numId w:val="24"/>
        </w:numPr>
        <w:kinsoku/>
        <w:wordWrap/>
        <w:overflowPunct/>
        <w:topLinePunct w:val="0"/>
        <w:autoSpaceDE/>
        <w:autoSpaceDN/>
        <w:bidi w:val="0"/>
        <w:adjustRightInd w:val="0"/>
        <w:snapToGrid w:val="0"/>
        <w:spacing w:after="0" w:line="360" w:lineRule="auto"/>
        <w:ind w:left="0" w:leftChars="0" w:firstLine="404" w:firstLineChars="200"/>
        <w:jc w:val="left"/>
        <w:textAlignment w:val="auto"/>
        <w:outlineLvl w:val="0"/>
        <w:rPr>
          <w:rFonts w:hint="eastAsia" w:ascii="微软雅黑" w:hAnsi="微软雅黑" w:eastAsia="微软雅黑" w:cs="微软雅黑"/>
          <w:color w:val="auto"/>
          <w:sz w:val="21"/>
          <w:szCs w:val="21"/>
          <w:highlight w:val="none"/>
        </w:rPr>
      </w:pPr>
      <w:bookmarkStart w:id="588" w:name="_Toc9129"/>
      <w:r>
        <w:rPr>
          <w:rFonts w:hint="eastAsia" w:ascii="微软雅黑" w:hAnsi="微软雅黑" w:eastAsia="微软雅黑" w:cs="微软雅黑"/>
          <w:color w:val="auto"/>
          <w:sz w:val="21"/>
          <w:szCs w:val="21"/>
          <w:highlight w:val="none"/>
          <w:lang w:eastAsia="zh-CN"/>
        </w:rPr>
        <w:t>时长要求：每场演出时长不少于</w:t>
      </w:r>
      <w:r>
        <w:rPr>
          <w:rFonts w:hint="eastAsia" w:ascii="微软雅黑" w:hAnsi="微软雅黑" w:eastAsia="微软雅黑" w:cs="微软雅黑"/>
          <w:color w:val="auto"/>
          <w:sz w:val="21"/>
          <w:szCs w:val="21"/>
          <w:highlight w:val="none"/>
          <w:lang w:val="en-US" w:eastAsia="zh-CN"/>
        </w:rPr>
        <w:t>1小时；</w:t>
      </w:r>
      <w:bookmarkEnd w:id="588"/>
    </w:p>
    <w:p>
      <w:pPr>
        <w:pStyle w:val="25"/>
        <w:keepNext w:val="0"/>
        <w:keepLines w:val="0"/>
        <w:pageBreakBefore w:val="0"/>
        <w:widowControl w:val="0"/>
        <w:numPr>
          <w:ilvl w:val="1"/>
          <w:numId w:val="24"/>
        </w:numPr>
        <w:kinsoku/>
        <w:wordWrap/>
        <w:overflowPunct/>
        <w:topLinePunct w:val="0"/>
        <w:autoSpaceDE/>
        <w:autoSpaceDN/>
        <w:bidi w:val="0"/>
        <w:adjustRightInd w:val="0"/>
        <w:snapToGrid w:val="0"/>
        <w:spacing w:after="0" w:line="360" w:lineRule="auto"/>
        <w:ind w:left="0" w:leftChars="0" w:firstLine="404" w:firstLineChars="200"/>
        <w:jc w:val="left"/>
        <w:textAlignment w:val="auto"/>
        <w:outlineLvl w:val="0"/>
        <w:rPr>
          <w:rFonts w:hint="eastAsia" w:ascii="微软雅黑" w:hAnsi="微软雅黑" w:eastAsia="微软雅黑" w:cs="微软雅黑"/>
          <w:color w:val="auto"/>
          <w:sz w:val="21"/>
          <w:szCs w:val="21"/>
          <w:highlight w:val="none"/>
        </w:rPr>
      </w:pPr>
      <w:bookmarkStart w:id="589" w:name="_Toc21868"/>
      <w:r>
        <w:rPr>
          <w:rFonts w:hint="eastAsia" w:ascii="微软雅黑" w:hAnsi="微软雅黑" w:eastAsia="微软雅黑" w:cs="微软雅黑"/>
          <w:color w:val="auto"/>
          <w:sz w:val="21"/>
          <w:szCs w:val="21"/>
          <w:highlight w:val="none"/>
        </w:rPr>
        <w:t>内容</w:t>
      </w:r>
      <w:r>
        <w:rPr>
          <w:rFonts w:hint="eastAsia" w:ascii="微软雅黑" w:hAnsi="微软雅黑" w:eastAsia="微软雅黑" w:cs="微软雅黑"/>
          <w:color w:val="auto"/>
          <w:sz w:val="21"/>
          <w:szCs w:val="21"/>
          <w:highlight w:val="none"/>
          <w:lang w:eastAsia="zh-CN"/>
        </w:rPr>
        <w:t>要求：</w:t>
      </w:r>
      <w:r>
        <w:rPr>
          <w:rFonts w:hint="eastAsia" w:ascii="微软雅黑" w:hAnsi="微软雅黑" w:eastAsia="微软雅黑" w:cs="微软雅黑"/>
          <w:color w:val="auto"/>
          <w:sz w:val="21"/>
          <w:szCs w:val="21"/>
          <w:highlight w:val="none"/>
        </w:rPr>
        <w:t>节目内容百姓喜闻乐见，积极向上，弘扬社会正能量，符合</w:t>
      </w:r>
      <w:r>
        <w:rPr>
          <w:rFonts w:hint="eastAsia" w:ascii="微软雅黑" w:hAnsi="微软雅黑" w:eastAsia="微软雅黑" w:cs="微软雅黑"/>
          <w:color w:val="auto"/>
          <w:sz w:val="21"/>
          <w:szCs w:val="21"/>
          <w:highlight w:val="none"/>
          <w:lang w:eastAsia="zh-CN"/>
        </w:rPr>
        <w:t>现代审美价值观，避免低俗、媚俗</w:t>
      </w:r>
      <w:r>
        <w:rPr>
          <w:rFonts w:hint="eastAsia" w:ascii="微软雅黑" w:hAnsi="微软雅黑" w:eastAsia="微软雅黑" w:cs="微软雅黑"/>
          <w:color w:val="auto"/>
          <w:sz w:val="21"/>
          <w:szCs w:val="21"/>
          <w:highlight w:val="none"/>
        </w:rPr>
        <w:t>。</w:t>
      </w:r>
      <w:bookmarkEnd w:id="589"/>
    </w:p>
    <w:p>
      <w:pPr>
        <w:pStyle w:val="25"/>
        <w:keepNext w:val="0"/>
        <w:keepLines w:val="0"/>
        <w:pageBreakBefore w:val="0"/>
        <w:widowControl w:val="0"/>
        <w:numPr>
          <w:ilvl w:val="1"/>
          <w:numId w:val="24"/>
        </w:numPr>
        <w:kinsoku/>
        <w:wordWrap/>
        <w:overflowPunct/>
        <w:topLinePunct w:val="0"/>
        <w:autoSpaceDE/>
        <w:autoSpaceDN/>
        <w:bidi w:val="0"/>
        <w:adjustRightInd w:val="0"/>
        <w:snapToGrid w:val="0"/>
        <w:spacing w:after="0" w:line="360" w:lineRule="auto"/>
        <w:ind w:left="0" w:leftChars="0" w:firstLine="404" w:firstLineChars="200"/>
        <w:jc w:val="left"/>
        <w:textAlignment w:val="auto"/>
        <w:outlineLvl w:val="0"/>
        <w:rPr>
          <w:rFonts w:hint="eastAsia" w:ascii="微软雅黑" w:hAnsi="微软雅黑" w:eastAsia="微软雅黑" w:cs="微软雅黑"/>
          <w:color w:val="auto"/>
          <w:sz w:val="21"/>
          <w:szCs w:val="21"/>
          <w:highlight w:val="none"/>
        </w:rPr>
      </w:pPr>
      <w:bookmarkStart w:id="590" w:name="_Toc14664"/>
      <w:r>
        <w:rPr>
          <w:rFonts w:hint="eastAsia" w:ascii="微软雅黑" w:hAnsi="微软雅黑" w:eastAsia="微软雅黑" w:cs="微软雅黑"/>
          <w:color w:val="auto"/>
          <w:sz w:val="21"/>
          <w:szCs w:val="21"/>
          <w:highlight w:val="none"/>
        </w:rPr>
        <w:t>活动要求：每场</w:t>
      </w:r>
      <w:r>
        <w:rPr>
          <w:rFonts w:hint="eastAsia" w:ascii="微软雅黑" w:hAnsi="微软雅黑" w:eastAsia="微软雅黑" w:cs="微软雅黑"/>
          <w:color w:val="auto"/>
          <w:sz w:val="21"/>
          <w:szCs w:val="21"/>
          <w:highlight w:val="none"/>
          <w:lang w:eastAsia="zh-CN"/>
        </w:rPr>
        <w:t>演出</w:t>
      </w:r>
      <w:r>
        <w:rPr>
          <w:rFonts w:hint="eastAsia" w:ascii="微软雅黑" w:hAnsi="微软雅黑" w:eastAsia="微软雅黑" w:cs="微软雅黑"/>
          <w:color w:val="auto"/>
          <w:sz w:val="21"/>
          <w:szCs w:val="21"/>
          <w:highlight w:val="none"/>
        </w:rPr>
        <w:t>需</w:t>
      </w:r>
      <w:r>
        <w:rPr>
          <w:rFonts w:hint="eastAsia" w:ascii="微软雅黑" w:hAnsi="微软雅黑" w:eastAsia="微软雅黑" w:cs="微软雅黑"/>
          <w:color w:val="auto"/>
          <w:sz w:val="21"/>
          <w:szCs w:val="21"/>
          <w:highlight w:val="none"/>
          <w:lang w:eastAsia="zh-CN"/>
        </w:rPr>
        <w:t>打</w:t>
      </w:r>
      <w:r>
        <w:rPr>
          <w:rFonts w:hint="eastAsia" w:ascii="微软雅黑" w:hAnsi="微软雅黑" w:eastAsia="微软雅黑" w:cs="微软雅黑"/>
          <w:color w:val="auto"/>
          <w:sz w:val="21"/>
          <w:szCs w:val="21"/>
          <w:highlight w:val="none"/>
        </w:rPr>
        <w:t>印节目单，发放现场观众。节目单主题与背景主题相同，注明时间、地点、节目内容、区文旅局微信公众号二维码、区文化馆微信公众号二维码等。</w:t>
      </w:r>
      <w:bookmarkEnd w:id="590"/>
    </w:p>
    <w:p>
      <w:pPr>
        <w:pStyle w:val="25"/>
        <w:keepNext w:val="0"/>
        <w:keepLines w:val="0"/>
        <w:pageBreakBefore w:val="0"/>
        <w:widowControl w:val="0"/>
        <w:numPr>
          <w:ilvl w:val="1"/>
          <w:numId w:val="24"/>
        </w:numPr>
        <w:kinsoku/>
        <w:wordWrap/>
        <w:overflowPunct/>
        <w:topLinePunct w:val="0"/>
        <w:autoSpaceDE/>
        <w:autoSpaceDN/>
        <w:bidi w:val="0"/>
        <w:adjustRightInd w:val="0"/>
        <w:snapToGrid w:val="0"/>
        <w:spacing w:after="0" w:line="360" w:lineRule="auto"/>
        <w:ind w:left="0" w:leftChars="0" w:firstLine="404" w:firstLineChars="200"/>
        <w:jc w:val="left"/>
        <w:textAlignment w:val="auto"/>
        <w:outlineLvl w:val="0"/>
        <w:rPr>
          <w:rFonts w:hint="eastAsia" w:ascii="微软雅黑" w:hAnsi="微软雅黑" w:eastAsia="微软雅黑" w:cs="微软雅黑"/>
          <w:color w:val="auto"/>
          <w:sz w:val="21"/>
          <w:szCs w:val="21"/>
          <w:highlight w:val="none"/>
        </w:rPr>
      </w:pPr>
      <w:bookmarkStart w:id="591" w:name="_Toc7542"/>
      <w:r>
        <w:rPr>
          <w:rFonts w:hint="eastAsia" w:ascii="微软雅黑" w:hAnsi="微软雅黑" w:eastAsia="微软雅黑" w:cs="微软雅黑"/>
          <w:color w:val="auto"/>
          <w:sz w:val="21"/>
          <w:szCs w:val="21"/>
          <w:highlight w:val="none"/>
          <w:lang w:eastAsia="zh-CN"/>
        </w:rPr>
        <w:t>台账要求：</w:t>
      </w:r>
      <w:r>
        <w:rPr>
          <w:rFonts w:hint="eastAsia" w:ascii="微软雅黑" w:hAnsi="微软雅黑" w:eastAsia="微软雅黑" w:cs="微软雅黑"/>
          <w:color w:val="auto"/>
          <w:sz w:val="21"/>
          <w:szCs w:val="21"/>
          <w:highlight w:val="none"/>
        </w:rPr>
        <w:t>每场演出结束后，</w:t>
      </w:r>
      <w:r>
        <w:rPr>
          <w:rFonts w:hint="eastAsia" w:ascii="微软雅黑" w:hAnsi="微软雅黑" w:eastAsia="微软雅黑" w:cs="微软雅黑"/>
          <w:color w:val="auto"/>
          <w:sz w:val="21"/>
          <w:szCs w:val="21"/>
          <w:highlight w:val="none"/>
          <w:lang w:eastAsia="zh-CN"/>
        </w:rPr>
        <w:t>需</w:t>
      </w:r>
      <w:r>
        <w:rPr>
          <w:rFonts w:hint="eastAsia" w:ascii="微软雅黑" w:hAnsi="微软雅黑" w:eastAsia="微软雅黑" w:cs="微软雅黑"/>
          <w:color w:val="auto"/>
          <w:sz w:val="21"/>
          <w:szCs w:val="21"/>
          <w:highlight w:val="none"/>
        </w:rPr>
        <w:t>提供纸质台账、电子台账各一份</w:t>
      </w:r>
      <w:r>
        <w:rPr>
          <w:rFonts w:hint="eastAsia" w:ascii="微软雅黑" w:hAnsi="微软雅黑" w:eastAsia="微软雅黑" w:cs="微软雅黑"/>
          <w:color w:val="auto"/>
          <w:sz w:val="21"/>
          <w:szCs w:val="21"/>
          <w:highlight w:val="none"/>
          <w:lang w:eastAsia="zh-CN"/>
        </w:rPr>
        <w:t>，含演出目录、高清照片（不少于</w:t>
      </w:r>
      <w:r>
        <w:rPr>
          <w:rFonts w:hint="eastAsia" w:ascii="微软雅黑" w:hAnsi="微软雅黑" w:eastAsia="微软雅黑" w:cs="微软雅黑"/>
          <w:color w:val="auto"/>
          <w:sz w:val="21"/>
          <w:szCs w:val="21"/>
          <w:highlight w:val="none"/>
          <w:lang w:val="en-US" w:eastAsia="zh-CN"/>
        </w:rPr>
        <w:t>2张</w:t>
      </w:r>
      <w:r>
        <w:rPr>
          <w:rFonts w:hint="eastAsia" w:ascii="微软雅黑" w:hAnsi="微软雅黑" w:eastAsia="微软雅黑" w:cs="微软雅黑"/>
          <w:color w:val="auto"/>
          <w:sz w:val="21"/>
          <w:szCs w:val="21"/>
          <w:highlight w:val="none"/>
          <w:lang w:eastAsia="zh-CN"/>
        </w:rPr>
        <w:t>）、反馈表；</w:t>
      </w:r>
      <w:bookmarkEnd w:id="591"/>
    </w:p>
    <w:p>
      <w:pPr>
        <w:pStyle w:val="25"/>
        <w:keepNext w:val="0"/>
        <w:keepLines w:val="0"/>
        <w:pageBreakBefore w:val="0"/>
        <w:widowControl w:val="0"/>
        <w:numPr>
          <w:ilvl w:val="1"/>
          <w:numId w:val="24"/>
        </w:numPr>
        <w:kinsoku/>
        <w:wordWrap/>
        <w:overflowPunct/>
        <w:topLinePunct w:val="0"/>
        <w:autoSpaceDE/>
        <w:autoSpaceDN/>
        <w:bidi w:val="0"/>
        <w:adjustRightInd w:val="0"/>
        <w:snapToGrid w:val="0"/>
        <w:spacing w:after="0" w:line="360" w:lineRule="auto"/>
        <w:ind w:left="0" w:leftChars="0" w:firstLine="404" w:firstLineChars="200"/>
        <w:jc w:val="left"/>
        <w:textAlignment w:val="auto"/>
        <w:outlineLvl w:val="0"/>
        <w:rPr>
          <w:rFonts w:hint="eastAsia" w:ascii="微软雅黑" w:hAnsi="微软雅黑" w:eastAsia="微软雅黑" w:cs="微软雅黑"/>
          <w:color w:val="auto"/>
          <w:sz w:val="21"/>
          <w:szCs w:val="21"/>
          <w:highlight w:val="none"/>
        </w:rPr>
      </w:pPr>
      <w:bookmarkStart w:id="592" w:name="_Toc4123"/>
      <w:r>
        <w:rPr>
          <w:rFonts w:hint="eastAsia" w:ascii="微软雅黑" w:hAnsi="微软雅黑" w:eastAsia="微软雅黑" w:cs="微软雅黑"/>
          <w:color w:val="auto"/>
          <w:sz w:val="21"/>
          <w:szCs w:val="21"/>
          <w:highlight w:val="none"/>
        </w:rPr>
        <w:t>完成时间。所有演出结束后，一周内提供所有资料。</w:t>
      </w:r>
      <w:bookmarkEnd w:id="592"/>
    </w:p>
    <w:p>
      <w:pPr>
        <w:pStyle w:val="25"/>
        <w:keepNext w:val="0"/>
        <w:keepLines w:val="0"/>
        <w:pageBreakBefore w:val="0"/>
        <w:widowControl w:val="0"/>
        <w:numPr>
          <w:ilvl w:val="0"/>
          <w:numId w:val="24"/>
        </w:numPr>
        <w:kinsoku/>
        <w:wordWrap/>
        <w:overflowPunct/>
        <w:topLinePunct w:val="0"/>
        <w:autoSpaceDE/>
        <w:autoSpaceDN/>
        <w:bidi w:val="0"/>
        <w:adjustRightInd w:val="0"/>
        <w:snapToGrid w:val="0"/>
        <w:spacing w:after="0" w:line="360" w:lineRule="auto"/>
        <w:ind w:left="0" w:leftChars="0" w:firstLine="404" w:firstLineChars="200"/>
        <w:jc w:val="left"/>
        <w:textAlignment w:val="auto"/>
        <w:outlineLvl w:val="0"/>
        <w:rPr>
          <w:rFonts w:hint="eastAsia" w:ascii="微软雅黑" w:hAnsi="微软雅黑" w:eastAsia="微软雅黑" w:cs="Times New Roman"/>
          <w:b/>
          <w:bCs/>
          <w:color w:val="auto"/>
          <w:sz w:val="21"/>
          <w:szCs w:val="21"/>
          <w:highlight w:val="none"/>
          <w:lang w:eastAsia="zh-CN"/>
        </w:rPr>
      </w:pPr>
      <w:bookmarkStart w:id="593" w:name="_Toc12114"/>
      <w:r>
        <w:rPr>
          <w:rFonts w:hint="eastAsia" w:ascii="微软雅黑" w:hAnsi="微软雅黑" w:eastAsia="微软雅黑" w:cs="Times New Roman"/>
          <w:b/>
          <w:bCs/>
          <w:color w:val="auto"/>
          <w:sz w:val="21"/>
          <w:szCs w:val="21"/>
          <w:highlight w:val="none"/>
          <w:lang w:eastAsia="zh-CN"/>
        </w:rPr>
        <w:t>综合型专场（上限价：</w:t>
      </w:r>
      <w:r>
        <w:rPr>
          <w:rFonts w:hint="eastAsia" w:ascii="微软雅黑" w:hAnsi="微软雅黑" w:eastAsia="微软雅黑" w:cs="Times New Roman"/>
          <w:b/>
          <w:bCs/>
          <w:color w:val="auto"/>
          <w:sz w:val="21"/>
          <w:szCs w:val="21"/>
          <w:highlight w:val="none"/>
          <w:lang w:val="en-US" w:eastAsia="zh-CN"/>
        </w:rPr>
        <w:t>6000元/每场）</w:t>
      </w:r>
      <w:bookmarkEnd w:id="593"/>
    </w:p>
    <w:p>
      <w:pPr>
        <w:pStyle w:val="25"/>
        <w:keepNext w:val="0"/>
        <w:keepLines w:val="0"/>
        <w:pageBreakBefore w:val="0"/>
        <w:widowControl w:val="0"/>
        <w:numPr>
          <w:ilvl w:val="1"/>
          <w:numId w:val="24"/>
        </w:numPr>
        <w:kinsoku/>
        <w:wordWrap/>
        <w:overflowPunct/>
        <w:topLinePunct w:val="0"/>
        <w:autoSpaceDE/>
        <w:autoSpaceDN/>
        <w:bidi w:val="0"/>
        <w:adjustRightInd w:val="0"/>
        <w:snapToGrid w:val="0"/>
        <w:spacing w:after="0" w:line="360" w:lineRule="auto"/>
        <w:ind w:left="0" w:leftChars="0" w:firstLine="404" w:firstLineChars="200"/>
        <w:jc w:val="left"/>
        <w:textAlignment w:val="auto"/>
        <w:outlineLvl w:val="0"/>
        <w:rPr>
          <w:rFonts w:hint="eastAsia" w:ascii="微软雅黑" w:hAnsi="微软雅黑" w:eastAsia="微软雅黑" w:cs="微软雅黑"/>
          <w:color w:val="auto"/>
          <w:sz w:val="21"/>
          <w:szCs w:val="21"/>
          <w:highlight w:val="none"/>
        </w:rPr>
      </w:pPr>
      <w:bookmarkStart w:id="594" w:name="_Toc11816"/>
      <w:r>
        <w:rPr>
          <w:rFonts w:hint="eastAsia" w:ascii="微软雅黑" w:hAnsi="微软雅黑" w:eastAsia="微软雅黑" w:cs="微软雅黑"/>
          <w:color w:val="auto"/>
          <w:sz w:val="21"/>
          <w:szCs w:val="21"/>
          <w:highlight w:val="none"/>
        </w:rPr>
        <w:t>年龄要求：</w:t>
      </w:r>
      <w:r>
        <w:rPr>
          <w:rFonts w:hint="eastAsia" w:ascii="微软雅黑" w:hAnsi="微软雅黑" w:eastAsia="微软雅黑" w:cs="微软雅黑"/>
          <w:color w:val="auto"/>
          <w:sz w:val="21"/>
          <w:szCs w:val="21"/>
          <w:highlight w:val="none"/>
          <w:lang w:eastAsia="zh-CN"/>
        </w:rPr>
        <w:t>参加演出人员年龄控制在</w:t>
      </w:r>
      <w:r>
        <w:rPr>
          <w:rFonts w:hint="eastAsia" w:ascii="微软雅黑" w:hAnsi="微软雅黑" w:eastAsia="微软雅黑" w:cs="微软雅黑"/>
          <w:color w:val="auto"/>
          <w:sz w:val="21"/>
          <w:szCs w:val="21"/>
          <w:highlight w:val="none"/>
        </w:rPr>
        <w:t>20—50周岁中青年（戏曲类节目</w:t>
      </w:r>
      <w:r>
        <w:rPr>
          <w:rFonts w:hint="eastAsia" w:ascii="微软雅黑" w:hAnsi="微软雅黑" w:eastAsia="微软雅黑" w:cs="微软雅黑"/>
          <w:color w:val="auto"/>
          <w:sz w:val="21"/>
          <w:szCs w:val="21"/>
          <w:highlight w:val="none"/>
          <w:lang w:eastAsia="zh-CN"/>
        </w:rPr>
        <w:t>可</w:t>
      </w:r>
      <w:r>
        <w:rPr>
          <w:rFonts w:hint="eastAsia" w:ascii="微软雅黑" w:hAnsi="微软雅黑" w:eastAsia="微软雅黑" w:cs="微软雅黑"/>
          <w:color w:val="auto"/>
          <w:sz w:val="21"/>
          <w:szCs w:val="21"/>
          <w:highlight w:val="none"/>
        </w:rPr>
        <w:t>适当放宽）</w:t>
      </w:r>
      <w:r>
        <w:rPr>
          <w:rFonts w:hint="eastAsia" w:ascii="微软雅黑" w:hAnsi="微软雅黑" w:eastAsia="微软雅黑" w:cs="微软雅黑"/>
          <w:color w:val="auto"/>
          <w:sz w:val="21"/>
          <w:szCs w:val="21"/>
          <w:highlight w:val="none"/>
          <w:lang w:eastAsia="zh-CN"/>
        </w:rPr>
        <w:t>；</w:t>
      </w:r>
      <w:bookmarkEnd w:id="594"/>
    </w:p>
    <w:p>
      <w:pPr>
        <w:pStyle w:val="25"/>
        <w:keepNext w:val="0"/>
        <w:keepLines w:val="0"/>
        <w:pageBreakBefore w:val="0"/>
        <w:widowControl w:val="0"/>
        <w:numPr>
          <w:ilvl w:val="1"/>
          <w:numId w:val="24"/>
        </w:numPr>
        <w:kinsoku/>
        <w:wordWrap/>
        <w:overflowPunct/>
        <w:topLinePunct w:val="0"/>
        <w:autoSpaceDE/>
        <w:autoSpaceDN/>
        <w:bidi w:val="0"/>
        <w:adjustRightInd w:val="0"/>
        <w:snapToGrid w:val="0"/>
        <w:spacing w:after="0" w:line="360" w:lineRule="auto"/>
        <w:ind w:left="0" w:leftChars="0" w:firstLine="404" w:firstLineChars="200"/>
        <w:jc w:val="left"/>
        <w:textAlignment w:val="auto"/>
        <w:outlineLvl w:val="0"/>
        <w:rPr>
          <w:rFonts w:hint="eastAsia" w:ascii="微软雅黑" w:hAnsi="微软雅黑" w:eastAsia="微软雅黑" w:cs="微软雅黑"/>
          <w:color w:val="auto"/>
          <w:sz w:val="21"/>
          <w:szCs w:val="21"/>
          <w:highlight w:val="none"/>
        </w:rPr>
      </w:pPr>
      <w:bookmarkStart w:id="595" w:name="_Toc5740"/>
      <w:r>
        <w:rPr>
          <w:rFonts w:hint="eastAsia" w:ascii="微软雅黑" w:hAnsi="微软雅黑" w:eastAsia="微软雅黑" w:cs="微软雅黑"/>
          <w:color w:val="auto"/>
          <w:sz w:val="21"/>
          <w:szCs w:val="21"/>
          <w:highlight w:val="none"/>
        </w:rPr>
        <w:t>节目要求：不少于5个门类（戏曲、小品、歌曲、舞蹈、器乐等），群体性节目不少于8人</w:t>
      </w:r>
      <w:r>
        <w:rPr>
          <w:rFonts w:hint="default" w:ascii="微软雅黑" w:hAnsi="微软雅黑" w:eastAsia="微软雅黑" w:cs="微软雅黑"/>
          <w:color w:val="auto"/>
          <w:sz w:val="21"/>
          <w:szCs w:val="21"/>
          <w:highlight w:val="none"/>
        </w:rPr>
        <w:t>，每场群体节目不少于4个。</w:t>
      </w:r>
      <w:bookmarkEnd w:id="595"/>
    </w:p>
    <w:p>
      <w:pPr>
        <w:pStyle w:val="25"/>
        <w:keepNext w:val="0"/>
        <w:keepLines w:val="0"/>
        <w:pageBreakBefore w:val="0"/>
        <w:widowControl w:val="0"/>
        <w:numPr>
          <w:ilvl w:val="1"/>
          <w:numId w:val="24"/>
        </w:numPr>
        <w:kinsoku/>
        <w:wordWrap/>
        <w:overflowPunct/>
        <w:topLinePunct w:val="0"/>
        <w:autoSpaceDE/>
        <w:autoSpaceDN/>
        <w:bidi w:val="0"/>
        <w:adjustRightInd w:val="0"/>
        <w:snapToGrid w:val="0"/>
        <w:spacing w:after="0" w:line="360" w:lineRule="auto"/>
        <w:ind w:left="0" w:leftChars="0" w:firstLine="404" w:firstLineChars="200"/>
        <w:jc w:val="left"/>
        <w:textAlignment w:val="auto"/>
        <w:outlineLvl w:val="0"/>
        <w:rPr>
          <w:rFonts w:hint="eastAsia" w:ascii="微软雅黑" w:hAnsi="微软雅黑" w:eastAsia="微软雅黑" w:cs="微软雅黑"/>
          <w:color w:val="auto"/>
          <w:sz w:val="21"/>
          <w:szCs w:val="21"/>
          <w:highlight w:val="none"/>
        </w:rPr>
      </w:pPr>
      <w:bookmarkStart w:id="596" w:name="_Toc191"/>
      <w:r>
        <w:rPr>
          <w:rFonts w:hint="eastAsia" w:ascii="微软雅黑" w:hAnsi="微软雅黑" w:eastAsia="微软雅黑" w:cs="微软雅黑"/>
          <w:color w:val="auto"/>
          <w:sz w:val="21"/>
          <w:szCs w:val="21"/>
          <w:highlight w:val="none"/>
        </w:rPr>
        <w:t>表演要求：演唱类节目须现场实唱，一旦发现有假唱者扣除整场演出费</w:t>
      </w:r>
      <w:r>
        <w:rPr>
          <w:rFonts w:hint="eastAsia" w:ascii="微软雅黑" w:hAnsi="微软雅黑" w:eastAsia="微软雅黑" w:cs="微软雅黑"/>
          <w:color w:val="auto"/>
          <w:sz w:val="21"/>
          <w:szCs w:val="21"/>
          <w:highlight w:val="none"/>
          <w:lang w:eastAsia="zh-CN"/>
        </w:rPr>
        <w:t>；</w:t>
      </w:r>
      <w:bookmarkEnd w:id="596"/>
    </w:p>
    <w:p>
      <w:pPr>
        <w:pStyle w:val="25"/>
        <w:keepNext w:val="0"/>
        <w:keepLines w:val="0"/>
        <w:pageBreakBefore w:val="0"/>
        <w:widowControl w:val="0"/>
        <w:numPr>
          <w:ilvl w:val="1"/>
          <w:numId w:val="24"/>
        </w:numPr>
        <w:kinsoku/>
        <w:wordWrap/>
        <w:overflowPunct/>
        <w:topLinePunct w:val="0"/>
        <w:autoSpaceDE/>
        <w:autoSpaceDN/>
        <w:bidi w:val="0"/>
        <w:adjustRightInd w:val="0"/>
        <w:snapToGrid w:val="0"/>
        <w:spacing w:after="0" w:line="360" w:lineRule="auto"/>
        <w:ind w:left="0" w:leftChars="0" w:firstLine="404" w:firstLineChars="200"/>
        <w:jc w:val="left"/>
        <w:textAlignment w:val="auto"/>
        <w:outlineLvl w:val="0"/>
        <w:rPr>
          <w:rFonts w:hint="eastAsia" w:ascii="微软雅黑" w:hAnsi="微软雅黑" w:eastAsia="微软雅黑" w:cs="微软雅黑"/>
          <w:color w:val="auto"/>
          <w:sz w:val="21"/>
          <w:szCs w:val="21"/>
          <w:highlight w:val="none"/>
        </w:rPr>
      </w:pPr>
      <w:bookmarkStart w:id="597" w:name="_Toc9240"/>
      <w:r>
        <w:rPr>
          <w:rFonts w:hint="eastAsia" w:ascii="微软雅黑" w:hAnsi="微软雅黑" w:eastAsia="微软雅黑" w:cs="微软雅黑"/>
          <w:color w:val="auto"/>
          <w:sz w:val="21"/>
          <w:szCs w:val="21"/>
          <w:highlight w:val="none"/>
        </w:rPr>
        <w:t>背景要求：由主办方提供主题后，承办方制作演出背景喷绘</w:t>
      </w:r>
      <w:r>
        <w:rPr>
          <w:rFonts w:hint="eastAsia" w:ascii="微软雅黑" w:hAnsi="微软雅黑" w:eastAsia="微软雅黑" w:cs="微软雅黑"/>
          <w:color w:val="auto"/>
          <w:sz w:val="21"/>
          <w:szCs w:val="21"/>
          <w:highlight w:val="none"/>
          <w:lang w:eastAsia="zh-CN"/>
        </w:rPr>
        <w:t>；</w:t>
      </w:r>
      <w:bookmarkEnd w:id="597"/>
    </w:p>
    <w:p>
      <w:pPr>
        <w:pStyle w:val="25"/>
        <w:keepNext w:val="0"/>
        <w:keepLines w:val="0"/>
        <w:pageBreakBefore w:val="0"/>
        <w:widowControl w:val="0"/>
        <w:numPr>
          <w:ilvl w:val="1"/>
          <w:numId w:val="24"/>
        </w:numPr>
        <w:kinsoku/>
        <w:wordWrap/>
        <w:overflowPunct/>
        <w:topLinePunct w:val="0"/>
        <w:autoSpaceDE/>
        <w:autoSpaceDN/>
        <w:bidi w:val="0"/>
        <w:adjustRightInd w:val="0"/>
        <w:snapToGrid w:val="0"/>
        <w:spacing w:after="0" w:line="360" w:lineRule="auto"/>
        <w:ind w:left="0" w:leftChars="0" w:firstLine="404" w:firstLineChars="200"/>
        <w:jc w:val="left"/>
        <w:textAlignment w:val="auto"/>
        <w:outlineLvl w:val="0"/>
        <w:rPr>
          <w:rFonts w:hint="eastAsia" w:ascii="微软雅黑" w:hAnsi="微软雅黑" w:eastAsia="微软雅黑" w:cs="微软雅黑"/>
          <w:color w:val="auto"/>
          <w:sz w:val="21"/>
          <w:szCs w:val="21"/>
          <w:highlight w:val="none"/>
        </w:rPr>
      </w:pPr>
      <w:bookmarkStart w:id="598" w:name="_Toc28677"/>
      <w:r>
        <w:rPr>
          <w:rFonts w:hint="eastAsia" w:ascii="微软雅黑" w:hAnsi="微软雅黑" w:eastAsia="微软雅黑" w:cs="微软雅黑"/>
          <w:color w:val="auto"/>
          <w:sz w:val="21"/>
          <w:szCs w:val="21"/>
          <w:highlight w:val="none"/>
        </w:rPr>
        <w:t>演出要求：须保证整场</w:t>
      </w:r>
      <w:r>
        <w:rPr>
          <w:rFonts w:hint="eastAsia" w:ascii="微软雅黑" w:hAnsi="微软雅黑" w:eastAsia="微软雅黑" w:cs="微软雅黑"/>
          <w:color w:val="auto"/>
          <w:sz w:val="21"/>
          <w:szCs w:val="21"/>
          <w:highlight w:val="none"/>
          <w:lang w:eastAsia="zh-CN"/>
        </w:rPr>
        <w:t>演出</w:t>
      </w:r>
      <w:r>
        <w:rPr>
          <w:rFonts w:hint="eastAsia" w:ascii="微软雅黑" w:hAnsi="微软雅黑" w:eastAsia="微软雅黑" w:cs="微软雅黑"/>
          <w:color w:val="auto"/>
          <w:sz w:val="21"/>
          <w:szCs w:val="21"/>
          <w:highlight w:val="none"/>
        </w:rPr>
        <w:t>节目质量和演出现场的安全保障</w:t>
      </w:r>
      <w:r>
        <w:rPr>
          <w:rFonts w:hint="eastAsia" w:ascii="微软雅黑" w:hAnsi="微软雅黑" w:eastAsia="微软雅黑" w:cs="微软雅黑"/>
          <w:color w:val="auto"/>
          <w:sz w:val="21"/>
          <w:szCs w:val="21"/>
          <w:highlight w:val="none"/>
          <w:lang w:eastAsia="zh-CN"/>
        </w:rPr>
        <w:t>；</w:t>
      </w:r>
      <w:bookmarkEnd w:id="598"/>
    </w:p>
    <w:p>
      <w:pPr>
        <w:pStyle w:val="25"/>
        <w:keepNext w:val="0"/>
        <w:keepLines w:val="0"/>
        <w:pageBreakBefore w:val="0"/>
        <w:widowControl w:val="0"/>
        <w:numPr>
          <w:ilvl w:val="1"/>
          <w:numId w:val="24"/>
        </w:numPr>
        <w:kinsoku/>
        <w:wordWrap/>
        <w:overflowPunct/>
        <w:topLinePunct w:val="0"/>
        <w:autoSpaceDE/>
        <w:autoSpaceDN/>
        <w:bidi w:val="0"/>
        <w:adjustRightInd w:val="0"/>
        <w:snapToGrid w:val="0"/>
        <w:spacing w:after="0" w:line="360" w:lineRule="auto"/>
        <w:ind w:left="0" w:leftChars="0" w:firstLine="404" w:firstLineChars="200"/>
        <w:jc w:val="left"/>
        <w:textAlignment w:val="auto"/>
        <w:outlineLvl w:val="0"/>
        <w:rPr>
          <w:rFonts w:hint="eastAsia" w:ascii="微软雅黑" w:hAnsi="微软雅黑" w:eastAsia="微软雅黑" w:cs="微软雅黑"/>
          <w:color w:val="auto"/>
          <w:sz w:val="21"/>
          <w:szCs w:val="21"/>
          <w:highlight w:val="none"/>
        </w:rPr>
      </w:pPr>
      <w:bookmarkStart w:id="599" w:name="_Toc4996"/>
      <w:r>
        <w:rPr>
          <w:rFonts w:hint="eastAsia" w:ascii="微软雅黑" w:hAnsi="微软雅黑" w:eastAsia="微软雅黑" w:cs="微软雅黑"/>
          <w:color w:val="auto"/>
          <w:sz w:val="21"/>
          <w:szCs w:val="21"/>
          <w:highlight w:val="none"/>
          <w:lang w:eastAsia="zh-CN"/>
        </w:rPr>
        <w:t>时长要求：每场演出时长不少于</w:t>
      </w:r>
      <w:r>
        <w:rPr>
          <w:rFonts w:hint="eastAsia" w:ascii="微软雅黑" w:hAnsi="微软雅黑" w:eastAsia="微软雅黑" w:cs="微软雅黑"/>
          <w:color w:val="auto"/>
          <w:sz w:val="21"/>
          <w:szCs w:val="21"/>
          <w:highlight w:val="none"/>
          <w:lang w:val="en-US" w:eastAsia="zh-CN"/>
        </w:rPr>
        <w:t>1小时；</w:t>
      </w:r>
      <w:bookmarkEnd w:id="599"/>
    </w:p>
    <w:p>
      <w:pPr>
        <w:pStyle w:val="25"/>
        <w:keepNext w:val="0"/>
        <w:keepLines w:val="0"/>
        <w:pageBreakBefore w:val="0"/>
        <w:widowControl w:val="0"/>
        <w:numPr>
          <w:ilvl w:val="1"/>
          <w:numId w:val="24"/>
        </w:numPr>
        <w:kinsoku/>
        <w:wordWrap/>
        <w:overflowPunct/>
        <w:topLinePunct w:val="0"/>
        <w:autoSpaceDE/>
        <w:autoSpaceDN/>
        <w:bidi w:val="0"/>
        <w:adjustRightInd w:val="0"/>
        <w:snapToGrid w:val="0"/>
        <w:spacing w:after="0" w:line="360" w:lineRule="auto"/>
        <w:ind w:left="0" w:leftChars="0" w:firstLine="404" w:firstLineChars="200"/>
        <w:jc w:val="left"/>
        <w:textAlignment w:val="auto"/>
        <w:outlineLvl w:val="0"/>
        <w:rPr>
          <w:rFonts w:hint="eastAsia" w:ascii="微软雅黑" w:hAnsi="微软雅黑" w:eastAsia="微软雅黑" w:cs="微软雅黑"/>
          <w:color w:val="auto"/>
          <w:sz w:val="21"/>
          <w:szCs w:val="21"/>
          <w:highlight w:val="none"/>
        </w:rPr>
      </w:pPr>
      <w:bookmarkStart w:id="600" w:name="_Toc22435"/>
      <w:r>
        <w:rPr>
          <w:rFonts w:hint="eastAsia" w:ascii="微软雅黑" w:hAnsi="微软雅黑" w:eastAsia="微软雅黑" w:cs="微软雅黑"/>
          <w:color w:val="auto"/>
          <w:sz w:val="21"/>
          <w:szCs w:val="21"/>
          <w:highlight w:val="none"/>
        </w:rPr>
        <w:t>内容</w:t>
      </w:r>
      <w:r>
        <w:rPr>
          <w:rFonts w:hint="eastAsia" w:ascii="微软雅黑" w:hAnsi="微软雅黑" w:eastAsia="微软雅黑" w:cs="微软雅黑"/>
          <w:color w:val="auto"/>
          <w:sz w:val="21"/>
          <w:szCs w:val="21"/>
          <w:highlight w:val="none"/>
          <w:lang w:eastAsia="zh-CN"/>
        </w:rPr>
        <w:t>要求：</w:t>
      </w:r>
      <w:r>
        <w:rPr>
          <w:rFonts w:hint="eastAsia" w:ascii="微软雅黑" w:hAnsi="微软雅黑" w:eastAsia="微软雅黑" w:cs="微软雅黑"/>
          <w:color w:val="auto"/>
          <w:sz w:val="21"/>
          <w:szCs w:val="21"/>
          <w:highlight w:val="none"/>
        </w:rPr>
        <w:t>节目内容百姓喜闻乐见，积极向上，弘扬社会正能量，符合</w:t>
      </w:r>
      <w:r>
        <w:rPr>
          <w:rFonts w:hint="eastAsia" w:ascii="微软雅黑" w:hAnsi="微软雅黑" w:eastAsia="微软雅黑" w:cs="微软雅黑"/>
          <w:color w:val="auto"/>
          <w:sz w:val="21"/>
          <w:szCs w:val="21"/>
          <w:highlight w:val="none"/>
          <w:lang w:eastAsia="zh-CN"/>
        </w:rPr>
        <w:t>现代审美价值观，避免低俗、媚俗</w:t>
      </w:r>
      <w:r>
        <w:rPr>
          <w:rFonts w:hint="eastAsia" w:ascii="微软雅黑" w:hAnsi="微软雅黑" w:eastAsia="微软雅黑" w:cs="微软雅黑"/>
          <w:color w:val="auto"/>
          <w:sz w:val="21"/>
          <w:szCs w:val="21"/>
          <w:highlight w:val="none"/>
        </w:rPr>
        <w:t>。</w:t>
      </w:r>
      <w:bookmarkEnd w:id="600"/>
    </w:p>
    <w:p>
      <w:pPr>
        <w:pStyle w:val="25"/>
        <w:keepNext w:val="0"/>
        <w:keepLines w:val="0"/>
        <w:pageBreakBefore w:val="0"/>
        <w:widowControl w:val="0"/>
        <w:numPr>
          <w:ilvl w:val="1"/>
          <w:numId w:val="24"/>
        </w:numPr>
        <w:kinsoku/>
        <w:wordWrap/>
        <w:overflowPunct/>
        <w:topLinePunct w:val="0"/>
        <w:autoSpaceDE/>
        <w:autoSpaceDN/>
        <w:bidi w:val="0"/>
        <w:adjustRightInd w:val="0"/>
        <w:snapToGrid w:val="0"/>
        <w:spacing w:after="0" w:line="360" w:lineRule="auto"/>
        <w:ind w:left="0" w:leftChars="0" w:firstLine="404" w:firstLineChars="200"/>
        <w:jc w:val="left"/>
        <w:textAlignment w:val="auto"/>
        <w:outlineLvl w:val="0"/>
        <w:rPr>
          <w:rFonts w:hint="eastAsia" w:ascii="微软雅黑" w:hAnsi="微软雅黑" w:eastAsia="微软雅黑" w:cs="微软雅黑"/>
          <w:color w:val="auto"/>
          <w:sz w:val="21"/>
          <w:szCs w:val="21"/>
          <w:highlight w:val="none"/>
        </w:rPr>
      </w:pPr>
      <w:bookmarkStart w:id="601" w:name="_Toc29215"/>
      <w:r>
        <w:rPr>
          <w:rFonts w:hint="eastAsia" w:ascii="微软雅黑" w:hAnsi="微软雅黑" w:eastAsia="微软雅黑" w:cs="微软雅黑"/>
          <w:color w:val="auto"/>
          <w:sz w:val="21"/>
          <w:szCs w:val="21"/>
          <w:highlight w:val="none"/>
        </w:rPr>
        <w:t>活动要求：每场</w:t>
      </w:r>
      <w:r>
        <w:rPr>
          <w:rFonts w:hint="eastAsia" w:ascii="微软雅黑" w:hAnsi="微软雅黑" w:eastAsia="微软雅黑" w:cs="微软雅黑"/>
          <w:color w:val="auto"/>
          <w:sz w:val="21"/>
          <w:szCs w:val="21"/>
          <w:highlight w:val="none"/>
          <w:lang w:eastAsia="zh-CN"/>
        </w:rPr>
        <w:t>演出</w:t>
      </w:r>
      <w:r>
        <w:rPr>
          <w:rFonts w:hint="eastAsia" w:ascii="微软雅黑" w:hAnsi="微软雅黑" w:eastAsia="微软雅黑" w:cs="微软雅黑"/>
          <w:color w:val="auto"/>
          <w:sz w:val="21"/>
          <w:szCs w:val="21"/>
          <w:highlight w:val="none"/>
        </w:rPr>
        <w:t>需</w:t>
      </w:r>
      <w:r>
        <w:rPr>
          <w:rFonts w:hint="eastAsia" w:ascii="微软雅黑" w:hAnsi="微软雅黑" w:eastAsia="微软雅黑" w:cs="微软雅黑"/>
          <w:color w:val="auto"/>
          <w:sz w:val="21"/>
          <w:szCs w:val="21"/>
          <w:highlight w:val="none"/>
          <w:lang w:eastAsia="zh-CN"/>
        </w:rPr>
        <w:t>打</w:t>
      </w:r>
      <w:r>
        <w:rPr>
          <w:rFonts w:hint="eastAsia" w:ascii="微软雅黑" w:hAnsi="微软雅黑" w:eastAsia="微软雅黑" w:cs="微软雅黑"/>
          <w:color w:val="auto"/>
          <w:sz w:val="21"/>
          <w:szCs w:val="21"/>
          <w:highlight w:val="none"/>
        </w:rPr>
        <w:t>印节目单，发放现场观众。节目单主题与背景主题相同，注明时间、地点、节目内容、区文旅局微信公众号二维码、区文化馆微信公众号二维码等。</w:t>
      </w:r>
      <w:bookmarkEnd w:id="601"/>
    </w:p>
    <w:p>
      <w:pPr>
        <w:pStyle w:val="25"/>
        <w:keepNext w:val="0"/>
        <w:keepLines w:val="0"/>
        <w:pageBreakBefore w:val="0"/>
        <w:widowControl w:val="0"/>
        <w:numPr>
          <w:ilvl w:val="1"/>
          <w:numId w:val="24"/>
        </w:numPr>
        <w:kinsoku/>
        <w:wordWrap/>
        <w:overflowPunct/>
        <w:topLinePunct w:val="0"/>
        <w:autoSpaceDE/>
        <w:autoSpaceDN/>
        <w:bidi w:val="0"/>
        <w:adjustRightInd w:val="0"/>
        <w:snapToGrid w:val="0"/>
        <w:spacing w:after="0" w:line="360" w:lineRule="auto"/>
        <w:ind w:left="0" w:leftChars="0" w:firstLine="404" w:firstLineChars="200"/>
        <w:jc w:val="left"/>
        <w:textAlignment w:val="auto"/>
        <w:outlineLvl w:val="0"/>
        <w:rPr>
          <w:rFonts w:hint="eastAsia" w:ascii="微软雅黑" w:hAnsi="微软雅黑" w:eastAsia="微软雅黑" w:cs="微软雅黑"/>
          <w:color w:val="auto"/>
          <w:sz w:val="21"/>
          <w:szCs w:val="21"/>
          <w:highlight w:val="none"/>
        </w:rPr>
      </w:pPr>
      <w:bookmarkStart w:id="602" w:name="_Toc22031"/>
      <w:r>
        <w:rPr>
          <w:rFonts w:hint="eastAsia" w:ascii="微软雅黑" w:hAnsi="微软雅黑" w:eastAsia="微软雅黑" w:cs="微软雅黑"/>
          <w:color w:val="auto"/>
          <w:sz w:val="21"/>
          <w:szCs w:val="21"/>
          <w:highlight w:val="none"/>
          <w:lang w:eastAsia="zh-CN"/>
        </w:rPr>
        <w:t>台账要求：</w:t>
      </w:r>
      <w:r>
        <w:rPr>
          <w:rFonts w:hint="eastAsia" w:ascii="微软雅黑" w:hAnsi="微软雅黑" w:eastAsia="微软雅黑" w:cs="微软雅黑"/>
          <w:color w:val="auto"/>
          <w:sz w:val="21"/>
          <w:szCs w:val="21"/>
          <w:highlight w:val="none"/>
        </w:rPr>
        <w:t>每场演出结束后，</w:t>
      </w:r>
      <w:r>
        <w:rPr>
          <w:rFonts w:hint="eastAsia" w:ascii="微软雅黑" w:hAnsi="微软雅黑" w:eastAsia="微软雅黑" w:cs="微软雅黑"/>
          <w:color w:val="auto"/>
          <w:sz w:val="21"/>
          <w:szCs w:val="21"/>
          <w:highlight w:val="none"/>
          <w:lang w:eastAsia="zh-CN"/>
        </w:rPr>
        <w:t>需</w:t>
      </w:r>
      <w:r>
        <w:rPr>
          <w:rFonts w:hint="eastAsia" w:ascii="微软雅黑" w:hAnsi="微软雅黑" w:eastAsia="微软雅黑" w:cs="微软雅黑"/>
          <w:color w:val="auto"/>
          <w:sz w:val="21"/>
          <w:szCs w:val="21"/>
          <w:highlight w:val="none"/>
        </w:rPr>
        <w:t>提供纸质台账、电子台账各一份</w:t>
      </w:r>
      <w:r>
        <w:rPr>
          <w:rFonts w:hint="eastAsia" w:ascii="微软雅黑" w:hAnsi="微软雅黑" w:eastAsia="微软雅黑" w:cs="微软雅黑"/>
          <w:color w:val="auto"/>
          <w:sz w:val="21"/>
          <w:szCs w:val="21"/>
          <w:highlight w:val="none"/>
          <w:lang w:eastAsia="zh-CN"/>
        </w:rPr>
        <w:t>，含演出目录、高清照片（不少于</w:t>
      </w:r>
      <w:r>
        <w:rPr>
          <w:rFonts w:hint="eastAsia" w:ascii="微软雅黑" w:hAnsi="微软雅黑" w:eastAsia="微软雅黑" w:cs="微软雅黑"/>
          <w:color w:val="auto"/>
          <w:sz w:val="21"/>
          <w:szCs w:val="21"/>
          <w:highlight w:val="none"/>
          <w:lang w:val="en-US" w:eastAsia="zh-CN"/>
        </w:rPr>
        <w:t>2张</w:t>
      </w:r>
      <w:r>
        <w:rPr>
          <w:rFonts w:hint="eastAsia" w:ascii="微软雅黑" w:hAnsi="微软雅黑" w:eastAsia="微软雅黑" w:cs="微软雅黑"/>
          <w:color w:val="auto"/>
          <w:sz w:val="21"/>
          <w:szCs w:val="21"/>
          <w:highlight w:val="none"/>
          <w:lang w:eastAsia="zh-CN"/>
        </w:rPr>
        <w:t>）及反馈表；</w:t>
      </w:r>
      <w:bookmarkEnd w:id="602"/>
    </w:p>
    <w:p>
      <w:pPr>
        <w:pStyle w:val="25"/>
        <w:keepNext w:val="0"/>
        <w:keepLines w:val="0"/>
        <w:pageBreakBefore w:val="0"/>
        <w:widowControl w:val="0"/>
        <w:numPr>
          <w:ilvl w:val="1"/>
          <w:numId w:val="24"/>
        </w:numPr>
        <w:kinsoku/>
        <w:wordWrap/>
        <w:overflowPunct/>
        <w:topLinePunct w:val="0"/>
        <w:autoSpaceDE/>
        <w:autoSpaceDN/>
        <w:bidi w:val="0"/>
        <w:adjustRightInd w:val="0"/>
        <w:snapToGrid w:val="0"/>
        <w:spacing w:after="0" w:line="360" w:lineRule="auto"/>
        <w:ind w:left="0" w:leftChars="0" w:firstLine="404" w:firstLineChars="200"/>
        <w:jc w:val="left"/>
        <w:textAlignment w:val="auto"/>
        <w:outlineLvl w:val="0"/>
        <w:rPr>
          <w:rFonts w:hint="eastAsia" w:ascii="微软雅黑" w:hAnsi="微软雅黑" w:eastAsia="微软雅黑" w:cs="微软雅黑"/>
          <w:color w:val="auto"/>
          <w:sz w:val="21"/>
          <w:szCs w:val="21"/>
          <w:highlight w:val="none"/>
        </w:rPr>
      </w:pPr>
      <w:bookmarkStart w:id="603" w:name="_Toc6210"/>
      <w:r>
        <w:rPr>
          <w:rFonts w:hint="eastAsia" w:ascii="微软雅黑" w:hAnsi="微软雅黑" w:eastAsia="微软雅黑" w:cs="微软雅黑"/>
          <w:color w:val="auto"/>
          <w:sz w:val="21"/>
          <w:szCs w:val="21"/>
          <w:highlight w:val="none"/>
        </w:rPr>
        <w:t>完成时间</w:t>
      </w:r>
      <w:r>
        <w:rPr>
          <w:rFonts w:hint="eastAsia" w:ascii="微软雅黑" w:hAnsi="微软雅黑" w:eastAsia="微软雅黑" w:cs="微软雅黑"/>
          <w:color w:val="auto"/>
          <w:sz w:val="21"/>
          <w:szCs w:val="21"/>
          <w:highlight w:val="none"/>
          <w:lang w:eastAsia="zh-CN"/>
        </w:rPr>
        <w:t>：</w:t>
      </w:r>
      <w:r>
        <w:rPr>
          <w:rFonts w:hint="eastAsia" w:ascii="微软雅黑" w:hAnsi="微软雅黑" w:eastAsia="微软雅黑" w:cs="微软雅黑"/>
          <w:color w:val="auto"/>
          <w:sz w:val="21"/>
          <w:szCs w:val="21"/>
          <w:highlight w:val="none"/>
        </w:rPr>
        <w:t>所有演出结束后，一周内提供所有资料。</w:t>
      </w:r>
      <w:bookmarkEnd w:id="603"/>
    </w:p>
    <w:p>
      <w:pPr>
        <w:pStyle w:val="6"/>
        <w:keepNext w:val="0"/>
        <w:keepLines w:val="0"/>
        <w:numPr>
          <w:ilvl w:val="0"/>
          <w:numId w:val="23"/>
        </w:numPr>
        <w:spacing w:beforeLines="0" w:after="0"/>
        <w:ind w:left="20" w:leftChars="0" w:firstLineChars="0"/>
        <w:jc w:val="both"/>
        <w:rPr>
          <w:rFonts w:ascii="微软雅黑" w:hAnsi="微软雅黑"/>
          <w:color w:val="auto"/>
          <w:szCs w:val="21"/>
          <w:highlight w:val="none"/>
        </w:rPr>
      </w:pPr>
      <w:bookmarkStart w:id="604" w:name="_Toc12048"/>
      <w:r>
        <w:rPr>
          <w:rFonts w:hint="eastAsia" w:ascii="微软雅黑" w:hAnsi="微软雅黑"/>
          <w:color w:val="auto"/>
          <w:szCs w:val="21"/>
          <w:highlight w:val="none"/>
          <w:lang w:eastAsia="zh-CN"/>
        </w:rPr>
        <w:t>其它要求</w:t>
      </w:r>
      <w:bookmarkEnd w:id="604"/>
    </w:p>
    <w:p>
      <w:pPr>
        <w:pStyle w:val="25"/>
        <w:keepNext w:val="0"/>
        <w:keepLines w:val="0"/>
        <w:pageBreakBefore w:val="0"/>
        <w:widowControl w:val="0"/>
        <w:numPr>
          <w:ilvl w:val="0"/>
          <w:numId w:val="25"/>
        </w:numPr>
        <w:kinsoku/>
        <w:wordWrap/>
        <w:overflowPunct/>
        <w:topLinePunct w:val="0"/>
        <w:autoSpaceDE/>
        <w:autoSpaceDN/>
        <w:bidi w:val="0"/>
        <w:adjustRightInd w:val="0"/>
        <w:snapToGrid w:val="0"/>
        <w:spacing w:after="0" w:line="360" w:lineRule="auto"/>
        <w:ind w:left="0" w:leftChars="0" w:firstLine="404" w:firstLineChars="200"/>
        <w:jc w:val="left"/>
        <w:textAlignment w:val="auto"/>
        <w:outlineLvl w:val="0"/>
        <w:rPr>
          <w:rFonts w:hint="eastAsia" w:ascii="微软雅黑" w:hAnsi="微软雅黑" w:eastAsia="微软雅黑" w:cs="Times New Roman"/>
          <w:b w:val="0"/>
          <w:bCs w:val="0"/>
          <w:color w:val="auto"/>
          <w:sz w:val="21"/>
          <w:szCs w:val="21"/>
          <w:highlight w:val="none"/>
          <w:lang w:eastAsia="zh-CN"/>
        </w:rPr>
      </w:pPr>
      <w:bookmarkStart w:id="605" w:name="_Toc7203"/>
      <w:r>
        <w:rPr>
          <w:rFonts w:hint="eastAsia" w:ascii="微软雅黑" w:hAnsi="微软雅黑" w:eastAsia="微软雅黑" w:cs="Times New Roman"/>
          <w:b w:val="0"/>
          <w:bCs w:val="0"/>
          <w:color w:val="auto"/>
          <w:sz w:val="21"/>
          <w:szCs w:val="21"/>
          <w:highlight w:val="none"/>
          <w:lang w:eastAsia="zh-CN"/>
        </w:rPr>
        <w:t>各演出单位需于每个月的月末采购单位报送本月完成演出情况的统计表、演出评价反馈表以及下月演出计划的预告表；</w:t>
      </w:r>
      <w:bookmarkEnd w:id="605"/>
    </w:p>
    <w:p>
      <w:pPr>
        <w:pStyle w:val="25"/>
        <w:keepNext w:val="0"/>
        <w:keepLines w:val="0"/>
        <w:pageBreakBefore w:val="0"/>
        <w:widowControl w:val="0"/>
        <w:numPr>
          <w:ilvl w:val="0"/>
          <w:numId w:val="25"/>
        </w:numPr>
        <w:kinsoku/>
        <w:wordWrap/>
        <w:overflowPunct/>
        <w:topLinePunct w:val="0"/>
        <w:autoSpaceDE/>
        <w:autoSpaceDN/>
        <w:bidi w:val="0"/>
        <w:adjustRightInd w:val="0"/>
        <w:snapToGrid w:val="0"/>
        <w:spacing w:after="0" w:line="360" w:lineRule="auto"/>
        <w:ind w:left="0" w:leftChars="0" w:firstLine="404" w:firstLineChars="200"/>
        <w:jc w:val="left"/>
        <w:textAlignment w:val="auto"/>
        <w:outlineLvl w:val="0"/>
        <w:rPr>
          <w:rFonts w:hint="eastAsia" w:ascii="微软雅黑" w:hAnsi="微软雅黑" w:eastAsia="微软雅黑" w:cs="Times New Roman"/>
          <w:b w:val="0"/>
          <w:bCs w:val="0"/>
          <w:color w:val="auto"/>
          <w:sz w:val="21"/>
          <w:szCs w:val="21"/>
          <w:highlight w:val="none"/>
          <w:lang w:val="zh-CN" w:eastAsia="zh-CN"/>
        </w:rPr>
      </w:pPr>
      <w:bookmarkStart w:id="606" w:name="_Toc9063"/>
      <w:r>
        <w:rPr>
          <w:rFonts w:hint="eastAsia" w:ascii="微软雅黑" w:hAnsi="微软雅黑" w:eastAsia="微软雅黑" w:cs="Times New Roman"/>
          <w:b w:val="0"/>
          <w:bCs w:val="0"/>
          <w:color w:val="auto"/>
          <w:sz w:val="21"/>
          <w:szCs w:val="21"/>
          <w:highlight w:val="none"/>
          <w:lang w:eastAsia="zh-CN"/>
        </w:rPr>
        <w:t>演出需要包括但不仅限于包括音响、椅子等一切内容；</w:t>
      </w:r>
      <w:bookmarkEnd w:id="606"/>
    </w:p>
    <w:p>
      <w:pPr>
        <w:pStyle w:val="25"/>
        <w:keepNext w:val="0"/>
        <w:keepLines w:val="0"/>
        <w:pageBreakBefore w:val="0"/>
        <w:widowControl w:val="0"/>
        <w:numPr>
          <w:ilvl w:val="0"/>
          <w:numId w:val="25"/>
        </w:numPr>
        <w:kinsoku/>
        <w:wordWrap/>
        <w:overflowPunct/>
        <w:topLinePunct w:val="0"/>
        <w:autoSpaceDE/>
        <w:autoSpaceDN/>
        <w:bidi w:val="0"/>
        <w:adjustRightInd w:val="0"/>
        <w:snapToGrid w:val="0"/>
        <w:spacing w:after="0" w:line="360" w:lineRule="auto"/>
        <w:ind w:left="0" w:leftChars="0" w:firstLine="404" w:firstLineChars="200"/>
        <w:jc w:val="left"/>
        <w:textAlignment w:val="auto"/>
        <w:outlineLvl w:val="0"/>
        <w:rPr>
          <w:rFonts w:hint="eastAsia" w:ascii="微软雅黑" w:hAnsi="微软雅黑" w:eastAsia="微软雅黑" w:cs="Times New Roman"/>
          <w:b w:val="0"/>
          <w:bCs w:val="0"/>
          <w:color w:val="auto"/>
          <w:sz w:val="21"/>
          <w:szCs w:val="21"/>
          <w:highlight w:val="none"/>
          <w:lang w:val="zh-CN" w:eastAsia="zh-CN"/>
        </w:rPr>
      </w:pPr>
      <w:bookmarkStart w:id="607" w:name="_Toc14677"/>
      <w:r>
        <w:rPr>
          <w:rFonts w:hint="eastAsia" w:ascii="微软雅黑" w:hAnsi="微软雅黑" w:eastAsia="微软雅黑" w:cs="Times New Roman"/>
          <w:b w:val="0"/>
          <w:bCs w:val="0"/>
          <w:color w:val="auto"/>
          <w:sz w:val="21"/>
          <w:szCs w:val="21"/>
          <w:highlight w:val="none"/>
          <w:lang w:val="zh-CN" w:eastAsia="zh-CN"/>
        </w:rPr>
        <w:t>各演出单位下基层演出时的用餐、饮用水、住宿等费用由中标单位自行解决，不得要求基层单位招待；</w:t>
      </w:r>
      <w:bookmarkEnd w:id="607"/>
    </w:p>
    <w:p>
      <w:pPr>
        <w:pStyle w:val="25"/>
        <w:keepNext w:val="0"/>
        <w:keepLines w:val="0"/>
        <w:pageBreakBefore w:val="0"/>
        <w:widowControl w:val="0"/>
        <w:numPr>
          <w:ilvl w:val="0"/>
          <w:numId w:val="25"/>
        </w:numPr>
        <w:kinsoku/>
        <w:wordWrap/>
        <w:overflowPunct/>
        <w:topLinePunct w:val="0"/>
        <w:autoSpaceDE/>
        <w:autoSpaceDN/>
        <w:bidi w:val="0"/>
        <w:adjustRightInd w:val="0"/>
        <w:snapToGrid w:val="0"/>
        <w:spacing w:after="0" w:line="360" w:lineRule="auto"/>
        <w:ind w:left="0" w:leftChars="0" w:firstLine="404" w:firstLineChars="200"/>
        <w:jc w:val="left"/>
        <w:textAlignment w:val="auto"/>
        <w:outlineLvl w:val="0"/>
        <w:rPr>
          <w:rFonts w:hint="eastAsia" w:ascii="微软雅黑" w:hAnsi="微软雅黑" w:eastAsia="微软雅黑" w:cs="Times New Roman"/>
          <w:b w:val="0"/>
          <w:bCs w:val="0"/>
          <w:color w:val="auto"/>
          <w:sz w:val="21"/>
          <w:szCs w:val="21"/>
          <w:highlight w:val="none"/>
          <w:lang w:val="zh-CN" w:eastAsia="zh-CN"/>
        </w:rPr>
      </w:pPr>
      <w:bookmarkStart w:id="608" w:name="_Toc28360"/>
      <w:r>
        <w:rPr>
          <w:rFonts w:hint="eastAsia" w:ascii="微软雅黑" w:hAnsi="微软雅黑" w:eastAsia="微软雅黑" w:cs="Times New Roman"/>
          <w:b w:val="0"/>
          <w:bCs w:val="0"/>
          <w:color w:val="auto"/>
          <w:sz w:val="21"/>
          <w:szCs w:val="21"/>
          <w:highlight w:val="none"/>
          <w:lang w:val="zh-CN" w:eastAsia="zh-CN"/>
        </w:rPr>
        <w:t>各演出单位须制定安全防范措施，确保演出过程中演职人员的人身安全,并为演职人员购买人身意外保险；</w:t>
      </w:r>
      <w:bookmarkEnd w:id="608"/>
    </w:p>
    <w:p>
      <w:pPr>
        <w:pStyle w:val="25"/>
        <w:keepNext w:val="0"/>
        <w:keepLines w:val="0"/>
        <w:pageBreakBefore w:val="0"/>
        <w:widowControl w:val="0"/>
        <w:numPr>
          <w:ilvl w:val="0"/>
          <w:numId w:val="25"/>
        </w:numPr>
        <w:kinsoku/>
        <w:wordWrap/>
        <w:overflowPunct/>
        <w:topLinePunct w:val="0"/>
        <w:autoSpaceDE/>
        <w:autoSpaceDN/>
        <w:bidi w:val="0"/>
        <w:adjustRightInd w:val="0"/>
        <w:snapToGrid w:val="0"/>
        <w:spacing w:after="0" w:line="360" w:lineRule="auto"/>
        <w:ind w:left="0" w:leftChars="0" w:firstLine="404" w:firstLineChars="200"/>
        <w:jc w:val="left"/>
        <w:textAlignment w:val="auto"/>
        <w:outlineLvl w:val="0"/>
        <w:rPr>
          <w:rFonts w:hint="eastAsia" w:ascii="微软雅黑" w:hAnsi="微软雅黑" w:eastAsia="微软雅黑" w:cs="Times New Roman"/>
          <w:b w:val="0"/>
          <w:bCs w:val="0"/>
          <w:color w:val="auto"/>
          <w:sz w:val="21"/>
          <w:szCs w:val="21"/>
          <w:highlight w:val="none"/>
          <w:lang w:val="zh-CN" w:eastAsia="zh-CN"/>
        </w:rPr>
      </w:pPr>
      <w:bookmarkStart w:id="609" w:name="_Toc14699"/>
      <w:r>
        <w:rPr>
          <w:rFonts w:hint="eastAsia" w:ascii="微软雅黑" w:hAnsi="微软雅黑" w:eastAsia="微软雅黑" w:cs="Times New Roman"/>
          <w:b w:val="0"/>
          <w:bCs w:val="0"/>
          <w:color w:val="auto"/>
          <w:sz w:val="21"/>
          <w:szCs w:val="21"/>
          <w:highlight w:val="none"/>
          <w:lang w:val="zh-CN" w:eastAsia="zh-CN"/>
        </w:rPr>
        <w:t>为促进基层文化团队的发展，激发基层群众参与公共文化服务的热情，不得以各种理由拒绝乡镇自备节目上台演出，中标单位需要做好必要的配合工作，。</w:t>
      </w:r>
      <w:bookmarkEnd w:id="609"/>
    </w:p>
    <w:p>
      <w:pPr>
        <w:pStyle w:val="6"/>
        <w:keepNext w:val="0"/>
        <w:keepLines w:val="0"/>
        <w:numPr>
          <w:ilvl w:val="0"/>
          <w:numId w:val="23"/>
        </w:numPr>
        <w:spacing w:beforeLines="0" w:after="0"/>
        <w:ind w:left="20" w:leftChars="0" w:firstLineChars="0"/>
        <w:jc w:val="both"/>
        <w:rPr>
          <w:rFonts w:hint="eastAsia" w:ascii="微软雅黑" w:hAnsi="微软雅黑" w:cs="Times New Roman"/>
          <w:color w:val="auto"/>
          <w:szCs w:val="21"/>
          <w:highlight w:val="none"/>
          <w:lang w:eastAsia="zh-CN"/>
        </w:rPr>
      </w:pPr>
      <w:bookmarkStart w:id="610" w:name="_Toc26242"/>
      <w:r>
        <w:rPr>
          <w:rFonts w:hint="eastAsia" w:ascii="微软雅黑" w:hAnsi="微软雅黑" w:cs="Times New Roman"/>
          <w:color w:val="auto"/>
          <w:szCs w:val="21"/>
          <w:highlight w:val="none"/>
          <w:lang w:val="zh-CN" w:eastAsia="zh-CN"/>
        </w:rPr>
        <w:t>项目实施时间及演出地点</w:t>
      </w:r>
      <w:bookmarkEnd w:id="610"/>
    </w:p>
    <w:p>
      <w:pPr>
        <w:pStyle w:val="25"/>
        <w:keepNext w:val="0"/>
        <w:keepLines w:val="0"/>
        <w:pageBreakBefore w:val="0"/>
        <w:widowControl w:val="0"/>
        <w:numPr>
          <w:ilvl w:val="0"/>
          <w:numId w:val="26"/>
        </w:numPr>
        <w:kinsoku/>
        <w:wordWrap/>
        <w:overflowPunct/>
        <w:topLinePunct w:val="0"/>
        <w:autoSpaceDE/>
        <w:autoSpaceDN/>
        <w:bidi w:val="0"/>
        <w:adjustRightInd w:val="0"/>
        <w:snapToGrid w:val="0"/>
        <w:spacing w:after="0" w:line="360" w:lineRule="auto"/>
        <w:ind w:left="0" w:leftChars="0" w:firstLine="404" w:firstLineChars="200"/>
        <w:jc w:val="left"/>
        <w:textAlignment w:val="auto"/>
        <w:outlineLvl w:val="0"/>
        <w:rPr>
          <w:rFonts w:hint="eastAsia" w:ascii="微软雅黑" w:hAnsi="微软雅黑" w:eastAsia="微软雅黑" w:cs="Times New Roman"/>
          <w:b w:val="0"/>
          <w:bCs w:val="0"/>
          <w:color w:val="auto"/>
          <w:sz w:val="21"/>
          <w:szCs w:val="21"/>
          <w:highlight w:val="none"/>
          <w:lang w:eastAsia="zh-CN"/>
        </w:rPr>
      </w:pPr>
      <w:bookmarkStart w:id="611" w:name="_Toc3692"/>
      <w:r>
        <w:rPr>
          <w:rFonts w:hint="eastAsia" w:ascii="微软雅黑" w:hAnsi="微软雅黑" w:eastAsia="微软雅黑" w:cs="Times New Roman"/>
          <w:b w:val="0"/>
          <w:bCs w:val="0"/>
          <w:color w:val="auto"/>
          <w:sz w:val="21"/>
          <w:szCs w:val="21"/>
          <w:highlight w:val="none"/>
          <w:lang w:eastAsia="zh-CN"/>
        </w:rPr>
        <w:t>服务期限：</w:t>
      </w:r>
      <w:r>
        <w:rPr>
          <w:rFonts w:hint="eastAsia" w:ascii="微软雅黑" w:hAnsi="微软雅黑" w:eastAsia="微软雅黑" w:cs="Times New Roman"/>
          <w:b w:val="0"/>
          <w:bCs w:val="0"/>
          <w:color w:val="auto"/>
          <w:sz w:val="21"/>
          <w:szCs w:val="21"/>
          <w:highlight w:val="none"/>
          <w:lang w:val="zh-CN" w:eastAsia="zh-CN"/>
        </w:rPr>
        <w:t>自合同生效之日起一年。</w:t>
      </w:r>
      <w:bookmarkEnd w:id="611"/>
    </w:p>
    <w:p>
      <w:pPr>
        <w:pStyle w:val="25"/>
        <w:keepNext w:val="0"/>
        <w:keepLines w:val="0"/>
        <w:pageBreakBefore w:val="0"/>
        <w:widowControl w:val="0"/>
        <w:numPr>
          <w:ilvl w:val="0"/>
          <w:numId w:val="26"/>
        </w:numPr>
        <w:kinsoku/>
        <w:wordWrap/>
        <w:overflowPunct/>
        <w:topLinePunct w:val="0"/>
        <w:autoSpaceDE/>
        <w:autoSpaceDN/>
        <w:bidi w:val="0"/>
        <w:adjustRightInd w:val="0"/>
        <w:snapToGrid w:val="0"/>
        <w:spacing w:after="0" w:line="360" w:lineRule="auto"/>
        <w:ind w:left="0" w:leftChars="0" w:firstLine="404" w:firstLineChars="200"/>
        <w:jc w:val="left"/>
        <w:textAlignment w:val="auto"/>
        <w:outlineLvl w:val="0"/>
        <w:rPr>
          <w:rFonts w:hint="eastAsia" w:ascii="微软雅黑" w:hAnsi="微软雅黑" w:eastAsia="微软雅黑" w:cs="Times New Roman"/>
          <w:b w:val="0"/>
          <w:bCs w:val="0"/>
          <w:color w:val="auto"/>
          <w:sz w:val="21"/>
          <w:szCs w:val="21"/>
          <w:highlight w:val="none"/>
          <w:lang w:eastAsia="zh-CN"/>
        </w:rPr>
      </w:pPr>
      <w:bookmarkStart w:id="612" w:name="_Toc18060"/>
      <w:r>
        <w:rPr>
          <w:rFonts w:hint="eastAsia" w:ascii="微软雅黑" w:hAnsi="微软雅黑" w:eastAsia="微软雅黑" w:cs="Times New Roman"/>
          <w:b w:val="0"/>
          <w:bCs w:val="0"/>
          <w:color w:val="auto"/>
          <w:sz w:val="21"/>
          <w:szCs w:val="21"/>
          <w:highlight w:val="none"/>
          <w:lang w:eastAsia="zh-CN"/>
        </w:rPr>
        <w:t>演出地点：全区各乡镇（街道）、村（社区）等基层单位。（具体以采购单位出具的《送戏（演出）下乡安排表》为准。</w:t>
      </w:r>
      <w:bookmarkEnd w:id="612"/>
    </w:p>
    <w:p>
      <w:pPr>
        <w:pStyle w:val="6"/>
        <w:keepNext w:val="0"/>
        <w:keepLines w:val="0"/>
        <w:numPr>
          <w:ilvl w:val="0"/>
          <w:numId w:val="23"/>
        </w:numPr>
        <w:spacing w:beforeLines="0" w:after="0"/>
        <w:ind w:left="20" w:leftChars="0" w:firstLineChars="0"/>
        <w:jc w:val="both"/>
        <w:rPr>
          <w:rFonts w:hint="eastAsia" w:ascii="微软雅黑" w:hAnsi="微软雅黑" w:cs="Times New Roman"/>
          <w:color w:val="auto"/>
          <w:szCs w:val="21"/>
          <w:highlight w:val="none"/>
          <w:lang w:val="zh-CN" w:eastAsia="zh-CN"/>
        </w:rPr>
      </w:pPr>
      <w:bookmarkStart w:id="613" w:name="_Toc5698"/>
      <w:r>
        <w:rPr>
          <w:rFonts w:hint="eastAsia" w:ascii="微软雅黑" w:hAnsi="微软雅黑" w:cs="Times New Roman"/>
          <w:color w:val="auto"/>
          <w:szCs w:val="21"/>
          <w:highlight w:val="none"/>
          <w:lang w:val="zh-CN" w:eastAsia="zh-CN"/>
        </w:rPr>
        <w:t>付款方式</w:t>
      </w:r>
      <w:bookmarkEnd w:id="613"/>
    </w:p>
    <w:p>
      <w:pPr>
        <w:pStyle w:val="25"/>
        <w:numPr>
          <w:ilvl w:val="3"/>
          <w:numId w:val="27"/>
        </w:numPr>
        <w:tabs>
          <w:tab w:val="left" w:pos="105"/>
        </w:tabs>
        <w:adjustRightInd w:val="0"/>
        <w:snapToGrid w:val="0"/>
        <w:spacing w:after="0" w:line="360" w:lineRule="auto"/>
        <w:ind w:left="0" w:firstLine="400"/>
        <w:rPr>
          <w:rFonts w:ascii="微软雅黑" w:hAnsi="微软雅黑" w:eastAsia="微软雅黑" w:cs="宋体"/>
          <w:color w:val="auto"/>
          <w:kern w:val="0"/>
          <w:sz w:val="21"/>
          <w:szCs w:val="21"/>
          <w:highlight w:val="none"/>
        </w:rPr>
      </w:pPr>
      <w:r>
        <w:rPr>
          <w:rFonts w:hint="eastAsia" w:ascii="微软雅黑" w:hAnsi="微软雅黑" w:eastAsia="微软雅黑" w:cs="宋体"/>
          <w:color w:val="auto"/>
          <w:kern w:val="0"/>
          <w:sz w:val="21"/>
          <w:szCs w:val="21"/>
          <w:highlight w:val="none"/>
        </w:rPr>
        <w:t>预付款政策告知：</w:t>
      </w:r>
    </w:p>
    <w:p>
      <w:pPr>
        <w:spacing w:after="0" w:line="360" w:lineRule="auto"/>
        <w:ind w:firstLine="478" w:firstLineChars="228"/>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根据《浙江省财政厅关于进一步发挥政府采购政策功能全力推动经济稳进提质的通知》[浙财采监〔2022〕3号]规定：进一步提高政府采购预付款比例。采购单位应当在政府采购合同中约定预付款，对中小企业合同预付款比例原则上不低于合同金额的40%，不高于合同金额的70%；项目分年安排预算的，每年预付款比例不低于项目年底计划支付资金额的40%，不高于年度计划支付资金额的70%；采购项目实施以人工投入为主的，可适当降低预付款比例，但不得低于20%。对供应商为大型企业的项目或者以人工投入为主且实行按月定期结算支付款项的项目，预付款比例可低于上述比例或者不约定预付款。在签订合同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w:t>
      </w:r>
    </w:p>
    <w:p>
      <w:pPr>
        <w:pStyle w:val="25"/>
        <w:numPr>
          <w:ilvl w:val="3"/>
          <w:numId w:val="27"/>
        </w:numPr>
        <w:tabs>
          <w:tab w:val="left" w:pos="105"/>
        </w:tabs>
        <w:adjustRightInd w:val="0"/>
        <w:snapToGrid w:val="0"/>
        <w:spacing w:after="0" w:line="360" w:lineRule="auto"/>
        <w:ind w:left="0" w:firstLine="400"/>
        <w:rPr>
          <w:rFonts w:ascii="微软雅黑" w:hAnsi="微软雅黑" w:eastAsia="微软雅黑" w:cs="宋体"/>
          <w:color w:val="auto"/>
          <w:kern w:val="0"/>
          <w:sz w:val="21"/>
          <w:szCs w:val="21"/>
          <w:highlight w:val="none"/>
        </w:rPr>
      </w:pPr>
      <w:r>
        <w:rPr>
          <w:rFonts w:hint="eastAsia" w:ascii="微软雅黑" w:hAnsi="微软雅黑" w:eastAsia="微软雅黑" w:cs="宋体"/>
          <w:color w:val="auto"/>
          <w:kern w:val="0"/>
          <w:sz w:val="21"/>
          <w:szCs w:val="21"/>
          <w:highlight w:val="none"/>
        </w:rPr>
        <w:t>项目进度款：</w:t>
      </w:r>
    </w:p>
    <w:p>
      <w:pPr>
        <w:pStyle w:val="11"/>
        <w:keepNext w:val="0"/>
        <w:keepLines w:val="0"/>
        <w:numPr>
          <w:ilvl w:val="3"/>
          <w:numId w:val="28"/>
        </w:numPr>
        <w:spacing w:before="0" w:after="0" w:line="360" w:lineRule="auto"/>
        <w:ind w:left="0" w:firstLine="424" w:firstLineChars="202"/>
        <w:rPr>
          <w:rFonts w:ascii="微软雅黑" w:hAnsi="微软雅黑" w:eastAsia="微软雅黑" w:cs="微软雅黑"/>
          <w:b w:val="0"/>
          <w:bCs w:val="0"/>
          <w:color w:val="auto"/>
          <w:sz w:val="21"/>
          <w:szCs w:val="21"/>
          <w:highlight w:val="none"/>
        </w:rPr>
      </w:pPr>
      <w:r>
        <w:rPr>
          <w:rFonts w:hint="eastAsia" w:ascii="微软雅黑" w:hAnsi="微软雅黑" w:eastAsia="微软雅黑" w:cs="微软雅黑"/>
          <w:b w:val="0"/>
          <w:bCs w:val="0"/>
          <w:color w:val="auto"/>
          <w:sz w:val="21"/>
          <w:szCs w:val="21"/>
          <w:highlight w:val="none"/>
        </w:rPr>
        <w:t>自合同签订之日起5日内向中标人支付预付款，为合同金额的</w:t>
      </w:r>
      <w:r>
        <w:rPr>
          <w:rFonts w:ascii="微软雅黑" w:hAnsi="微软雅黑" w:eastAsia="微软雅黑" w:cs="微软雅黑"/>
          <w:b w:val="0"/>
          <w:bCs w:val="0"/>
          <w:color w:val="auto"/>
          <w:sz w:val="21"/>
          <w:szCs w:val="21"/>
          <w:highlight w:val="none"/>
        </w:rPr>
        <w:t>4</w:t>
      </w:r>
      <w:r>
        <w:rPr>
          <w:rFonts w:hint="eastAsia" w:ascii="微软雅黑" w:hAnsi="微软雅黑" w:eastAsia="微软雅黑" w:cs="微软雅黑"/>
          <w:b w:val="0"/>
          <w:bCs w:val="0"/>
          <w:color w:val="auto"/>
          <w:sz w:val="21"/>
          <w:szCs w:val="21"/>
          <w:highlight w:val="none"/>
        </w:rPr>
        <w:t>0%；（采购单位根据项目特点、供应商诚信等因素，可以要求供应商提交银行、保险公司等金融机构出具的预付款保函或其他担保措施，合同签订后七日内，供应商出具履约保证金保险/保函及预付款保险/保函后，采购人向中标人支付预付合同款。中标供应商可通过政采云平台或其他渠道购买保险/保函。可登录政采云平台-金融服务-保险保函模块选购：</w:t>
      </w:r>
      <w:r>
        <w:rPr>
          <w:color w:val="auto"/>
          <w:highlight w:val="none"/>
        </w:rPr>
        <w:fldChar w:fldCharType="begin"/>
      </w:r>
      <w:r>
        <w:rPr>
          <w:color w:val="auto"/>
          <w:highlight w:val="none"/>
        </w:rPr>
        <w:instrText xml:space="preserve"> HYPERLINK "https://jinrong.zcygov.cn/finance-service/" \l "/home，有疑问可咨询政采云金融热线400-903-9583" </w:instrText>
      </w:r>
      <w:r>
        <w:rPr>
          <w:color w:val="auto"/>
          <w:highlight w:val="none"/>
        </w:rPr>
        <w:fldChar w:fldCharType="separate"/>
      </w:r>
      <w:r>
        <w:rPr>
          <w:rFonts w:hint="eastAsia" w:ascii="微软雅黑" w:hAnsi="微软雅黑" w:eastAsia="微软雅黑" w:cs="微软雅黑"/>
          <w:b w:val="0"/>
          <w:bCs w:val="0"/>
          <w:color w:val="auto"/>
          <w:sz w:val="21"/>
          <w:szCs w:val="21"/>
          <w:highlight w:val="none"/>
        </w:rPr>
        <w:t>https://jinrong.zcygov.cn/finance-service/#/letter，有疑问可咨询政采云金融热线400-903-9583</w:t>
      </w:r>
      <w:r>
        <w:rPr>
          <w:rFonts w:hint="eastAsia" w:ascii="微软雅黑" w:hAnsi="微软雅黑" w:eastAsia="微软雅黑" w:cs="微软雅黑"/>
          <w:b w:val="0"/>
          <w:bCs w:val="0"/>
          <w:color w:val="auto"/>
          <w:sz w:val="21"/>
          <w:szCs w:val="21"/>
          <w:highlight w:val="none"/>
        </w:rPr>
        <w:fldChar w:fldCharType="end"/>
      </w:r>
      <w:r>
        <w:rPr>
          <w:rFonts w:hint="eastAsia" w:ascii="微软雅黑" w:hAnsi="微软雅黑" w:eastAsia="微软雅黑" w:cs="微软雅黑"/>
          <w:b w:val="0"/>
          <w:bCs w:val="0"/>
          <w:color w:val="auto"/>
          <w:sz w:val="21"/>
          <w:szCs w:val="21"/>
          <w:highlight w:val="none"/>
        </w:rPr>
        <w:t>，供应商明确表示无需预付款或者主动要求降低预付款比例的，采购单位可不适用前述规定。）</w:t>
      </w:r>
    </w:p>
    <w:bookmarkEnd w:id="578"/>
    <w:p>
      <w:pPr>
        <w:pStyle w:val="11"/>
        <w:keepNext w:val="0"/>
        <w:keepLines w:val="0"/>
        <w:numPr>
          <w:ilvl w:val="3"/>
          <w:numId w:val="28"/>
        </w:numPr>
        <w:spacing w:before="0" w:after="0" w:line="360" w:lineRule="auto"/>
        <w:ind w:left="0" w:firstLine="424" w:firstLineChars="202"/>
        <w:rPr>
          <w:rFonts w:hint="eastAsia" w:ascii="微软雅黑" w:hAnsi="微软雅黑" w:eastAsia="微软雅黑" w:cs="微软雅黑"/>
          <w:b w:val="0"/>
          <w:bCs w:val="0"/>
          <w:color w:val="auto"/>
          <w:sz w:val="21"/>
          <w:szCs w:val="21"/>
          <w:highlight w:val="none"/>
        </w:rPr>
      </w:pPr>
      <w:bookmarkStart w:id="614" w:name="_Toc17041"/>
      <w:r>
        <w:rPr>
          <w:rFonts w:hint="eastAsia" w:ascii="微软雅黑" w:hAnsi="微软雅黑" w:eastAsia="微软雅黑" w:cs="微软雅黑"/>
          <w:b w:val="0"/>
          <w:bCs w:val="0"/>
          <w:color w:val="auto"/>
          <w:sz w:val="21"/>
          <w:szCs w:val="21"/>
          <w:highlight w:val="none"/>
          <w:lang w:eastAsia="zh-CN"/>
        </w:rPr>
        <w:t>各标段按实际发生额结算，最高不超过预算金额，采购单位</w:t>
      </w:r>
      <w:r>
        <w:rPr>
          <w:rFonts w:hint="eastAsia" w:ascii="微软雅黑" w:hAnsi="微软雅黑" w:eastAsia="微软雅黑" w:cs="微软雅黑"/>
          <w:b w:val="0"/>
          <w:bCs w:val="0"/>
          <w:color w:val="auto"/>
          <w:sz w:val="21"/>
          <w:szCs w:val="21"/>
          <w:highlight w:val="none"/>
        </w:rPr>
        <w:t>分四次支付演出单位的演出服务费。演出单位须向</w:t>
      </w:r>
      <w:r>
        <w:rPr>
          <w:rFonts w:hint="eastAsia" w:ascii="微软雅黑" w:hAnsi="微软雅黑" w:eastAsia="微软雅黑" w:cs="微软雅黑"/>
          <w:b w:val="0"/>
          <w:bCs w:val="0"/>
          <w:color w:val="auto"/>
          <w:sz w:val="21"/>
          <w:szCs w:val="21"/>
          <w:highlight w:val="none"/>
          <w:lang w:eastAsia="zh-CN"/>
        </w:rPr>
        <w:t>采购单位</w:t>
      </w:r>
      <w:r>
        <w:rPr>
          <w:rFonts w:hint="eastAsia" w:ascii="微软雅黑" w:hAnsi="微软雅黑" w:eastAsia="微软雅黑" w:cs="微软雅黑"/>
          <w:b w:val="0"/>
          <w:bCs w:val="0"/>
          <w:color w:val="auto"/>
          <w:sz w:val="21"/>
          <w:szCs w:val="21"/>
          <w:highlight w:val="none"/>
        </w:rPr>
        <w:t>提交</w:t>
      </w:r>
      <w:r>
        <w:rPr>
          <w:rFonts w:hint="eastAsia" w:ascii="微软雅黑" w:hAnsi="微软雅黑" w:eastAsia="微软雅黑" w:cs="微软雅黑"/>
          <w:b w:val="0"/>
          <w:bCs w:val="0"/>
          <w:color w:val="auto"/>
          <w:sz w:val="21"/>
          <w:szCs w:val="21"/>
          <w:highlight w:val="none"/>
          <w:lang w:val="zh-CN"/>
        </w:rPr>
        <w:t>实际完成演出场次的</w:t>
      </w:r>
      <w:r>
        <w:rPr>
          <w:rFonts w:hint="eastAsia" w:ascii="微软雅黑" w:hAnsi="微软雅黑" w:eastAsia="微软雅黑" w:cs="微软雅黑"/>
          <w:b w:val="0"/>
          <w:bCs w:val="0"/>
          <w:color w:val="auto"/>
          <w:sz w:val="21"/>
          <w:szCs w:val="21"/>
          <w:highlight w:val="none"/>
        </w:rPr>
        <w:t>演出</w:t>
      </w:r>
      <w:r>
        <w:rPr>
          <w:rFonts w:hint="eastAsia" w:ascii="微软雅黑" w:hAnsi="微软雅黑" w:eastAsia="微软雅黑" w:cs="微软雅黑"/>
          <w:b w:val="0"/>
          <w:bCs w:val="0"/>
          <w:color w:val="auto"/>
          <w:sz w:val="21"/>
          <w:szCs w:val="21"/>
          <w:highlight w:val="none"/>
          <w:lang w:val="zh-CN"/>
        </w:rPr>
        <w:t>评价反馈表、演出现场照片、演出明细表，并按照中标单价开具实际完成场次的</w:t>
      </w:r>
      <w:r>
        <w:rPr>
          <w:rFonts w:hint="eastAsia" w:ascii="微软雅黑" w:hAnsi="微软雅黑" w:eastAsia="微软雅黑" w:cs="微软雅黑"/>
          <w:b w:val="0"/>
          <w:bCs w:val="0"/>
          <w:color w:val="auto"/>
          <w:sz w:val="21"/>
          <w:szCs w:val="21"/>
          <w:highlight w:val="none"/>
        </w:rPr>
        <w:t>正规发票</w:t>
      </w:r>
      <w:r>
        <w:rPr>
          <w:rFonts w:hint="eastAsia" w:ascii="微软雅黑" w:hAnsi="微软雅黑" w:eastAsia="微软雅黑" w:cs="微软雅黑"/>
          <w:b w:val="0"/>
          <w:bCs w:val="0"/>
          <w:color w:val="auto"/>
          <w:sz w:val="21"/>
          <w:szCs w:val="21"/>
          <w:highlight w:val="none"/>
          <w:lang w:val="zh-CN"/>
        </w:rPr>
        <w:t>。</w:t>
      </w:r>
      <w:r>
        <w:rPr>
          <w:rFonts w:hint="eastAsia" w:ascii="微软雅黑" w:hAnsi="微软雅黑" w:eastAsia="微软雅黑" w:cs="微软雅黑"/>
          <w:b w:val="0"/>
          <w:bCs w:val="0"/>
          <w:color w:val="auto"/>
          <w:sz w:val="21"/>
          <w:szCs w:val="21"/>
          <w:highlight w:val="none"/>
        </w:rPr>
        <w:t>前三次于每个季度结束后的第一周进行演出服务费的结算，原则上要求9月份之前完成全部演出任务的80%，11月15日前完成所有演出任务并完成演出服务费的结算。演出时间为国家法定节假日的、因天气及不可抗力等原因顺延的不再按国家法定节假日标准补贴。</w:t>
      </w:r>
    </w:p>
    <w:p>
      <w:pPr>
        <w:pStyle w:val="6"/>
        <w:spacing w:before="360"/>
        <w:jc w:val="center"/>
        <w:outlineLvl w:val="9"/>
        <w:rPr>
          <w:rFonts w:hint="eastAsia" w:ascii="微软雅黑" w:hAnsi="微软雅黑" w:cs="微软雅黑"/>
          <w:color w:val="auto"/>
          <w:szCs w:val="21"/>
          <w:highlight w:val="none"/>
        </w:rPr>
        <w:sectPr>
          <w:footerReference r:id="rId17" w:type="default"/>
          <w:pgSz w:w="11906" w:h="16838"/>
          <w:pgMar w:top="1440" w:right="1559" w:bottom="1440" w:left="1797" w:header="851" w:footer="851" w:gutter="0"/>
          <w:cols w:space="720" w:num="1"/>
          <w:docGrid w:linePitch="312" w:charSpace="0"/>
        </w:sectPr>
      </w:pPr>
    </w:p>
    <w:p>
      <w:pPr>
        <w:pStyle w:val="6"/>
        <w:spacing w:before="360"/>
        <w:jc w:val="center"/>
        <w:rPr>
          <w:rFonts w:ascii="微软雅黑" w:hAnsi="微软雅黑" w:cs="微软雅黑"/>
          <w:color w:val="auto"/>
          <w:szCs w:val="21"/>
          <w:highlight w:val="none"/>
        </w:rPr>
      </w:pPr>
      <w:bookmarkStart w:id="615" w:name="_Toc26575"/>
      <w:r>
        <w:rPr>
          <w:rFonts w:hint="eastAsia" w:ascii="微软雅黑" w:hAnsi="微软雅黑" w:cs="微软雅黑"/>
          <w:color w:val="auto"/>
          <w:szCs w:val="21"/>
          <w:highlight w:val="none"/>
        </w:rPr>
        <w:t>第四章  嘉兴市政府采购合同（指引）</w:t>
      </w:r>
      <w:bookmarkEnd w:id="579"/>
      <w:bookmarkEnd w:id="580"/>
      <w:bookmarkEnd w:id="614"/>
      <w:bookmarkEnd w:id="615"/>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b/>
          <w:color w:val="auto"/>
          <w:kern w:val="0"/>
          <w:szCs w:val="21"/>
          <w:highlight w:val="none"/>
        </w:rPr>
        <w:t>招标编号：</w:t>
      </w:r>
      <w:r>
        <w:rPr>
          <w:rFonts w:hint="eastAsia" w:ascii="微软雅黑" w:hAnsi="微软雅黑" w:eastAsia="微软雅黑" w:cs="微软雅黑"/>
          <w:color w:val="auto"/>
          <w:kern w:val="0"/>
          <w:szCs w:val="21"/>
          <w:highlight w:val="none"/>
        </w:rPr>
        <w:t>千秋-JXQQJC(202</w:t>
      </w:r>
      <w:r>
        <w:rPr>
          <w:rFonts w:hint="eastAsia" w:ascii="微软雅黑" w:hAnsi="微软雅黑" w:eastAsia="微软雅黑" w:cs="微软雅黑"/>
          <w:color w:val="auto"/>
          <w:kern w:val="0"/>
          <w:szCs w:val="21"/>
          <w:highlight w:val="none"/>
          <w:lang w:val="en-US" w:eastAsia="zh-CN"/>
        </w:rPr>
        <w:t>3</w:t>
      </w:r>
      <w:r>
        <w:rPr>
          <w:rFonts w:hint="eastAsia" w:ascii="微软雅黑" w:hAnsi="微软雅黑" w:eastAsia="微软雅黑" w:cs="微软雅黑"/>
          <w:color w:val="auto"/>
          <w:kern w:val="0"/>
          <w:szCs w:val="21"/>
          <w:highlight w:val="none"/>
        </w:rPr>
        <w:t>）第  号</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b/>
          <w:color w:val="auto"/>
          <w:kern w:val="0"/>
          <w:szCs w:val="21"/>
          <w:highlight w:val="none"/>
        </w:rPr>
        <w:t>合同编号：</w:t>
      </w:r>
      <w:r>
        <w:rPr>
          <w:rFonts w:hint="eastAsia" w:ascii="微软雅黑" w:hAnsi="微软雅黑" w:eastAsia="微软雅黑" w:cs="微软雅黑"/>
          <w:color w:val="auto"/>
          <w:kern w:val="0"/>
          <w:szCs w:val="21"/>
          <w:highlight w:val="none"/>
        </w:rPr>
        <w:t>千秋-JXQQJC(202</w:t>
      </w:r>
      <w:r>
        <w:rPr>
          <w:rFonts w:hint="eastAsia" w:ascii="微软雅黑" w:hAnsi="微软雅黑" w:eastAsia="微软雅黑" w:cs="微软雅黑"/>
          <w:color w:val="auto"/>
          <w:kern w:val="0"/>
          <w:szCs w:val="21"/>
          <w:highlight w:val="none"/>
          <w:lang w:val="en-US" w:eastAsia="zh-CN"/>
        </w:rPr>
        <w:t>3</w:t>
      </w:r>
      <w:r>
        <w:rPr>
          <w:rFonts w:hint="eastAsia" w:ascii="微软雅黑" w:hAnsi="微软雅黑" w:eastAsia="微软雅黑" w:cs="微软雅黑"/>
          <w:color w:val="auto"/>
          <w:kern w:val="0"/>
          <w:szCs w:val="21"/>
          <w:highlight w:val="none"/>
        </w:rPr>
        <w:t>）第  号</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jc w:val="left"/>
        <w:rPr>
          <w:rFonts w:ascii="微软雅黑" w:hAnsi="微软雅黑" w:eastAsia="微软雅黑" w:cs="微软雅黑"/>
          <w:b/>
          <w:color w:val="auto"/>
          <w:kern w:val="0"/>
          <w:szCs w:val="21"/>
          <w:highlight w:val="none"/>
        </w:rPr>
      </w:pPr>
      <w:r>
        <w:rPr>
          <w:rFonts w:hint="eastAsia" w:ascii="微软雅黑" w:hAnsi="微软雅黑" w:eastAsia="微软雅黑" w:cs="微软雅黑"/>
          <w:b/>
          <w:color w:val="auto"/>
          <w:kern w:val="0"/>
          <w:szCs w:val="21"/>
          <w:highlight w:val="none"/>
        </w:rPr>
        <w:t>政府采购计划（预算）确认书号：</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jc w:val="left"/>
        <w:rPr>
          <w:rFonts w:ascii="微软雅黑" w:hAnsi="微软雅黑" w:eastAsia="微软雅黑" w:cs="微软雅黑"/>
          <w:b/>
          <w:color w:val="auto"/>
          <w:kern w:val="0"/>
          <w:szCs w:val="21"/>
          <w:highlight w:val="none"/>
        </w:rPr>
      </w:pPr>
      <w:r>
        <w:rPr>
          <w:rFonts w:hint="eastAsia" w:ascii="微软雅黑" w:hAnsi="微软雅黑" w:eastAsia="微软雅黑" w:cs="微软雅黑"/>
          <w:b/>
          <w:color w:val="auto"/>
          <w:kern w:val="0"/>
          <w:szCs w:val="21"/>
          <w:highlight w:val="none"/>
        </w:rPr>
        <w:t>采购人（以下称甲方）：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jc w:val="left"/>
        <w:rPr>
          <w:rFonts w:ascii="微软雅黑" w:hAnsi="微软雅黑" w:eastAsia="微软雅黑" w:cs="微软雅黑"/>
          <w:b/>
          <w:color w:val="auto"/>
          <w:kern w:val="0"/>
          <w:szCs w:val="21"/>
          <w:highlight w:val="none"/>
        </w:rPr>
      </w:pPr>
      <w:r>
        <w:rPr>
          <w:rFonts w:hint="eastAsia" w:ascii="微软雅黑" w:hAnsi="微软雅黑" w:eastAsia="微软雅黑" w:cs="微软雅黑"/>
          <w:b/>
          <w:color w:val="auto"/>
          <w:kern w:val="0"/>
          <w:szCs w:val="21"/>
          <w:highlight w:val="none"/>
        </w:rPr>
        <w:t>供应商（以下称乙方）：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b/>
          <w:color w:val="auto"/>
          <w:kern w:val="0"/>
          <w:szCs w:val="21"/>
          <w:highlight w:val="none"/>
        </w:rPr>
        <w:t>采购代理机构：</w:t>
      </w:r>
      <w:r>
        <w:rPr>
          <w:rFonts w:hint="eastAsia" w:ascii="微软雅黑" w:hAnsi="微软雅黑" w:eastAsia="微软雅黑" w:cs="微软雅黑"/>
          <w:color w:val="auto"/>
          <w:kern w:val="0"/>
          <w:szCs w:val="21"/>
          <w:highlight w:val="none"/>
        </w:rPr>
        <w:t>嘉兴市千秋工程咨询有限公司</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b/>
          <w:color w:val="auto"/>
          <w:kern w:val="0"/>
          <w:szCs w:val="21"/>
          <w:highlight w:val="none"/>
        </w:rPr>
        <w:t>采购方式：</w:t>
      </w:r>
      <w:r>
        <w:rPr>
          <w:rFonts w:hint="eastAsia" w:ascii="微软雅黑" w:hAnsi="微软雅黑" w:eastAsia="微软雅黑" w:cs="微软雅黑"/>
          <w:color w:val="auto"/>
          <w:kern w:val="0"/>
          <w:szCs w:val="21"/>
          <w:highlight w:val="none"/>
        </w:rPr>
        <w:t>竞争性磋商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420" w:firstLineChars="200"/>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根据《中华人民共和国政府采购法》、《中华人民共和国民法典》等法律法规的规定，甲乙双方按照采购结果签订本合同。</w:t>
      </w:r>
    </w:p>
    <w:bookmarkEnd w:id="581"/>
    <w:bookmarkEnd w:id="582"/>
    <w:p>
      <w:pPr>
        <w:shd w:val="clear" w:color="auto" w:fill="FFFFFF"/>
        <w:tabs>
          <w:tab w:val="left" w:pos="916"/>
          <w:tab w:val="left" w:pos="1832"/>
          <w:tab w:val="left" w:pos="2748"/>
        </w:tabs>
        <w:spacing w:after="0" w:line="500" w:lineRule="exact"/>
        <w:ind w:firstLine="420" w:firstLineChars="200"/>
        <w:jc w:val="left"/>
        <w:rPr>
          <w:rFonts w:ascii="微软雅黑" w:hAnsi="微软雅黑" w:eastAsia="微软雅黑" w:cs="微软雅黑"/>
          <w:b/>
          <w:color w:val="auto"/>
          <w:szCs w:val="21"/>
          <w:highlight w:val="none"/>
        </w:rPr>
      </w:pPr>
      <w:bookmarkStart w:id="616" w:name="_Toc296611791"/>
      <w:bookmarkStart w:id="617" w:name="_Toc493699337"/>
      <w:bookmarkStart w:id="618" w:name="_Toc192313125"/>
      <w:bookmarkStart w:id="619" w:name="_Toc170792802"/>
      <w:r>
        <w:rPr>
          <w:rFonts w:hint="eastAsia" w:ascii="微软雅黑" w:hAnsi="微软雅黑" w:eastAsia="微软雅黑" w:cs="微软雅黑"/>
          <w:b/>
          <w:color w:val="auto"/>
          <w:szCs w:val="21"/>
          <w:highlight w:val="none"/>
        </w:rPr>
        <w:t>第一条 合同组成</w:t>
      </w:r>
      <w:r>
        <w:rPr>
          <w:rFonts w:hint="eastAsia" w:ascii="微软雅黑" w:hAnsi="微软雅黑" w:eastAsia="微软雅黑" w:cs="微软雅黑"/>
          <w:b/>
          <w:color w:val="auto"/>
          <w:szCs w:val="21"/>
          <w:highlight w:val="none"/>
        </w:rPr>
        <w:tab/>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本次政府采购活动的相关文件为本合同的组成部分，这些文件包括但不限于：</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1、本合同文本；</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2、采购文件与采购响应文件；</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3、中标或成交通知书；</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组成本合同的所有文件必须为书面形式。</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第二条 合同标的与相关属性</w:t>
      </w:r>
    </w:p>
    <w:p>
      <w:pPr>
        <w:snapToGrid w:val="0"/>
        <w:spacing w:after="0" w:line="500" w:lineRule="exact"/>
        <w:ind w:firstLine="525" w:firstLineChars="25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1、本次采购的是</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2、乙方是否属于中小微企业：□是□否</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3、本合同项下产品属于（可多选）：□环保产品；□节能产品；□进口产品</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第三条 合同价款</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1、本合同项下总价款为（大写）人民币，分项价款见“价格清单”（如有）”。</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2、本合同总价款含所有税费(包括货款、标准附件、备品备件、专用工具、包装、运输、装卸、保险、税金、货到就位以及安装、调试、培训、保修等一切税金和费用。)</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3、本合同付款方式为以下第项：</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（1）本合同项下的采购资金系甲方自行支付，付款程序为；</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（2）本合同项下的采购资金须财政直接支付，付款程序为；</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（3）其他方式：</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4、本合同项下的采购资金付款进度按招竞争性磋商响应文件规定，未规定时按以下第项支付：</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（1）一次性付款：乙方合同履行达到（条件）时，一次性付款；</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（2）分期付款时支付；时支付；时支付；</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若收取了履约保证金，则不应重复设置尾款支付条件。</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第四条 履约保证金</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按以下第项处理：</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本项目设置履约保证金，乙方必须在本合同签订后向甲方缴纳合同总价X%（共计XXXX元）的履约保证金，可优先以银行、保险公司、担保机构等金融机构出具的保函、保险等形式提交，也可以电汇、银行汇票、转账支票等形式提交。</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2、本项目不设置履约保证金</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第五条 金融支持</w:t>
      </w:r>
    </w:p>
    <w:p>
      <w:pPr>
        <w:spacing w:line="500" w:lineRule="exact"/>
        <w:ind w:firstLine="42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支持和促进中小企业发展，进一步发挥政府采购政策功能，浙江省财政厅出台浙财采监〔2022〕3号文件，企业若有融资意向，可通过政采云平台或其他渠道进行咨询。</w:t>
      </w:r>
    </w:p>
    <w:p>
      <w:pPr>
        <w:spacing w:line="500" w:lineRule="exact"/>
        <w:ind w:firstLine="42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政采云平台融资服务（https://jinrong.zcygov.cn/finance-service/#/home)，可查看相应融资政策文件及各相关银行服务方案。</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第六条 合同的变更和终止</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除《政府采购法》第49条、第50条第二款规定的情形外，本合同一经签订，甲乙双方不得擅自终止合同或对合同实质性条款进行变更。确有特殊情况的，须经同级财政部门备案同意。</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第七条 合同的转让与分包</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乙方不得擅自部分或全部转让其应履行的合同义务。乙方分包的，应经过甲方书面同意。</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第八条 争议的解决</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1、因履行本合同引起的或与本合同有关的争议，甲、乙双方应首先通过友好协商解决，如果协商不能解决争议，则采取以下第种方式解决争议：</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（1）向甲方所在地有管辖权的人民法院提起诉讼；</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（2）向仲裁委员申请仲裁。</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第九条 合同备案及其他</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本合同一式五份，甲乙双方各执二份，一份送招标代理机构存档。</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center"/>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二、特殊专用条款部份</w:t>
      </w:r>
    </w:p>
    <w:p>
      <w:pPr>
        <w:numPr>
          <w:ilvl w:val="0"/>
          <w:numId w:val="29"/>
        </w:numPr>
        <w:autoSpaceDE w:val="0"/>
        <w:autoSpaceDN w:val="0"/>
        <w:adjustRightInd w:val="0"/>
        <w:spacing w:after="0" w:line="500" w:lineRule="exact"/>
        <w:ind w:left="0" w:firstLine="426"/>
        <w:rPr>
          <w:rFonts w:ascii="微软雅黑" w:hAnsi="微软雅黑" w:eastAsia="微软雅黑" w:cs="微软雅黑"/>
          <w:b/>
          <w:color w:val="auto"/>
          <w:kern w:val="36"/>
          <w:szCs w:val="21"/>
          <w:highlight w:val="none"/>
        </w:rPr>
      </w:pPr>
      <w:r>
        <w:rPr>
          <w:rFonts w:hint="eastAsia" w:ascii="微软雅黑" w:hAnsi="微软雅黑" w:eastAsia="微软雅黑" w:cs="微软雅黑"/>
          <w:b/>
          <w:color w:val="auto"/>
          <w:kern w:val="36"/>
          <w:szCs w:val="21"/>
          <w:highlight w:val="none"/>
        </w:rPr>
        <w:t>服务内容</w:t>
      </w:r>
    </w:p>
    <w:p>
      <w:pPr>
        <w:autoSpaceDE w:val="0"/>
        <w:autoSpaceDN w:val="0"/>
        <w:adjustRightInd w:val="0"/>
        <w:spacing w:after="0" w:line="500" w:lineRule="exact"/>
        <w:rPr>
          <w:rFonts w:ascii="微软雅黑" w:hAnsi="微软雅黑" w:eastAsia="微软雅黑" w:cs="微软雅黑"/>
          <w:b/>
          <w:color w:val="auto"/>
          <w:kern w:val="36"/>
          <w:szCs w:val="21"/>
          <w:highlight w:val="none"/>
        </w:rPr>
      </w:pPr>
      <w:r>
        <w:rPr>
          <w:rFonts w:hint="eastAsia" w:ascii="微软雅黑" w:hAnsi="微软雅黑" w:eastAsia="微软雅黑" w:cs="微软雅黑"/>
          <w:b/>
          <w:color w:val="auto"/>
          <w:kern w:val="36"/>
          <w:szCs w:val="21"/>
          <w:highlight w:val="none"/>
        </w:rPr>
        <w:t>……</w:t>
      </w:r>
    </w:p>
    <w:p>
      <w:pPr>
        <w:pStyle w:val="34"/>
        <w:snapToGrid w:val="0"/>
        <w:spacing w:after="0" w:line="500" w:lineRule="exact"/>
        <w:ind w:firstLine="412" w:firstLineChars="196"/>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第二条 合同履行时间、履行方式及履行地点</w:t>
      </w:r>
    </w:p>
    <w:p>
      <w:pPr>
        <w:pStyle w:val="34"/>
        <w:snapToGrid w:val="0"/>
        <w:spacing w:after="0" w:line="500" w:lineRule="exact"/>
        <w:ind w:firstLine="411" w:firstLineChars="196"/>
        <w:rPr>
          <w:rFonts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1、</w:t>
      </w:r>
      <w:r>
        <w:rPr>
          <w:rFonts w:hint="eastAsia" w:ascii="微软雅黑" w:hAnsi="微软雅黑" w:eastAsia="微软雅黑" w:cs="微软雅黑"/>
          <w:color w:val="auto"/>
          <w:szCs w:val="21"/>
          <w:highlight w:val="none"/>
        </w:rPr>
        <w:t>履行时间</w:t>
      </w:r>
      <w:r>
        <w:rPr>
          <w:rFonts w:hint="eastAsia" w:ascii="微软雅黑" w:hAnsi="微软雅黑" w:eastAsia="微软雅黑" w:cs="微软雅黑"/>
          <w:bCs/>
          <w:color w:val="auto"/>
          <w:szCs w:val="21"/>
          <w:highlight w:val="none"/>
        </w:rPr>
        <w:t>：</w:t>
      </w:r>
    </w:p>
    <w:p>
      <w:pPr>
        <w:pStyle w:val="34"/>
        <w:snapToGrid w:val="0"/>
        <w:spacing w:after="0" w:line="500" w:lineRule="exact"/>
        <w:ind w:firstLine="411" w:firstLineChars="196"/>
        <w:rPr>
          <w:rFonts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2、</w:t>
      </w:r>
      <w:r>
        <w:rPr>
          <w:rFonts w:hint="eastAsia" w:ascii="微软雅黑" w:hAnsi="微软雅黑" w:eastAsia="微软雅黑" w:cs="微软雅黑"/>
          <w:color w:val="auto"/>
          <w:szCs w:val="21"/>
          <w:highlight w:val="none"/>
        </w:rPr>
        <w:t>履行方式</w:t>
      </w:r>
      <w:r>
        <w:rPr>
          <w:rFonts w:hint="eastAsia" w:ascii="微软雅黑" w:hAnsi="微软雅黑" w:eastAsia="微软雅黑" w:cs="微软雅黑"/>
          <w:bCs/>
          <w:color w:val="auto"/>
          <w:szCs w:val="21"/>
          <w:highlight w:val="none"/>
        </w:rPr>
        <w:t>：</w:t>
      </w:r>
    </w:p>
    <w:p>
      <w:pPr>
        <w:pStyle w:val="34"/>
        <w:snapToGrid w:val="0"/>
        <w:spacing w:after="0" w:line="500" w:lineRule="exact"/>
        <w:ind w:firstLine="420" w:firstLineChars="200"/>
        <w:rPr>
          <w:rFonts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3、</w:t>
      </w:r>
      <w:r>
        <w:rPr>
          <w:rFonts w:hint="eastAsia" w:ascii="微软雅黑" w:hAnsi="微软雅黑" w:eastAsia="微软雅黑" w:cs="微软雅黑"/>
          <w:color w:val="auto"/>
          <w:szCs w:val="21"/>
          <w:highlight w:val="none"/>
        </w:rPr>
        <w:t>履行地点</w:t>
      </w:r>
      <w:r>
        <w:rPr>
          <w:rFonts w:hint="eastAsia" w:ascii="微软雅黑" w:hAnsi="微软雅黑" w:eastAsia="微软雅黑" w:cs="微软雅黑"/>
          <w:bCs/>
          <w:color w:val="auto"/>
          <w:szCs w:val="21"/>
          <w:highlight w:val="none"/>
        </w:rPr>
        <w:t>：</w:t>
      </w:r>
    </w:p>
    <w:p>
      <w:pPr>
        <w:pStyle w:val="34"/>
        <w:snapToGrid w:val="0"/>
        <w:spacing w:after="0" w:line="500" w:lineRule="exact"/>
        <w:ind w:firstLine="420" w:firstLineChars="200"/>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第三条 技术资料</w:t>
      </w:r>
    </w:p>
    <w:p>
      <w:pPr>
        <w:pStyle w:val="34"/>
        <w:snapToGrid w:val="0"/>
        <w:spacing w:after="0" w:line="50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1、乙方应按竞争性磋商文件规定的时间向甲方提供有关技术资料。</w:t>
      </w:r>
    </w:p>
    <w:p>
      <w:pPr>
        <w:pStyle w:val="34"/>
        <w:snapToGrid w:val="0"/>
        <w:spacing w:after="0" w:line="50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34"/>
        <w:snapToGrid w:val="0"/>
        <w:spacing w:after="0" w:line="500" w:lineRule="exact"/>
        <w:ind w:firstLine="420" w:firstLineChars="200"/>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第四条 知识产权</w:t>
      </w:r>
    </w:p>
    <w:p>
      <w:pPr>
        <w:pStyle w:val="34"/>
        <w:snapToGrid w:val="0"/>
        <w:spacing w:after="0" w:line="500" w:lineRule="exact"/>
        <w:ind w:firstLine="420" w:firstLineChars="200"/>
        <w:rPr>
          <w:rFonts w:ascii="微软雅黑" w:hAnsi="微软雅黑" w:eastAsia="微软雅黑" w:cs="微软雅黑"/>
          <w:b/>
          <w:bCs/>
          <w:color w:val="auto"/>
          <w:szCs w:val="21"/>
          <w:highlight w:val="none"/>
        </w:rPr>
      </w:pPr>
      <w:r>
        <w:rPr>
          <w:rFonts w:hint="eastAsia" w:ascii="微软雅黑" w:hAnsi="微软雅黑" w:eastAsia="微软雅黑" w:cs="微软雅黑"/>
          <w:color w:val="auto"/>
          <w:szCs w:val="21"/>
          <w:highlight w:val="none"/>
        </w:rPr>
        <w:t>乙方应保证提供服务过程中不会侵犯任何第三方的</w:t>
      </w:r>
      <w:r>
        <w:rPr>
          <w:rFonts w:hint="eastAsia" w:ascii="微软雅黑" w:hAnsi="微软雅黑" w:eastAsia="微软雅黑" w:cs="微软雅黑"/>
          <w:b/>
          <w:color w:val="auto"/>
          <w:szCs w:val="21"/>
          <w:highlight w:val="none"/>
        </w:rPr>
        <w:t>知识产权</w:t>
      </w:r>
      <w:r>
        <w:rPr>
          <w:rFonts w:hint="eastAsia" w:ascii="微软雅黑" w:hAnsi="微软雅黑" w:eastAsia="微软雅黑" w:cs="微软雅黑"/>
          <w:b/>
          <w:bCs/>
          <w:color w:val="auto"/>
          <w:szCs w:val="21"/>
          <w:highlight w:val="none"/>
        </w:rPr>
        <w:t>。</w:t>
      </w:r>
    </w:p>
    <w:p>
      <w:pPr>
        <w:pStyle w:val="34"/>
        <w:snapToGrid w:val="0"/>
        <w:spacing w:after="0" w:line="500" w:lineRule="exact"/>
        <w:ind w:firstLine="420" w:firstLineChars="200"/>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第五条 履约保证金</w:t>
      </w:r>
    </w:p>
    <w:p>
      <w:pPr>
        <w:pStyle w:val="34"/>
        <w:snapToGrid w:val="0"/>
        <w:spacing w:after="0" w:line="50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乙方交纳人民币△元作为本合同的履约保证金。</w:t>
      </w:r>
    </w:p>
    <w:p>
      <w:pPr>
        <w:snapToGrid w:val="0"/>
        <w:spacing w:after="0" w:line="500" w:lineRule="exact"/>
        <w:ind w:firstLine="412" w:firstLineChars="196"/>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第六条 税费</w:t>
      </w:r>
    </w:p>
    <w:p>
      <w:pPr>
        <w:snapToGrid w:val="0"/>
        <w:spacing w:after="0" w:line="500" w:lineRule="exact"/>
        <w:ind w:firstLine="411" w:firstLineChars="196"/>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本合同执行中相关的一切税费均由乙方负担。</w:t>
      </w:r>
    </w:p>
    <w:p>
      <w:pPr>
        <w:pStyle w:val="34"/>
        <w:snapToGrid w:val="0"/>
        <w:spacing w:after="0" w:line="500" w:lineRule="exact"/>
        <w:ind w:firstLine="412" w:firstLineChars="196"/>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第七条 违约责任</w:t>
      </w:r>
    </w:p>
    <w:p>
      <w:pPr>
        <w:pStyle w:val="34"/>
        <w:snapToGrid w:val="0"/>
        <w:spacing w:after="0" w:line="50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w:t>
      </w:r>
    </w:p>
    <w:p>
      <w:pPr>
        <w:pStyle w:val="34"/>
        <w:snapToGrid w:val="0"/>
        <w:spacing w:after="0" w:line="500" w:lineRule="exact"/>
        <w:ind w:firstLine="412" w:firstLineChars="196"/>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第八条 不可抗力事件处理</w:t>
      </w:r>
    </w:p>
    <w:p>
      <w:pPr>
        <w:pStyle w:val="34"/>
        <w:snapToGrid w:val="0"/>
        <w:spacing w:after="0" w:line="50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1、在合同有效期内，任何一方因不可抗力事件导致不能履行合同，则合同履行期可延长，其延长期与不可抗力影响期相同。</w:t>
      </w:r>
    </w:p>
    <w:p>
      <w:pPr>
        <w:pStyle w:val="34"/>
        <w:snapToGrid w:val="0"/>
        <w:spacing w:after="0" w:line="50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2、不可抗力事件发生后，应立即通知对方，并寄送有关权威机构出具的证明。</w:t>
      </w:r>
    </w:p>
    <w:p>
      <w:pPr>
        <w:pStyle w:val="34"/>
        <w:snapToGrid w:val="0"/>
        <w:spacing w:after="0" w:line="50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3、不可抗力事件延续120天以上，双方应通过友好协商，确定是否继续履行合同。</w:t>
      </w:r>
    </w:p>
    <w:p>
      <w:pPr>
        <w:pStyle w:val="34"/>
        <w:snapToGrid w:val="0"/>
        <w:spacing w:after="0" w:line="500" w:lineRule="exact"/>
        <w:ind w:firstLine="420" w:firstLineChars="200"/>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第九条 诉讼</w:t>
      </w:r>
    </w:p>
    <w:p>
      <w:pPr>
        <w:pStyle w:val="34"/>
        <w:snapToGrid w:val="0"/>
        <w:spacing w:after="0" w:line="50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双方在执行合同中所发生的一切争议，应通过协商解决。如协商不成，可向甲方所在地法院起诉。</w:t>
      </w:r>
    </w:p>
    <w:p>
      <w:pPr>
        <w:pStyle w:val="34"/>
        <w:snapToGrid w:val="0"/>
        <w:spacing w:after="0" w:line="500" w:lineRule="exact"/>
        <w:ind w:firstLine="420" w:firstLineChars="200"/>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第十条 合同生效及其它</w:t>
      </w:r>
    </w:p>
    <w:p>
      <w:pPr>
        <w:autoSpaceDE w:val="0"/>
        <w:autoSpaceDN w:val="0"/>
        <w:adjustRightInd w:val="0"/>
        <w:spacing w:after="0" w:line="50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1、合同经双方法定代表人或授权委托代理人签字并加盖单位公章后生效。</w:t>
      </w:r>
    </w:p>
    <w:p>
      <w:pPr>
        <w:autoSpaceDE w:val="0"/>
        <w:autoSpaceDN w:val="0"/>
        <w:adjustRightInd w:val="0"/>
        <w:spacing w:after="0" w:line="50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2、本合同未尽事宜，遵照《</w:t>
      </w:r>
      <w:r>
        <w:rPr>
          <w:rFonts w:hint="eastAsia" w:ascii="微软雅黑" w:hAnsi="微软雅黑" w:eastAsia="微软雅黑" w:cs="微软雅黑"/>
          <w:color w:val="auto"/>
          <w:kern w:val="0"/>
          <w:szCs w:val="21"/>
          <w:highlight w:val="none"/>
        </w:rPr>
        <w:t>中华人民共和国民法典</w:t>
      </w:r>
      <w:r>
        <w:rPr>
          <w:rFonts w:hint="eastAsia" w:ascii="微软雅黑" w:hAnsi="微软雅黑" w:eastAsia="微软雅黑" w:cs="微软雅黑"/>
          <w:color w:val="auto"/>
          <w:szCs w:val="21"/>
          <w:highlight w:val="none"/>
        </w:rPr>
        <w:t>》有关条文执行。</w:t>
      </w:r>
    </w:p>
    <w:p>
      <w:pPr>
        <w:pStyle w:val="34"/>
        <w:snapToGrid w:val="0"/>
        <w:spacing w:after="0" w:line="500" w:lineRule="exact"/>
        <w:ind w:left="420" w:hanging="420" w:hanging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 xml:space="preserve"> </w:t>
      </w:r>
    </w:p>
    <w:p>
      <w:pPr>
        <w:pStyle w:val="34"/>
        <w:snapToGrid w:val="0"/>
        <w:spacing w:after="0" w:line="500" w:lineRule="exact"/>
        <w:ind w:left="420" w:hanging="420" w:hanging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甲方：                                    乙方：</w:t>
      </w:r>
    </w:p>
    <w:p>
      <w:pPr>
        <w:pStyle w:val="34"/>
        <w:snapToGrid w:val="0"/>
        <w:spacing w:after="0" w:line="50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地址：                                    地址：</w:t>
      </w:r>
    </w:p>
    <w:p>
      <w:pPr>
        <w:pStyle w:val="34"/>
        <w:snapToGrid w:val="0"/>
        <w:spacing w:after="0" w:line="50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法定（授权）代表人：                      法定（授权）代表人：</w:t>
      </w:r>
    </w:p>
    <w:p>
      <w:pPr>
        <w:pStyle w:val="34"/>
        <w:snapToGrid w:val="0"/>
        <w:spacing w:after="0" w:line="500" w:lineRule="exact"/>
        <w:ind w:firstLine="4410" w:firstLineChars="21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联系电话：</w:t>
      </w:r>
    </w:p>
    <w:p>
      <w:pPr>
        <w:pStyle w:val="34"/>
        <w:snapToGrid w:val="0"/>
        <w:spacing w:after="0" w:line="500" w:lineRule="exact"/>
        <w:ind w:firstLine="4393" w:firstLineChars="2092"/>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开户银行及账号：</w:t>
      </w:r>
    </w:p>
    <w:p>
      <w:pPr>
        <w:pStyle w:val="34"/>
        <w:snapToGrid w:val="0"/>
        <w:spacing w:after="0" w:line="50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签字日期：年月日                          签字日期：年月日</w:t>
      </w:r>
    </w:p>
    <w:p>
      <w:pPr>
        <w:pStyle w:val="6"/>
        <w:spacing w:beforeLines="0" w:after="0" w:line="500" w:lineRule="exact"/>
        <w:jc w:val="center"/>
        <w:rPr>
          <w:rStyle w:val="77"/>
          <w:b/>
          <w:bCs/>
          <w:color w:val="auto"/>
          <w:highlight w:val="none"/>
        </w:rPr>
      </w:pPr>
      <w:r>
        <w:rPr>
          <w:rFonts w:hint="eastAsia" w:ascii="微软雅黑" w:hAnsi="微软雅黑" w:cs="微软雅黑"/>
          <w:color w:val="auto"/>
          <w:szCs w:val="21"/>
          <w:highlight w:val="none"/>
        </w:rPr>
        <w:br w:type="page"/>
      </w:r>
      <w:bookmarkStart w:id="620" w:name="_Toc100764258"/>
      <w:bookmarkStart w:id="621" w:name="_Toc30283"/>
      <w:bookmarkStart w:id="622" w:name="_Toc7132"/>
      <w:r>
        <w:rPr>
          <w:rFonts w:hint="eastAsia" w:ascii="微软雅黑" w:hAnsi="微软雅黑" w:cs="微软雅黑"/>
          <w:color w:val="auto"/>
          <w:szCs w:val="21"/>
          <w:highlight w:val="none"/>
        </w:rPr>
        <w:t>第五章</w:t>
      </w:r>
      <w:bookmarkEnd w:id="616"/>
      <w:bookmarkEnd w:id="617"/>
      <w:bookmarkEnd w:id="620"/>
      <w:r>
        <w:rPr>
          <w:rFonts w:hint="eastAsia" w:ascii="微软雅黑" w:hAnsi="微软雅黑" w:cs="微软雅黑"/>
          <w:color w:val="auto"/>
          <w:szCs w:val="21"/>
          <w:highlight w:val="none"/>
        </w:rPr>
        <w:t xml:space="preserve">   </w:t>
      </w:r>
      <w:r>
        <w:rPr>
          <w:rStyle w:val="77"/>
          <w:rFonts w:hint="eastAsia"/>
          <w:b/>
          <w:bCs/>
          <w:color w:val="auto"/>
          <w:highlight w:val="none"/>
        </w:rPr>
        <w:t>评标办法及评分标准</w:t>
      </w:r>
      <w:bookmarkEnd w:id="621"/>
      <w:bookmarkEnd w:id="622"/>
    </w:p>
    <w:bookmarkEnd w:id="618"/>
    <w:p>
      <w:pPr>
        <w:spacing w:after="0" w:line="500" w:lineRule="exact"/>
        <w:ind w:firstLine="420"/>
        <w:rPr>
          <w:rFonts w:ascii="微软雅黑" w:hAnsi="微软雅黑" w:eastAsia="微软雅黑" w:cs="微软雅黑"/>
          <w:color w:val="auto"/>
          <w:szCs w:val="21"/>
          <w:highlight w:val="none"/>
        </w:rPr>
      </w:pPr>
      <w:bookmarkStart w:id="623" w:name="_Toc192313126"/>
      <w:r>
        <w:rPr>
          <w:rFonts w:hint="eastAsia" w:ascii="微软雅黑" w:hAnsi="微软雅黑" w:eastAsia="微软雅黑" w:cs="微软雅黑"/>
          <w:color w:val="auto"/>
          <w:szCs w:val="21"/>
          <w:highlight w:val="none"/>
        </w:rPr>
        <w:t>为公正、公平、科学地选择中标人，根据《中华人民共和国政府采购法》等有关法律法规的规定，并结合本项目的实际，制定本办法。</w:t>
      </w:r>
    </w:p>
    <w:p>
      <w:pPr>
        <w:spacing w:after="0" w:line="500" w:lineRule="exact"/>
        <w:ind w:firstLine="412" w:firstLineChars="196"/>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一、总则</w:t>
      </w:r>
    </w:p>
    <w:p>
      <w:pPr>
        <w:spacing w:after="0" w:line="500" w:lineRule="exact"/>
        <w:ind w:firstLine="42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本次评标采用综合评分法，总分为100分，其中价格分</w:t>
      </w:r>
      <w:r>
        <w:rPr>
          <w:rFonts w:ascii="微软雅黑" w:hAnsi="微软雅黑" w:eastAsia="微软雅黑" w:cs="微软雅黑"/>
          <w:color w:val="auto"/>
          <w:szCs w:val="21"/>
          <w:highlight w:val="none"/>
        </w:rPr>
        <w:t>1</w:t>
      </w:r>
      <w:r>
        <w:rPr>
          <w:rFonts w:hint="eastAsia" w:ascii="微软雅黑" w:hAnsi="微软雅黑" w:eastAsia="微软雅黑" w:cs="微软雅黑"/>
          <w:color w:val="auto"/>
          <w:szCs w:val="21"/>
          <w:highlight w:val="none"/>
        </w:rPr>
        <w:t>0分、技术\资信及其他</w:t>
      </w:r>
      <w:r>
        <w:rPr>
          <w:rFonts w:ascii="微软雅黑" w:hAnsi="微软雅黑" w:eastAsia="微软雅黑" w:cs="微软雅黑"/>
          <w:color w:val="auto"/>
          <w:szCs w:val="21"/>
          <w:highlight w:val="none"/>
        </w:rPr>
        <w:t>9</w:t>
      </w:r>
      <w:r>
        <w:rPr>
          <w:rFonts w:hint="eastAsia" w:ascii="微软雅黑" w:hAnsi="微软雅黑" w:eastAsia="微软雅黑" w:cs="微软雅黑"/>
          <w:color w:val="auto"/>
          <w:szCs w:val="21"/>
          <w:highlight w:val="none"/>
        </w:rPr>
        <w:t>0分。合格投标人的评标得分为各项目汇总得分，中标候选资格按评标得分由高到低顺序排列，得分相同的，按投标报价由低到高顺序排列；得分且投标报价相同的，按技术得分由高到低顺序排列。排名第一的投标人为中标候选人,排名第二的投标人为候补中标候选人……其他投标人中标候选资格依此类推。评分过程中采用四舍五入法，并保留小数2位。</w:t>
      </w:r>
    </w:p>
    <w:p>
      <w:pPr>
        <w:spacing w:after="0" w:line="500" w:lineRule="exact"/>
        <w:ind w:firstLine="42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投标人评标综合得分=价格分+(技术分+商务分+资信分)</w:t>
      </w:r>
    </w:p>
    <w:p>
      <w:pPr>
        <w:keepNext w:val="0"/>
        <w:keepLines w:val="0"/>
        <w:pageBreakBefore w:val="0"/>
        <w:kinsoku/>
        <w:wordWrap/>
        <w:overflowPunct/>
        <w:topLinePunct w:val="0"/>
        <w:autoSpaceDE/>
        <w:autoSpaceDN/>
        <w:bidi w:val="0"/>
        <w:adjustRightInd/>
        <w:spacing w:line="500" w:lineRule="exact"/>
        <w:ind w:firstLine="420" w:firstLineChars="200"/>
        <w:textAlignment w:val="auto"/>
        <w:rPr>
          <w:rFonts w:hint="eastAsia" w:ascii="微软雅黑" w:hAnsi="微软雅黑" w:eastAsia="微软雅黑"/>
          <w:color w:val="auto"/>
          <w:sz w:val="21"/>
          <w:szCs w:val="21"/>
          <w:highlight w:val="none"/>
        </w:rPr>
      </w:pPr>
      <w:bookmarkStart w:id="624" w:name="_Toc100764259"/>
      <w:bookmarkStart w:id="625" w:name="_Toc493699338"/>
      <w:r>
        <w:rPr>
          <w:rFonts w:hint="eastAsia" w:ascii="微软雅黑" w:hAnsi="微软雅黑" w:eastAsia="微软雅黑" w:cs="微软雅黑"/>
          <w:b/>
          <w:bCs/>
          <w:color w:val="auto"/>
          <w:sz w:val="21"/>
          <w:szCs w:val="21"/>
          <w:highlight w:val="none"/>
        </w:rPr>
        <w:t>本次招标同一投标人最多能中</w:t>
      </w:r>
      <w:r>
        <w:rPr>
          <w:rFonts w:hint="eastAsia" w:ascii="微软雅黑" w:hAnsi="微软雅黑" w:eastAsia="微软雅黑" w:cs="微软雅黑"/>
          <w:b/>
          <w:bCs/>
          <w:color w:val="auto"/>
          <w:sz w:val="21"/>
          <w:szCs w:val="21"/>
          <w:highlight w:val="none"/>
          <w:lang w:eastAsia="zh-CN"/>
        </w:rPr>
        <w:t>二</w:t>
      </w:r>
      <w:r>
        <w:rPr>
          <w:rFonts w:hint="eastAsia" w:ascii="微软雅黑" w:hAnsi="微软雅黑" w:eastAsia="微软雅黑" w:cs="微软雅黑"/>
          <w:b/>
          <w:bCs/>
          <w:color w:val="auto"/>
          <w:sz w:val="21"/>
          <w:szCs w:val="21"/>
          <w:highlight w:val="none"/>
        </w:rPr>
        <w:t>个标段。如在本次招标中，同一投标人</w:t>
      </w:r>
      <w:r>
        <w:rPr>
          <w:rFonts w:hint="eastAsia" w:ascii="微软雅黑" w:hAnsi="微软雅黑" w:eastAsia="微软雅黑" w:cs="微软雅黑"/>
          <w:b/>
          <w:bCs/>
          <w:color w:val="auto"/>
          <w:sz w:val="21"/>
          <w:szCs w:val="21"/>
          <w:highlight w:val="none"/>
          <w:lang w:eastAsia="zh-CN"/>
        </w:rPr>
        <w:t>三</w:t>
      </w:r>
      <w:r>
        <w:rPr>
          <w:rFonts w:hint="eastAsia" w:ascii="微软雅黑" w:hAnsi="微软雅黑" w:eastAsia="微软雅黑" w:cs="微软雅黑"/>
          <w:b/>
          <w:bCs/>
          <w:color w:val="auto"/>
          <w:sz w:val="21"/>
          <w:szCs w:val="21"/>
          <w:highlight w:val="none"/>
        </w:rPr>
        <w:t>个及</w:t>
      </w:r>
      <w:r>
        <w:rPr>
          <w:rFonts w:hint="eastAsia" w:ascii="微软雅黑" w:hAnsi="微软雅黑" w:eastAsia="微软雅黑" w:cs="微软雅黑"/>
          <w:b/>
          <w:bCs/>
          <w:color w:val="auto"/>
          <w:sz w:val="21"/>
          <w:szCs w:val="21"/>
          <w:highlight w:val="none"/>
          <w:lang w:eastAsia="zh-CN"/>
        </w:rPr>
        <w:t>三个</w:t>
      </w:r>
      <w:r>
        <w:rPr>
          <w:rFonts w:hint="eastAsia" w:ascii="微软雅黑" w:hAnsi="微软雅黑" w:eastAsia="微软雅黑" w:cs="微软雅黑"/>
          <w:b/>
          <w:bCs/>
          <w:color w:val="auto"/>
          <w:sz w:val="21"/>
          <w:szCs w:val="21"/>
          <w:highlight w:val="none"/>
        </w:rPr>
        <w:t>以上标段得分最高，则按标段顺序推荐标段的中标人（如A投标供应商一、二</w:t>
      </w:r>
      <w:r>
        <w:rPr>
          <w:rFonts w:hint="eastAsia" w:ascii="微软雅黑" w:hAnsi="微软雅黑" w:eastAsia="微软雅黑" w:cs="微软雅黑"/>
          <w:b/>
          <w:bCs/>
          <w:color w:val="auto"/>
          <w:sz w:val="21"/>
          <w:szCs w:val="21"/>
          <w:highlight w:val="none"/>
          <w:lang w:eastAsia="zh-CN"/>
        </w:rPr>
        <w:t>、三</w:t>
      </w:r>
      <w:r>
        <w:rPr>
          <w:rFonts w:hint="eastAsia" w:ascii="微软雅黑" w:hAnsi="微软雅黑" w:eastAsia="微软雅黑" w:cs="微软雅黑"/>
          <w:b/>
          <w:bCs/>
          <w:color w:val="auto"/>
          <w:sz w:val="21"/>
          <w:szCs w:val="21"/>
          <w:highlight w:val="none"/>
        </w:rPr>
        <w:t>标段均为得分最高，则中标一</w:t>
      </w:r>
      <w:r>
        <w:rPr>
          <w:rFonts w:hint="eastAsia" w:ascii="微软雅黑" w:hAnsi="微软雅黑" w:eastAsia="微软雅黑" w:cs="微软雅黑"/>
          <w:b/>
          <w:bCs/>
          <w:color w:val="auto"/>
          <w:sz w:val="21"/>
          <w:szCs w:val="21"/>
          <w:highlight w:val="none"/>
          <w:lang w:eastAsia="zh-CN"/>
        </w:rPr>
        <w:t>、二</w:t>
      </w:r>
      <w:r>
        <w:rPr>
          <w:rFonts w:hint="eastAsia" w:ascii="微软雅黑" w:hAnsi="微软雅黑" w:eastAsia="微软雅黑" w:cs="微软雅黑"/>
          <w:b/>
          <w:bCs/>
          <w:color w:val="auto"/>
          <w:sz w:val="21"/>
          <w:szCs w:val="21"/>
          <w:highlight w:val="none"/>
        </w:rPr>
        <w:t>标段，放弃其他标段中标资格，由第二名投标供应商中标该标段）</w:t>
      </w:r>
    </w:p>
    <w:p>
      <w:pPr>
        <w:pStyle w:val="8"/>
        <w:spacing w:before="0" w:after="0" w:line="500" w:lineRule="exact"/>
        <w:ind w:firstLine="420"/>
        <w:jc w:val="left"/>
        <w:rPr>
          <w:rFonts w:ascii="微软雅黑" w:hAnsi="微软雅黑" w:eastAsia="微软雅黑" w:cs="微软雅黑"/>
          <w:color w:val="auto"/>
          <w:sz w:val="21"/>
          <w:szCs w:val="21"/>
          <w:highlight w:val="none"/>
        </w:rPr>
      </w:pPr>
      <w:r>
        <w:rPr>
          <w:rFonts w:hint="eastAsia" w:ascii="微软雅黑" w:hAnsi="微软雅黑" w:eastAsia="微软雅黑" w:cs="微软雅黑"/>
          <w:b/>
          <w:color w:val="auto"/>
          <w:szCs w:val="21"/>
          <w:highlight w:val="none"/>
          <w:lang w:val="en-US" w:eastAsia="zh-CN"/>
        </w:rPr>
        <w:t xml:space="preserve"> </w:t>
      </w:r>
      <w:r>
        <w:rPr>
          <w:rFonts w:hint="eastAsia" w:ascii="微软雅黑" w:hAnsi="微软雅黑" w:eastAsia="微软雅黑" w:cs="微软雅黑"/>
          <w:color w:val="auto"/>
          <w:sz w:val="21"/>
          <w:szCs w:val="21"/>
          <w:highlight w:val="none"/>
        </w:rPr>
        <w:t>（一）价格分：</w:t>
      </w:r>
    </w:p>
    <w:p>
      <w:pPr>
        <w:pStyle w:val="25"/>
        <w:numPr>
          <w:ilvl w:val="0"/>
          <w:numId w:val="30"/>
        </w:numPr>
        <w:spacing w:after="0" w:line="500" w:lineRule="exact"/>
        <w:ind w:left="0" w:firstLine="404"/>
        <w:rPr>
          <w:rFonts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价格分采用低价优先法计算，即满足招标文件要求且投标价格最低的投标报价为评标基准价，其他投标人的价格分按照下列公式计算：</w:t>
      </w:r>
    </w:p>
    <w:p>
      <w:pPr>
        <w:pStyle w:val="34"/>
        <w:spacing w:after="0" w:line="500" w:lineRule="exact"/>
        <w:ind w:firstLine="420" w:firstLineChars="200"/>
        <w:rPr>
          <w:rFonts w:ascii="微软雅黑" w:hAnsi="微软雅黑" w:eastAsia="微软雅黑"/>
          <w:b/>
          <w:color w:val="auto"/>
          <w:szCs w:val="21"/>
          <w:highlight w:val="none"/>
        </w:rPr>
      </w:pPr>
      <w:r>
        <w:rPr>
          <w:rFonts w:hint="eastAsia" w:ascii="微软雅黑" w:hAnsi="微软雅黑" w:eastAsia="微软雅黑"/>
          <w:b/>
          <w:color w:val="auto"/>
          <w:szCs w:val="21"/>
          <w:highlight w:val="none"/>
        </w:rPr>
        <w:t>价格分计算方法</w:t>
      </w:r>
    </w:p>
    <w:p>
      <w:pPr>
        <w:pStyle w:val="34"/>
        <w:spacing w:after="0" w:line="500" w:lineRule="exact"/>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价格分=（评标基准价/投标报价）×10%</w:t>
      </w:r>
    </w:p>
    <w:p>
      <w:pPr>
        <w:pStyle w:val="25"/>
        <w:numPr>
          <w:ilvl w:val="0"/>
          <w:numId w:val="30"/>
        </w:numPr>
        <w:spacing w:after="0" w:line="500" w:lineRule="exact"/>
        <w:ind w:left="0" w:firstLine="404"/>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投标人的投标报价超过采购人设定的最高限价，将作为无效标。</w:t>
      </w:r>
    </w:p>
    <w:p>
      <w:pPr>
        <w:pStyle w:val="25"/>
        <w:numPr>
          <w:ilvl w:val="0"/>
          <w:numId w:val="30"/>
        </w:numPr>
        <w:spacing w:after="0" w:line="500" w:lineRule="exact"/>
        <w:ind w:left="0" w:firstLine="404"/>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pPr>
        <w:pStyle w:val="25"/>
        <w:numPr>
          <w:ilvl w:val="0"/>
          <w:numId w:val="30"/>
        </w:numPr>
        <w:spacing w:after="0" w:line="500" w:lineRule="exact"/>
        <w:ind w:left="0" w:firstLine="404"/>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促进中小企业发展</w:t>
      </w:r>
    </w:p>
    <w:p>
      <w:pPr>
        <w:pStyle w:val="34"/>
        <w:numPr>
          <w:ilvl w:val="0"/>
          <w:numId w:val="31"/>
        </w:numPr>
        <w:tabs>
          <w:tab w:val="left" w:pos="630"/>
        </w:tabs>
        <w:spacing w:after="0" w:line="500" w:lineRule="exact"/>
        <w:ind w:left="0" w:firstLine="420" w:firstLineChars="200"/>
        <w:jc w:val="left"/>
        <w:rPr>
          <w:rFonts w:ascii="微软雅黑" w:hAnsi="微软雅黑" w:eastAsia="微软雅黑"/>
          <w:bCs/>
          <w:color w:val="auto"/>
          <w:szCs w:val="21"/>
          <w:highlight w:val="none"/>
        </w:rPr>
      </w:pPr>
      <w:r>
        <w:rPr>
          <w:rFonts w:hint="eastAsia" w:ascii="微软雅黑" w:hAnsi="微软雅黑" w:eastAsia="微软雅黑"/>
          <w:bCs/>
          <w:color w:val="auto"/>
          <w:szCs w:val="21"/>
          <w:highlight w:val="none"/>
        </w:rPr>
        <w:t>本次采购为专门面向中小企业预留采购份额的采购项目。</w:t>
      </w:r>
    </w:p>
    <w:p>
      <w:pPr>
        <w:pStyle w:val="34"/>
        <w:numPr>
          <w:ilvl w:val="0"/>
          <w:numId w:val="31"/>
        </w:numPr>
        <w:tabs>
          <w:tab w:val="left" w:pos="630"/>
        </w:tabs>
        <w:spacing w:after="0" w:line="500" w:lineRule="exact"/>
        <w:ind w:left="0" w:firstLine="420" w:firstLineChars="200"/>
        <w:jc w:val="left"/>
        <w:rPr>
          <w:rFonts w:ascii="微软雅黑" w:hAnsi="微软雅黑" w:eastAsia="微软雅黑"/>
          <w:bCs/>
          <w:color w:val="auto"/>
          <w:szCs w:val="21"/>
          <w:highlight w:val="none"/>
        </w:rPr>
      </w:pPr>
      <w:r>
        <w:rPr>
          <w:rFonts w:hint="eastAsia" w:ascii="微软雅黑" w:hAnsi="微软雅黑" w:eastAsia="微软雅黑"/>
          <w:bCs/>
          <w:color w:val="auto"/>
          <w:szCs w:val="21"/>
          <w:highlight w:val="none"/>
        </w:rPr>
        <w:t>本项目对应的中小企业划分标准所属行业：其他未列明行业。</w:t>
      </w:r>
    </w:p>
    <w:p>
      <w:pPr>
        <w:pStyle w:val="34"/>
        <w:numPr>
          <w:ilvl w:val="0"/>
          <w:numId w:val="31"/>
        </w:numPr>
        <w:tabs>
          <w:tab w:val="left" w:pos="630"/>
        </w:tabs>
        <w:spacing w:after="0" w:line="500" w:lineRule="exact"/>
        <w:ind w:left="0" w:firstLine="420" w:firstLineChars="200"/>
        <w:jc w:val="left"/>
        <w:rPr>
          <w:rFonts w:ascii="微软雅黑" w:hAnsi="微软雅黑" w:eastAsia="微软雅黑" w:cs="微软雅黑"/>
          <w:color w:val="auto"/>
          <w:szCs w:val="21"/>
          <w:highlight w:val="none"/>
        </w:rPr>
      </w:pPr>
      <w:r>
        <w:rPr>
          <w:rFonts w:hint="eastAsia" w:ascii="微软雅黑" w:hAnsi="微软雅黑" w:eastAsia="微软雅黑"/>
          <w:bCs/>
          <w:color w:val="auto"/>
          <w:szCs w:val="21"/>
          <w:highlight w:val="none"/>
        </w:rPr>
        <w:t>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34"/>
        <w:numPr>
          <w:ilvl w:val="0"/>
          <w:numId w:val="31"/>
        </w:numPr>
        <w:tabs>
          <w:tab w:val="left" w:pos="630"/>
        </w:tabs>
        <w:spacing w:after="0" w:line="500" w:lineRule="exact"/>
        <w:ind w:left="0" w:firstLine="420" w:firstLineChars="200"/>
        <w:jc w:val="left"/>
        <w:rPr>
          <w:rFonts w:ascii="微软雅黑" w:hAnsi="微软雅黑" w:eastAsia="微软雅黑" w:cs="微软雅黑"/>
          <w:b/>
          <w:bCs/>
          <w:color w:val="auto"/>
          <w:szCs w:val="21"/>
          <w:highlight w:val="none"/>
        </w:rPr>
      </w:pPr>
      <w:r>
        <w:rPr>
          <w:rFonts w:hint="eastAsia" w:ascii="微软雅黑" w:hAnsi="微软雅黑" w:eastAsia="微软雅黑"/>
          <w:bCs/>
          <w:color w:val="auto"/>
          <w:szCs w:val="21"/>
          <w:highlight w:val="none"/>
        </w:rPr>
        <w:t>监狱企业和残疾人福利性单位视同小型、微型企业，按《财政部 司法部关于政府采购支持监狱企业发展有关问题的通知》(财库〔2014〕68 号)、《财政部  民政部  中国残疾人联合会关于促进残疾人就业政府采购政策的通知》（财库〔2017〕141 号）的规定执行。</w:t>
      </w:r>
    </w:p>
    <w:p>
      <w:pPr>
        <w:pStyle w:val="34"/>
        <w:tabs>
          <w:tab w:val="left" w:pos="630"/>
        </w:tabs>
        <w:spacing w:after="0" w:line="500" w:lineRule="exact"/>
        <w:ind w:firstLine="424" w:firstLineChars="202"/>
        <w:jc w:val="left"/>
        <w:rPr>
          <w:rFonts w:ascii="微软雅黑" w:hAnsi="微软雅黑" w:eastAsia="微软雅黑" w:cs="微软雅黑"/>
          <w:b/>
          <w:bCs/>
          <w:color w:val="auto"/>
          <w:szCs w:val="21"/>
          <w:highlight w:val="none"/>
        </w:rPr>
      </w:pPr>
      <w:r>
        <w:rPr>
          <w:rFonts w:hint="eastAsia" w:ascii="微软雅黑" w:hAnsi="微软雅黑" w:eastAsia="微软雅黑" w:cs="微软雅黑"/>
          <w:b/>
          <w:bCs/>
          <w:color w:val="auto"/>
          <w:szCs w:val="21"/>
          <w:highlight w:val="none"/>
        </w:rPr>
        <w:t>注：中标、成交供应商为残疾人福利性单位的，采购人或者其委托的采购代理机构应当随中标、成交结果同时公告其《残疾人福利性单位声明函》，接受社会监督。供应商提供的《残疾人福利性单位声明函》与事实不符的，依照《政府采购法》第七十七条第一款的规定追究法律责任。</w:t>
      </w:r>
    </w:p>
    <w:p>
      <w:pPr>
        <w:numPr>
          <w:ilvl w:val="0"/>
          <w:numId w:val="32"/>
        </w:numPr>
        <w:spacing w:line="400" w:lineRule="exact"/>
        <w:ind w:firstLine="420" w:firstLineChars="200"/>
        <w:outlineLvl w:val="1"/>
        <w:rPr>
          <w:rFonts w:hint="eastAsia" w:ascii="微软雅黑" w:hAnsi="微软雅黑" w:eastAsia="微软雅黑"/>
          <w:b/>
          <w:color w:val="auto"/>
          <w:szCs w:val="21"/>
          <w:highlight w:val="none"/>
        </w:rPr>
      </w:pPr>
      <w:r>
        <w:rPr>
          <w:rFonts w:hint="eastAsia" w:ascii="微软雅黑" w:hAnsi="微软雅黑" w:eastAsia="微软雅黑"/>
          <w:b/>
          <w:color w:val="auto"/>
          <w:szCs w:val="21"/>
          <w:highlight w:val="none"/>
        </w:rPr>
        <w:t>、技术分：</w:t>
      </w:r>
    </w:p>
    <w:tbl>
      <w:tblPr>
        <w:tblStyle w:val="58"/>
        <w:tblW w:w="8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7198"/>
        <w:gridCol w:w="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4" w:type="dxa"/>
            <w:vAlign w:val="center"/>
          </w:tcPr>
          <w:p>
            <w:pPr>
              <w:widowControl/>
              <w:spacing w:line="440" w:lineRule="exact"/>
              <w:jc w:val="center"/>
              <w:rPr>
                <w:rFonts w:hint="eastAsia" w:ascii="微软雅黑" w:hAnsi="微软雅黑" w:eastAsia="微软雅黑" w:cs="微软雅黑"/>
                <w:b/>
                <w:bCs/>
                <w:color w:val="auto"/>
                <w:kern w:val="0"/>
                <w:sz w:val="21"/>
                <w:szCs w:val="21"/>
                <w:highlight w:val="none"/>
              </w:rPr>
            </w:pPr>
            <w:r>
              <w:rPr>
                <w:rFonts w:hint="eastAsia" w:ascii="微软雅黑" w:hAnsi="微软雅黑" w:eastAsia="微软雅黑" w:cs="微软雅黑"/>
                <w:b/>
                <w:bCs/>
                <w:color w:val="auto"/>
                <w:kern w:val="0"/>
                <w:sz w:val="21"/>
                <w:szCs w:val="21"/>
                <w:highlight w:val="none"/>
              </w:rPr>
              <w:t>序号</w:t>
            </w:r>
          </w:p>
        </w:tc>
        <w:tc>
          <w:tcPr>
            <w:tcW w:w="7198" w:type="dxa"/>
            <w:vAlign w:val="center"/>
          </w:tcPr>
          <w:p>
            <w:pPr>
              <w:widowControl/>
              <w:spacing w:line="440" w:lineRule="exact"/>
              <w:jc w:val="center"/>
              <w:rPr>
                <w:rFonts w:hint="eastAsia" w:ascii="微软雅黑" w:hAnsi="微软雅黑" w:eastAsia="微软雅黑" w:cs="微软雅黑"/>
                <w:b/>
                <w:bCs/>
                <w:color w:val="auto"/>
                <w:kern w:val="0"/>
                <w:sz w:val="21"/>
                <w:szCs w:val="21"/>
                <w:highlight w:val="none"/>
              </w:rPr>
            </w:pPr>
            <w:r>
              <w:rPr>
                <w:rFonts w:hint="eastAsia" w:ascii="微软雅黑" w:hAnsi="微软雅黑" w:eastAsia="微软雅黑" w:cs="微软雅黑"/>
                <w:b/>
                <w:bCs/>
                <w:color w:val="auto"/>
                <w:kern w:val="0"/>
                <w:sz w:val="21"/>
                <w:szCs w:val="21"/>
                <w:highlight w:val="none"/>
              </w:rPr>
              <w:t>评分内容</w:t>
            </w:r>
          </w:p>
        </w:tc>
        <w:tc>
          <w:tcPr>
            <w:tcW w:w="669" w:type="dxa"/>
            <w:vAlign w:val="center"/>
          </w:tcPr>
          <w:p>
            <w:pPr>
              <w:widowControl/>
              <w:spacing w:line="440" w:lineRule="exact"/>
              <w:jc w:val="center"/>
              <w:rPr>
                <w:rFonts w:hint="eastAsia" w:ascii="微软雅黑" w:hAnsi="微软雅黑" w:eastAsia="微软雅黑" w:cs="微软雅黑"/>
                <w:b/>
                <w:bCs/>
                <w:color w:val="auto"/>
                <w:kern w:val="0"/>
                <w:sz w:val="21"/>
                <w:szCs w:val="21"/>
                <w:highlight w:val="none"/>
              </w:rPr>
            </w:pPr>
            <w:r>
              <w:rPr>
                <w:rFonts w:hint="eastAsia" w:ascii="微软雅黑" w:hAnsi="微软雅黑" w:eastAsia="微软雅黑" w:cs="微软雅黑"/>
                <w:b/>
                <w:bCs/>
                <w:color w:val="auto"/>
                <w:kern w:val="0"/>
                <w:sz w:val="21"/>
                <w:szCs w:val="21"/>
                <w:highlight w:val="none"/>
                <w:lang w:eastAsia="zh-CN"/>
              </w:rPr>
              <w:t>最高</w:t>
            </w:r>
            <w:r>
              <w:rPr>
                <w:rFonts w:hint="eastAsia" w:ascii="微软雅黑" w:hAnsi="微软雅黑" w:eastAsia="微软雅黑" w:cs="微软雅黑"/>
                <w:b/>
                <w:bCs/>
                <w:color w:val="auto"/>
                <w:kern w:val="0"/>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4" w:type="dxa"/>
            <w:vAlign w:val="center"/>
          </w:tcPr>
          <w:p>
            <w:pPr>
              <w:pStyle w:val="129"/>
              <w:spacing w:line="440" w:lineRule="exact"/>
              <w:ind w:left="0" w:leftChars="0" w:firstLine="0" w:firstLineChars="0"/>
              <w:jc w:val="center"/>
              <w:rPr>
                <w:rFonts w:hint="default" w:ascii="微软雅黑" w:hAnsi="微软雅黑" w:eastAsia="微软雅黑" w:cs="微软雅黑"/>
                <w:color w:val="auto"/>
                <w:kern w:val="2"/>
                <w:sz w:val="21"/>
                <w:szCs w:val="21"/>
                <w:highlight w:val="none"/>
                <w:lang w:val="en-US" w:eastAsia="zh-CN"/>
              </w:rPr>
            </w:pPr>
            <w:r>
              <w:rPr>
                <w:rFonts w:hint="eastAsia" w:ascii="微软雅黑" w:hAnsi="微软雅黑" w:eastAsia="微软雅黑" w:cs="微软雅黑"/>
                <w:color w:val="auto"/>
                <w:kern w:val="2"/>
                <w:sz w:val="21"/>
                <w:szCs w:val="21"/>
                <w:highlight w:val="none"/>
                <w:lang w:val="en-US" w:eastAsia="zh-CN"/>
              </w:rPr>
              <w:t>1</w:t>
            </w:r>
          </w:p>
        </w:tc>
        <w:tc>
          <w:tcPr>
            <w:tcW w:w="7198" w:type="dxa"/>
            <w:vAlign w:val="center"/>
          </w:tcPr>
          <w:p>
            <w:pPr>
              <w:pStyle w:val="57"/>
              <w:ind w:left="0" w:leftChars="0" w:firstLine="0" w:firstLineChars="0"/>
              <w:jc w:val="left"/>
              <w:rPr>
                <w:rFonts w:hint="default" w:ascii="微软雅黑" w:hAnsi="微软雅黑" w:eastAsia="微软雅黑" w:cs="微软雅黑"/>
                <w:color w:val="auto"/>
                <w:kern w:val="2"/>
                <w:sz w:val="21"/>
                <w:szCs w:val="21"/>
                <w:highlight w:val="none"/>
                <w:lang w:val="en-US" w:eastAsia="zh-CN"/>
              </w:rPr>
            </w:pPr>
            <w:r>
              <w:rPr>
                <w:rFonts w:hint="eastAsia" w:ascii="微软雅黑" w:hAnsi="微软雅黑" w:eastAsia="微软雅黑" w:cs="微软雅黑"/>
                <w:color w:val="auto"/>
                <w:kern w:val="2"/>
                <w:sz w:val="21"/>
                <w:szCs w:val="21"/>
                <w:highlight w:val="none"/>
              </w:rPr>
              <w:t>投标人针对本项目，提供完整的项目服务方案、整体实施方案、项目实施进度计划、人员排班等具体服务方案</w:t>
            </w:r>
            <w:r>
              <w:rPr>
                <w:rFonts w:hint="eastAsia" w:ascii="微软雅黑" w:hAnsi="微软雅黑" w:eastAsia="微软雅黑" w:cs="微软雅黑"/>
                <w:color w:val="auto"/>
                <w:kern w:val="2"/>
                <w:sz w:val="21"/>
                <w:szCs w:val="21"/>
                <w:highlight w:val="none"/>
                <w:lang w:eastAsia="zh-CN"/>
              </w:rPr>
              <w:t>，评审委员会进行综合评审；【</w:t>
            </w:r>
            <w:r>
              <w:rPr>
                <w:rFonts w:hint="eastAsia" w:ascii="微软雅黑" w:hAnsi="微软雅黑" w:eastAsia="微软雅黑" w:cs="微软雅黑"/>
                <w:color w:val="auto"/>
                <w:kern w:val="2"/>
                <w:sz w:val="21"/>
                <w:szCs w:val="21"/>
                <w:highlight w:val="none"/>
                <w:lang w:val="en-US" w:eastAsia="zh-CN"/>
              </w:rPr>
              <w:t>0-8分】</w:t>
            </w:r>
          </w:p>
        </w:tc>
        <w:tc>
          <w:tcPr>
            <w:tcW w:w="669" w:type="dxa"/>
            <w:vAlign w:val="center"/>
          </w:tcPr>
          <w:p>
            <w:pPr>
              <w:spacing w:line="440" w:lineRule="exact"/>
              <w:jc w:val="center"/>
              <w:rPr>
                <w:rFonts w:hint="default"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4" w:type="dxa"/>
            <w:vAlign w:val="center"/>
          </w:tcPr>
          <w:p>
            <w:pPr>
              <w:pStyle w:val="129"/>
              <w:widowControl/>
              <w:spacing w:line="440" w:lineRule="exact"/>
              <w:ind w:firstLine="0" w:firstLineChars="0"/>
              <w:jc w:val="center"/>
              <w:rPr>
                <w:rFonts w:hint="default"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2</w:t>
            </w:r>
          </w:p>
        </w:tc>
        <w:tc>
          <w:tcPr>
            <w:tcW w:w="7198" w:type="dxa"/>
            <w:vAlign w:val="center"/>
          </w:tcPr>
          <w:p>
            <w:pPr>
              <w:widowControl/>
              <w:spacing w:line="44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kern w:val="2"/>
                <w:sz w:val="21"/>
                <w:szCs w:val="21"/>
                <w:highlight w:val="none"/>
              </w:rPr>
              <w:t>投标人具备常年（365天）进行演出的能力（评标委员会根据投标文件中</w:t>
            </w:r>
            <w:r>
              <w:rPr>
                <w:rFonts w:hint="eastAsia" w:ascii="微软雅黑" w:hAnsi="微软雅黑" w:eastAsia="微软雅黑" w:cs="微软雅黑"/>
                <w:color w:val="auto"/>
                <w:kern w:val="2"/>
                <w:sz w:val="21"/>
                <w:szCs w:val="21"/>
                <w:highlight w:val="none"/>
                <w:lang w:eastAsia="zh-CN"/>
              </w:rPr>
              <w:t>提供人员、设备等</w:t>
            </w:r>
            <w:r>
              <w:rPr>
                <w:rFonts w:hint="eastAsia" w:ascii="微软雅黑" w:hAnsi="微软雅黑" w:eastAsia="微软雅黑" w:cs="微软雅黑"/>
                <w:color w:val="auto"/>
                <w:kern w:val="2"/>
                <w:sz w:val="21"/>
                <w:szCs w:val="21"/>
                <w:highlight w:val="none"/>
              </w:rPr>
              <w:t>实际情况进行</w:t>
            </w:r>
            <w:r>
              <w:rPr>
                <w:rFonts w:hint="eastAsia" w:ascii="微软雅黑" w:hAnsi="微软雅黑" w:eastAsia="微软雅黑" w:cs="微软雅黑"/>
                <w:color w:val="auto"/>
                <w:kern w:val="2"/>
                <w:sz w:val="21"/>
                <w:szCs w:val="21"/>
                <w:highlight w:val="none"/>
                <w:lang w:eastAsia="zh-CN"/>
              </w:rPr>
              <w:t>综合评审</w:t>
            </w:r>
            <w:r>
              <w:rPr>
                <w:rFonts w:hint="eastAsia" w:ascii="微软雅黑" w:hAnsi="微软雅黑" w:eastAsia="微软雅黑" w:cs="微软雅黑"/>
                <w:color w:val="auto"/>
                <w:kern w:val="2"/>
                <w:sz w:val="21"/>
                <w:szCs w:val="21"/>
                <w:highlight w:val="none"/>
              </w:rPr>
              <w:t>）。</w:t>
            </w:r>
            <w:r>
              <w:rPr>
                <w:rFonts w:hint="eastAsia" w:ascii="微软雅黑" w:hAnsi="微软雅黑" w:eastAsia="微软雅黑" w:cs="微软雅黑"/>
                <w:color w:val="auto"/>
                <w:kern w:val="2"/>
                <w:sz w:val="21"/>
                <w:szCs w:val="21"/>
                <w:highlight w:val="none"/>
                <w:lang w:eastAsia="zh-CN"/>
              </w:rPr>
              <w:t>【</w:t>
            </w:r>
            <w:r>
              <w:rPr>
                <w:rFonts w:hint="eastAsia" w:ascii="微软雅黑" w:hAnsi="微软雅黑" w:eastAsia="微软雅黑" w:cs="微软雅黑"/>
                <w:color w:val="auto"/>
                <w:kern w:val="2"/>
                <w:sz w:val="21"/>
                <w:szCs w:val="21"/>
                <w:highlight w:val="none"/>
                <w:lang w:val="en-US" w:eastAsia="zh-CN"/>
              </w:rPr>
              <w:t>0-8分】</w:t>
            </w:r>
          </w:p>
        </w:tc>
        <w:tc>
          <w:tcPr>
            <w:tcW w:w="669" w:type="dxa"/>
            <w:vAlign w:val="center"/>
          </w:tcPr>
          <w:p>
            <w:pPr>
              <w:spacing w:line="440" w:lineRule="exact"/>
              <w:jc w:val="center"/>
              <w:rPr>
                <w:rFonts w:hint="default"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4" w:type="dxa"/>
            <w:vAlign w:val="center"/>
          </w:tcPr>
          <w:p>
            <w:pPr>
              <w:pStyle w:val="129"/>
              <w:widowControl/>
              <w:spacing w:line="440" w:lineRule="exact"/>
              <w:ind w:firstLine="0" w:firstLineChars="0"/>
              <w:jc w:val="center"/>
              <w:rPr>
                <w:rFonts w:hint="default"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3</w:t>
            </w:r>
          </w:p>
        </w:tc>
        <w:tc>
          <w:tcPr>
            <w:tcW w:w="7198" w:type="dxa"/>
            <w:tcBorders>
              <w:top w:val="single" w:color="000000" w:sz="8" w:space="0"/>
            </w:tcBorders>
            <w:vAlign w:val="center"/>
          </w:tcPr>
          <w:p>
            <w:pPr>
              <w:spacing w:line="440" w:lineRule="exact"/>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kern w:val="2"/>
                <w:sz w:val="21"/>
                <w:szCs w:val="21"/>
                <w:highlight w:val="none"/>
                <w:lang w:eastAsia="zh-CN"/>
              </w:rPr>
              <w:t>投标人</w:t>
            </w:r>
            <w:r>
              <w:rPr>
                <w:rFonts w:hint="eastAsia" w:ascii="微软雅黑" w:hAnsi="微软雅黑" w:eastAsia="微软雅黑" w:cs="微软雅黑"/>
                <w:color w:val="auto"/>
                <w:kern w:val="2"/>
                <w:sz w:val="21"/>
                <w:szCs w:val="21"/>
                <w:highlight w:val="none"/>
              </w:rPr>
              <w:t>员工管理制度（签订规范的员工劳动合同、具备完善的业务培训制度）</w:t>
            </w:r>
            <w:r>
              <w:rPr>
                <w:rFonts w:hint="eastAsia" w:ascii="微软雅黑" w:hAnsi="微软雅黑" w:eastAsia="微软雅黑" w:cs="微软雅黑"/>
                <w:color w:val="auto"/>
                <w:kern w:val="2"/>
                <w:sz w:val="21"/>
                <w:szCs w:val="21"/>
                <w:highlight w:val="none"/>
                <w:lang w:eastAsia="zh-CN"/>
              </w:rPr>
              <w:t>。评审委员会进行综合评审；【</w:t>
            </w:r>
            <w:r>
              <w:rPr>
                <w:rFonts w:hint="eastAsia" w:ascii="微软雅黑" w:hAnsi="微软雅黑" w:eastAsia="微软雅黑" w:cs="微软雅黑"/>
                <w:color w:val="auto"/>
                <w:kern w:val="2"/>
                <w:sz w:val="21"/>
                <w:szCs w:val="21"/>
                <w:highlight w:val="none"/>
                <w:lang w:val="en-US" w:eastAsia="zh-CN"/>
              </w:rPr>
              <w:t>0-8分】</w:t>
            </w:r>
          </w:p>
        </w:tc>
        <w:tc>
          <w:tcPr>
            <w:tcW w:w="669" w:type="dxa"/>
            <w:tcBorders>
              <w:top w:val="single" w:color="000000" w:sz="8" w:space="0"/>
            </w:tcBorders>
            <w:vAlign w:val="center"/>
          </w:tcPr>
          <w:p>
            <w:pPr>
              <w:spacing w:line="440" w:lineRule="exact"/>
              <w:jc w:val="center"/>
              <w:rPr>
                <w:rFonts w:hint="default"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844" w:type="dxa"/>
            <w:vAlign w:val="center"/>
          </w:tcPr>
          <w:p>
            <w:pPr>
              <w:pStyle w:val="129"/>
              <w:widowControl/>
              <w:spacing w:line="440" w:lineRule="exact"/>
              <w:ind w:firstLine="0" w:firstLineChars="0"/>
              <w:jc w:val="center"/>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4</w:t>
            </w:r>
          </w:p>
        </w:tc>
        <w:tc>
          <w:tcPr>
            <w:tcW w:w="7198" w:type="dxa"/>
            <w:vAlign w:val="center"/>
          </w:tcPr>
          <w:p>
            <w:pPr>
              <w:widowControl/>
              <w:spacing w:line="44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kern w:val="2"/>
                <w:sz w:val="21"/>
                <w:szCs w:val="21"/>
                <w:highlight w:val="none"/>
                <w:lang w:eastAsia="zh-CN"/>
              </w:rPr>
              <w:t>根据</w:t>
            </w:r>
            <w:r>
              <w:rPr>
                <w:rFonts w:hint="eastAsia" w:ascii="微软雅黑" w:hAnsi="微软雅黑" w:eastAsia="微软雅黑" w:cs="微软雅黑"/>
                <w:color w:val="auto"/>
                <w:kern w:val="2"/>
                <w:sz w:val="21"/>
                <w:szCs w:val="21"/>
                <w:highlight w:val="none"/>
              </w:rPr>
              <w:t>投标人拥有的演出设备</w:t>
            </w:r>
            <w:r>
              <w:rPr>
                <w:rFonts w:hint="eastAsia" w:ascii="微软雅黑" w:hAnsi="微软雅黑" w:eastAsia="微软雅黑" w:cs="微软雅黑"/>
                <w:color w:val="auto"/>
                <w:kern w:val="2"/>
                <w:sz w:val="21"/>
                <w:szCs w:val="21"/>
                <w:highlight w:val="none"/>
                <w:lang w:eastAsia="zh-CN"/>
              </w:rPr>
              <w:t>，评审委员会进行综合评审；【</w:t>
            </w:r>
            <w:r>
              <w:rPr>
                <w:rFonts w:hint="eastAsia" w:ascii="微软雅黑" w:hAnsi="微软雅黑" w:eastAsia="微软雅黑" w:cs="微软雅黑"/>
                <w:color w:val="auto"/>
                <w:kern w:val="2"/>
                <w:sz w:val="21"/>
                <w:szCs w:val="21"/>
                <w:highlight w:val="none"/>
                <w:lang w:val="en-US" w:eastAsia="zh-CN"/>
              </w:rPr>
              <w:t>0-8分】</w:t>
            </w:r>
            <w:r>
              <w:rPr>
                <w:rFonts w:hint="eastAsia" w:ascii="微软雅黑" w:hAnsi="微软雅黑" w:eastAsia="微软雅黑" w:cs="微软雅黑"/>
                <w:color w:val="auto"/>
                <w:kern w:val="2"/>
                <w:sz w:val="21"/>
                <w:szCs w:val="21"/>
                <w:highlight w:val="none"/>
              </w:rPr>
              <w:t>（投标人提供的购买发票</w:t>
            </w:r>
            <w:r>
              <w:rPr>
                <w:rFonts w:hint="eastAsia" w:ascii="微软雅黑" w:hAnsi="微软雅黑" w:eastAsia="微软雅黑" w:cs="微软雅黑"/>
                <w:color w:val="auto"/>
                <w:kern w:val="2"/>
                <w:sz w:val="21"/>
                <w:szCs w:val="21"/>
                <w:highlight w:val="none"/>
                <w:lang w:eastAsia="zh-CN"/>
              </w:rPr>
              <w:t>以及设备照片复印件做在投标文件中</w:t>
            </w:r>
            <w:r>
              <w:rPr>
                <w:rFonts w:hint="eastAsia" w:ascii="微软雅黑" w:hAnsi="微软雅黑" w:eastAsia="微软雅黑" w:cs="微软雅黑"/>
                <w:color w:val="auto"/>
                <w:kern w:val="2"/>
                <w:sz w:val="21"/>
                <w:szCs w:val="21"/>
                <w:highlight w:val="none"/>
              </w:rPr>
              <w:t>）</w:t>
            </w:r>
          </w:p>
        </w:tc>
        <w:tc>
          <w:tcPr>
            <w:tcW w:w="669" w:type="dxa"/>
            <w:tcBorders>
              <w:bottom w:val="single" w:color="000000" w:sz="8" w:space="0"/>
            </w:tcBorders>
            <w:vAlign w:val="center"/>
          </w:tcPr>
          <w:p>
            <w:pPr>
              <w:widowControl/>
              <w:spacing w:line="440" w:lineRule="exact"/>
              <w:jc w:val="center"/>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kern w:val="2"/>
                <w:sz w:val="21"/>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4" w:type="dxa"/>
            <w:vAlign w:val="center"/>
          </w:tcPr>
          <w:p>
            <w:pPr>
              <w:pStyle w:val="129"/>
              <w:widowControl/>
              <w:spacing w:line="440" w:lineRule="exact"/>
              <w:ind w:left="0" w:leftChars="0" w:firstLine="0" w:firstLineChars="0"/>
              <w:jc w:val="center"/>
              <w:rPr>
                <w:rFonts w:hint="default"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5</w:t>
            </w:r>
          </w:p>
        </w:tc>
        <w:tc>
          <w:tcPr>
            <w:tcW w:w="7198" w:type="dxa"/>
            <w:vAlign w:val="center"/>
          </w:tcPr>
          <w:p>
            <w:pPr>
              <w:widowControl/>
              <w:spacing w:line="44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kern w:val="2"/>
                <w:sz w:val="21"/>
                <w:szCs w:val="21"/>
                <w:highlight w:val="none"/>
                <w:lang w:val="zh-CN"/>
              </w:rPr>
              <w:t>根据投标人投入本项目的演职员的配备情况</w:t>
            </w:r>
            <w:r>
              <w:rPr>
                <w:rFonts w:hint="eastAsia" w:ascii="微软雅黑" w:hAnsi="微软雅黑" w:eastAsia="微软雅黑" w:cs="微软雅黑"/>
                <w:color w:val="auto"/>
                <w:kern w:val="2"/>
                <w:sz w:val="21"/>
                <w:szCs w:val="21"/>
                <w:highlight w:val="none"/>
                <w:lang w:eastAsia="zh-CN"/>
              </w:rPr>
              <w:t>，评审委员会进行综合评审；【</w:t>
            </w:r>
            <w:r>
              <w:rPr>
                <w:rFonts w:hint="eastAsia" w:ascii="微软雅黑" w:hAnsi="微软雅黑" w:eastAsia="微软雅黑" w:cs="微软雅黑"/>
                <w:color w:val="auto"/>
                <w:kern w:val="2"/>
                <w:sz w:val="21"/>
                <w:szCs w:val="21"/>
                <w:highlight w:val="none"/>
                <w:lang w:val="en-US" w:eastAsia="zh-CN"/>
              </w:rPr>
              <w:t>0-8分】</w:t>
            </w:r>
          </w:p>
        </w:tc>
        <w:tc>
          <w:tcPr>
            <w:tcW w:w="669" w:type="dxa"/>
            <w:vAlign w:val="center"/>
          </w:tcPr>
          <w:p>
            <w:pPr>
              <w:widowControl/>
              <w:spacing w:line="440" w:lineRule="exact"/>
              <w:jc w:val="center"/>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kern w:val="2"/>
                <w:sz w:val="21"/>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4" w:type="dxa"/>
            <w:vAlign w:val="center"/>
          </w:tcPr>
          <w:p>
            <w:pPr>
              <w:pStyle w:val="129"/>
              <w:widowControl/>
              <w:spacing w:line="440" w:lineRule="exact"/>
              <w:ind w:firstLine="0" w:firstLineChars="0"/>
              <w:jc w:val="center"/>
              <w:rPr>
                <w:rFonts w:hint="default"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6</w:t>
            </w:r>
          </w:p>
        </w:tc>
        <w:tc>
          <w:tcPr>
            <w:tcW w:w="7198" w:type="dxa"/>
            <w:tcBorders>
              <w:top w:val="single" w:color="000000" w:sz="8" w:space="0"/>
            </w:tcBorders>
            <w:vAlign w:val="center"/>
          </w:tcPr>
          <w:p>
            <w:pPr>
              <w:spacing w:line="44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kern w:val="2"/>
                <w:sz w:val="21"/>
                <w:szCs w:val="21"/>
                <w:highlight w:val="none"/>
                <w:lang w:eastAsia="zh-CN"/>
              </w:rPr>
              <w:t>根据投标人针对本项目</w:t>
            </w:r>
            <w:r>
              <w:rPr>
                <w:rFonts w:hint="eastAsia" w:ascii="微软雅黑" w:hAnsi="微软雅黑" w:eastAsia="微软雅黑" w:cs="微软雅黑"/>
                <w:color w:val="auto"/>
                <w:kern w:val="2"/>
                <w:sz w:val="21"/>
                <w:szCs w:val="21"/>
                <w:highlight w:val="none"/>
              </w:rPr>
              <w:t>的演、职员人员的相关资质及等级、</w:t>
            </w:r>
            <w:r>
              <w:rPr>
                <w:rFonts w:hint="eastAsia" w:ascii="微软雅黑" w:hAnsi="微软雅黑" w:eastAsia="微软雅黑" w:cs="微软雅黑"/>
                <w:color w:val="auto"/>
                <w:kern w:val="2"/>
                <w:sz w:val="21"/>
                <w:szCs w:val="21"/>
                <w:highlight w:val="none"/>
                <w:lang w:val="zh-CN"/>
              </w:rPr>
              <w:t>项目经验、荣誉、奖项等情况。（</w:t>
            </w:r>
            <w:r>
              <w:rPr>
                <w:rFonts w:hint="eastAsia" w:ascii="微软雅黑" w:hAnsi="微软雅黑" w:eastAsia="微软雅黑" w:cs="微软雅黑"/>
                <w:color w:val="auto"/>
                <w:kern w:val="2"/>
                <w:sz w:val="21"/>
                <w:szCs w:val="21"/>
                <w:highlight w:val="none"/>
              </w:rPr>
              <w:t>评标委员会</w:t>
            </w:r>
            <w:r>
              <w:rPr>
                <w:rFonts w:hint="eastAsia" w:ascii="微软雅黑" w:hAnsi="微软雅黑" w:eastAsia="微软雅黑" w:cs="微软雅黑"/>
                <w:color w:val="auto"/>
                <w:kern w:val="2"/>
                <w:sz w:val="21"/>
                <w:szCs w:val="21"/>
                <w:highlight w:val="none"/>
                <w:lang w:val="zh-CN"/>
              </w:rPr>
              <w:t>参考履历表和相关资料、证书等</w:t>
            </w:r>
            <w:r>
              <w:rPr>
                <w:rFonts w:hint="eastAsia" w:ascii="微软雅黑" w:hAnsi="微软雅黑" w:eastAsia="微软雅黑" w:cs="微软雅黑"/>
                <w:color w:val="auto"/>
                <w:kern w:val="2"/>
                <w:sz w:val="21"/>
                <w:szCs w:val="21"/>
                <w:highlight w:val="none"/>
                <w:lang w:eastAsia="zh-CN"/>
              </w:rPr>
              <w:t>进行综合评审</w:t>
            </w:r>
            <w:r>
              <w:rPr>
                <w:rFonts w:hint="eastAsia" w:ascii="微软雅黑" w:hAnsi="微软雅黑" w:eastAsia="微软雅黑" w:cs="微软雅黑"/>
                <w:color w:val="auto"/>
                <w:kern w:val="2"/>
                <w:sz w:val="21"/>
                <w:szCs w:val="21"/>
                <w:highlight w:val="none"/>
                <w:lang w:val="zh-CN"/>
              </w:rPr>
              <w:t>）</w:t>
            </w:r>
            <w:r>
              <w:rPr>
                <w:rFonts w:hint="eastAsia" w:ascii="微软雅黑" w:hAnsi="微软雅黑" w:eastAsia="微软雅黑" w:cs="微软雅黑"/>
                <w:color w:val="auto"/>
                <w:kern w:val="2"/>
                <w:sz w:val="21"/>
                <w:szCs w:val="21"/>
                <w:highlight w:val="none"/>
                <w:lang w:eastAsia="zh-CN"/>
              </w:rPr>
              <w:t>；【</w:t>
            </w:r>
            <w:r>
              <w:rPr>
                <w:rFonts w:hint="eastAsia" w:ascii="微软雅黑" w:hAnsi="微软雅黑" w:eastAsia="微软雅黑" w:cs="微软雅黑"/>
                <w:color w:val="auto"/>
                <w:kern w:val="2"/>
                <w:sz w:val="21"/>
                <w:szCs w:val="21"/>
                <w:highlight w:val="none"/>
                <w:lang w:val="en-US" w:eastAsia="zh-CN"/>
              </w:rPr>
              <w:t>0-8分】</w:t>
            </w:r>
            <w:r>
              <w:rPr>
                <w:rFonts w:hint="eastAsia" w:ascii="微软雅黑" w:hAnsi="微软雅黑" w:eastAsia="微软雅黑" w:cs="微软雅黑"/>
                <w:color w:val="auto"/>
                <w:kern w:val="2"/>
                <w:sz w:val="21"/>
                <w:szCs w:val="21"/>
                <w:highlight w:val="none"/>
                <w:lang w:val="zh-CN"/>
              </w:rPr>
              <w:t>。</w:t>
            </w:r>
          </w:p>
        </w:tc>
        <w:tc>
          <w:tcPr>
            <w:tcW w:w="669" w:type="dxa"/>
            <w:tcBorders>
              <w:top w:val="single" w:color="000000" w:sz="8" w:space="0"/>
            </w:tcBorders>
            <w:vAlign w:val="center"/>
          </w:tcPr>
          <w:p>
            <w:pPr>
              <w:spacing w:line="440" w:lineRule="exact"/>
              <w:jc w:val="center"/>
              <w:rPr>
                <w:rFonts w:hint="default"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4" w:type="dxa"/>
            <w:tcBorders>
              <w:bottom w:val="single" w:color="auto" w:sz="4" w:space="0"/>
            </w:tcBorders>
            <w:vAlign w:val="center"/>
          </w:tcPr>
          <w:p>
            <w:pPr>
              <w:pStyle w:val="129"/>
              <w:widowControl/>
              <w:spacing w:line="440" w:lineRule="exact"/>
              <w:ind w:firstLine="0" w:firstLineChars="0"/>
              <w:jc w:val="center"/>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7</w:t>
            </w:r>
          </w:p>
        </w:tc>
        <w:tc>
          <w:tcPr>
            <w:tcW w:w="7198" w:type="dxa"/>
            <w:tcBorders>
              <w:top w:val="single" w:color="000000" w:sz="8" w:space="0"/>
              <w:bottom w:val="single" w:color="auto" w:sz="4" w:space="0"/>
            </w:tcBorders>
            <w:vAlign w:val="center"/>
          </w:tcPr>
          <w:p>
            <w:pPr>
              <w:spacing w:line="440" w:lineRule="exact"/>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kern w:val="2"/>
                <w:sz w:val="21"/>
                <w:szCs w:val="21"/>
                <w:highlight w:val="none"/>
                <w:lang w:eastAsia="zh-CN"/>
              </w:rPr>
              <w:t>根据投标人</w:t>
            </w:r>
            <w:r>
              <w:rPr>
                <w:rFonts w:hint="eastAsia" w:ascii="微软雅黑" w:hAnsi="微软雅黑" w:eastAsia="微软雅黑" w:cs="微软雅黑"/>
                <w:color w:val="auto"/>
                <w:kern w:val="2"/>
                <w:sz w:val="21"/>
                <w:szCs w:val="21"/>
                <w:highlight w:val="none"/>
              </w:rPr>
              <w:t>针对本项目制定演出规章制度（评标委员会根据投标文件中制定的制度合理情况进行</w:t>
            </w:r>
            <w:r>
              <w:rPr>
                <w:rFonts w:hint="eastAsia" w:ascii="微软雅黑" w:hAnsi="微软雅黑" w:eastAsia="微软雅黑" w:cs="微软雅黑"/>
                <w:color w:val="auto"/>
                <w:kern w:val="2"/>
                <w:sz w:val="21"/>
                <w:szCs w:val="21"/>
                <w:highlight w:val="none"/>
                <w:lang w:eastAsia="zh-CN"/>
              </w:rPr>
              <w:t>综合评审</w:t>
            </w:r>
            <w:r>
              <w:rPr>
                <w:rFonts w:hint="eastAsia" w:ascii="微软雅黑" w:hAnsi="微软雅黑" w:eastAsia="微软雅黑" w:cs="微软雅黑"/>
                <w:color w:val="auto"/>
                <w:kern w:val="2"/>
                <w:sz w:val="21"/>
                <w:szCs w:val="21"/>
                <w:highlight w:val="none"/>
              </w:rPr>
              <w:t>）</w:t>
            </w:r>
            <w:r>
              <w:rPr>
                <w:rFonts w:hint="eastAsia" w:ascii="微软雅黑" w:hAnsi="微软雅黑" w:eastAsia="微软雅黑" w:cs="微软雅黑"/>
                <w:color w:val="auto"/>
                <w:kern w:val="2"/>
                <w:sz w:val="21"/>
                <w:szCs w:val="21"/>
                <w:highlight w:val="none"/>
                <w:lang w:eastAsia="zh-CN"/>
              </w:rPr>
              <w:t>；【</w:t>
            </w:r>
            <w:r>
              <w:rPr>
                <w:rFonts w:hint="eastAsia" w:ascii="微软雅黑" w:hAnsi="微软雅黑" w:eastAsia="微软雅黑" w:cs="微软雅黑"/>
                <w:color w:val="auto"/>
                <w:kern w:val="2"/>
                <w:sz w:val="21"/>
                <w:szCs w:val="21"/>
                <w:highlight w:val="none"/>
                <w:lang w:val="en-US" w:eastAsia="zh-CN"/>
              </w:rPr>
              <w:t>0-8分】</w:t>
            </w:r>
          </w:p>
        </w:tc>
        <w:tc>
          <w:tcPr>
            <w:tcW w:w="669" w:type="dxa"/>
            <w:tcBorders>
              <w:top w:val="single" w:color="000000" w:sz="8" w:space="0"/>
            </w:tcBorders>
            <w:vAlign w:val="center"/>
          </w:tcPr>
          <w:p>
            <w:pPr>
              <w:spacing w:line="440" w:lineRule="exact"/>
              <w:jc w:val="center"/>
              <w:rPr>
                <w:rFonts w:hint="default"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4" w:type="dxa"/>
            <w:tcBorders>
              <w:top w:val="single" w:color="auto" w:sz="4" w:space="0"/>
            </w:tcBorders>
            <w:vAlign w:val="center"/>
          </w:tcPr>
          <w:p>
            <w:pPr>
              <w:pStyle w:val="129"/>
              <w:widowControl/>
              <w:spacing w:line="440" w:lineRule="exact"/>
              <w:ind w:firstLine="0" w:firstLineChars="0"/>
              <w:jc w:val="center"/>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8</w:t>
            </w:r>
          </w:p>
        </w:tc>
        <w:tc>
          <w:tcPr>
            <w:tcW w:w="7198" w:type="dxa"/>
            <w:tcBorders>
              <w:top w:val="single" w:color="auto" w:sz="4" w:space="0"/>
            </w:tcBorders>
            <w:vAlign w:val="center"/>
          </w:tcPr>
          <w:p>
            <w:pPr>
              <w:spacing w:line="440" w:lineRule="exact"/>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kern w:val="2"/>
                <w:sz w:val="21"/>
                <w:szCs w:val="21"/>
                <w:highlight w:val="none"/>
                <w:lang w:eastAsia="zh-CN"/>
              </w:rPr>
              <w:t>根据投标人的</w:t>
            </w:r>
            <w:r>
              <w:rPr>
                <w:rFonts w:hint="eastAsia" w:ascii="微软雅黑" w:hAnsi="微软雅黑" w:eastAsia="微软雅黑" w:cs="微软雅黑"/>
                <w:color w:val="auto"/>
                <w:kern w:val="2"/>
                <w:sz w:val="21"/>
                <w:szCs w:val="21"/>
                <w:highlight w:val="none"/>
              </w:rPr>
              <w:t>对外协调机制和内部服务反应机制，以及突发事件处理机制（评标委员会根据投标文件中制定的制度合理情况进行</w:t>
            </w:r>
            <w:r>
              <w:rPr>
                <w:rFonts w:hint="eastAsia" w:ascii="微软雅黑" w:hAnsi="微软雅黑" w:eastAsia="微软雅黑" w:cs="微软雅黑"/>
                <w:color w:val="auto"/>
                <w:kern w:val="2"/>
                <w:sz w:val="21"/>
                <w:szCs w:val="21"/>
                <w:highlight w:val="none"/>
                <w:lang w:eastAsia="zh-CN"/>
              </w:rPr>
              <w:t>综合评审</w:t>
            </w:r>
            <w:r>
              <w:rPr>
                <w:rFonts w:hint="eastAsia" w:ascii="微软雅黑" w:hAnsi="微软雅黑" w:eastAsia="微软雅黑" w:cs="微软雅黑"/>
                <w:color w:val="auto"/>
                <w:kern w:val="2"/>
                <w:sz w:val="21"/>
                <w:szCs w:val="21"/>
                <w:highlight w:val="none"/>
              </w:rPr>
              <w:t>）</w:t>
            </w:r>
            <w:r>
              <w:rPr>
                <w:rFonts w:hint="eastAsia" w:ascii="微软雅黑" w:hAnsi="微软雅黑" w:eastAsia="微软雅黑" w:cs="微软雅黑"/>
                <w:color w:val="auto"/>
                <w:kern w:val="2"/>
                <w:sz w:val="21"/>
                <w:szCs w:val="21"/>
                <w:highlight w:val="none"/>
                <w:lang w:eastAsia="zh-CN"/>
              </w:rPr>
              <w:t>；【</w:t>
            </w:r>
            <w:r>
              <w:rPr>
                <w:rFonts w:hint="eastAsia" w:ascii="微软雅黑" w:hAnsi="微软雅黑" w:eastAsia="微软雅黑" w:cs="微软雅黑"/>
                <w:color w:val="auto"/>
                <w:kern w:val="2"/>
                <w:sz w:val="21"/>
                <w:szCs w:val="21"/>
                <w:highlight w:val="none"/>
                <w:lang w:val="en-US" w:eastAsia="zh-CN"/>
              </w:rPr>
              <w:t>0-8分】</w:t>
            </w:r>
          </w:p>
        </w:tc>
        <w:tc>
          <w:tcPr>
            <w:tcW w:w="669" w:type="dxa"/>
            <w:tcBorders>
              <w:top w:val="single" w:color="000000" w:sz="8" w:space="0"/>
            </w:tcBorders>
            <w:vAlign w:val="center"/>
          </w:tcPr>
          <w:p>
            <w:pPr>
              <w:spacing w:line="440" w:lineRule="exact"/>
              <w:jc w:val="center"/>
              <w:rPr>
                <w:rFonts w:hint="default"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4" w:type="dxa"/>
            <w:vAlign w:val="center"/>
          </w:tcPr>
          <w:p>
            <w:pPr>
              <w:pStyle w:val="129"/>
              <w:widowControl/>
              <w:spacing w:line="440" w:lineRule="exact"/>
              <w:ind w:left="0" w:leftChars="0" w:firstLine="0" w:firstLineChars="0"/>
              <w:jc w:val="center"/>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9</w:t>
            </w:r>
          </w:p>
        </w:tc>
        <w:tc>
          <w:tcPr>
            <w:tcW w:w="7198" w:type="dxa"/>
            <w:tcBorders>
              <w:top w:val="single" w:color="000000" w:sz="8" w:space="0"/>
            </w:tcBorders>
            <w:vAlign w:val="center"/>
          </w:tcPr>
          <w:p>
            <w:pPr>
              <w:spacing w:line="440" w:lineRule="exact"/>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kern w:val="2"/>
                <w:sz w:val="21"/>
                <w:szCs w:val="21"/>
                <w:highlight w:val="none"/>
                <w:lang w:eastAsia="zh-CN"/>
              </w:rPr>
              <w:t>根据投标人</w:t>
            </w:r>
            <w:r>
              <w:rPr>
                <w:rFonts w:hint="eastAsia" w:ascii="微软雅黑" w:hAnsi="微软雅黑" w:eastAsia="微软雅黑" w:cs="微软雅黑"/>
                <w:color w:val="auto"/>
                <w:kern w:val="2"/>
                <w:sz w:val="21"/>
                <w:szCs w:val="21"/>
                <w:highlight w:val="none"/>
              </w:rPr>
              <w:t>针对本项目演出安全保证措施：成员单位须制定安全防范措施，确保演出过程中演职人员的人身安全，并为演职人员购买人身意外保险等（评标委员会根据投标文件中制定的制度合理情况进行</w:t>
            </w:r>
            <w:r>
              <w:rPr>
                <w:rFonts w:hint="eastAsia" w:ascii="微软雅黑" w:hAnsi="微软雅黑" w:eastAsia="微软雅黑" w:cs="微软雅黑"/>
                <w:color w:val="auto"/>
                <w:kern w:val="2"/>
                <w:sz w:val="21"/>
                <w:szCs w:val="21"/>
                <w:highlight w:val="none"/>
                <w:lang w:eastAsia="zh-CN"/>
              </w:rPr>
              <w:t>综合评审</w:t>
            </w:r>
            <w:r>
              <w:rPr>
                <w:rFonts w:hint="eastAsia" w:ascii="微软雅黑" w:hAnsi="微软雅黑" w:eastAsia="微软雅黑" w:cs="微软雅黑"/>
                <w:color w:val="auto"/>
                <w:kern w:val="2"/>
                <w:sz w:val="21"/>
                <w:szCs w:val="21"/>
                <w:highlight w:val="none"/>
              </w:rPr>
              <w:t>）</w:t>
            </w:r>
            <w:r>
              <w:rPr>
                <w:rFonts w:hint="eastAsia" w:ascii="微软雅黑" w:hAnsi="微软雅黑" w:eastAsia="微软雅黑" w:cs="微软雅黑"/>
                <w:color w:val="auto"/>
                <w:kern w:val="2"/>
                <w:sz w:val="21"/>
                <w:szCs w:val="21"/>
                <w:highlight w:val="none"/>
                <w:lang w:eastAsia="zh-CN"/>
              </w:rPr>
              <w:t>；【</w:t>
            </w:r>
            <w:r>
              <w:rPr>
                <w:rFonts w:hint="eastAsia" w:ascii="微软雅黑" w:hAnsi="微软雅黑" w:eastAsia="微软雅黑" w:cs="微软雅黑"/>
                <w:color w:val="auto"/>
                <w:kern w:val="2"/>
                <w:sz w:val="21"/>
                <w:szCs w:val="21"/>
                <w:highlight w:val="none"/>
                <w:lang w:val="en-US" w:eastAsia="zh-CN"/>
              </w:rPr>
              <w:t>0-8分】</w:t>
            </w:r>
          </w:p>
        </w:tc>
        <w:tc>
          <w:tcPr>
            <w:tcW w:w="669" w:type="dxa"/>
            <w:tcBorders>
              <w:top w:val="single" w:color="000000" w:sz="8" w:space="0"/>
            </w:tcBorders>
            <w:vAlign w:val="center"/>
          </w:tcPr>
          <w:p>
            <w:pPr>
              <w:spacing w:line="440" w:lineRule="exact"/>
              <w:jc w:val="center"/>
              <w:rPr>
                <w:rFonts w:hint="default"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4" w:type="dxa"/>
            <w:vAlign w:val="center"/>
          </w:tcPr>
          <w:p>
            <w:pPr>
              <w:pStyle w:val="129"/>
              <w:widowControl/>
              <w:spacing w:line="440" w:lineRule="exact"/>
              <w:ind w:left="0" w:leftChars="0" w:firstLine="0" w:firstLineChars="0"/>
              <w:jc w:val="center"/>
              <w:rPr>
                <w:rFonts w:hint="default"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10</w:t>
            </w:r>
          </w:p>
        </w:tc>
        <w:tc>
          <w:tcPr>
            <w:tcW w:w="7198" w:type="dxa"/>
            <w:tcBorders>
              <w:top w:val="single" w:color="000000" w:sz="8" w:space="0"/>
            </w:tcBorders>
            <w:vAlign w:val="center"/>
          </w:tcPr>
          <w:p>
            <w:pPr>
              <w:spacing w:line="44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kern w:val="2"/>
                <w:sz w:val="21"/>
                <w:szCs w:val="21"/>
                <w:highlight w:val="none"/>
                <w:lang w:eastAsia="zh-CN"/>
              </w:rPr>
              <w:t>根据投标人</w:t>
            </w:r>
            <w:r>
              <w:rPr>
                <w:rFonts w:hint="eastAsia" w:ascii="微软雅黑" w:hAnsi="微软雅黑" w:eastAsia="微软雅黑" w:cs="微软雅黑"/>
                <w:color w:val="auto"/>
                <w:kern w:val="2"/>
                <w:sz w:val="21"/>
                <w:szCs w:val="21"/>
                <w:highlight w:val="none"/>
              </w:rPr>
              <w:t>针对本项目服务过程中存在问题的解决对策（评标委员会根据投标文件中制定的方案情况进行</w:t>
            </w:r>
            <w:r>
              <w:rPr>
                <w:rFonts w:hint="eastAsia" w:ascii="微软雅黑" w:hAnsi="微软雅黑" w:eastAsia="微软雅黑" w:cs="微软雅黑"/>
                <w:color w:val="auto"/>
                <w:kern w:val="2"/>
                <w:sz w:val="21"/>
                <w:szCs w:val="21"/>
                <w:highlight w:val="none"/>
                <w:lang w:eastAsia="zh-CN"/>
              </w:rPr>
              <w:t>综合评审</w:t>
            </w:r>
            <w:r>
              <w:rPr>
                <w:rFonts w:hint="eastAsia" w:ascii="微软雅黑" w:hAnsi="微软雅黑" w:eastAsia="微软雅黑" w:cs="微软雅黑"/>
                <w:color w:val="auto"/>
                <w:kern w:val="2"/>
                <w:sz w:val="21"/>
                <w:szCs w:val="21"/>
                <w:highlight w:val="none"/>
              </w:rPr>
              <w:t>）</w:t>
            </w:r>
            <w:r>
              <w:rPr>
                <w:rFonts w:hint="eastAsia" w:ascii="微软雅黑" w:hAnsi="微软雅黑" w:eastAsia="微软雅黑" w:cs="微软雅黑"/>
                <w:color w:val="auto"/>
                <w:kern w:val="2"/>
                <w:sz w:val="21"/>
                <w:szCs w:val="21"/>
                <w:highlight w:val="none"/>
                <w:lang w:eastAsia="zh-CN"/>
              </w:rPr>
              <w:t>；【</w:t>
            </w:r>
            <w:r>
              <w:rPr>
                <w:rFonts w:hint="eastAsia" w:ascii="微软雅黑" w:hAnsi="微软雅黑" w:eastAsia="微软雅黑" w:cs="微软雅黑"/>
                <w:color w:val="auto"/>
                <w:kern w:val="2"/>
                <w:sz w:val="21"/>
                <w:szCs w:val="21"/>
                <w:highlight w:val="none"/>
                <w:lang w:val="en-US" w:eastAsia="zh-CN"/>
              </w:rPr>
              <w:t>0-8分】</w:t>
            </w:r>
          </w:p>
        </w:tc>
        <w:tc>
          <w:tcPr>
            <w:tcW w:w="669" w:type="dxa"/>
            <w:tcBorders>
              <w:top w:val="single" w:color="000000" w:sz="8" w:space="0"/>
            </w:tcBorders>
            <w:vAlign w:val="center"/>
          </w:tcPr>
          <w:p>
            <w:pPr>
              <w:spacing w:line="440" w:lineRule="exact"/>
              <w:jc w:val="center"/>
              <w:rPr>
                <w:rFonts w:hint="default"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44" w:type="dxa"/>
            <w:vAlign w:val="center"/>
          </w:tcPr>
          <w:p>
            <w:pPr>
              <w:pStyle w:val="129"/>
              <w:widowControl/>
              <w:spacing w:line="440" w:lineRule="exact"/>
              <w:ind w:firstLine="0" w:firstLineChars="0"/>
              <w:jc w:val="center"/>
              <w:rPr>
                <w:rFonts w:hint="default"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kern w:val="2"/>
                <w:sz w:val="21"/>
                <w:szCs w:val="21"/>
                <w:highlight w:val="none"/>
                <w:lang w:val="en-US" w:eastAsia="zh-CN"/>
              </w:rPr>
              <w:t>11</w:t>
            </w:r>
          </w:p>
        </w:tc>
        <w:tc>
          <w:tcPr>
            <w:tcW w:w="7198" w:type="dxa"/>
            <w:tcBorders>
              <w:top w:val="single" w:color="000000" w:sz="8" w:space="0"/>
              <w:bottom w:val="single" w:color="000000" w:sz="8" w:space="0"/>
            </w:tcBorders>
            <w:vAlign w:val="center"/>
          </w:tcPr>
          <w:p>
            <w:pPr>
              <w:spacing w:line="440" w:lineRule="exact"/>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kern w:val="2"/>
                <w:sz w:val="21"/>
                <w:szCs w:val="21"/>
                <w:highlight w:val="none"/>
                <w:lang w:eastAsia="zh-CN"/>
              </w:rPr>
              <w:t>根据</w:t>
            </w:r>
            <w:r>
              <w:rPr>
                <w:rFonts w:hint="eastAsia" w:ascii="微软雅黑" w:hAnsi="微软雅黑" w:eastAsia="微软雅黑" w:cs="微软雅黑"/>
                <w:color w:val="auto"/>
                <w:kern w:val="2"/>
                <w:sz w:val="21"/>
                <w:szCs w:val="21"/>
                <w:highlight w:val="none"/>
              </w:rPr>
              <w:t>投标人针对采购人线上下单方式，提出的响应方案、响应时间承诺。响应及时有效、方案合理可行。</w:t>
            </w:r>
            <w:r>
              <w:rPr>
                <w:rFonts w:hint="eastAsia" w:ascii="微软雅黑" w:hAnsi="微软雅黑" w:eastAsia="微软雅黑" w:cs="微软雅黑"/>
                <w:color w:val="auto"/>
                <w:kern w:val="2"/>
                <w:sz w:val="21"/>
                <w:szCs w:val="21"/>
                <w:highlight w:val="none"/>
                <w:lang w:eastAsia="zh-CN"/>
              </w:rPr>
              <w:t>评审委员会进行综合评审；【</w:t>
            </w:r>
            <w:r>
              <w:rPr>
                <w:rFonts w:hint="eastAsia" w:ascii="微软雅黑" w:hAnsi="微软雅黑" w:eastAsia="微软雅黑" w:cs="微软雅黑"/>
                <w:color w:val="auto"/>
                <w:kern w:val="2"/>
                <w:sz w:val="21"/>
                <w:szCs w:val="21"/>
                <w:highlight w:val="none"/>
              </w:rPr>
              <w:t>0-</w:t>
            </w:r>
            <w:r>
              <w:rPr>
                <w:rFonts w:hint="eastAsia" w:ascii="微软雅黑" w:hAnsi="微软雅黑" w:eastAsia="微软雅黑" w:cs="微软雅黑"/>
                <w:color w:val="auto"/>
                <w:kern w:val="2"/>
                <w:sz w:val="21"/>
                <w:szCs w:val="21"/>
                <w:highlight w:val="none"/>
                <w:lang w:val="en-US" w:eastAsia="zh-CN"/>
              </w:rPr>
              <w:t>6</w:t>
            </w:r>
            <w:r>
              <w:rPr>
                <w:rFonts w:hint="eastAsia" w:ascii="微软雅黑" w:hAnsi="微软雅黑" w:eastAsia="微软雅黑" w:cs="微软雅黑"/>
                <w:color w:val="auto"/>
                <w:kern w:val="2"/>
                <w:sz w:val="21"/>
                <w:szCs w:val="21"/>
                <w:highlight w:val="none"/>
              </w:rPr>
              <w:t>分</w:t>
            </w:r>
            <w:r>
              <w:rPr>
                <w:rFonts w:hint="eastAsia" w:ascii="微软雅黑" w:hAnsi="微软雅黑" w:eastAsia="微软雅黑" w:cs="微软雅黑"/>
                <w:color w:val="auto"/>
                <w:kern w:val="2"/>
                <w:sz w:val="21"/>
                <w:szCs w:val="21"/>
                <w:highlight w:val="none"/>
                <w:lang w:eastAsia="zh-CN"/>
              </w:rPr>
              <w:t>】</w:t>
            </w:r>
          </w:p>
        </w:tc>
        <w:tc>
          <w:tcPr>
            <w:tcW w:w="669" w:type="dxa"/>
            <w:tcBorders>
              <w:top w:val="single" w:color="000000" w:sz="8" w:space="0"/>
              <w:bottom w:val="single" w:color="000000" w:sz="8" w:space="0"/>
            </w:tcBorders>
            <w:vAlign w:val="center"/>
          </w:tcPr>
          <w:p>
            <w:pPr>
              <w:spacing w:line="440" w:lineRule="exact"/>
              <w:jc w:val="center"/>
              <w:rPr>
                <w:rFonts w:hint="default"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44" w:type="dxa"/>
            <w:vAlign w:val="center"/>
          </w:tcPr>
          <w:p>
            <w:pPr>
              <w:pStyle w:val="129"/>
              <w:widowControl/>
              <w:spacing w:line="440" w:lineRule="exact"/>
              <w:ind w:firstLine="0" w:firstLineChars="0"/>
              <w:jc w:val="center"/>
              <w:rPr>
                <w:rFonts w:hint="eastAsia" w:ascii="微软雅黑" w:hAnsi="微软雅黑" w:eastAsia="微软雅黑" w:cs="微软雅黑"/>
                <w:color w:val="auto"/>
                <w:kern w:val="2"/>
                <w:sz w:val="21"/>
                <w:szCs w:val="21"/>
                <w:highlight w:val="none"/>
                <w:lang w:val="en-US" w:eastAsia="zh-CN"/>
              </w:rPr>
            </w:pPr>
          </w:p>
        </w:tc>
        <w:tc>
          <w:tcPr>
            <w:tcW w:w="7198" w:type="dxa"/>
            <w:tcBorders>
              <w:top w:val="single" w:color="000000" w:sz="8" w:space="0"/>
            </w:tcBorders>
            <w:vAlign w:val="center"/>
          </w:tcPr>
          <w:p>
            <w:pPr>
              <w:spacing w:line="440" w:lineRule="exact"/>
              <w:rPr>
                <w:rFonts w:hint="eastAsia" w:ascii="微软雅黑" w:hAnsi="微软雅黑" w:eastAsia="微软雅黑" w:cs="微软雅黑"/>
                <w:color w:val="auto"/>
                <w:kern w:val="2"/>
                <w:sz w:val="21"/>
                <w:szCs w:val="21"/>
                <w:highlight w:val="none"/>
              </w:rPr>
            </w:pPr>
          </w:p>
        </w:tc>
        <w:tc>
          <w:tcPr>
            <w:tcW w:w="669" w:type="dxa"/>
            <w:tcBorders>
              <w:top w:val="single" w:color="000000" w:sz="8" w:space="0"/>
            </w:tcBorders>
            <w:vAlign w:val="center"/>
          </w:tcPr>
          <w:p>
            <w:pPr>
              <w:spacing w:line="440" w:lineRule="exact"/>
              <w:jc w:val="center"/>
              <w:rPr>
                <w:rFonts w:hint="default"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86</w:t>
            </w:r>
          </w:p>
        </w:tc>
      </w:tr>
    </w:tbl>
    <w:p>
      <w:pPr>
        <w:pStyle w:val="57"/>
        <w:numPr>
          <w:ilvl w:val="0"/>
          <w:numId w:val="0"/>
        </w:numPr>
        <w:rPr>
          <w:color w:val="auto"/>
          <w:highlight w:val="none"/>
        </w:rPr>
      </w:pPr>
    </w:p>
    <w:p>
      <w:pPr>
        <w:spacing w:line="400" w:lineRule="exact"/>
        <w:ind w:firstLine="420" w:firstLineChars="200"/>
        <w:rPr>
          <w:rFonts w:ascii="微软雅黑" w:hAnsi="微软雅黑" w:eastAsia="微软雅黑"/>
          <w:b/>
          <w:color w:val="auto"/>
          <w:szCs w:val="21"/>
          <w:highlight w:val="none"/>
        </w:rPr>
      </w:pPr>
      <w:r>
        <w:rPr>
          <w:rFonts w:hint="eastAsia" w:ascii="微软雅黑" w:hAnsi="微软雅黑" w:eastAsia="微软雅黑"/>
          <w:b/>
          <w:color w:val="auto"/>
          <w:szCs w:val="21"/>
          <w:highlight w:val="none"/>
        </w:rPr>
        <w:t>三、资信商务分：</w:t>
      </w:r>
    </w:p>
    <w:tbl>
      <w:tblPr>
        <w:tblStyle w:val="58"/>
        <w:tblW w:w="88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7234"/>
        <w:gridCol w:w="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after="0" w:line="500" w:lineRule="exact"/>
              <w:jc w:val="center"/>
              <w:rPr>
                <w:rFonts w:ascii="微软雅黑" w:hAnsi="微软雅黑" w:eastAsia="微软雅黑"/>
                <w:b/>
                <w:bCs/>
                <w:color w:val="auto"/>
                <w:szCs w:val="21"/>
                <w:highlight w:val="none"/>
              </w:rPr>
            </w:pPr>
            <w:r>
              <w:rPr>
                <w:rFonts w:hint="eastAsia" w:ascii="微软雅黑" w:hAnsi="微软雅黑" w:eastAsia="微软雅黑"/>
                <w:b/>
                <w:bCs/>
                <w:color w:val="auto"/>
                <w:szCs w:val="21"/>
                <w:highlight w:val="none"/>
              </w:rPr>
              <w:t>序号</w:t>
            </w:r>
          </w:p>
        </w:tc>
        <w:tc>
          <w:tcPr>
            <w:tcW w:w="7234" w:type="dxa"/>
            <w:tcBorders>
              <w:top w:val="single" w:color="auto" w:sz="4" w:space="0"/>
              <w:left w:val="single" w:color="auto" w:sz="4" w:space="0"/>
              <w:bottom w:val="single" w:color="auto" w:sz="4" w:space="0"/>
              <w:right w:val="single" w:color="auto" w:sz="4" w:space="0"/>
            </w:tcBorders>
          </w:tcPr>
          <w:p>
            <w:pPr>
              <w:spacing w:after="0" w:line="500" w:lineRule="exact"/>
              <w:rPr>
                <w:rFonts w:ascii="微软雅黑" w:hAnsi="微软雅黑" w:eastAsia="微软雅黑"/>
                <w:b/>
                <w:bCs/>
                <w:color w:val="auto"/>
                <w:szCs w:val="21"/>
                <w:highlight w:val="none"/>
              </w:rPr>
            </w:pPr>
            <w:r>
              <w:rPr>
                <w:rFonts w:hint="eastAsia" w:ascii="微软雅黑" w:hAnsi="微软雅黑" w:eastAsia="微软雅黑"/>
                <w:b/>
                <w:bCs/>
                <w:color w:val="auto"/>
                <w:szCs w:val="21"/>
                <w:highlight w:val="none"/>
              </w:rPr>
              <w:t>评分标准</w:t>
            </w:r>
          </w:p>
        </w:tc>
        <w:tc>
          <w:tcPr>
            <w:tcW w:w="802" w:type="dxa"/>
            <w:tcBorders>
              <w:top w:val="single" w:color="auto" w:sz="4" w:space="0"/>
              <w:left w:val="single" w:color="auto" w:sz="4" w:space="0"/>
              <w:bottom w:val="single" w:color="auto" w:sz="4" w:space="0"/>
              <w:right w:val="single" w:color="auto" w:sz="4" w:space="0"/>
            </w:tcBorders>
            <w:vAlign w:val="center"/>
          </w:tcPr>
          <w:p>
            <w:pPr>
              <w:spacing w:after="0" w:line="500" w:lineRule="exact"/>
              <w:jc w:val="center"/>
              <w:rPr>
                <w:rFonts w:ascii="微软雅黑" w:hAnsi="微软雅黑" w:eastAsia="微软雅黑"/>
                <w:b/>
                <w:bCs/>
                <w:color w:val="auto"/>
                <w:szCs w:val="21"/>
                <w:highlight w:val="none"/>
              </w:rPr>
            </w:pPr>
            <w:r>
              <w:rPr>
                <w:rFonts w:hint="eastAsia" w:ascii="微软雅黑" w:hAnsi="微软雅黑" w:eastAsia="微软雅黑"/>
                <w:b/>
                <w:bCs/>
                <w:color w:val="auto"/>
                <w:szCs w:val="21"/>
                <w:highlight w:val="none"/>
              </w:rPr>
              <w:t>最高得分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after="0" w:line="500" w:lineRule="exact"/>
              <w:jc w:val="center"/>
              <w:rPr>
                <w:rFonts w:hint="default" w:ascii="微软雅黑" w:hAnsi="微软雅黑" w:eastAsia="微软雅黑"/>
                <w:bCs/>
                <w:color w:val="auto"/>
                <w:szCs w:val="21"/>
                <w:highlight w:val="none"/>
                <w:lang w:val="en-US" w:eastAsia="zh-CN"/>
              </w:rPr>
            </w:pPr>
            <w:r>
              <w:rPr>
                <w:rFonts w:hint="eastAsia" w:ascii="微软雅黑" w:hAnsi="微软雅黑" w:eastAsia="微软雅黑"/>
                <w:bCs/>
                <w:color w:val="auto"/>
                <w:szCs w:val="21"/>
                <w:highlight w:val="none"/>
                <w:lang w:val="en-US" w:eastAsia="zh-CN"/>
              </w:rPr>
              <w:t>12</w:t>
            </w:r>
          </w:p>
        </w:tc>
        <w:tc>
          <w:tcPr>
            <w:tcW w:w="7234" w:type="dxa"/>
            <w:tcBorders>
              <w:top w:val="single" w:color="auto" w:sz="4" w:space="0"/>
              <w:left w:val="single" w:color="auto" w:sz="4" w:space="0"/>
              <w:bottom w:val="single" w:color="auto" w:sz="4" w:space="0"/>
              <w:right w:val="single" w:color="auto" w:sz="4" w:space="0"/>
            </w:tcBorders>
          </w:tcPr>
          <w:p>
            <w:pPr>
              <w:spacing w:after="0" w:line="500" w:lineRule="exact"/>
              <w:rPr>
                <w:rFonts w:ascii="微软雅黑" w:hAnsi="微软雅黑" w:eastAsia="微软雅黑"/>
                <w:bCs/>
                <w:color w:val="auto"/>
                <w:szCs w:val="21"/>
                <w:highlight w:val="none"/>
              </w:rPr>
            </w:pPr>
            <w:r>
              <w:rPr>
                <w:rFonts w:hint="eastAsia" w:ascii="微软雅黑" w:hAnsi="微软雅黑" w:eastAsia="微软雅黑"/>
                <w:color w:val="auto"/>
                <w:szCs w:val="21"/>
                <w:highlight w:val="none"/>
              </w:rPr>
              <w:t>凡在投标截止时间前三年受到行政处罚、行政处理(含通报)或记入不良行为的，此项得分为0;若无处罚、行政处理(含通)报)或记入不良行为的得</w:t>
            </w:r>
            <w:r>
              <w:rPr>
                <w:rFonts w:ascii="微软雅黑" w:hAnsi="微软雅黑" w:eastAsia="微软雅黑"/>
                <w:color w:val="auto"/>
                <w:szCs w:val="21"/>
                <w:highlight w:val="none"/>
              </w:rPr>
              <w:t>3</w:t>
            </w:r>
            <w:r>
              <w:rPr>
                <w:rFonts w:hint="eastAsia" w:ascii="微软雅黑" w:hAnsi="微软雅黑" w:eastAsia="微软雅黑"/>
                <w:color w:val="auto"/>
                <w:szCs w:val="21"/>
                <w:highlight w:val="none"/>
              </w:rPr>
              <w:t>分(投标供应商自行提供承诺函，不提供承诺函的得0分，如有不良记录又虚假承诺的，一经发现将取消中标资格并报监管部门依法处理)。</w:t>
            </w:r>
          </w:p>
        </w:tc>
        <w:tc>
          <w:tcPr>
            <w:tcW w:w="802" w:type="dxa"/>
            <w:tcBorders>
              <w:top w:val="single" w:color="auto" w:sz="4" w:space="0"/>
              <w:left w:val="single" w:color="auto" w:sz="4" w:space="0"/>
              <w:bottom w:val="single" w:color="auto" w:sz="4" w:space="0"/>
              <w:right w:val="single" w:color="auto" w:sz="4" w:space="0"/>
            </w:tcBorders>
            <w:vAlign w:val="center"/>
          </w:tcPr>
          <w:p>
            <w:pPr>
              <w:spacing w:after="0" w:line="500" w:lineRule="exact"/>
              <w:jc w:val="center"/>
              <w:rPr>
                <w:rFonts w:ascii="微软雅黑" w:hAnsi="微软雅黑" w:eastAsia="微软雅黑"/>
                <w:bCs/>
                <w:color w:val="auto"/>
                <w:szCs w:val="21"/>
                <w:highlight w:val="none"/>
              </w:rPr>
            </w:pPr>
            <w:r>
              <w:rPr>
                <w:rFonts w:hint="eastAsia" w:ascii="微软雅黑" w:hAnsi="微软雅黑" w:eastAsia="微软雅黑"/>
                <w:bCs/>
                <w:color w:val="auto"/>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after="0" w:line="500" w:lineRule="exact"/>
              <w:jc w:val="center"/>
              <w:rPr>
                <w:rFonts w:hint="eastAsia" w:ascii="微软雅黑" w:hAnsi="微软雅黑" w:eastAsia="微软雅黑"/>
                <w:bCs/>
                <w:color w:val="auto"/>
                <w:szCs w:val="21"/>
                <w:highlight w:val="none"/>
                <w:lang w:val="en-US" w:eastAsia="zh-CN"/>
              </w:rPr>
            </w:pPr>
            <w:r>
              <w:rPr>
                <w:rFonts w:hint="eastAsia" w:ascii="微软雅黑" w:hAnsi="微软雅黑" w:eastAsia="微软雅黑"/>
                <w:bCs/>
                <w:color w:val="auto"/>
                <w:szCs w:val="21"/>
                <w:highlight w:val="none"/>
              </w:rPr>
              <w:t>1</w:t>
            </w:r>
            <w:r>
              <w:rPr>
                <w:rFonts w:hint="eastAsia" w:ascii="微软雅黑" w:hAnsi="微软雅黑" w:eastAsia="微软雅黑"/>
                <w:bCs/>
                <w:color w:val="auto"/>
                <w:szCs w:val="21"/>
                <w:highlight w:val="none"/>
                <w:lang w:val="en-US" w:eastAsia="zh-CN"/>
              </w:rPr>
              <w:t>3</w:t>
            </w:r>
          </w:p>
        </w:tc>
        <w:tc>
          <w:tcPr>
            <w:tcW w:w="7234" w:type="dxa"/>
            <w:tcBorders>
              <w:top w:val="single" w:color="auto" w:sz="4" w:space="0"/>
              <w:left w:val="single" w:color="auto" w:sz="4" w:space="0"/>
              <w:bottom w:val="single" w:color="auto" w:sz="4" w:space="0"/>
              <w:right w:val="single" w:color="auto" w:sz="4" w:space="0"/>
            </w:tcBorders>
          </w:tcPr>
          <w:p>
            <w:pPr>
              <w:spacing w:after="0" w:line="500" w:lineRule="exact"/>
              <w:rPr>
                <w:rFonts w:ascii="微软雅黑" w:hAnsi="微软雅黑" w:eastAsia="微软雅黑"/>
                <w:bCs/>
                <w:color w:val="auto"/>
                <w:szCs w:val="21"/>
                <w:highlight w:val="none"/>
              </w:rPr>
            </w:pPr>
            <w:r>
              <w:rPr>
                <w:rFonts w:hint="eastAsia" w:ascii="微软雅黑" w:hAnsi="微软雅黑" w:eastAsia="微软雅黑"/>
                <w:bCs/>
                <w:color w:val="auto"/>
                <w:szCs w:val="21"/>
                <w:highlight w:val="none"/>
              </w:rPr>
              <w:t>同类项目业绩：投标单位20</w:t>
            </w:r>
            <w:r>
              <w:rPr>
                <w:rFonts w:ascii="微软雅黑" w:hAnsi="微软雅黑" w:eastAsia="微软雅黑"/>
                <w:bCs/>
                <w:color w:val="auto"/>
                <w:szCs w:val="21"/>
                <w:highlight w:val="none"/>
              </w:rPr>
              <w:t>19</w:t>
            </w:r>
            <w:r>
              <w:rPr>
                <w:rFonts w:hint="eastAsia" w:ascii="微软雅黑" w:hAnsi="微软雅黑" w:eastAsia="微软雅黑"/>
                <w:bCs/>
                <w:color w:val="auto"/>
                <w:szCs w:val="21"/>
                <w:highlight w:val="none"/>
              </w:rPr>
              <w:t>年1月1日以来成功实施实施同类项目案例的，每个得</w:t>
            </w:r>
            <w:r>
              <w:rPr>
                <w:rFonts w:ascii="微软雅黑" w:hAnsi="微软雅黑" w:eastAsia="微软雅黑"/>
                <w:bCs/>
                <w:color w:val="auto"/>
                <w:szCs w:val="21"/>
                <w:highlight w:val="none"/>
              </w:rPr>
              <w:t>1</w:t>
            </w:r>
            <w:r>
              <w:rPr>
                <w:rFonts w:hint="eastAsia" w:ascii="微软雅黑" w:hAnsi="微软雅黑" w:eastAsia="微软雅黑"/>
                <w:bCs/>
                <w:color w:val="auto"/>
                <w:szCs w:val="21"/>
                <w:highlight w:val="none"/>
              </w:rPr>
              <w:t>分，最高1分。（项目合同及对应项目的同户意见评价书复印件做在竞争性磋商响应文件内，用户意见评价为不合格的，此项目合同不得分）；最高</w:t>
            </w:r>
            <w:r>
              <w:rPr>
                <w:rFonts w:ascii="微软雅黑" w:hAnsi="微软雅黑" w:eastAsia="微软雅黑"/>
                <w:bCs/>
                <w:color w:val="auto"/>
                <w:szCs w:val="21"/>
                <w:highlight w:val="none"/>
              </w:rPr>
              <w:t>1</w:t>
            </w:r>
            <w:r>
              <w:rPr>
                <w:rFonts w:hint="eastAsia" w:ascii="微软雅黑" w:hAnsi="微软雅黑" w:eastAsia="微软雅黑"/>
                <w:bCs/>
                <w:color w:val="auto"/>
                <w:szCs w:val="21"/>
                <w:highlight w:val="none"/>
              </w:rPr>
              <w:t>分。</w:t>
            </w:r>
          </w:p>
        </w:tc>
        <w:tc>
          <w:tcPr>
            <w:tcW w:w="802" w:type="dxa"/>
            <w:tcBorders>
              <w:top w:val="single" w:color="auto" w:sz="4" w:space="0"/>
              <w:left w:val="single" w:color="auto" w:sz="4" w:space="0"/>
              <w:bottom w:val="single" w:color="auto" w:sz="4" w:space="0"/>
              <w:right w:val="single" w:color="auto" w:sz="4" w:space="0"/>
            </w:tcBorders>
            <w:vAlign w:val="center"/>
          </w:tcPr>
          <w:p>
            <w:pPr>
              <w:spacing w:after="0" w:line="500" w:lineRule="exact"/>
              <w:jc w:val="center"/>
              <w:rPr>
                <w:rFonts w:ascii="微软雅黑" w:hAnsi="微软雅黑" w:eastAsia="微软雅黑"/>
                <w:bCs/>
                <w:color w:val="auto"/>
                <w:szCs w:val="21"/>
                <w:highlight w:val="none"/>
              </w:rPr>
            </w:pPr>
            <w:r>
              <w:rPr>
                <w:rFonts w:ascii="微软雅黑" w:hAnsi="微软雅黑" w:eastAsia="微软雅黑"/>
                <w:bCs/>
                <w:color w:val="auto"/>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after="0" w:line="500" w:lineRule="exact"/>
              <w:jc w:val="center"/>
              <w:rPr>
                <w:rFonts w:ascii="微软雅黑" w:hAnsi="微软雅黑" w:eastAsia="微软雅黑"/>
                <w:b/>
                <w:bCs/>
                <w:color w:val="auto"/>
                <w:szCs w:val="21"/>
                <w:highlight w:val="none"/>
              </w:rPr>
            </w:pPr>
            <w:r>
              <w:rPr>
                <w:rFonts w:hint="eastAsia" w:ascii="微软雅黑" w:hAnsi="微软雅黑" w:eastAsia="微软雅黑"/>
                <w:b/>
                <w:bCs/>
                <w:color w:val="auto"/>
                <w:szCs w:val="21"/>
                <w:highlight w:val="none"/>
              </w:rPr>
              <w:t>小计</w:t>
            </w:r>
          </w:p>
        </w:tc>
        <w:tc>
          <w:tcPr>
            <w:tcW w:w="7234" w:type="dxa"/>
            <w:tcBorders>
              <w:top w:val="single" w:color="auto" w:sz="4" w:space="0"/>
              <w:left w:val="single" w:color="auto" w:sz="4" w:space="0"/>
              <w:bottom w:val="single" w:color="auto" w:sz="4" w:space="0"/>
              <w:right w:val="single" w:color="auto" w:sz="4" w:space="0"/>
            </w:tcBorders>
            <w:vAlign w:val="center"/>
          </w:tcPr>
          <w:p>
            <w:pPr>
              <w:spacing w:after="0" w:line="500" w:lineRule="exact"/>
              <w:jc w:val="center"/>
              <w:rPr>
                <w:rFonts w:ascii="微软雅黑" w:hAnsi="微软雅黑" w:eastAsia="微软雅黑"/>
                <w:color w:val="auto"/>
                <w:szCs w:val="21"/>
                <w:highlight w:val="none"/>
              </w:rPr>
            </w:pPr>
          </w:p>
        </w:tc>
        <w:tc>
          <w:tcPr>
            <w:tcW w:w="802" w:type="dxa"/>
            <w:tcBorders>
              <w:top w:val="single" w:color="auto" w:sz="4" w:space="0"/>
              <w:left w:val="single" w:color="auto" w:sz="4" w:space="0"/>
              <w:bottom w:val="single" w:color="auto" w:sz="4" w:space="0"/>
              <w:right w:val="single" w:color="auto" w:sz="4" w:space="0"/>
            </w:tcBorders>
            <w:vAlign w:val="center"/>
          </w:tcPr>
          <w:p>
            <w:pPr>
              <w:spacing w:after="0" w:line="500" w:lineRule="exact"/>
              <w:jc w:val="center"/>
              <w:rPr>
                <w:rFonts w:ascii="微软雅黑" w:hAnsi="微软雅黑" w:eastAsia="微软雅黑"/>
                <w:b/>
                <w:bCs/>
                <w:color w:val="auto"/>
                <w:szCs w:val="21"/>
                <w:highlight w:val="none"/>
              </w:rPr>
            </w:pPr>
            <w:r>
              <w:rPr>
                <w:rFonts w:ascii="微软雅黑" w:hAnsi="微软雅黑" w:eastAsia="微软雅黑"/>
                <w:b/>
                <w:bCs/>
                <w:color w:val="auto"/>
                <w:szCs w:val="21"/>
                <w:highlight w:val="none"/>
              </w:rPr>
              <w:fldChar w:fldCharType="begin"/>
            </w:r>
            <w:r>
              <w:rPr>
                <w:rFonts w:ascii="微软雅黑" w:hAnsi="微软雅黑" w:eastAsia="微软雅黑"/>
                <w:b/>
                <w:bCs/>
                <w:color w:val="auto"/>
                <w:szCs w:val="21"/>
                <w:highlight w:val="none"/>
              </w:rPr>
              <w:instrText xml:space="preserve"> </w:instrText>
            </w:r>
            <w:r>
              <w:rPr>
                <w:rFonts w:hint="eastAsia" w:ascii="微软雅黑" w:hAnsi="微软雅黑" w:eastAsia="微软雅黑"/>
                <w:b/>
                <w:bCs/>
                <w:color w:val="auto"/>
                <w:szCs w:val="21"/>
                <w:highlight w:val="none"/>
              </w:rPr>
              <w:instrText xml:space="preserve">=SUM(ABOVE)</w:instrText>
            </w:r>
            <w:r>
              <w:rPr>
                <w:rFonts w:ascii="微软雅黑" w:hAnsi="微软雅黑" w:eastAsia="微软雅黑"/>
                <w:b/>
                <w:bCs/>
                <w:color w:val="auto"/>
                <w:szCs w:val="21"/>
                <w:highlight w:val="none"/>
              </w:rPr>
              <w:instrText xml:space="preserve"> </w:instrText>
            </w:r>
            <w:r>
              <w:rPr>
                <w:rFonts w:ascii="微软雅黑" w:hAnsi="微软雅黑" w:eastAsia="微软雅黑"/>
                <w:b/>
                <w:bCs/>
                <w:color w:val="auto"/>
                <w:szCs w:val="21"/>
                <w:highlight w:val="none"/>
              </w:rPr>
              <w:fldChar w:fldCharType="separate"/>
            </w:r>
            <w:r>
              <w:rPr>
                <w:rFonts w:ascii="微软雅黑" w:hAnsi="微软雅黑" w:eastAsia="微软雅黑"/>
                <w:b/>
                <w:bCs/>
                <w:color w:val="auto"/>
                <w:szCs w:val="21"/>
                <w:highlight w:val="none"/>
              </w:rPr>
              <w:t>4</w:t>
            </w:r>
            <w:r>
              <w:rPr>
                <w:rFonts w:ascii="微软雅黑" w:hAnsi="微软雅黑" w:eastAsia="微软雅黑"/>
                <w:b/>
                <w:bCs/>
                <w:color w:val="auto"/>
                <w:szCs w:val="21"/>
                <w:highlight w:val="none"/>
              </w:rPr>
              <w:fldChar w:fldCharType="end"/>
            </w:r>
          </w:p>
        </w:tc>
      </w:tr>
    </w:tbl>
    <w:p>
      <w:pPr>
        <w:pStyle w:val="6"/>
        <w:spacing w:before="360"/>
        <w:jc w:val="center"/>
        <w:outlineLvl w:val="9"/>
        <w:rPr>
          <w:rFonts w:ascii="微软雅黑" w:hAnsi="微软雅黑" w:cs="微软雅黑"/>
          <w:color w:val="auto"/>
          <w:szCs w:val="21"/>
          <w:highlight w:val="none"/>
        </w:rPr>
        <w:sectPr>
          <w:pgSz w:w="11906" w:h="16838"/>
          <w:pgMar w:top="1440" w:right="1559" w:bottom="1440" w:left="1797" w:header="851" w:footer="851" w:gutter="0"/>
          <w:cols w:space="720" w:num="1"/>
          <w:docGrid w:linePitch="312" w:charSpace="0"/>
        </w:sectPr>
      </w:pPr>
    </w:p>
    <w:p>
      <w:pPr>
        <w:pStyle w:val="6"/>
        <w:spacing w:before="360"/>
        <w:jc w:val="center"/>
        <w:rPr>
          <w:rFonts w:ascii="微软雅黑" w:hAnsi="微软雅黑" w:cs="微软雅黑"/>
          <w:color w:val="auto"/>
          <w:szCs w:val="21"/>
          <w:highlight w:val="none"/>
        </w:rPr>
      </w:pPr>
      <w:bookmarkStart w:id="626" w:name="_Toc27347"/>
      <w:bookmarkStart w:id="627" w:name="_Toc12769"/>
      <w:r>
        <w:rPr>
          <w:rFonts w:hint="eastAsia" w:ascii="微软雅黑" w:hAnsi="微软雅黑" w:cs="微软雅黑"/>
          <w:color w:val="auto"/>
          <w:szCs w:val="21"/>
          <w:highlight w:val="none"/>
        </w:rPr>
        <w:t>第六章 磋商相关文件格式</w:t>
      </w:r>
      <w:bookmarkEnd w:id="619"/>
      <w:bookmarkEnd w:id="623"/>
      <w:bookmarkEnd w:id="624"/>
      <w:bookmarkEnd w:id="625"/>
      <w:bookmarkEnd w:id="626"/>
      <w:bookmarkEnd w:id="627"/>
      <w:bookmarkStart w:id="628" w:name="_Toc47756041"/>
      <w:bookmarkStart w:id="629" w:name="_Toc15813259"/>
      <w:bookmarkStart w:id="630" w:name="_Toc45506740"/>
      <w:bookmarkStart w:id="631" w:name="_Toc15805942"/>
    </w:p>
    <w:p>
      <w:pPr>
        <w:adjustRightInd w:val="0"/>
        <w:spacing w:line="360" w:lineRule="auto"/>
        <w:jc w:val="center"/>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磋商响应函</w:t>
      </w:r>
    </w:p>
    <w:p>
      <w:pPr>
        <w:adjustRightInd w:val="0"/>
        <w:spacing w:line="360" w:lineRule="auto"/>
        <w:rPr>
          <w:rFonts w:hint="eastAsia" w:ascii="微软雅黑" w:hAnsi="微软雅黑" w:eastAsia="微软雅黑" w:cs="微软雅黑"/>
          <w:color w:val="auto"/>
          <w:szCs w:val="21"/>
          <w:highlight w:val="none"/>
          <w:u w:val="single"/>
          <w:lang w:eastAsia="zh-CN"/>
        </w:rPr>
      </w:pPr>
      <w:r>
        <w:rPr>
          <w:rFonts w:hint="eastAsia" w:ascii="微软雅黑" w:hAnsi="微软雅黑" w:eastAsia="微软雅黑" w:cs="微软雅黑"/>
          <w:color w:val="auto"/>
          <w:szCs w:val="21"/>
          <w:highlight w:val="none"/>
        </w:rPr>
        <w:t xml:space="preserve">致： </w:t>
      </w:r>
      <w:r>
        <w:rPr>
          <w:rFonts w:hint="eastAsia" w:ascii="微软雅黑" w:hAnsi="微软雅黑" w:eastAsia="微软雅黑" w:cs="微软雅黑"/>
          <w:color w:val="auto"/>
          <w:szCs w:val="21"/>
          <w:highlight w:val="none"/>
          <w:lang w:eastAsia="zh-CN"/>
        </w:rPr>
        <w:t>嘉兴市秀洲区文化和旅游局</w:t>
      </w:r>
    </w:p>
    <w:p>
      <w:pPr>
        <w:adjustRightInd w:val="0"/>
        <w:spacing w:line="360" w:lineRule="auto"/>
        <w:ind w:firstLine="630" w:firstLineChars="3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 xml:space="preserve">根据贵方为 </w:t>
      </w:r>
      <w:r>
        <w:rPr>
          <w:rFonts w:hint="eastAsia" w:ascii="微软雅黑" w:hAnsi="微软雅黑" w:eastAsia="微软雅黑" w:cs="微软雅黑"/>
          <w:color w:val="auto"/>
          <w:szCs w:val="21"/>
          <w:highlight w:val="none"/>
          <w:lang w:eastAsia="zh-CN"/>
        </w:rPr>
        <w:t>嘉兴市秀洲区文化和旅游局送戏下乡服务采购项目</w:t>
      </w:r>
      <w:r>
        <w:rPr>
          <w:rFonts w:hint="eastAsia" w:ascii="微软雅黑" w:hAnsi="微软雅黑" w:eastAsia="微软雅黑" w:cs="微软雅黑"/>
          <w:color w:val="auto"/>
          <w:szCs w:val="21"/>
          <w:highlight w:val="none"/>
        </w:rPr>
        <w:t>的磋商[</w:t>
      </w:r>
      <w:r>
        <w:rPr>
          <w:rFonts w:hint="eastAsia" w:ascii="微软雅黑" w:hAnsi="微软雅黑" w:eastAsia="微软雅黑" w:cs="Arial"/>
          <w:color w:val="auto"/>
          <w:kern w:val="0"/>
          <w:szCs w:val="21"/>
          <w:highlight w:val="none"/>
          <w:u w:val="single"/>
        </w:rPr>
        <w:t>千秋-JXQQJC（20</w:t>
      </w:r>
      <w:r>
        <w:rPr>
          <w:rFonts w:ascii="微软雅黑" w:hAnsi="微软雅黑" w:eastAsia="微软雅黑" w:cs="Arial"/>
          <w:color w:val="auto"/>
          <w:kern w:val="0"/>
          <w:szCs w:val="21"/>
          <w:highlight w:val="none"/>
          <w:u w:val="single"/>
        </w:rPr>
        <w:t>23</w:t>
      </w:r>
      <w:r>
        <w:rPr>
          <w:rFonts w:hint="eastAsia" w:ascii="微软雅黑" w:hAnsi="微软雅黑" w:eastAsia="微软雅黑" w:cs="Arial"/>
          <w:color w:val="auto"/>
          <w:kern w:val="0"/>
          <w:szCs w:val="21"/>
          <w:highlight w:val="none"/>
          <w:u w:val="single"/>
        </w:rPr>
        <w:t>）第</w:t>
      </w:r>
      <w:r>
        <w:rPr>
          <w:rFonts w:hint="eastAsia" w:ascii="微软雅黑" w:hAnsi="微软雅黑" w:eastAsia="微软雅黑" w:cs="Arial"/>
          <w:color w:val="auto"/>
          <w:kern w:val="0"/>
          <w:szCs w:val="21"/>
          <w:highlight w:val="none"/>
          <w:u w:val="single"/>
          <w:lang w:val="en-US" w:eastAsia="zh-CN"/>
        </w:rPr>
        <w:t>28</w:t>
      </w:r>
      <w:r>
        <w:rPr>
          <w:rFonts w:hint="eastAsia" w:ascii="微软雅黑" w:hAnsi="微软雅黑" w:eastAsia="微软雅黑" w:cs="Arial"/>
          <w:color w:val="auto"/>
          <w:kern w:val="0"/>
          <w:szCs w:val="21"/>
          <w:highlight w:val="none"/>
          <w:u w:val="single"/>
        </w:rPr>
        <w:t>号</w:t>
      </w:r>
      <w:r>
        <w:rPr>
          <w:rFonts w:hint="eastAsia" w:ascii="微软雅黑" w:hAnsi="微软雅黑" w:eastAsia="微软雅黑" w:cs="微软雅黑"/>
          <w:color w:val="auto"/>
          <w:szCs w:val="21"/>
          <w:highlight w:val="none"/>
        </w:rPr>
        <w:t>]（项目编号），签字代表____________（全名）经正式授权并代表磋商响应方____________（磋商响应方名称）提交</w:t>
      </w:r>
      <w:r>
        <w:rPr>
          <w:rFonts w:hint="eastAsia" w:ascii="微软雅黑" w:hAnsi="微软雅黑" w:eastAsia="微软雅黑" w:cs="微软雅黑"/>
          <w:b/>
          <w:color w:val="auto"/>
          <w:szCs w:val="21"/>
          <w:highlight w:val="none"/>
        </w:rPr>
        <w:t>资格响应文件、商务技术文件、报价文件</w:t>
      </w:r>
      <w:r>
        <w:rPr>
          <w:rFonts w:hint="eastAsia" w:ascii="微软雅黑" w:hAnsi="微软雅黑" w:eastAsia="微软雅黑" w:cs="微软雅黑"/>
          <w:color w:val="auto"/>
          <w:szCs w:val="21"/>
          <w:highlight w:val="none"/>
        </w:rPr>
        <w:t>各一份。</w:t>
      </w:r>
    </w:p>
    <w:p>
      <w:pPr>
        <w:adjustRightInd w:val="0"/>
        <w:spacing w:line="360" w:lineRule="auto"/>
        <w:ind w:left="638" w:leftChars="304"/>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据此函，签字代表宣布同意如下：</w:t>
      </w:r>
    </w:p>
    <w:p>
      <w:pPr>
        <w:adjustRightInd w:val="0"/>
        <w:spacing w:line="360" w:lineRule="auto"/>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磋商响应方将按“磋商文件”的规定履行协议责任和义务。磋商响应方已详细审查全部“磋商文件”，包括修改文件（如有的话）以及全部参考资料和有关附件。我们完全理解并同意放弃对这方面有不明及误解的权利。</w:t>
      </w:r>
    </w:p>
    <w:p>
      <w:pPr>
        <w:adjustRightInd w:val="0"/>
        <w:spacing w:line="360" w:lineRule="auto"/>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本磋商响应文件有效期自开标日起至______内有效。磋商响应方同意提供按照贵方要求与磋商有关的一切数据或资料，理解贵方不一定接受最低的磋商报价。</w:t>
      </w:r>
    </w:p>
    <w:p>
      <w:pPr>
        <w:adjustRightInd w:val="0"/>
        <w:spacing w:line="360" w:lineRule="auto"/>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与本次磋商有关的一切正式往来通讯请寄：</w:t>
      </w:r>
    </w:p>
    <w:p>
      <w:pPr>
        <w:adjustRightInd w:val="0"/>
        <w:spacing w:line="360" w:lineRule="auto"/>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地址：_______________邮编：______________电话：_______________</w:t>
      </w:r>
    </w:p>
    <w:p>
      <w:pPr>
        <w:adjustRightInd w:val="0"/>
        <w:spacing w:line="360" w:lineRule="auto"/>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传真：______________磋商响应方被授权人姓名 ____________</w:t>
      </w:r>
    </w:p>
    <w:p>
      <w:pPr>
        <w:adjustRightInd w:val="0"/>
        <w:spacing w:line="360" w:lineRule="auto"/>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职务：_____________电话：___________________</w:t>
      </w:r>
    </w:p>
    <w:p>
      <w:pPr>
        <w:adjustRightInd w:val="0"/>
        <w:spacing w:line="360" w:lineRule="auto"/>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磋商响应方名称(公章):___________________</w:t>
      </w:r>
    </w:p>
    <w:p>
      <w:pPr>
        <w:adjustRightInd w:val="0"/>
        <w:spacing w:line="360" w:lineRule="auto"/>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开户银行：银行帐号：</w:t>
      </w:r>
    </w:p>
    <w:p>
      <w:pPr>
        <w:adjustRightInd w:val="0"/>
        <w:spacing w:line="360" w:lineRule="auto"/>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日期:_____年___月___日</w:t>
      </w:r>
    </w:p>
    <w:p>
      <w:pPr>
        <w:adjustRightInd w:val="0"/>
        <w:spacing w:line="360" w:lineRule="auto"/>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被授权人签字:___________</w:t>
      </w:r>
    </w:p>
    <w:bookmarkEnd w:id="628"/>
    <w:bookmarkEnd w:id="629"/>
    <w:bookmarkEnd w:id="630"/>
    <w:bookmarkEnd w:id="631"/>
    <w:p>
      <w:pPr>
        <w:snapToGrid w:val="0"/>
        <w:ind w:leftChars="-50" w:hanging="105" w:hangingChars="50"/>
        <w:rPr>
          <w:rFonts w:ascii="微软雅黑" w:hAnsi="微软雅黑" w:eastAsia="微软雅黑"/>
          <w:b/>
          <w:color w:val="auto"/>
          <w:szCs w:val="21"/>
          <w:highlight w:val="none"/>
        </w:rPr>
      </w:pPr>
      <w:r>
        <w:rPr>
          <w:rFonts w:ascii="微软雅黑" w:hAnsi="微软雅黑" w:eastAsia="微软雅黑" w:cs="微软雅黑"/>
          <w:b/>
          <w:color w:val="auto"/>
          <w:szCs w:val="21"/>
          <w:highlight w:val="none"/>
        </w:rPr>
        <w:tab/>
      </w:r>
      <w:r>
        <w:rPr>
          <w:rFonts w:ascii="微软雅黑" w:hAnsi="微软雅黑" w:eastAsia="微软雅黑" w:cs="微软雅黑"/>
          <w:b/>
          <w:color w:val="auto"/>
          <w:szCs w:val="21"/>
          <w:highlight w:val="none"/>
        </w:rPr>
        <w:tab/>
      </w:r>
      <w:r>
        <w:rPr>
          <w:rFonts w:ascii="微软雅黑" w:hAnsi="微软雅黑" w:eastAsia="微软雅黑"/>
          <w:color w:val="auto"/>
          <w:szCs w:val="21"/>
          <w:highlight w:val="none"/>
        </w:rPr>
        <w:t>供应商书面承诺符合参与政府采购活动资格条件的</w:t>
      </w:r>
      <w:r>
        <w:rPr>
          <w:rFonts w:hint="eastAsia" w:ascii="微软雅黑" w:hAnsi="微软雅黑" w:eastAsia="微软雅黑"/>
          <w:color w:val="auto"/>
          <w:szCs w:val="21"/>
          <w:highlight w:val="none"/>
        </w:rPr>
        <w:t>的承诺函</w:t>
      </w:r>
      <w:r>
        <w:rPr>
          <w:rFonts w:hint="eastAsia" w:ascii="微软雅黑" w:hAnsi="微软雅黑" w:eastAsia="微软雅黑"/>
          <w:b/>
          <w:color w:val="auto"/>
          <w:szCs w:val="21"/>
          <w:highlight w:val="none"/>
        </w:rPr>
        <w:t>：</w:t>
      </w:r>
    </w:p>
    <w:p>
      <w:pPr>
        <w:ind w:firstLine="420"/>
        <w:jc w:val="center"/>
        <w:rPr>
          <w:rFonts w:ascii="微软雅黑" w:hAnsi="微软雅黑" w:eastAsia="微软雅黑"/>
          <w:b/>
          <w:color w:val="auto"/>
          <w:szCs w:val="21"/>
          <w:highlight w:val="none"/>
        </w:rPr>
      </w:pPr>
    </w:p>
    <w:p>
      <w:pPr>
        <w:ind w:firstLine="420"/>
        <w:jc w:val="center"/>
        <w:rPr>
          <w:rFonts w:ascii="微软雅黑" w:hAnsi="微软雅黑" w:eastAsia="微软雅黑"/>
          <w:b/>
          <w:color w:val="auto"/>
          <w:szCs w:val="21"/>
          <w:highlight w:val="none"/>
        </w:rPr>
      </w:pPr>
      <w:r>
        <w:rPr>
          <w:rFonts w:ascii="微软雅黑" w:hAnsi="微软雅黑" w:eastAsia="微软雅黑"/>
          <w:color w:val="auto"/>
          <w:szCs w:val="21"/>
          <w:highlight w:val="none"/>
        </w:rPr>
        <w:t>符合参与政府采购活动资格条件的</w:t>
      </w:r>
      <w:r>
        <w:rPr>
          <w:rFonts w:hint="eastAsia" w:ascii="微软雅黑" w:hAnsi="微软雅黑" w:eastAsia="微软雅黑"/>
          <w:color w:val="auto"/>
          <w:szCs w:val="21"/>
          <w:highlight w:val="none"/>
        </w:rPr>
        <w:t>的承诺函</w:t>
      </w:r>
    </w:p>
    <w:p>
      <w:pPr>
        <w:ind w:firstLine="420"/>
        <w:jc w:val="center"/>
        <w:rPr>
          <w:rFonts w:ascii="微软雅黑" w:hAnsi="微软雅黑" w:eastAsia="微软雅黑"/>
          <w:b/>
          <w:color w:val="auto"/>
          <w:szCs w:val="21"/>
          <w:highlight w:val="none"/>
        </w:rPr>
      </w:pPr>
    </w:p>
    <w:p>
      <w:pPr>
        <w:ind w:firstLine="444"/>
        <w:rPr>
          <w:rFonts w:ascii="微软雅黑" w:hAnsi="微软雅黑" w:eastAsia="微软雅黑"/>
          <w:color w:val="auto"/>
          <w:szCs w:val="21"/>
          <w:highlight w:val="none"/>
        </w:rPr>
      </w:pPr>
      <w:r>
        <w:rPr>
          <w:rFonts w:hint="eastAsia" w:ascii="微软雅黑" w:hAnsi="微软雅黑" w:eastAsia="微软雅黑"/>
          <w:b/>
          <w:bCs/>
          <w:color w:val="auto"/>
          <w:spacing w:val="6"/>
          <w:szCs w:val="21"/>
          <w:highlight w:val="none"/>
          <w:u w:val="single"/>
        </w:rPr>
        <w:t xml:space="preserve"> </w:t>
      </w:r>
      <w:r>
        <w:rPr>
          <w:rFonts w:hint="eastAsia" w:ascii="微软雅黑" w:hAnsi="微软雅黑" w:eastAsia="微软雅黑"/>
          <w:b/>
          <w:bCs/>
          <w:color w:val="auto"/>
          <w:spacing w:val="6"/>
          <w:szCs w:val="21"/>
          <w:highlight w:val="none"/>
          <w:u w:val="single"/>
          <w:lang w:eastAsia="zh-CN"/>
        </w:rPr>
        <w:t>嘉兴市秀洲区文化和旅游局</w:t>
      </w:r>
      <w:r>
        <w:rPr>
          <w:rFonts w:hint="eastAsia" w:ascii="微软雅黑" w:hAnsi="微软雅黑" w:eastAsia="微软雅黑"/>
          <w:color w:val="auto"/>
          <w:szCs w:val="21"/>
          <w:highlight w:val="none"/>
        </w:rPr>
        <w:t>：</w:t>
      </w:r>
    </w:p>
    <w:p>
      <w:pPr>
        <w:snapToGrid w:val="0"/>
        <w:ind w:firstLine="420"/>
        <w:rPr>
          <w:rFonts w:ascii="微软雅黑" w:hAnsi="微软雅黑" w:eastAsia="微软雅黑"/>
          <w:color w:val="auto"/>
          <w:szCs w:val="21"/>
          <w:highlight w:val="none"/>
          <w:shd w:val="clear" w:color="auto" w:fill="FFFFFF"/>
        </w:rPr>
      </w:pPr>
    </w:p>
    <w:p>
      <w:pPr>
        <w:snapToGrid w:val="0"/>
        <w:ind w:firstLine="420"/>
        <w:rPr>
          <w:rFonts w:ascii="微软雅黑" w:hAnsi="微软雅黑" w:eastAsia="微软雅黑"/>
          <w:color w:val="auto"/>
          <w:szCs w:val="21"/>
          <w:highlight w:val="none"/>
          <w:shd w:val="clear" w:color="auto" w:fill="FFFFFF"/>
        </w:rPr>
      </w:pPr>
      <w:r>
        <w:rPr>
          <w:rFonts w:hint="eastAsia" w:ascii="微软雅黑" w:hAnsi="微软雅黑" w:eastAsia="微软雅黑"/>
          <w:color w:val="auto"/>
          <w:szCs w:val="21"/>
          <w:highlight w:val="none"/>
          <w:shd w:val="clear" w:color="auto" w:fill="FFFFFF"/>
        </w:rPr>
        <w:t>本公司（公司名称）参加</w:t>
      </w:r>
      <w:r>
        <w:rPr>
          <w:rFonts w:hint="eastAsia" w:ascii="微软雅黑" w:hAnsi="微软雅黑" w:eastAsia="微软雅黑"/>
          <w:color w:val="auto"/>
          <w:szCs w:val="21"/>
          <w:highlight w:val="none"/>
          <w:shd w:val="clear" w:color="auto" w:fill="FFFFFF"/>
          <w:lang w:eastAsia="zh-CN"/>
        </w:rPr>
        <w:t>嘉兴市秀洲区文化和旅游局送戏下乡服务采购项目</w:t>
      </w:r>
      <w:r>
        <w:rPr>
          <w:rFonts w:hint="eastAsia" w:ascii="微软雅黑" w:hAnsi="微软雅黑" w:eastAsia="微软雅黑"/>
          <w:color w:val="auto"/>
          <w:szCs w:val="21"/>
          <w:highlight w:val="none"/>
          <w:shd w:val="clear" w:color="auto" w:fill="FFFFFF"/>
        </w:rPr>
        <w:t>投标活动，现承诺如下：</w:t>
      </w:r>
    </w:p>
    <w:p>
      <w:pPr>
        <w:pStyle w:val="2"/>
        <w:ind w:firstLine="400"/>
        <w:rPr>
          <w:rFonts w:ascii="微软雅黑" w:hAnsi="微软雅黑" w:eastAsia="微软雅黑"/>
          <w:color w:val="auto"/>
          <w:highlight w:val="none"/>
        </w:rPr>
      </w:pPr>
    </w:p>
    <w:p>
      <w:pPr>
        <w:snapToGrid w:val="0"/>
        <w:ind w:firstLine="420"/>
        <w:rPr>
          <w:rFonts w:ascii="微软雅黑" w:hAnsi="微软雅黑" w:eastAsia="微软雅黑"/>
          <w:color w:val="auto"/>
          <w:szCs w:val="21"/>
          <w:highlight w:val="none"/>
          <w:shd w:val="clear" w:color="auto" w:fill="FFFFFF"/>
        </w:rPr>
      </w:pPr>
      <w:r>
        <w:rPr>
          <w:rFonts w:hint="eastAsia" w:ascii="微软雅黑" w:hAnsi="微软雅黑" w:eastAsia="微软雅黑"/>
          <w:color w:val="auto"/>
          <w:szCs w:val="21"/>
          <w:highlight w:val="none"/>
          <w:shd w:val="clear" w:color="auto" w:fill="FFFFFF"/>
        </w:rPr>
        <w:t>我公司具有</w:t>
      </w:r>
      <w:r>
        <w:rPr>
          <w:rFonts w:ascii="微软雅黑" w:hAnsi="微软雅黑" w:eastAsia="微软雅黑"/>
          <w:color w:val="auto"/>
          <w:szCs w:val="21"/>
          <w:highlight w:val="none"/>
        </w:rPr>
        <w:t>符合参与政府采购活动资格条件</w:t>
      </w:r>
      <w:r>
        <w:rPr>
          <w:rFonts w:hint="eastAsia" w:ascii="微软雅黑" w:hAnsi="微软雅黑" w:eastAsia="微软雅黑"/>
          <w:color w:val="auto"/>
          <w:szCs w:val="21"/>
          <w:highlight w:val="none"/>
        </w:rPr>
        <w:t>。</w:t>
      </w:r>
    </w:p>
    <w:p>
      <w:pPr>
        <w:pStyle w:val="2"/>
        <w:ind w:firstLine="400"/>
        <w:rPr>
          <w:rFonts w:hint="eastAsia" w:ascii="微软雅黑" w:hAnsi="微软雅黑" w:eastAsia="微软雅黑"/>
          <w:color w:val="auto"/>
          <w:sz w:val="21"/>
          <w:szCs w:val="21"/>
          <w:highlight w:val="none"/>
          <w:lang w:eastAsia="zh-CN"/>
        </w:rPr>
      </w:pPr>
      <w:r>
        <w:rPr>
          <w:rFonts w:hint="eastAsia" w:ascii="微软雅黑" w:hAnsi="微软雅黑" w:eastAsia="微软雅黑"/>
          <w:color w:val="auto"/>
          <w:sz w:val="21"/>
          <w:szCs w:val="21"/>
          <w:highlight w:val="none"/>
        </w:rPr>
        <w:t>本单位参加政府采购活动前三年内，在经营活动中</w:t>
      </w:r>
      <w:r>
        <w:rPr>
          <w:rFonts w:hint="eastAsia" w:ascii="微软雅黑" w:hAnsi="微软雅黑" w:eastAsia="微软雅黑"/>
          <w:color w:val="auto"/>
          <w:sz w:val="21"/>
          <w:szCs w:val="21"/>
          <w:highlight w:val="none"/>
          <w:u w:val="single"/>
        </w:rPr>
        <w:t xml:space="preserve"> </w:t>
      </w:r>
      <w:r>
        <w:rPr>
          <w:rFonts w:ascii="微软雅黑" w:hAnsi="微软雅黑" w:eastAsia="微软雅黑"/>
          <w:color w:val="auto"/>
          <w:sz w:val="21"/>
          <w:szCs w:val="21"/>
          <w:highlight w:val="none"/>
          <w:u w:val="single"/>
        </w:rPr>
        <w:t xml:space="preserve">             </w:t>
      </w:r>
      <w:r>
        <w:rPr>
          <w:rFonts w:hint="eastAsia" w:ascii="微软雅黑" w:hAnsi="微软雅黑" w:eastAsia="微软雅黑"/>
          <w:color w:val="auto"/>
          <w:sz w:val="21"/>
          <w:szCs w:val="21"/>
          <w:highlight w:val="none"/>
        </w:rPr>
        <w:t>（有或无）重大违法记录</w:t>
      </w:r>
      <w:r>
        <w:rPr>
          <w:rFonts w:hint="eastAsia" w:ascii="微软雅黑" w:hAnsi="微软雅黑" w:eastAsia="微软雅黑"/>
          <w:color w:val="auto"/>
          <w:sz w:val="21"/>
          <w:szCs w:val="21"/>
          <w:highlight w:val="none"/>
          <w:lang w:eastAsia="zh-CN"/>
        </w:rPr>
        <w:t>。</w:t>
      </w:r>
    </w:p>
    <w:p>
      <w:pPr>
        <w:pStyle w:val="2"/>
        <w:ind w:firstLine="400"/>
        <w:rPr>
          <w:rFonts w:ascii="微软雅黑" w:hAnsi="微软雅黑" w:eastAsia="微软雅黑"/>
          <w:color w:val="auto"/>
          <w:highlight w:val="none"/>
        </w:rPr>
      </w:pPr>
    </w:p>
    <w:p>
      <w:pPr>
        <w:snapToGrid w:val="0"/>
        <w:ind w:firstLine="420"/>
        <w:rPr>
          <w:rFonts w:ascii="微软雅黑" w:hAnsi="微软雅黑" w:eastAsia="微软雅黑"/>
          <w:color w:val="auto"/>
          <w:szCs w:val="21"/>
          <w:highlight w:val="none"/>
          <w:shd w:val="clear" w:color="auto" w:fill="FFFFFF"/>
        </w:rPr>
      </w:pPr>
      <w:r>
        <w:rPr>
          <w:rFonts w:hint="eastAsia" w:ascii="微软雅黑" w:hAnsi="微软雅黑" w:eastAsia="微软雅黑"/>
          <w:color w:val="auto"/>
          <w:szCs w:val="21"/>
          <w:highlight w:val="none"/>
          <w:shd w:val="clear" w:color="auto" w:fill="FFFFFF"/>
        </w:rPr>
        <w:t>如违反以上承诺，本公司愿承担一切法律责任。</w:t>
      </w:r>
    </w:p>
    <w:p>
      <w:pPr>
        <w:pStyle w:val="2"/>
        <w:ind w:firstLine="400"/>
        <w:rPr>
          <w:rFonts w:ascii="微软雅黑" w:hAnsi="微软雅黑" w:eastAsia="微软雅黑"/>
          <w:color w:val="auto"/>
          <w:highlight w:val="none"/>
        </w:rPr>
      </w:pPr>
    </w:p>
    <w:p>
      <w:pPr>
        <w:pStyle w:val="2"/>
        <w:ind w:firstLine="400"/>
        <w:rPr>
          <w:rFonts w:ascii="微软雅黑" w:hAnsi="微软雅黑" w:eastAsia="微软雅黑"/>
          <w:color w:val="auto"/>
          <w:highlight w:val="none"/>
        </w:rPr>
      </w:pPr>
    </w:p>
    <w:p>
      <w:pPr>
        <w:pStyle w:val="2"/>
        <w:ind w:firstLine="400"/>
        <w:rPr>
          <w:rFonts w:ascii="微软雅黑" w:hAnsi="微软雅黑" w:eastAsia="微软雅黑"/>
          <w:color w:val="auto"/>
          <w:highlight w:val="none"/>
        </w:rPr>
      </w:pPr>
    </w:p>
    <w:p>
      <w:pPr>
        <w:snapToGrid w:val="0"/>
        <w:ind w:firstLine="420"/>
        <w:rPr>
          <w:rFonts w:ascii="微软雅黑" w:hAnsi="微软雅黑" w:eastAsia="微软雅黑"/>
          <w:color w:val="auto"/>
          <w:szCs w:val="21"/>
          <w:highlight w:val="none"/>
          <w:shd w:val="clear" w:color="auto" w:fill="FFFFFF"/>
        </w:rPr>
      </w:pPr>
      <w:r>
        <w:rPr>
          <w:rFonts w:hint="eastAsia" w:ascii="微软雅黑" w:hAnsi="微软雅黑" w:eastAsia="微软雅黑"/>
          <w:color w:val="auto"/>
          <w:szCs w:val="21"/>
          <w:highlight w:val="none"/>
          <w:shd w:val="clear" w:color="auto" w:fill="FFFFFF"/>
        </w:rPr>
        <w:t>投标人名称：（盖章）</w:t>
      </w:r>
    </w:p>
    <w:p>
      <w:pPr>
        <w:pStyle w:val="2"/>
        <w:ind w:firstLine="400"/>
        <w:rPr>
          <w:rFonts w:ascii="微软雅黑" w:hAnsi="微软雅黑" w:eastAsia="微软雅黑"/>
          <w:color w:val="auto"/>
          <w:highlight w:val="none"/>
        </w:rPr>
      </w:pPr>
    </w:p>
    <w:p>
      <w:pPr>
        <w:snapToGrid w:val="0"/>
        <w:ind w:firstLine="420"/>
        <w:rPr>
          <w:rFonts w:ascii="微软雅黑" w:hAnsi="微软雅黑" w:eastAsia="微软雅黑"/>
          <w:color w:val="auto"/>
          <w:szCs w:val="21"/>
          <w:highlight w:val="none"/>
          <w:shd w:val="clear" w:color="auto" w:fill="FFFFFF"/>
        </w:rPr>
      </w:pPr>
      <w:r>
        <w:rPr>
          <w:rFonts w:hint="eastAsia" w:ascii="微软雅黑" w:hAnsi="微软雅黑" w:eastAsia="微软雅黑"/>
          <w:color w:val="auto"/>
          <w:szCs w:val="21"/>
          <w:highlight w:val="none"/>
          <w:shd w:val="clear" w:color="auto" w:fill="FFFFFF"/>
        </w:rPr>
        <w:t>法定代表人或授权代表（签字）：</w:t>
      </w:r>
    </w:p>
    <w:p>
      <w:pPr>
        <w:pStyle w:val="2"/>
        <w:ind w:firstLine="400"/>
        <w:rPr>
          <w:rFonts w:ascii="微软雅黑" w:hAnsi="微软雅黑" w:eastAsia="微软雅黑"/>
          <w:color w:val="auto"/>
          <w:highlight w:val="none"/>
        </w:rPr>
      </w:pPr>
    </w:p>
    <w:p>
      <w:pPr>
        <w:snapToGrid w:val="0"/>
        <w:ind w:firstLine="420"/>
        <w:rPr>
          <w:rFonts w:ascii="微软雅黑" w:hAnsi="微软雅黑" w:eastAsia="微软雅黑"/>
          <w:color w:val="auto"/>
          <w:szCs w:val="21"/>
          <w:highlight w:val="none"/>
          <w:u w:val="single"/>
        </w:rPr>
      </w:pPr>
      <w:r>
        <w:rPr>
          <w:rFonts w:hint="eastAsia" w:ascii="微软雅黑" w:hAnsi="微软雅黑" w:eastAsia="微软雅黑"/>
          <w:color w:val="auto"/>
          <w:szCs w:val="21"/>
          <w:highlight w:val="none"/>
          <w:shd w:val="clear" w:color="auto" w:fill="FFFFFF"/>
        </w:rPr>
        <w:t>投标日期： 年 月 日</w:t>
      </w:r>
    </w:p>
    <w:p>
      <w:pPr>
        <w:snapToGrid w:val="0"/>
        <w:ind w:leftChars="-50" w:hanging="105" w:hangingChars="50"/>
        <w:rPr>
          <w:rFonts w:ascii="微软雅黑" w:hAnsi="微软雅黑"/>
          <w:b/>
          <w:color w:val="auto"/>
          <w:szCs w:val="21"/>
          <w:highlight w:val="none"/>
        </w:rPr>
      </w:pPr>
    </w:p>
    <w:p>
      <w:pPr>
        <w:tabs>
          <w:tab w:val="left" w:pos="855"/>
        </w:tabs>
        <w:snapToGrid w:val="0"/>
        <w:spacing w:line="360" w:lineRule="auto"/>
        <w:ind w:leftChars="-50" w:hanging="105" w:hangingChars="50"/>
        <w:rPr>
          <w:rFonts w:ascii="微软雅黑" w:hAnsi="微软雅黑" w:eastAsia="微软雅黑" w:cs="微软雅黑"/>
          <w:color w:val="auto"/>
          <w:szCs w:val="21"/>
          <w:highlight w:val="none"/>
        </w:rPr>
      </w:pPr>
    </w:p>
    <w:p>
      <w:pPr>
        <w:snapToGrid w:val="0"/>
        <w:spacing w:line="360" w:lineRule="auto"/>
        <w:jc w:val="left"/>
        <w:rPr>
          <w:rFonts w:ascii="微软雅黑" w:hAnsi="微软雅黑" w:eastAsia="微软雅黑" w:cs="微软雅黑"/>
          <w:color w:val="auto"/>
          <w:szCs w:val="21"/>
          <w:highlight w:val="none"/>
        </w:rPr>
        <w:sectPr>
          <w:footerReference r:id="rId18" w:type="default"/>
          <w:pgSz w:w="11906" w:h="16838"/>
          <w:pgMar w:top="1440" w:right="1559" w:bottom="1440" w:left="1797" w:header="851" w:footer="851" w:gutter="0"/>
          <w:cols w:space="720" w:num="1"/>
          <w:docGrid w:linePitch="312" w:charSpace="0"/>
        </w:sectPr>
      </w:pPr>
    </w:p>
    <w:p>
      <w:pPr>
        <w:spacing w:line="360" w:lineRule="auto"/>
        <w:jc w:val="center"/>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供应商法定代表人授权书</w:t>
      </w:r>
    </w:p>
    <w:p>
      <w:pPr>
        <w:spacing w:line="360" w:lineRule="auto"/>
        <w:rPr>
          <w:rFonts w:hint="eastAsia" w:ascii="微软雅黑" w:hAnsi="微软雅黑" w:eastAsia="微软雅黑" w:cs="微软雅黑"/>
          <w:color w:val="auto"/>
          <w:szCs w:val="21"/>
          <w:highlight w:val="none"/>
          <w:lang w:eastAsia="zh-CN"/>
        </w:rPr>
      </w:pPr>
      <w:r>
        <w:rPr>
          <w:rFonts w:hint="eastAsia" w:ascii="微软雅黑" w:hAnsi="微软雅黑" w:eastAsia="微软雅黑" w:cs="微软雅黑"/>
          <w:bCs/>
          <w:color w:val="auto"/>
          <w:szCs w:val="21"/>
          <w:highlight w:val="none"/>
        </w:rPr>
        <w:t>致：</w:t>
      </w:r>
      <w:r>
        <w:rPr>
          <w:rFonts w:hint="eastAsia" w:ascii="微软雅黑" w:hAnsi="微软雅黑" w:eastAsia="微软雅黑" w:cs="微软雅黑"/>
          <w:color w:val="auto"/>
          <w:szCs w:val="21"/>
          <w:highlight w:val="none"/>
        </w:rPr>
        <w:t xml:space="preserve"> </w:t>
      </w:r>
      <w:r>
        <w:rPr>
          <w:rFonts w:hint="eastAsia" w:ascii="微软雅黑" w:hAnsi="微软雅黑" w:eastAsia="微软雅黑" w:cs="微软雅黑"/>
          <w:color w:val="auto"/>
          <w:szCs w:val="21"/>
          <w:highlight w:val="none"/>
          <w:lang w:eastAsia="zh-CN"/>
        </w:rPr>
        <w:t>嘉兴市秀洲区文化和旅游局</w:t>
      </w:r>
    </w:p>
    <w:p>
      <w:pPr>
        <w:spacing w:line="360" w:lineRule="auto"/>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_______（企业名称）系中华人民共和国合法企业，法定地址_______。</w:t>
      </w:r>
    </w:p>
    <w:p>
      <w:pPr>
        <w:spacing w:line="360" w:lineRule="auto"/>
        <w:ind w:firstLine="630" w:firstLineChars="300"/>
        <w:rPr>
          <w:rFonts w:ascii="微软雅黑" w:hAnsi="微软雅黑" w:eastAsia="微软雅黑" w:cs="微软雅黑"/>
          <w:color w:val="auto"/>
          <w:szCs w:val="21"/>
          <w:highlight w:val="none"/>
        </w:rPr>
      </w:pPr>
      <w:r>
        <w:rPr>
          <w:rFonts w:hint="eastAsia" w:ascii="微软雅黑" w:hAnsi="微软雅黑" w:eastAsia="微软雅黑" w:cs="微软雅黑"/>
          <w:color w:val="auto"/>
          <w:kern w:val="0"/>
          <w:szCs w:val="21"/>
          <w:highlight w:val="none"/>
          <w:lang w:val="zh-CN"/>
        </w:rPr>
        <w:t>兹委派我公司</w:t>
      </w:r>
      <w:r>
        <w:rPr>
          <w:rFonts w:hint="eastAsia" w:ascii="微软雅黑" w:hAnsi="微软雅黑" w:eastAsia="微软雅黑" w:cs="微软雅黑"/>
          <w:color w:val="auto"/>
          <w:szCs w:val="21"/>
          <w:highlight w:val="none"/>
        </w:rPr>
        <w:t>_______</w:t>
      </w:r>
      <w:r>
        <w:rPr>
          <w:rFonts w:hint="eastAsia" w:ascii="微软雅黑" w:hAnsi="微软雅黑" w:eastAsia="微软雅黑" w:cs="微软雅黑"/>
          <w:color w:val="auto"/>
          <w:kern w:val="0"/>
          <w:szCs w:val="21"/>
          <w:highlight w:val="none"/>
          <w:lang w:val="zh-CN"/>
        </w:rPr>
        <w:t>先生/女士(其在本公司的职务是：</w:t>
      </w:r>
      <w:r>
        <w:rPr>
          <w:rFonts w:hint="eastAsia" w:ascii="微软雅黑" w:hAnsi="微软雅黑" w:eastAsia="微软雅黑" w:cs="微软雅黑"/>
          <w:color w:val="auto"/>
          <w:szCs w:val="21"/>
          <w:highlight w:val="none"/>
        </w:rPr>
        <w:t>_______</w:t>
      </w:r>
      <w:r>
        <w:rPr>
          <w:rFonts w:hint="eastAsia" w:ascii="微软雅黑" w:hAnsi="微软雅黑" w:eastAsia="微软雅黑" w:cs="微软雅黑"/>
          <w:color w:val="auto"/>
          <w:kern w:val="0"/>
          <w:szCs w:val="21"/>
          <w:highlight w:val="none"/>
          <w:u w:val="single"/>
          <w:lang w:val="zh-CN"/>
        </w:rPr>
        <w:t>，</w:t>
      </w:r>
      <w:r>
        <w:rPr>
          <w:rFonts w:hint="eastAsia" w:ascii="微软雅黑" w:hAnsi="微软雅黑" w:eastAsia="微软雅黑" w:cs="微软雅黑"/>
          <w:color w:val="auto"/>
          <w:kern w:val="0"/>
          <w:szCs w:val="21"/>
          <w:highlight w:val="none"/>
          <w:lang w:val="zh-CN"/>
        </w:rPr>
        <w:t>联系电话：</w:t>
      </w:r>
      <w:r>
        <w:rPr>
          <w:rFonts w:hint="eastAsia" w:ascii="微软雅黑" w:hAnsi="微软雅黑" w:eastAsia="微软雅黑" w:cs="微软雅黑"/>
          <w:color w:val="auto"/>
          <w:szCs w:val="21"/>
          <w:highlight w:val="none"/>
        </w:rPr>
        <w:t>_______</w:t>
      </w:r>
      <w:r>
        <w:rPr>
          <w:rFonts w:hint="eastAsia" w:ascii="微软雅黑" w:hAnsi="微软雅黑" w:eastAsia="微软雅黑" w:cs="微软雅黑"/>
          <w:color w:val="auto"/>
          <w:kern w:val="0"/>
          <w:szCs w:val="21"/>
          <w:highlight w:val="none"/>
          <w:lang w:val="zh-CN"/>
        </w:rPr>
        <w:t>手机：</w:t>
      </w:r>
      <w:r>
        <w:rPr>
          <w:rFonts w:hint="eastAsia" w:ascii="微软雅黑" w:hAnsi="微软雅黑" w:eastAsia="微软雅黑" w:cs="微软雅黑"/>
          <w:color w:val="auto"/>
          <w:szCs w:val="21"/>
          <w:highlight w:val="none"/>
        </w:rPr>
        <w:t>_______</w:t>
      </w:r>
      <w:r>
        <w:rPr>
          <w:rFonts w:hint="eastAsia" w:ascii="微软雅黑" w:hAnsi="微软雅黑" w:eastAsia="微软雅黑" w:cs="微软雅黑"/>
          <w:color w:val="auto"/>
          <w:kern w:val="0"/>
          <w:szCs w:val="21"/>
          <w:highlight w:val="none"/>
          <w:lang w:val="zh-CN"/>
        </w:rPr>
        <w:t>传真：</w:t>
      </w:r>
      <w:r>
        <w:rPr>
          <w:rFonts w:hint="eastAsia" w:ascii="微软雅黑" w:hAnsi="微软雅黑" w:eastAsia="微软雅黑" w:cs="微软雅黑"/>
          <w:color w:val="auto"/>
          <w:szCs w:val="21"/>
          <w:highlight w:val="none"/>
        </w:rPr>
        <w:t>_______</w:t>
      </w:r>
      <w:r>
        <w:rPr>
          <w:rFonts w:hint="eastAsia" w:ascii="微软雅黑" w:hAnsi="微软雅黑" w:eastAsia="微软雅黑" w:cs="微软雅黑"/>
          <w:color w:val="auto"/>
          <w:kern w:val="0"/>
          <w:szCs w:val="21"/>
          <w:highlight w:val="none"/>
          <w:lang w:val="zh-CN"/>
        </w:rPr>
        <w:t>)，</w:t>
      </w:r>
      <w:r>
        <w:rPr>
          <w:rFonts w:hint="eastAsia" w:ascii="微软雅黑" w:hAnsi="微软雅黑" w:eastAsia="微软雅黑" w:cs="微软雅黑"/>
          <w:color w:val="auto"/>
          <w:szCs w:val="21"/>
          <w:highlight w:val="none"/>
        </w:rPr>
        <w:t>代表我单位全权办理针对</w:t>
      </w:r>
      <w:r>
        <w:rPr>
          <w:rFonts w:hint="eastAsia" w:ascii="微软雅黑" w:hAnsi="微软雅黑" w:eastAsia="微软雅黑" w:cs="微软雅黑"/>
          <w:color w:val="auto"/>
          <w:kern w:val="0"/>
          <w:szCs w:val="21"/>
          <w:highlight w:val="none"/>
          <w:lang w:val="zh-CN"/>
        </w:rPr>
        <w:t>处理 嘉兴市秀洲区文化和旅游局送戏下乡服务采购项目</w:t>
      </w:r>
      <w:r>
        <w:rPr>
          <w:rFonts w:hint="eastAsia" w:ascii="微软雅黑" w:hAnsi="微软雅黑" w:eastAsia="微软雅黑" w:cs="微软雅黑"/>
          <w:b/>
          <w:bCs/>
          <w:color w:val="auto"/>
          <w:szCs w:val="21"/>
          <w:highlight w:val="none"/>
          <w:u w:val="single"/>
        </w:rPr>
        <w:t>(</w:t>
      </w:r>
      <w:r>
        <w:rPr>
          <w:rFonts w:hint="eastAsia" w:ascii="微软雅黑" w:hAnsi="微软雅黑" w:eastAsia="微软雅黑" w:cs="微软雅黑"/>
          <w:color w:val="auto"/>
          <w:szCs w:val="21"/>
          <w:highlight w:val="none"/>
        </w:rPr>
        <w:t>编号：</w:t>
      </w:r>
      <w:r>
        <w:rPr>
          <w:rFonts w:hint="eastAsia" w:ascii="微软雅黑" w:hAnsi="微软雅黑" w:eastAsia="微软雅黑" w:cs="Arial"/>
          <w:color w:val="auto"/>
          <w:kern w:val="0"/>
          <w:szCs w:val="21"/>
          <w:highlight w:val="none"/>
        </w:rPr>
        <w:t>千秋-JXQQJC（202</w:t>
      </w:r>
      <w:r>
        <w:rPr>
          <w:rFonts w:ascii="微软雅黑" w:hAnsi="微软雅黑" w:eastAsia="微软雅黑" w:cs="Arial"/>
          <w:color w:val="auto"/>
          <w:kern w:val="0"/>
          <w:szCs w:val="21"/>
          <w:highlight w:val="none"/>
        </w:rPr>
        <w:t>3</w:t>
      </w:r>
      <w:r>
        <w:rPr>
          <w:rFonts w:hint="eastAsia" w:ascii="微软雅黑" w:hAnsi="微软雅黑" w:eastAsia="微软雅黑" w:cs="Arial"/>
          <w:color w:val="auto"/>
          <w:kern w:val="0"/>
          <w:szCs w:val="21"/>
          <w:highlight w:val="none"/>
        </w:rPr>
        <w:t>）第</w:t>
      </w:r>
      <w:r>
        <w:rPr>
          <w:rFonts w:hint="eastAsia" w:ascii="微软雅黑" w:hAnsi="微软雅黑" w:eastAsia="微软雅黑" w:cs="Arial"/>
          <w:color w:val="auto"/>
          <w:kern w:val="0"/>
          <w:szCs w:val="21"/>
          <w:highlight w:val="none"/>
          <w:lang w:val="en-US" w:eastAsia="zh-CN"/>
        </w:rPr>
        <w:t>28</w:t>
      </w:r>
      <w:r>
        <w:rPr>
          <w:rFonts w:hint="eastAsia" w:ascii="微软雅黑" w:hAnsi="微软雅黑" w:eastAsia="微软雅黑" w:cs="Arial"/>
          <w:color w:val="auto"/>
          <w:kern w:val="0"/>
          <w:szCs w:val="21"/>
          <w:highlight w:val="none"/>
        </w:rPr>
        <w:t>号</w:t>
      </w:r>
      <w:r>
        <w:rPr>
          <w:rFonts w:hint="eastAsia" w:ascii="微软雅黑" w:hAnsi="微软雅黑" w:eastAsia="微软雅黑" w:cs="微软雅黑"/>
          <w:color w:val="auto"/>
          <w:szCs w:val="21"/>
          <w:highlight w:val="none"/>
        </w:rPr>
        <w:t>)上述项目的磋商、签约等具体工作，并签署全部有关的文件、协议。</w:t>
      </w:r>
    </w:p>
    <w:p>
      <w:pPr>
        <w:spacing w:line="360" w:lineRule="auto"/>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我单位对被授权人的签名负全部责任。</w:t>
      </w:r>
    </w:p>
    <w:p>
      <w:pPr>
        <w:spacing w:line="360" w:lineRule="auto"/>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在撤销授权的书面通知以前，本授权书一直有效。被授权人签署的所有文件（在授权书有效期内签署的）不因授权的撤销而失效。</w:t>
      </w:r>
    </w:p>
    <w:p>
      <w:pPr>
        <w:spacing w:line="360" w:lineRule="auto"/>
        <w:rPr>
          <w:rFonts w:ascii="微软雅黑" w:hAnsi="微软雅黑" w:eastAsia="微软雅黑" w:cs="微软雅黑"/>
          <w:color w:val="auto"/>
          <w:szCs w:val="21"/>
          <w:highlight w:val="none"/>
        </w:rPr>
      </w:pPr>
    </w:p>
    <w:p>
      <w:pPr>
        <w:spacing w:line="360" w:lineRule="auto"/>
        <w:rPr>
          <w:rFonts w:ascii="微软雅黑" w:hAnsi="微软雅黑" w:eastAsia="微软雅黑" w:cs="微软雅黑"/>
          <w:color w:val="auto"/>
          <w:szCs w:val="21"/>
          <w:highlight w:val="none"/>
          <w:u w:val="single"/>
        </w:rPr>
      </w:pPr>
      <w:r>
        <w:rPr>
          <w:rFonts w:hint="eastAsia" w:ascii="微软雅黑" w:hAnsi="微软雅黑" w:eastAsia="微软雅黑" w:cs="微软雅黑"/>
          <w:color w:val="auto"/>
          <w:szCs w:val="21"/>
          <w:highlight w:val="none"/>
        </w:rPr>
        <w:t>被授权人签名：                 授权人签名：</w:t>
      </w:r>
    </w:p>
    <w:p>
      <w:pPr>
        <w:spacing w:line="360" w:lineRule="auto"/>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职务：                         职务：</w:t>
      </w:r>
    </w:p>
    <w:p>
      <w:pPr>
        <w:spacing w:line="360" w:lineRule="auto"/>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被授权人身份证号码：</w:t>
      </w:r>
    </w:p>
    <w:p>
      <w:pPr>
        <w:spacing w:line="360" w:lineRule="auto"/>
        <w:rPr>
          <w:rFonts w:ascii="微软雅黑" w:hAnsi="微软雅黑" w:eastAsia="微软雅黑" w:cs="微软雅黑"/>
          <w:color w:val="auto"/>
          <w:szCs w:val="21"/>
          <w:highlight w:val="none"/>
        </w:rPr>
      </w:pPr>
    </w:p>
    <w:p>
      <w:pPr>
        <w:spacing w:line="360" w:lineRule="auto"/>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附授权人(法定代表人)及被授权人的身份证复印件正反面:</w:t>
      </w:r>
    </w:p>
    <w:p>
      <w:pPr>
        <w:spacing w:line="360" w:lineRule="auto"/>
        <w:jc w:val="center"/>
        <w:rPr>
          <w:rFonts w:ascii="微软雅黑" w:hAnsi="微软雅黑" w:eastAsia="微软雅黑" w:cs="微软雅黑"/>
          <w:color w:val="auto"/>
          <w:szCs w:val="21"/>
          <w:highlight w:val="none"/>
        </w:rPr>
      </w:pPr>
    </w:p>
    <w:p>
      <w:pPr>
        <w:spacing w:line="360" w:lineRule="auto"/>
        <w:jc w:val="right"/>
        <w:rPr>
          <w:rFonts w:ascii="微软雅黑" w:hAnsi="微软雅黑" w:eastAsia="微软雅黑" w:cs="微软雅黑"/>
          <w:color w:val="auto"/>
          <w:szCs w:val="21"/>
          <w:highlight w:val="none"/>
          <w:u w:val="single"/>
        </w:rPr>
      </w:pPr>
      <w:r>
        <w:rPr>
          <w:rFonts w:hint="eastAsia" w:ascii="微软雅黑" w:hAnsi="微软雅黑" w:eastAsia="微软雅黑" w:cs="微软雅黑"/>
          <w:color w:val="auto"/>
          <w:szCs w:val="21"/>
          <w:highlight w:val="none"/>
        </w:rPr>
        <w:t>供应商公章：</w:t>
      </w:r>
    </w:p>
    <w:p>
      <w:pPr>
        <w:spacing w:line="360" w:lineRule="auto"/>
        <w:ind w:firstLine="3150" w:firstLineChars="1500"/>
        <w:jc w:val="righ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年  月   日</w:t>
      </w:r>
    </w:p>
    <w:p>
      <w:pPr>
        <w:spacing w:line="360" w:lineRule="auto"/>
        <w:ind w:firstLine="3360" w:firstLineChars="1600"/>
        <w:rPr>
          <w:rFonts w:ascii="微软雅黑" w:hAnsi="微软雅黑" w:eastAsia="微软雅黑" w:cs="微软雅黑"/>
          <w:color w:val="auto"/>
          <w:szCs w:val="21"/>
          <w:highlight w:val="none"/>
        </w:rPr>
        <w:sectPr>
          <w:pgSz w:w="11906" w:h="16838"/>
          <w:pgMar w:top="1440" w:right="1559" w:bottom="1440" w:left="1797" w:header="851" w:footer="992" w:gutter="0"/>
          <w:cols w:space="720" w:num="1"/>
          <w:docGrid w:linePitch="312" w:charSpace="0"/>
        </w:sectPr>
      </w:pPr>
    </w:p>
    <w:p>
      <w:pPr>
        <w:snapToGrid w:val="0"/>
        <w:spacing w:line="360" w:lineRule="auto"/>
        <w:jc w:val="left"/>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投标人的类似成功案例的业绩证明文件：</w:t>
      </w:r>
    </w:p>
    <w:p>
      <w:pPr>
        <w:pStyle w:val="44"/>
        <w:snapToGrid w:val="0"/>
        <w:spacing w:line="360" w:lineRule="auto"/>
        <w:ind w:left="420" w:hanging="42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投标人同类项目实施情况一览表格式：</w:t>
      </w:r>
    </w:p>
    <w:tbl>
      <w:tblPr>
        <w:tblStyle w:val="5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14"/>
        <w:gridCol w:w="3581"/>
        <w:gridCol w:w="1730"/>
        <w:gridCol w:w="2553"/>
        <w:gridCol w:w="1935"/>
        <w:gridCol w:w="24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85" w:hRule="atLeast"/>
        </w:trPr>
        <w:tc>
          <w:tcPr>
            <w:tcW w:w="19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采购单位名称</w:t>
            </w:r>
          </w:p>
        </w:tc>
        <w:tc>
          <w:tcPr>
            <w:tcW w:w="358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项目名称</w:t>
            </w:r>
          </w:p>
        </w:tc>
        <w:tc>
          <w:tcPr>
            <w:tcW w:w="173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日期</w:t>
            </w:r>
          </w:p>
        </w:tc>
        <w:tc>
          <w:tcPr>
            <w:tcW w:w="25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合同金额</w:t>
            </w:r>
          </w:p>
          <w:p>
            <w:pPr>
              <w:snapToGrid w:val="0"/>
              <w:spacing w:line="360" w:lineRule="auto"/>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（万元）</w:t>
            </w:r>
          </w:p>
        </w:tc>
        <w:tc>
          <w:tcPr>
            <w:tcW w:w="1935" w:type="dxa"/>
            <w:tcBorders>
              <w:top w:val="single" w:color="auto" w:sz="4" w:space="0"/>
              <w:left w:val="single" w:color="auto" w:sz="4" w:space="0"/>
              <w:right w:val="single" w:color="auto" w:sz="4" w:space="0"/>
            </w:tcBorders>
            <w:vAlign w:val="center"/>
          </w:tcPr>
          <w:p>
            <w:pPr>
              <w:snapToGrid w:val="0"/>
              <w:spacing w:line="360" w:lineRule="auto"/>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有效证明文件</w:t>
            </w:r>
          </w:p>
        </w:tc>
        <w:tc>
          <w:tcPr>
            <w:tcW w:w="241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采购单位联系人及</w:t>
            </w:r>
          </w:p>
          <w:p>
            <w:pPr>
              <w:snapToGrid w:val="0"/>
              <w:spacing w:line="360" w:lineRule="auto"/>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1914"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微软雅黑" w:hAnsi="微软雅黑" w:eastAsia="微软雅黑" w:cs="微软雅黑"/>
                <w:color w:val="auto"/>
                <w:szCs w:val="21"/>
                <w:highlight w:val="none"/>
              </w:rPr>
            </w:pPr>
          </w:p>
        </w:tc>
        <w:tc>
          <w:tcPr>
            <w:tcW w:w="3581"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微软雅黑" w:hAnsi="微软雅黑" w:eastAsia="微软雅黑" w:cs="微软雅黑"/>
                <w:color w:val="auto"/>
                <w:szCs w:val="21"/>
                <w:highlight w:val="none"/>
              </w:rPr>
            </w:pPr>
          </w:p>
        </w:tc>
        <w:tc>
          <w:tcPr>
            <w:tcW w:w="173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微软雅黑" w:hAnsi="微软雅黑" w:eastAsia="微软雅黑" w:cs="微软雅黑"/>
                <w:color w:val="auto"/>
                <w:szCs w:val="21"/>
                <w:highlight w:val="none"/>
              </w:rPr>
            </w:pPr>
          </w:p>
        </w:tc>
        <w:tc>
          <w:tcPr>
            <w:tcW w:w="2553"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微软雅黑" w:hAnsi="微软雅黑" w:eastAsia="微软雅黑" w:cs="微软雅黑"/>
                <w:color w:val="auto"/>
                <w:szCs w:val="21"/>
                <w:highlight w:val="none"/>
              </w:rPr>
            </w:pPr>
          </w:p>
        </w:tc>
        <w:tc>
          <w:tcPr>
            <w:tcW w:w="1935"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微软雅黑" w:hAnsi="微软雅黑" w:eastAsia="微软雅黑" w:cs="微软雅黑"/>
                <w:color w:val="auto"/>
                <w:szCs w:val="21"/>
                <w:highlight w:val="none"/>
              </w:rPr>
            </w:pPr>
          </w:p>
        </w:tc>
        <w:tc>
          <w:tcPr>
            <w:tcW w:w="2419"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微软雅黑" w:hAnsi="微软雅黑" w:eastAsia="微软雅黑" w:cs="微软雅黑"/>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1914"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微软雅黑" w:hAnsi="微软雅黑" w:eastAsia="微软雅黑" w:cs="微软雅黑"/>
                <w:color w:val="auto"/>
                <w:szCs w:val="21"/>
                <w:highlight w:val="none"/>
              </w:rPr>
            </w:pPr>
          </w:p>
        </w:tc>
        <w:tc>
          <w:tcPr>
            <w:tcW w:w="3581"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微软雅黑" w:hAnsi="微软雅黑" w:eastAsia="微软雅黑" w:cs="微软雅黑"/>
                <w:color w:val="auto"/>
                <w:szCs w:val="21"/>
                <w:highlight w:val="none"/>
              </w:rPr>
            </w:pPr>
          </w:p>
        </w:tc>
        <w:tc>
          <w:tcPr>
            <w:tcW w:w="173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微软雅黑" w:hAnsi="微软雅黑" w:eastAsia="微软雅黑" w:cs="微软雅黑"/>
                <w:color w:val="auto"/>
                <w:szCs w:val="21"/>
                <w:highlight w:val="none"/>
              </w:rPr>
            </w:pPr>
          </w:p>
        </w:tc>
        <w:tc>
          <w:tcPr>
            <w:tcW w:w="2553"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微软雅黑" w:hAnsi="微软雅黑" w:eastAsia="微软雅黑" w:cs="微软雅黑"/>
                <w:color w:val="auto"/>
                <w:szCs w:val="21"/>
                <w:highlight w:val="none"/>
              </w:rPr>
            </w:pPr>
          </w:p>
        </w:tc>
        <w:tc>
          <w:tcPr>
            <w:tcW w:w="1935"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微软雅黑" w:hAnsi="微软雅黑" w:eastAsia="微软雅黑" w:cs="微软雅黑"/>
                <w:color w:val="auto"/>
                <w:szCs w:val="21"/>
                <w:highlight w:val="none"/>
              </w:rPr>
            </w:pPr>
          </w:p>
        </w:tc>
        <w:tc>
          <w:tcPr>
            <w:tcW w:w="2419"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微软雅黑" w:hAnsi="微软雅黑" w:eastAsia="微软雅黑" w:cs="微软雅黑"/>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1914"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微软雅黑" w:hAnsi="微软雅黑" w:eastAsia="微软雅黑" w:cs="微软雅黑"/>
                <w:color w:val="auto"/>
                <w:szCs w:val="21"/>
                <w:highlight w:val="none"/>
              </w:rPr>
            </w:pPr>
          </w:p>
        </w:tc>
        <w:tc>
          <w:tcPr>
            <w:tcW w:w="3581"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微软雅黑" w:hAnsi="微软雅黑" w:eastAsia="微软雅黑" w:cs="微软雅黑"/>
                <w:color w:val="auto"/>
                <w:szCs w:val="21"/>
                <w:highlight w:val="none"/>
              </w:rPr>
            </w:pPr>
          </w:p>
        </w:tc>
        <w:tc>
          <w:tcPr>
            <w:tcW w:w="173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微软雅黑" w:hAnsi="微软雅黑" w:eastAsia="微软雅黑" w:cs="微软雅黑"/>
                <w:color w:val="auto"/>
                <w:szCs w:val="21"/>
                <w:highlight w:val="none"/>
              </w:rPr>
            </w:pPr>
          </w:p>
        </w:tc>
        <w:tc>
          <w:tcPr>
            <w:tcW w:w="2553"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微软雅黑" w:hAnsi="微软雅黑" w:eastAsia="微软雅黑" w:cs="微软雅黑"/>
                <w:color w:val="auto"/>
                <w:szCs w:val="21"/>
                <w:highlight w:val="none"/>
              </w:rPr>
            </w:pPr>
          </w:p>
        </w:tc>
        <w:tc>
          <w:tcPr>
            <w:tcW w:w="1935"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微软雅黑" w:hAnsi="微软雅黑" w:eastAsia="微软雅黑" w:cs="微软雅黑"/>
                <w:color w:val="auto"/>
                <w:szCs w:val="21"/>
                <w:highlight w:val="none"/>
              </w:rPr>
            </w:pPr>
          </w:p>
        </w:tc>
        <w:tc>
          <w:tcPr>
            <w:tcW w:w="2419"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微软雅黑" w:hAnsi="微软雅黑" w:eastAsia="微软雅黑" w:cs="微软雅黑"/>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1914"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微软雅黑" w:hAnsi="微软雅黑" w:eastAsia="微软雅黑" w:cs="微软雅黑"/>
                <w:color w:val="auto"/>
                <w:szCs w:val="21"/>
                <w:highlight w:val="none"/>
              </w:rPr>
            </w:pPr>
          </w:p>
        </w:tc>
        <w:tc>
          <w:tcPr>
            <w:tcW w:w="3581"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微软雅黑" w:hAnsi="微软雅黑" w:eastAsia="微软雅黑" w:cs="微软雅黑"/>
                <w:color w:val="auto"/>
                <w:szCs w:val="21"/>
                <w:highlight w:val="none"/>
              </w:rPr>
            </w:pPr>
          </w:p>
        </w:tc>
        <w:tc>
          <w:tcPr>
            <w:tcW w:w="173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微软雅黑" w:hAnsi="微软雅黑" w:eastAsia="微软雅黑" w:cs="微软雅黑"/>
                <w:color w:val="auto"/>
                <w:szCs w:val="21"/>
                <w:highlight w:val="none"/>
              </w:rPr>
            </w:pPr>
          </w:p>
        </w:tc>
        <w:tc>
          <w:tcPr>
            <w:tcW w:w="2553"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微软雅黑" w:hAnsi="微软雅黑" w:eastAsia="微软雅黑" w:cs="微软雅黑"/>
                <w:color w:val="auto"/>
                <w:szCs w:val="21"/>
                <w:highlight w:val="none"/>
              </w:rPr>
            </w:pPr>
          </w:p>
        </w:tc>
        <w:tc>
          <w:tcPr>
            <w:tcW w:w="1935"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微软雅黑" w:hAnsi="微软雅黑" w:eastAsia="微软雅黑" w:cs="微软雅黑"/>
                <w:color w:val="auto"/>
                <w:szCs w:val="21"/>
                <w:highlight w:val="none"/>
              </w:rPr>
            </w:pPr>
          </w:p>
        </w:tc>
        <w:tc>
          <w:tcPr>
            <w:tcW w:w="2419"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微软雅黑" w:hAnsi="微软雅黑" w:eastAsia="微软雅黑" w:cs="微软雅黑"/>
                <w:color w:val="auto"/>
                <w:szCs w:val="21"/>
                <w:highlight w:val="none"/>
              </w:rPr>
            </w:pPr>
          </w:p>
        </w:tc>
      </w:tr>
    </w:tbl>
    <w:p>
      <w:pPr>
        <w:pStyle w:val="21"/>
        <w:snapToGrid w:val="0"/>
        <w:spacing w:before="0" w:after="0" w:line="360" w:lineRule="auto"/>
        <w:rPr>
          <w:rFonts w:ascii="微软雅黑" w:hAnsi="微软雅黑" w:eastAsia="微软雅黑" w:cs="微软雅黑"/>
          <w:color w:val="auto"/>
          <w:sz w:val="21"/>
          <w:szCs w:val="21"/>
          <w:highlight w:val="none"/>
        </w:rPr>
      </w:pPr>
    </w:p>
    <w:p>
      <w:pPr>
        <w:snapToGrid w:val="0"/>
        <w:spacing w:line="360" w:lineRule="auto"/>
        <w:rPr>
          <w:rFonts w:ascii="微软雅黑" w:hAnsi="微软雅黑" w:eastAsia="微软雅黑" w:cs="微软雅黑"/>
          <w:color w:val="auto"/>
          <w:szCs w:val="21"/>
          <w:highlight w:val="none"/>
          <w:u w:val="single"/>
        </w:rPr>
      </w:pPr>
      <w:r>
        <w:rPr>
          <w:rFonts w:hint="eastAsia" w:ascii="微软雅黑" w:hAnsi="微软雅黑" w:eastAsia="微软雅黑" w:cs="微软雅黑"/>
          <w:color w:val="auto"/>
          <w:szCs w:val="21"/>
          <w:highlight w:val="none"/>
          <w:shd w:val="clear" w:color="auto" w:fill="FFFFFF"/>
        </w:rPr>
        <w:t>投标人名称：（盖章）</w:t>
      </w:r>
      <w:r>
        <w:rPr>
          <w:rFonts w:hint="eastAsia" w:ascii="微软雅黑" w:hAnsi="微软雅黑" w:eastAsia="微软雅黑" w:cs="微软雅黑"/>
          <w:color w:val="auto"/>
          <w:szCs w:val="21"/>
          <w:highlight w:val="none"/>
        </w:rPr>
        <w:br w:type="textWrapping"/>
      </w:r>
      <w:r>
        <w:rPr>
          <w:rFonts w:hint="eastAsia" w:ascii="微软雅黑" w:hAnsi="微软雅黑" w:eastAsia="微软雅黑" w:cs="微软雅黑"/>
          <w:color w:val="auto"/>
          <w:szCs w:val="21"/>
          <w:highlight w:val="none"/>
          <w:shd w:val="clear" w:color="auto" w:fill="FFFFFF"/>
        </w:rPr>
        <w:t>法定代表人或</w:t>
      </w:r>
      <w:r>
        <w:rPr>
          <w:rFonts w:hint="eastAsia" w:ascii="微软雅黑" w:hAnsi="微软雅黑" w:eastAsia="微软雅黑" w:cs="微软雅黑"/>
          <w:color w:val="auto"/>
          <w:szCs w:val="21"/>
          <w:highlight w:val="none"/>
        </w:rPr>
        <w:t>被授权人</w:t>
      </w:r>
      <w:r>
        <w:rPr>
          <w:rFonts w:hint="eastAsia" w:ascii="微软雅黑" w:hAnsi="微软雅黑" w:eastAsia="微软雅黑" w:cs="微软雅黑"/>
          <w:color w:val="auto"/>
          <w:szCs w:val="21"/>
          <w:highlight w:val="none"/>
          <w:shd w:val="clear" w:color="auto" w:fill="FFFFFF"/>
        </w:rPr>
        <w:t>（签字或盖章）：</w:t>
      </w:r>
      <w:r>
        <w:rPr>
          <w:rFonts w:hint="eastAsia" w:ascii="微软雅黑" w:hAnsi="微软雅黑" w:eastAsia="微软雅黑" w:cs="微软雅黑"/>
          <w:color w:val="auto"/>
          <w:szCs w:val="21"/>
          <w:highlight w:val="none"/>
        </w:rPr>
        <w:br w:type="textWrapping"/>
      </w:r>
      <w:r>
        <w:rPr>
          <w:rFonts w:hint="eastAsia" w:ascii="微软雅黑" w:hAnsi="微软雅黑" w:eastAsia="微软雅黑" w:cs="微软雅黑"/>
          <w:color w:val="auto"/>
          <w:szCs w:val="21"/>
          <w:highlight w:val="none"/>
          <w:shd w:val="clear" w:color="auto" w:fill="FFFFFF"/>
        </w:rPr>
        <w:t>投标日期：年月日</w:t>
      </w:r>
    </w:p>
    <w:p>
      <w:pPr>
        <w:snapToGrid w:val="0"/>
        <w:spacing w:line="360" w:lineRule="auto"/>
        <w:jc w:val="left"/>
        <w:rPr>
          <w:rFonts w:ascii="微软雅黑" w:hAnsi="微软雅黑" w:eastAsia="微软雅黑" w:cs="微软雅黑"/>
          <w:b/>
          <w:color w:val="auto"/>
          <w:szCs w:val="21"/>
          <w:highlight w:val="none"/>
        </w:rPr>
        <w:sectPr>
          <w:pgSz w:w="16838" w:h="11906" w:orient="landscape"/>
          <w:pgMar w:top="1797" w:right="1440" w:bottom="1559" w:left="1440" w:header="851" w:footer="851" w:gutter="0"/>
          <w:cols w:space="720" w:num="1"/>
        </w:sectPr>
      </w:pPr>
    </w:p>
    <w:p>
      <w:pPr>
        <w:snapToGrid w:val="0"/>
        <w:spacing w:line="360" w:lineRule="auto"/>
        <w:jc w:val="left"/>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项目实施人员一览表格式：</w:t>
      </w:r>
    </w:p>
    <w:p>
      <w:pPr>
        <w:snapToGrid w:val="0"/>
        <w:spacing w:line="360" w:lineRule="auto"/>
        <w:jc w:val="center"/>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项目实施人员（主要从业人员及其技术资格）一览表</w:t>
      </w:r>
    </w:p>
    <w:p>
      <w:pPr>
        <w:snapToGrid w:val="0"/>
        <w:spacing w:line="360" w:lineRule="auto"/>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项目名称：</w:t>
      </w:r>
    </w:p>
    <w:tbl>
      <w:tblPr>
        <w:tblStyle w:val="58"/>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01"/>
        <w:gridCol w:w="1155"/>
        <w:gridCol w:w="1680"/>
        <w:gridCol w:w="1470"/>
        <w:gridCol w:w="1365"/>
        <w:gridCol w:w="15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1" w:type="dxa"/>
            <w:tcBorders>
              <w:top w:val="single" w:color="auto" w:sz="4" w:space="0"/>
              <w:left w:val="single" w:color="auto" w:sz="4" w:space="0"/>
              <w:bottom w:val="single" w:color="auto" w:sz="4" w:space="0"/>
              <w:right w:val="single" w:color="auto" w:sz="4" w:space="0"/>
            </w:tcBorders>
            <w:vAlign w:val="bottom"/>
          </w:tcPr>
          <w:p>
            <w:pPr>
              <w:snapToGrid w:val="0"/>
              <w:spacing w:line="360" w:lineRule="auto"/>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姓名</w:t>
            </w:r>
          </w:p>
        </w:tc>
        <w:tc>
          <w:tcPr>
            <w:tcW w:w="1155" w:type="dxa"/>
            <w:tcBorders>
              <w:top w:val="single" w:color="auto" w:sz="4" w:space="0"/>
              <w:left w:val="single" w:color="auto" w:sz="4" w:space="0"/>
              <w:bottom w:val="single" w:color="auto" w:sz="4" w:space="0"/>
              <w:right w:val="single" w:color="auto" w:sz="4" w:space="0"/>
            </w:tcBorders>
            <w:vAlign w:val="bottom"/>
          </w:tcPr>
          <w:p>
            <w:pPr>
              <w:snapToGrid w:val="0"/>
              <w:spacing w:line="360" w:lineRule="auto"/>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职务</w:t>
            </w:r>
          </w:p>
        </w:tc>
        <w:tc>
          <w:tcPr>
            <w:tcW w:w="1680" w:type="dxa"/>
            <w:tcBorders>
              <w:top w:val="single" w:color="auto" w:sz="4" w:space="0"/>
              <w:left w:val="single" w:color="auto" w:sz="4" w:space="0"/>
              <w:bottom w:val="single" w:color="auto" w:sz="4" w:space="0"/>
              <w:right w:val="single" w:color="auto" w:sz="4" w:space="0"/>
            </w:tcBorders>
            <w:vAlign w:val="bottom"/>
          </w:tcPr>
          <w:p>
            <w:pPr>
              <w:snapToGrid w:val="0"/>
              <w:spacing w:line="360" w:lineRule="auto"/>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专业技术资格</w:t>
            </w:r>
          </w:p>
        </w:tc>
        <w:tc>
          <w:tcPr>
            <w:tcW w:w="1470" w:type="dxa"/>
            <w:tcBorders>
              <w:top w:val="single" w:color="auto" w:sz="4" w:space="0"/>
              <w:left w:val="single" w:color="auto" w:sz="4" w:space="0"/>
              <w:bottom w:val="single" w:color="auto" w:sz="4" w:space="0"/>
              <w:right w:val="single" w:color="auto" w:sz="4" w:space="0"/>
            </w:tcBorders>
            <w:vAlign w:val="bottom"/>
          </w:tcPr>
          <w:p>
            <w:pPr>
              <w:snapToGrid w:val="0"/>
              <w:spacing w:line="360" w:lineRule="auto"/>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证书编号</w:t>
            </w:r>
          </w:p>
        </w:tc>
        <w:tc>
          <w:tcPr>
            <w:tcW w:w="1365" w:type="dxa"/>
            <w:tcBorders>
              <w:top w:val="single" w:color="auto" w:sz="4" w:space="0"/>
              <w:left w:val="single" w:color="auto" w:sz="4" w:space="0"/>
              <w:bottom w:val="single" w:color="auto" w:sz="4" w:space="0"/>
              <w:right w:val="single" w:color="auto" w:sz="4" w:space="0"/>
            </w:tcBorders>
            <w:vAlign w:val="bottom"/>
          </w:tcPr>
          <w:p>
            <w:pPr>
              <w:snapToGrid w:val="0"/>
              <w:spacing w:line="360" w:lineRule="auto"/>
              <w:rPr>
                <w:rFonts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参加本单位工作时间</w:t>
            </w:r>
          </w:p>
        </w:tc>
        <w:tc>
          <w:tcPr>
            <w:tcW w:w="1560" w:type="dxa"/>
            <w:tcBorders>
              <w:top w:val="single" w:color="auto" w:sz="4" w:space="0"/>
              <w:left w:val="single" w:color="auto" w:sz="4" w:space="0"/>
              <w:bottom w:val="single" w:color="auto" w:sz="4" w:space="0"/>
              <w:right w:val="single" w:color="auto" w:sz="4" w:space="0"/>
            </w:tcBorders>
            <w:vAlign w:val="bottom"/>
          </w:tcPr>
          <w:p>
            <w:pPr>
              <w:snapToGrid w:val="0"/>
              <w:spacing w:line="360" w:lineRule="auto"/>
              <w:rPr>
                <w:rFonts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1"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微软雅黑" w:hAnsi="微软雅黑" w:eastAsia="微软雅黑" w:cs="微软雅黑"/>
                <w:color w:val="auto"/>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微软雅黑" w:hAnsi="微软雅黑" w:eastAsia="微软雅黑" w:cs="微软雅黑"/>
                <w:color w:val="auto"/>
                <w:szCs w:val="21"/>
                <w:highlight w:val="none"/>
              </w:rPr>
            </w:pPr>
          </w:p>
        </w:tc>
        <w:tc>
          <w:tcPr>
            <w:tcW w:w="168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微软雅黑" w:hAnsi="微软雅黑" w:eastAsia="微软雅黑" w:cs="微软雅黑"/>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微软雅黑" w:hAnsi="微软雅黑" w:eastAsia="微软雅黑" w:cs="微软雅黑"/>
                <w:color w:val="auto"/>
                <w:szCs w:val="21"/>
                <w:highlight w:val="none"/>
              </w:rPr>
            </w:pPr>
          </w:p>
        </w:tc>
        <w:tc>
          <w:tcPr>
            <w:tcW w:w="1365"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微软雅黑" w:hAnsi="微软雅黑" w:eastAsia="微软雅黑" w:cs="微软雅黑"/>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微软雅黑" w:hAnsi="微软雅黑" w:eastAsia="微软雅黑" w:cs="微软雅黑"/>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1"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微软雅黑" w:hAnsi="微软雅黑" w:eastAsia="微软雅黑" w:cs="微软雅黑"/>
                <w:color w:val="auto"/>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微软雅黑" w:hAnsi="微软雅黑" w:eastAsia="微软雅黑" w:cs="微软雅黑"/>
                <w:color w:val="auto"/>
                <w:szCs w:val="21"/>
                <w:highlight w:val="none"/>
              </w:rPr>
            </w:pPr>
          </w:p>
        </w:tc>
        <w:tc>
          <w:tcPr>
            <w:tcW w:w="168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微软雅黑" w:hAnsi="微软雅黑" w:eastAsia="微软雅黑" w:cs="微软雅黑"/>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微软雅黑" w:hAnsi="微软雅黑" w:eastAsia="微软雅黑" w:cs="微软雅黑"/>
                <w:color w:val="auto"/>
                <w:szCs w:val="21"/>
                <w:highlight w:val="none"/>
              </w:rPr>
            </w:pPr>
          </w:p>
        </w:tc>
        <w:tc>
          <w:tcPr>
            <w:tcW w:w="1365"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微软雅黑" w:hAnsi="微软雅黑" w:eastAsia="微软雅黑" w:cs="微软雅黑"/>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微软雅黑" w:hAnsi="微软雅黑" w:eastAsia="微软雅黑" w:cs="微软雅黑"/>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1"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微软雅黑" w:hAnsi="微软雅黑" w:eastAsia="微软雅黑" w:cs="微软雅黑"/>
                <w:color w:val="auto"/>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微软雅黑" w:hAnsi="微软雅黑" w:eastAsia="微软雅黑" w:cs="微软雅黑"/>
                <w:color w:val="auto"/>
                <w:szCs w:val="21"/>
                <w:highlight w:val="none"/>
              </w:rPr>
            </w:pPr>
          </w:p>
        </w:tc>
        <w:tc>
          <w:tcPr>
            <w:tcW w:w="1680" w:type="dxa"/>
            <w:tcBorders>
              <w:top w:val="single" w:color="auto" w:sz="4" w:space="0"/>
              <w:left w:val="single" w:color="auto" w:sz="4" w:space="0"/>
              <w:bottom w:val="single" w:color="auto" w:sz="4" w:space="0"/>
              <w:right w:val="single" w:color="auto" w:sz="4" w:space="0"/>
            </w:tcBorders>
          </w:tcPr>
          <w:p>
            <w:pPr>
              <w:pStyle w:val="36"/>
              <w:snapToGrid w:val="0"/>
              <w:spacing w:line="360" w:lineRule="auto"/>
              <w:ind w:left="5250"/>
              <w:rPr>
                <w:rFonts w:ascii="微软雅黑" w:hAnsi="微软雅黑" w:eastAsia="微软雅黑" w:cs="微软雅黑"/>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微软雅黑" w:hAnsi="微软雅黑" w:eastAsia="微软雅黑" w:cs="微软雅黑"/>
                <w:color w:val="auto"/>
                <w:szCs w:val="21"/>
                <w:highlight w:val="none"/>
              </w:rPr>
            </w:pPr>
          </w:p>
        </w:tc>
        <w:tc>
          <w:tcPr>
            <w:tcW w:w="1365"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微软雅黑" w:hAnsi="微软雅黑" w:eastAsia="微软雅黑" w:cs="微软雅黑"/>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微软雅黑" w:hAnsi="微软雅黑" w:eastAsia="微软雅黑" w:cs="微软雅黑"/>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1"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微软雅黑" w:hAnsi="微软雅黑" w:eastAsia="微软雅黑" w:cs="微软雅黑"/>
                <w:color w:val="auto"/>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微软雅黑" w:hAnsi="微软雅黑" w:eastAsia="微软雅黑" w:cs="微软雅黑"/>
                <w:color w:val="auto"/>
                <w:szCs w:val="21"/>
                <w:highlight w:val="none"/>
              </w:rPr>
            </w:pPr>
          </w:p>
        </w:tc>
        <w:tc>
          <w:tcPr>
            <w:tcW w:w="168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微软雅黑" w:hAnsi="微软雅黑" w:eastAsia="微软雅黑" w:cs="微软雅黑"/>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微软雅黑" w:hAnsi="微软雅黑" w:eastAsia="微软雅黑" w:cs="微软雅黑"/>
                <w:color w:val="auto"/>
                <w:szCs w:val="21"/>
                <w:highlight w:val="none"/>
              </w:rPr>
            </w:pPr>
          </w:p>
        </w:tc>
        <w:tc>
          <w:tcPr>
            <w:tcW w:w="1365"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微软雅黑" w:hAnsi="微软雅黑" w:eastAsia="微软雅黑" w:cs="微软雅黑"/>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微软雅黑" w:hAnsi="微软雅黑" w:eastAsia="微软雅黑" w:cs="微软雅黑"/>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1"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微软雅黑" w:hAnsi="微软雅黑" w:eastAsia="微软雅黑" w:cs="微软雅黑"/>
                <w:color w:val="auto"/>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微软雅黑" w:hAnsi="微软雅黑" w:eastAsia="微软雅黑" w:cs="微软雅黑"/>
                <w:color w:val="auto"/>
                <w:szCs w:val="21"/>
                <w:highlight w:val="none"/>
              </w:rPr>
            </w:pPr>
          </w:p>
        </w:tc>
        <w:tc>
          <w:tcPr>
            <w:tcW w:w="168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微软雅黑" w:hAnsi="微软雅黑" w:eastAsia="微软雅黑" w:cs="微软雅黑"/>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微软雅黑" w:hAnsi="微软雅黑" w:eastAsia="微软雅黑" w:cs="微软雅黑"/>
                <w:color w:val="auto"/>
                <w:szCs w:val="21"/>
                <w:highlight w:val="none"/>
              </w:rPr>
            </w:pPr>
          </w:p>
        </w:tc>
        <w:tc>
          <w:tcPr>
            <w:tcW w:w="1365"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微软雅黑" w:hAnsi="微软雅黑" w:eastAsia="微软雅黑" w:cs="微软雅黑"/>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微软雅黑" w:hAnsi="微软雅黑" w:eastAsia="微软雅黑" w:cs="微软雅黑"/>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1"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微软雅黑" w:hAnsi="微软雅黑" w:eastAsia="微软雅黑" w:cs="微软雅黑"/>
                <w:color w:val="auto"/>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微软雅黑" w:hAnsi="微软雅黑" w:eastAsia="微软雅黑" w:cs="微软雅黑"/>
                <w:color w:val="auto"/>
                <w:szCs w:val="21"/>
                <w:highlight w:val="none"/>
              </w:rPr>
            </w:pPr>
          </w:p>
        </w:tc>
        <w:tc>
          <w:tcPr>
            <w:tcW w:w="168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微软雅黑" w:hAnsi="微软雅黑" w:eastAsia="微软雅黑" w:cs="微软雅黑"/>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微软雅黑" w:hAnsi="微软雅黑" w:eastAsia="微软雅黑" w:cs="微软雅黑"/>
                <w:color w:val="auto"/>
                <w:szCs w:val="21"/>
                <w:highlight w:val="none"/>
              </w:rPr>
            </w:pPr>
          </w:p>
        </w:tc>
        <w:tc>
          <w:tcPr>
            <w:tcW w:w="1365"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微软雅黑" w:hAnsi="微软雅黑" w:eastAsia="微软雅黑" w:cs="微软雅黑"/>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微软雅黑" w:hAnsi="微软雅黑" w:eastAsia="微软雅黑" w:cs="微软雅黑"/>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1"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微软雅黑" w:hAnsi="微软雅黑" w:eastAsia="微软雅黑" w:cs="微软雅黑"/>
                <w:color w:val="auto"/>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微软雅黑" w:hAnsi="微软雅黑" w:eastAsia="微软雅黑" w:cs="微软雅黑"/>
                <w:color w:val="auto"/>
                <w:szCs w:val="21"/>
                <w:highlight w:val="none"/>
              </w:rPr>
            </w:pPr>
          </w:p>
        </w:tc>
        <w:tc>
          <w:tcPr>
            <w:tcW w:w="168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微软雅黑" w:hAnsi="微软雅黑" w:eastAsia="微软雅黑" w:cs="微软雅黑"/>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微软雅黑" w:hAnsi="微软雅黑" w:eastAsia="微软雅黑" w:cs="微软雅黑"/>
                <w:color w:val="auto"/>
                <w:szCs w:val="21"/>
                <w:highlight w:val="none"/>
              </w:rPr>
            </w:pPr>
          </w:p>
        </w:tc>
        <w:tc>
          <w:tcPr>
            <w:tcW w:w="1365"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微软雅黑" w:hAnsi="微软雅黑" w:eastAsia="微软雅黑" w:cs="微软雅黑"/>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微软雅黑" w:hAnsi="微软雅黑" w:eastAsia="微软雅黑" w:cs="微软雅黑"/>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1"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微软雅黑" w:hAnsi="微软雅黑" w:eastAsia="微软雅黑" w:cs="微软雅黑"/>
                <w:color w:val="auto"/>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微软雅黑" w:hAnsi="微软雅黑" w:eastAsia="微软雅黑" w:cs="微软雅黑"/>
                <w:color w:val="auto"/>
                <w:szCs w:val="21"/>
                <w:highlight w:val="none"/>
              </w:rPr>
            </w:pPr>
          </w:p>
        </w:tc>
        <w:tc>
          <w:tcPr>
            <w:tcW w:w="168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微软雅黑" w:hAnsi="微软雅黑" w:eastAsia="微软雅黑" w:cs="微软雅黑"/>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微软雅黑" w:hAnsi="微软雅黑" w:eastAsia="微软雅黑" w:cs="微软雅黑"/>
                <w:color w:val="auto"/>
                <w:szCs w:val="21"/>
                <w:highlight w:val="none"/>
              </w:rPr>
            </w:pPr>
          </w:p>
        </w:tc>
        <w:tc>
          <w:tcPr>
            <w:tcW w:w="1365"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微软雅黑" w:hAnsi="微软雅黑" w:eastAsia="微软雅黑" w:cs="微软雅黑"/>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微软雅黑" w:hAnsi="微软雅黑" w:eastAsia="微软雅黑" w:cs="微软雅黑"/>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1"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微软雅黑" w:hAnsi="微软雅黑" w:eastAsia="微软雅黑" w:cs="微软雅黑"/>
                <w:color w:val="auto"/>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微软雅黑" w:hAnsi="微软雅黑" w:eastAsia="微软雅黑" w:cs="微软雅黑"/>
                <w:color w:val="auto"/>
                <w:szCs w:val="21"/>
                <w:highlight w:val="none"/>
              </w:rPr>
            </w:pPr>
          </w:p>
        </w:tc>
        <w:tc>
          <w:tcPr>
            <w:tcW w:w="168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微软雅黑" w:hAnsi="微软雅黑" w:eastAsia="微软雅黑" w:cs="微软雅黑"/>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微软雅黑" w:hAnsi="微软雅黑" w:eastAsia="微软雅黑" w:cs="微软雅黑"/>
                <w:color w:val="auto"/>
                <w:szCs w:val="21"/>
                <w:highlight w:val="none"/>
              </w:rPr>
            </w:pPr>
          </w:p>
        </w:tc>
        <w:tc>
          <w:tcPr>
            <w:tcW w:w="1365"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微软雅黑" w:hAnsi="微软雅黑" w:eastAsia="微软雅黑" w:cs="微软雅黑"/>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微软雅黑" w:hAnsi="微软雅黑" w:eastAsia="微软雅黑" w:cs="微软雅黑"/>
                <w:color w:val="auto"/>
                <w:szCs w:val="21"/>
                <w:highlight w:val="none"/>
              </w:rPr>
            </w:pPr>
          </w:p>
        </w:tc>
      </w:tr>
    </w:tbl>
    <w:p>
      <w:pPr>
        <w:snapToGrid w:val="0"/>
        <w:spacing w:line="360" w:lineRule="auto"/>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注：在填写时，如本表格不适合投标单位的实际情况，可根据本表格式自行划表填写。</w:t>
      </w:r>
    </w:p>
    <w:p>
      <w:pPr>
        <w:snapToGrid w:val="0"/>
        <w:spacing w:before="50" w:line="360" w:lineRule="auto"/>
        <w:jc w:val="left"/>
        <w:rPr>
          <w:rFonts w:ascii="微软雅黑" w:hAnsi="微软雅黑" w:eastAsia="微软雅黑" w:cs="微软雅黑"/>
          <w:b/>
          <w:color w:val="auto"/>
          <w:szCs w:val="21"/>
          <w:highlight w:val="none"/>
        </w:rPr>
      </w:pPr>
      <w:r>
        <w:rPr>
          <w:rFonts w:hint="eastAsia" w:ascii="微软雅黑" w:hAnsi="微软雅黑" w:eastAsia="微软雅黑" w:cs="微软雅黑"/>
          <w:color w:val="auto"/>
          <w:szCs w:val="21"/>
          <w:highlight w:val="none"/>
          <w:shd w:val="clear" w:color="auto" w:fill="FFFFFF"/>
        </w:rPr>
        <w:t>投标人名称：（盖章）</w:t>
      </w:r>
      <w:r>
        <w:rPr>
          <w:rFonts w:hint="eastAsia" w:ascii="微软雅黑" w:hAnsi="微软雅黑" w:eastAsia="微软雅黑" w:cs="微软雅黑"/>
          <w:color w:val="auto"/>
          <w:szCs w:val="21"/>
          <w:highlight w:val="none"/>
        </w:rPr>
        <w:br w:type="textWrapping"/>
      </w:r>
      <w:r>
        <w:rPr>
          <w:rFonts w:hint="eastAsia" w:ascii="微软雅黑" w:hAnsi="微软雅黑" w:eastAsia="微软雅黑" w:cs="微软雅黑"/>
          <w:color w:val="auto"/>
          <w:szCs w:val="21"/>
          <w:highlight w:val="none"/>
          <w:shd w:val="clear" w:color="auto" w:fill="FFFFFF"/>
        </w:rPr>
        <w:t>法定代表人或</w:t>
      </w:r>
      <w:r>
        <w:rPr>
          <w:rFonts w:hint="eastAsia" w:ascii="微软雅黑" w:hAnsi="微软雅黑" w:eastAsia="微软雅黑" w:cs="微软雅黑"/>
          <w:color w:val="auto"/>
          <w:szCs w:val="21"/>
          <w:highlight w:val="none"/>
        </w:rPr>
        <w:t>被授权人</w:t>
      </w:r>
      <w:r>
        <w:rPr>
          <w:rFonts w:hint="eastAsia" w:ascii="微软雅黑" w:hAnsi="微软雅黑" w:eastAsia="微软雅黑" w:cs="微软雅黑"/>
          <w:color w:val="auto"/>
          <w:szCs w:val="21"/>
          <w:highlight w:val="none"/>
          <w:shd w:val="clear" w:color="auto" w:fill="FFFFFF"/>
        </w:rPr>
        <w:t>（签字或盖章）：</w:t>
      </w:r>
      <w:r>
        <w:rPr>
          <w:rFonts w:hint="eastAsia" w:ascii="微软雅黑" w:hAnsi="微软雅黑" w:eastAsia="微软雅黑" w:cs="微软雅黑"/>
          <w:color w:val="auto"/>
          <w:szCs w:val="21"/>
          <w:highlight w:val="none"/>
        </w:rPr>
        <w:br w:type="textWrapping"/>
      </w:r>
      <w:r>
        <w:rPr>
          <w:rFonts w:hint="eastAsia" w:ascii="微软雅黑" w:hAnsi="微软雅黑" w:eastAsia="微软雅黑" w:cs="微软雅黑"/>
          <w:color w:val="auto"/>
          <w:szCs w:val="21"/>
          <w:highlight w:val="none"/>
          <w:shd w:val="clear" w:color="auto" w:fill="FFFFFF"/>
        </w:rPr>
        <w:t>投标日期： 年 月 日</w:t>
      </w:r>
      <w:r>
        <w:rPr>
          <w:rFonts w:hint="eastAsia" w:ascii="微软雅黑" w:hAnsi="微软雅黑" w:eastAsia="微软雅黑" w:cs="微软雅黑"/>
          <w:b/>
          <w:color w:val="auto"/>
          <w:szCs w:val="21"/>
          <w:highlight w:val="none"/>
        </w:rPr>
        <w:br w:type="page"/>
      </w:r>
      <w:r>
        <w:rPr>
          <w:rFonts w:hint="eastAsia" w:ascii="微软雅黑" w:hAnsi="微软雅黑" w:eastAsia="微软雅黑" w:cs="微软雅黑"/>
          <w:b/>
          <w:color w:val="auto"/>
          <w:szCs w:val="21"/>
          <w:highlight w:val="none"/>
        </w:rPr>
        <w:t>商务响应表格式：</w:t>
      </w:r>
    </w:p>
    <w:p>
      <w:pPr>
        <w:snapToGrid w:val="0"/>
        <w:spacing w:before="50" w:line="360" w:lineRule="auto"/>
        <w:jc w:val="left"/>
        <w:rPr>
          <w:rFonts w:ascii="微软雅黑" w:hAnsi="微软雅黑" w:eastAsia="微软雅黑" w:cs="微软雅黑"/>
          <w:color w:val="auto"/>
          <w:szCs w:val="21"/>
          <w:highlight w:val="none"/>
          <w:u w:val="single"/>
        </w:rPr>
      </w:pPr>
      <w:r>
        <w:rPr>
          <w:rFonts w:hint="eastAsia" w:ascii="微软雅黑" w:hAnsi="微软雅黑" w:eastAsia="微软雅黑" w:cs="微软雅黑"/>
          <w:color w:val="auto"/>
          <w:szCs w:val="21"/>
          <w:highlight w:val="none"/>
        </w:rPr>
        <w:t>标项：</w:t>
      </w:r>
    </w:p>
    <w:tbl>
      <w:tblPr>
        <w:tblStyle w:val="58"/>
        <w:tblW w:w="88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1"/>
        <w:gridCol w:w="2906"/>
        <w:gridCol w:w="1701"/>
        <w:gridCol w:w="1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34"/>
              <w:spacing w:after="0" w:line="50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序号</w:t>
            </w:r>
          </w:p>
        </w:tc>
        <w:tc>
          <w:tcPr>
            <w:tcW w:w="1701" w:type="dxa"/>
            <w:vAlign w:val="center"/>
          </w:tcPr>
          <w:p>
            <w:pPr>
              <w:pStyle w:val="34"/>
              <w:spacing w:after="0" w:line="50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项目</w:t>
            </w:r>
          </w:p>
        </w:tc>
        <w:tc>
          <w:tcPr>
            <w:tcW w:w="2906" w:type="dxa"/>
            <w:vAlign w:val="center"/>
          </w:tcPr>
          <w:p>
            <w:pPr>
              <w:pStyle w:val="34"/>
              <w:spacing w:after="0" w:line="50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竞争性磋商文件要求</w:t>
            </w:r>
          </w:p>
        </w:tc>
        <w:tc>
          <w:tcPr>
            <w:tcW w:w="1701" w:type="dxa"/>
            <w:vAlign w:val="center"/>
          </w:tcPr>
          <w:p>
            <w:pPr>
              <w:pStyle w:val="34"/>
              <w:spacing w:after="0" w:line="50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竞争性磋商响应文件要求</w:t>
            </w:r>
          </w:p>
        </w:tc>
        <w:tc>
          <w:tcPr>
            <w:tcW w:w="1757" w:type="dxa"/>
            <w:vAlign w:val="center"/>
          </w:tcPr>
          <w:p>
            <w:pPr>
              <w:pStyle w:val="34"/>
              <w:spacing w:after="0" w:line="50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pStyle w:val="34"/>
              <w:spacing w:after="0" w:line="50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w:t>
            </w:r>
          </w:p>
        </w:tc>
        <w:tc>
          <w:tcPr>
            <w:tcW w:w="1701" w:type="dxa"/>
            <w:vAlign w:val="center"/>
          </w:tcPr>
          <w:p>
            <w:pPr>
              <w:snapToGrid w:val="0"/>
              <w:spacing w:line="360" w:lineRule="auto"/>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服务期限</w:t>
            </w:r>
          </w:p>
        </w:tc>
        <w:tc>
          <w:tcPr>
            <w:tcW w:w="2906" w:type="dxa"/>
          </w:tcPr>
          <w:p>
            <w:pPr>
              <w:spacing w:after="0" w:line="500" w:lineRule="exact"/>
              <w:rPr>
                <w:rFonts w:ascii="微软雅黑" w:hAnsi="微软雅黑" w:eastAsia="微软雅黑" w:cs="微软雅黑"/>
                <w:color w:val="auto"/>
                <w:szCs w:val="21"/>
                <w:highlight w:val="none"/>
              </w:rPr>
            </w:pPr>
          </w:p>
        </w:tc>
        <w:tc>
          <w:tcPr>
            <w:tcW w:w="1701" w:type="dxa"/>
          </w:tcPr>
          <w:p>
            <w:pPr>
              <w:pStyle w:val="34"/>
              <w:spacing w:after="0" w:line="500" w:lineRule="exact"/>
              <w:rPr>
                <w:rFonts w:ascii="微软雅黑" w:hAnsi="微软雅黑" w:eastAsia="微软雅黑" w:cs="微软雅黑"/>
                <w:color w:val="auto"/>
                <w:szCs w:val="21"/>
                <w:highlight w:val="none"/>
              </w:rPr>
            </w:pPr>
          </w:p>
        </w:tc>
        <w:tc>
          <w:tcPr>
            <w:tcW w:w="1757" w:type="dxa"/>
          </w:tcPr>
          <w:p>
            <w:pPr>
              <w:pStyle w:val="34"/>
              <w:spacing w:after="0" w:line="500" w:lineRule="exact"/>
              <w:rPr>
                <w:rFonts w:ascii="微软雅黑" w:hAnsi="微软雅黑" w:eastAsia="微软雅黑" w:cs="微软雅黑"/>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pStyle w:val="34"/>
              <w:spacing w:after="0" w:line="50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w:t>
            </w:r>
          </w:p>
        </w:tc>
        <w:tc>
          <w:tcPr>
            <w:tcW w:w="1701" w:type="dxa"/>
            <w:vAlign w:val="center"/>
          </w:tcPr>
          <w:p>
            <w:pPr>
              <w:snapToGrid w:val="0"/>
              <w:spacing w:line="360" w:lineRule="auto"/>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付款方式</w:t>
            </w:r>
          </w:p>
        </w:tc>
        <w:tc>
          <w:tcPr>
            <w:tcW w:w="2906" w:type="dxa"/>
          </w:tcPr>
          <w:p>
            <w:pPr>
              <w:spacing w:after="0" w:line="500" w:lineRule="exact"/>
              <w:ind w:firstLine="420" w:firstLineChars="200"/>
              <w:rPr>
                <w:rFonts w:ascii="微软雅黑" w:hAnsi="微软雅黑" w:eastAsia="微软雅黑" w:cs="微软雅黑"/>
                <w:color w:val="auto"/>
                <w:szCs w:val="21"/>
                <w:highlight w:val="none"/>
              </w:rPr>
            </w:pPr>
          </w:p>
        </w:tc>
        <w:tc>
          <w:tcPr>
            <w:tcW w:w="1701" w:type="dxa"/>
          </w:tcPr>
          <w:p>
            <w:pPr>
              <w:pStyle w:val="34"/>
              <w:spacing w:after="0" w:line="500" w:lineRule="exact"/>
              <w:rPr>
                <w:rFonts w:ascii="微软雅黑" w:hAnsi="微软雅黑" w:eastAsia="微软雅黑" w:cs="微软雅黑"/>
                <w:color w:val="auto"/>
                <w:szCs w:val="21"/>
                <w:highlight w:val="none"/>
              </w:rPr>
            </w:pPr>
          </w:p>
        </w:tc>
        <w:tc>
          <w:tcPr>
            <w:tcW w:w="1757" w:type="dxa"/>
          </w:tcPr>
          <w:p>
            <w:pPr>
              <w:pStyle w:val="34"/>
              <w:spacing w:after="0" w:line="500" w:lineRule="exact"/>
              <w:rPr>
                <w:rFonts w:ascii="微软雅黑" w:hAnsi="微软雅黑" w:eastAsia="微软雅黑" w:cs="微软雅黑"/>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pStyle w:val="34"/>
              <w:spacing w:after="0" w:line="50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w:t>
            </w:r>
          </w:p>
        </w:tc>
        <w:tc>
          <w:tcPr>
            <w:tcW w:w="1701" w:type="dxa"/>
            <w:vAlign w:val="center"/>
          </w:tcPr>
          <w:p>
            <w:pPr>
              <w:snapToGrid w:val="0"/>
              <w:spacing w:line="360" w:lineRule="auto"/>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验收</w:t>
            </w:r>
          </w:p>
        </w:tc>
        <w:tc>
          <w:tcPr>
            <w:tcW w:w="2906" w:type="dxa"/>
          </w:tcPr>
          <w:p>
            <w:pPr>
              <w:spacing w:after="0" w:line="500" w:lineRule="exact"/>
              <w:ind w:firstLine="420" w:firstLineChars="200"/>
              <w:rPr>
                <w:rFonts w:ascii="微软雅黑" w:hAnsi="微软雅黑" w:eastAsia="微软雅黑" w:cs="微软雅黑"/>
                <w:color w:val="auto"/>
                <w:szCs w:val="21"/>
                <w:highlight w:val="none"/>
              </w:rPr>
            </w:pPr>
          </w:p>
        </w:tc>
        <w:tc>
          <w:tcPr>
            <w:tcW w:w="1701" w:type="dxa"/>
          </w:tcPr>
          <w:p>
            <w:pPr>
              <w:pStyle w:val="34"/>
              <w:spacing w:after="0" w:line="500" w:lineRule="exact"/>
              <w:rPr>
                <w:rFonts w:ascii="微软雅黑" w:hAnsi="微软雅黑" w:eastAsia="微软雅黑" w:cs="微软雅黑"/>
                <w:color w:val="auto"/>
                <w:szCs w:val="21"/>
                <w:highlight w:val="none"/>
              </w:rPr>
            </w:pPr>
          </w:p>
        </w:tc>
        <w:tc>
          <w:tcPr>
            <w:tcW w:w="1757" w:type="dxa"/>
          </w:tcPr>
          <w:p>
            <w:pPr>
              <w:pStyle w:val="34"/>
              <w:spacing w:after="0" w:line="500" w:lineRule="exact"/>
              <w:rPr>
                <w:rFonts w:ascii="微软雅黑" w:hAnsi="微软雅黑" w:eastAsia="微软雅黑" w:cs="微软雅黑"/>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pStyle w:val="34"/>
              <w:spacing w:after="0" w:line="500" w:lineRule="exact"/>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4</w:t>
            </w:r>
          </w:p>
        </w:tc>
        <w:tc>
          <w:tcPr>
            <w:tcW w:w="1701" w:type="dxa"/>
            <w:vAlign w:val="center"/>
          </w:tcPr>
          <w:p>
            <w:pPr>
              <w:snapToGrid w:val="0"/>
              <w:spacing w:line="360" w:lineRule="auto"/>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售后服务</w:t>
            </w:r>
          </w:p>
        </w:tc>
        <w:tc>
          <w:tcPr>
            <w:tcW w:w="2906" w:type="dxa"/>
          </w:tcPr>
          <w:p>
            <w:pPr>
              <w:spacing w:after="0" w:line="500" w:lineRule="exact"/>
              <w:ind w:firstLine="420" w:firstLineChars="200"/>
              <w:rPr>
                <w:rFonts w:ascii="微软雅黑" w:hAnsi="微软雅黑" w:eastAsia="微软雅黑" w:cs="微软雅黑"/>
                <w:color w:val="auto"/>
                <w:szCs w:val="21"/>
                <w:highlight w:val="none"/>
              </w:rPr>
            </w:pPr>
          </w:p>
        </w:tc>
        <w:tc>
          <w:tcPr>
            <w:tcW w:w="1701" w:type="dxa"/>
          </w:tcPr>
          <w:p>
            <w:pPr>
              <w:pStyle w:val="34"/>
              <w:spacing w:after="0" w:line="500" w:lineRule="exact"/>
              <w:rPr>
                <w:rFonts w:ascii="微软雅黑" w:hAnsi="微软雅黑" w:eastAsia="微软雅黑" w:cs="微软雅黑"/>
                <w:color w:val="auto"/>
                <w:szCs w:val="21"/>
                <w:highlight w:val="none"/>
              </w:rPr>
            </w:pPr>
          </w:p>
        </w:tc>
        <w:tc>
          <w:tcPr>
            <w:tcW w:w="1757" w:type="dxa"/>
          </w:tcPr>
          <w:p>
            <w:pPr>
              <w:pStyle w:val="34"/>
              <w:spacing w:after="0" w:line="500" w:lineRule="exact"/>
              <w:rPr>
                <w:rFonts w:ascii="微软雅黑" w:hAnsi="微软雅黑" w:eastAsia="微软雅黑" w:cs="微软雅黑"/>
                <w:color w:val="auto"/>
                <w:szCs w:val="21"/>
                <w:highlight w:val="none"/>
              </w:rPr>
            </w:pPr>
          </w:p>
        </w:tc>
      </w:tr>
    </w:tbl>
    <w:p>
      <w:pPr>
        <w:widowControl/>
        <w:spacing w:line="360" w:lineRule="auto"/>
        <w:jc w:val="left"/>
        <w:rPr>
          <w:rFonts w:ascii="微软雅黑" w:hAnsi="微软雅黑" w:eastAsia="微软雅黑" w:cs="微软雅黑"/>
          <w:color w:val="auto"/>
          <w:szCs w:val="21"/>
          <w:highlight w:val="none"/>
        </w:rPr>
      </w:pPr>
      <w:r>
        <w:rPr>
          <w:rFonts w:hint="eastAsia" w:ascii="微软雅黑" w:hAnsi="微软雅黑" w:eastAsia="微软雅黑" w:cs="微软雅黑"/>
          <w:b/>
          <w:color w:val="auto"/>
          <w:szCs w:val="21"/>
          <w:highlight w:val="none"/>
        </w:rPr>
        <w:t>供应商的响应文件（除技术规格部分）与磋商文件之规定存在偏离的，应在此表中如实说明。未在上表中说明的，将被认为完全响应磋商文件的规定.</w:t>
      </w:r>
    </w:p>
    <w:p>
      <w:pPr>
        <w:widowControl/>
        <w:spacing w:line="360" w:lineRule="auto"/>
        <w:jc w:val="left"/>
        <w:rPr>
          <w:rFonts w:ascii="微软雅黑" w:hAnsi="微软雅黑" w:eastAsia="微软雅黑" w:cs="微软雅黑"/>
          <w:color w:val="auto"/>
          <w:szCs w:val="21"/>
          <w:highlight w:val="none"/>
        </w:rPr>
      </w:pPr>
    </w:p>
    <w:p>
      <w:pPr>
        <w:rPr>
          <w:color w:val="auto"/>
          <w:highlight w:val="none"/>
        </w:rPr>
      </w:pPr>
      <w:r>
        <w:rPr>
          <w:rFonts w:hint="eastAsia" w:ascii="微软雅黑" w:hAnsi="微软雅黑" w:eastAsia="微软雅黑" w:cs="微软雅黑"/>
          <w:color w:val="auto"/>
          <w:szCs w:val="21"/>
          <w:highlight w:val="none"/>
          <w:shd w:val="clear" w:color="auto" w:fill="FFFFFF"/>
        </w:rPr>
        <w:t>投标人名称：（盖章）</w:t>
      </w:r>
      <w:r>
        <w:rPr>
          <w:rFonts w:hint="eastAsia" w:ascii="微软雅黑" w:hAnsi="微软雅黑" w:eastAsia="微软雅黑" w:cs="微软雅黑"/>
          <w:color w:val="auto"/>
          <w:szCs w:val="21"/>
          <w:highlight w:val="none"/>
        </w:rPr>
        <w:br w:type="textWrapping"/>
      </w:r>
      <w:r>
        <w:rPr>
          <w:rFonts w:hint="eastAsia" w:ascii="微软雅黑" w:hAnsi="微软雅黑" w:eastAsia="微软雅黑" w:cs="微软雅黑"/>
          <w:color w:val="auto"/>
          <w:szCs w:val="21"/>
          <w:highlight w:val="none"/>
          <w:shd w:val="clear" w:color="auto" w:fill="FFFFFF"/>
        </w:rPr>
        <w:t>法定代表人或</w:t>
      </w:r>
      <w:r>
        <w:rPr>
          <w:rFonts w:hint="eastAsia" w:ascii="微软雅黑" w:hAnsi="微软雅黑" w:eastAsia="微软雅黑" w:cs="微软雅黑"/>
          <w:color w:val="auto"/>
          <w:szCs w:val="21"/>
          <w:highlight w:val="none"/>
        </w:rPr>
        <w:t>被授权人</w:t>
      </w:r>
      <w:r>
        <w:rPr>
          <w:rFonts w:hint="eastAsia" w:ascii="微软雅黑" w:hAnsi="微软雅黑" w:eastAsia="微软雅黑" w:cs="微软雅黑"/>
          <w:color w:val="auto"/>
          <w:szCs w:val="21"/>
          <w:highlight w:val="none"/>
          <w:shd w:val="clear" w:color="auto" w:fill="FFFFFF"/>
        </w:rPr>
        <w:t>（签字或盖章）：</w:t>
      </w:r>
      <w:r>
        <w:rPr>
          <w:rFonts w:hint="eastAsia" w:ascii="微软雅黑" w:hAnsi="微软雅黑" w:eastAsia="微软雅黑" w:cs="微软雅黑"/>
          <w:color w:val="auto"/>
          <w:szCs w:val="21"/>
          <w:highlight w:val="none"/>
        </w:rPr>
        <w:br w:type="textWrapping"/>
      </w:r>
      <w:r>
        <w:rPr>
          <w:rFonts w:hint="eastAsia" w:ascii="微软雅黑" w:hAnsi="微软雅黑" w:eastAsia="微软雅黑" w:cs="微软雅黑"/>
          <w:color w:val="auto"/>
          <w:szCs w:val="21"/>
          <w:highlight w:val="none"/>
          <w:shd w:val="clear" w:color="auto" w:fill="FFFFFF"/>
        </w:rPr>
        <w:t>投标日期：  年  月  日</w:t>
      </w:r>
    </w:p>
    <w:p>
      <w:pPr>
        <w:rPr>
          <w:color w:val="auto"/>
          <w:highlight w:val="none"/>
        </w:rPr>
      </w:pPr>
      <w:r>
        <w:rPr>
          <w:color w:val="auto"/>
          <w:highlight w:val="none"/>
        </w:rPr>
        <w:br w:type="page"/>
      </w:r>
    </w:p>
    <w:p>
      <w:pPr>
        <w:snapToGrid w:val="0"/>
        <w:spacing w:before="50" w:line="360" w:lineRule="auto"/>
        <w:jc w:val="left"/>
        <w:rPr>
          <w:rFonts w:ascii="微软雅黑" w:hAnsi="微软雅黑" w:eastAsia="微软雅黑"/>
          <w:b/>
          <w:color w:val="auto"/>
          <w:szCs w:val="21"/>
          <w:highlight w:val="none"/>
        </w:rPr>
      </w:pPr>
      <w:r>
        <w:rPr>
          <w:rFonts w:hint="eastAsia" w:ascii="微软雅黑" w:hAnsi="微软雅黑" w:eastAsia="微软雅黑"/>
          <w:b/>
          <w:color w:val="auto"/>
          <w:szCs w:val="21"/>
          <w:highlight w:val="none"/>
        </w:rPr>
        <w:t>技术响应表格式：</w:t>
      </w:r>
    </w:p>
    <w:p>
      <w:pPr>
        <w:snapToGrid w:val="0"/>
        <w:spacing w:before="50" w:line="360" w:lineRule="auto"/>
        <w:jc w:val="left"/>
        <w:rPr>
          <w:rFonts w:ascii="微软雅黑" w:hAnsi="微软雅黑" w:eastAsia="微软雅黑"/>
          <w:color w:val="auto"/>
          <w:szCs w:val="21"/>
          <w:highlight w:val="none"/>
          <w:u w:val="single"/>
        </w:rPr>
      </w:pPr>
      <w:r>
        <w:rPr>
          <w:rFonts w:hint="eastAsia" w:ascii="微软雅黑" w:hAnsi="微软雅黑" w:eastAsia="微软雅黑"/>
          <w:color w:val="auto"/>
          <w:szCs w:val="21"/>
          <w:highlight w:val="none"/>
        </w:rPr>
        <w:t>标项：</w:t>
      </w:r>
    </w:p>
    <w:tbl>
      <w:tblPr>
        <w:tblStyle w:val="58"/>
        <w:tblW w:w="88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1"/>
        <w:gridCol w:w="2906"/>
        <w:gridCol w:w="1701"/>
        <w:gridCol w:w="1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34"/>
              <w:spacing w:line="360" w:lineRule="auto"/>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序号</w:t>
            </w:r>
          </w:p>
        </w:tc>
        <w:tc>
          <w:tcPr>
            <w:tcW w:w="1701" w:type="dxa"/>
            <w:vAlign w:val="center"/>
          </w:tcPr>
          <w:p>
            <w:pPr>
              <w:pStyle w:val="34"/>
              <w:spacing w:line="360" w:lineRule="auto"/>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项目</w:t>
            </w:r>
          </w:p>
        </w:tc>
        <w:tc>
          <w:tcPr>
            <w:tcW w:w="2906" w:type="dxa"/>
            <w:vAlign w:val="center"/>
          </w:tcPr>
          <w:p>
            <w:pPr>
              <w:pStyle w:val="34"/>
              <w:spacing w:line="360" w:lineRule="auto"/>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招标文件要求</w:t>
            </w:r>
          </w:p>
        </w:tc>
        <w:tc>
          <w:tcPr>
            <w:tcW w:w="1701" w:type="dxa"/>
            <w:vAlign w:val="center"/>
          </w:tcPr>
          <w:p>
            <w:pPr>
              <w:pStyle w:val="34"/>
              <w:spacing w:line="360" w:lineRule="auto"/>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投标文件要求</w:t>
            </w:r>
          </w:p>
        </w:tc>
        <w:tc>
          <w:tcPr>
            <w:tcW w:w="1757" w:type="dxa"/>
            <w:vAlign w:val="center"/>
          </w:tcPr>
          <w:p>
            <w:pPr>
              <w:pStyle w:val="34"/>
              <w:spacing w:line="360" w:lineRule="auto"/>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pStyle w:val="34"/>
              <w:spacing w:line="360" w:lineRule="auto"/>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1</w:t>
            </w:r>
          </w:p>
        </w:tc>
        <w:tc>
          <w:tcPr>
            <w:tcW w:w="1701" w:type="dxa"/>
            <w:vAlign w:val="center"/>
          </w:tcPr>
          <w:p>
            <w:pPr>
              <w:snapToGrid w:val="0"/>
              <w:spacing w:line="360" w:lineRule="auto"/>
              <w:jc w:val="center"/>
              <w:rPr>
                <w:rFonts w:ascii="微软雅黑" w:hAnsi="微软雅黑" w:eastAsia="微软雅黑"/>
                <w:color w:val="auto"/>
                <w:szCs w:val="21"/>
                <w:highlight w:val="none"/>
              </w:rPr>
            </w:pPr>
          </w:p>
        </w:tc>
        <w:tc>
          <w:tcPr>
            <w:tcW w:w="2906" w:type="dxa"/>
          </w:tcPr>
          <w:p>
            <w:pPr>
              <w:spacing w:line="360" w:lineRule="auto"/>
              <w:rPr>
                <w:rFonts w:ascii="微软雅黑" w:hAnsi="微软雅黑" w:eastAsia="微软雅黑"/>
                <w:color w:val="auto"/>
                <w:szCs w:val="21"/>
                <w:highlight w:val="none"/>
              </w:rPr>
            </w:pPr>
          </w:p>
        </w:tc>
        <w:tc>
          <w:tcPr>
            <w:tcW w:w="1701" w:type="dxa"/>
          </w:tcPr>
          <w:p>
            <w:pPr>
              <w:pStyle w:val="34"/>
              <w:spacing w:line="360" w:lineRule="auto"/>
              <w:rPr>
                <w:rFonts w:ascii="微软雅黑" w:hAnsi="微软雅黑" w:eastAsia="微软雅黑"/>
                <w:color w:val="auto"/>
                <w:szCs w:val="21"/>
                <w:highlight w:val="none"/>
              </w:rPr>
            </w:pPr>
          </w:p>
        </w:tc>
        <w:tc>
          <w:tcPr>
            <w:tcW w:w="1757" w:type="dxa"/>
          </w:tcPr>
          <w:p>
            <w:pPr>
              <w:pStyle w:val="34"/>
              <w:spacing w:line="360" w:lineRule="auto"/>
              <w:rPr>
                <w:rFonts w:ascii="微软雅黑" w:hAnsi="微软雅黑" w:eastAsia="微软雅黑"/>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pStyle w:val="34"/>
              <w:spacing w:line="360" w:lineRule="auto"/>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2</w:t>
            </w:r>
          </w:p>
        </w:tc>
        <w:tc>
          <w:tcPr>
            <w:tcW w:w="1701" w:type="dxa"/>
            <w:vAlign w:val="center"/>
          </w:tcPr>
          <w:p>
            <w:pPr>
              <w:snapToGrid w:val="0"/>
              <w:spacing w:line="360" w:lineRule="auto"/>
              <w:jc w:val="center"/>
              <w:rPr>
                <w:rFonts w:ascii="微软雅黑" w:hAnsi="微软雅黑" w:eastAsia="微软雅黑"/>
                <w:color w:val="auto"/>
                <w:szCs w:val="21"/>
                <w:highlight w:val="none"/>
              </w:rPr>
            </w:pPr>
          </w:p>
        </w:tc>
        <w:tc>
          <w:tcPr>
            <w:tcW w:w="2906" w:type="dxa"/>
          </w:tcPr>
          <w:p>
            <w:pPr>
              <w:spacing w:line="440" w:lineRule="exact"/>
              <w:ind w:firstLine="420" w:firstLineChars="200"/>
              <w:rPr>
                <w:rFonts w:ascii="微软雅黑" w:hAnsi="微软雅黑" w:eastAsia="微软雅黑"/>
                <w:color w:val="auto"/>
                <w:szCs w:val="21"/>
                <w:highlight w:val="none"/>
              </w:rPr>
            </w:pPr>
          </w:p>
        </w:tc>
        <w:tc>
          <w:tcPr>
            <w:tcW w:w="1701" w:type="dxa"/>
          </w:tcPr>
          <w:p>
            <w:pPr>
              <w:pStyle w:val="34"/>
              <w:spacing w:line="360" w:lineRule="auto"/>
              <w:rPr>
                <w:rFonts w:ascii="微软雅黑" w:hAnsi="微软雅黑" w:eastAsia="微软雅黑"/>
                <w:color w:val="auto"/>
                <w:szCs w:val="21"/>
                <w:highlight w:val="none"/>
              </w:rPr>
            </w:pPr>
          </w:p>
        </w:tc>
        <w:tc>
          <w:tcPr>
            <w:tcW w:w="1757" w:type="dxa"/>
          </w:tcPr>
          <w:p>
            <w:pPr>
              <w:pStyle w:val="34"/>
              <w:spacing w:line="360" w:lineRule="auto"/>
              <w:rPr>
                <w:rFonts w:ascii="微软雅黑" w:hAnsi="微软雅黑" w:eastAsia="微软雅黑"/>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pStyle w:val="34"/>
              <w:spacing w:line="360" w:lineRule="auto"/>
              <w:jc w:val="center"/>
              <w:rPr>
                <w:rFonts w:ascii="微软雅黑" w:hAnsi="微软雅黑" w:eastAsia="微软雅黑"/>
                <w:color w:val="auto"/>
                <w:szCs w:val="21"/>
                <w:highlight w:val="none"/>
              </w:rPr>
            </w:pPr>
          </w:p>
        </w:tc>
        <w:tc>
          <w:tcPr>
            <w:tcW w:w="1701" w:type="dxa"/>
            <w:vAlign w:val="center"/>
          </w:tcPr>
          <w:p>
            <w:pPr>
              <w:snapToGrid w:val="0"/>
              <w:spacing w:line="360" w:lineRule="auto"/>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w:t>
            </w:r>
          </w:p>
        </w:tc>
        <w:tc>
          <w:tcPr>
            <w:tcW w:w="2906" w:type="dxa"/>
          </w:tcPr>
          <w:p>
            <w:pPr>
              <w:pStyle w:val="34"/>
              <w:spacing w:line="360" w:lineRule="auto"/>
              <w:rPr>
                <w:rFonts w:ascii="微软雅黑" w:hAnsi="微软雅黑" w:eastAsia="微软雅黑"/>
                <w:color w:val="auto"/>
                <w:szCs w:val="21"/>
                <w:highlight w:val="none"/>
              </w:rPr>
            </w:pPr>
          </w:p>
        </w:tc>
        <w:tc>
          <w:tcPr>
            <w:tcW w:w="1701" w:type="dxa"/>
          </w:tcPr>
          <w:p>
            <w:pPr>
              <w:pStyle w:val="34"/>
              <w:spacing w:line="360" w:lineRule="auto"/>
              <w:rPr>
                <w:rFonts w:ascii="微软雅黑" w:hAnsi="微软雅黑" w:eastAsia="微软雅黑"/>
                <w:color w:val="auto"/>
                <w:szCs w:val="21"/>
                <w:highlight w:val="none"/>
              </w:rPr>
            </w:pPr>
          </w:p>
        </w:tc>
        <w:tc>
          <w:tcPr>
            <w:tcW w:w="1757" w:type="dxa"/>
          </w:tcPr>
          <w:p>
            <w:pPr>
              <w:pStyle w:val="34"/>
              <w:spacing w:line="360" w:lineRule="auto"/>
              <w:rPr>
                <w:rFonts w:ascii="微软雅黑" w:hAnsi="微软雅黑" w:eastAsia="微软雅黑"/>
                <w:color w:val="auto"/>
                <w:szCs w:val="21"/>
                <w:highlight w:val="none"/>
              </w:rPr>
            </w:pPr>
          </w:p>
        </w:tc>
      </w:tr>
    </w:tbl>
    <w:p>
      <w:pPr>
        <w:widowControl/>
        <w:spacing w:line="360" w:lineRule="auto"/>
        <w:jc w:val="left"/>
        <w:rPr>
          <w:rFonts w:ascii="微软雅黑" w:hAnsi="微软雅黑" w:eastAsia="微软雅黑"/>
          <w:color w:val="auto"/>
          <w:szCs w:val="21"/>
          <w:highlight w:val="none"/>
        </w:rPr>
      </w:pPr>
      <w:r>
        <w:rPr>
          <w:rFonts w:ascii="微软雅黑" w:hAnsi="微软雅黑" w:eastAsia="微软雅黑"/>
          <w:color w:val="auto"/>
          <w:szCs w:val="21"/>
          <w:highlight w:val="none"/>
        </w:rPr>
        <w:t>投标人应根据投标设备的性能指标、对照招标文件要求在“偏离情况”栏注明“正偏离”、“负偏离”或“无偏离”。</w:t>
      </w:r>
    </w:p>
    <w:p>
      <w:pPr>
        <w:rPr>
          <w:color w:val="auto"/>
          <w:highlight w:val="none"/>
        </w:rPr>
      </w:pPr>
      <w:r>
        <w:rPr>
          <w:rFonts w:hint="eastAsia" w:ascii="微软雅黑" w:hAnsi="微软雅黑" w:eastAsia="微软雅黑" w:cs="微软雅黑"/>
          <w:color w:val="auto"/>
          <w:szCs w:val="21"/>
          <w:highlight w:val="none"/>
          <w:shd w:val="clear" w:color="auto" w:fill="FFFFFF"/>
        </w:rPr>
        <w:t>投标人名称：（盖章）</w:t>
      </w:r>
      <w:r>
        <w:rPr>
          <w:rFonts w:hint="eastAsia" w:ascii="微软雅黑" w:hAnsi="微软雅黑" w:eastAsia="微软雅黑" w:cs="微软雅黑"/>
          <w:color w:val="auto"/>
          <w:szCs w:val="21"/>
          <w:highlight w:val="none"/>
        </w:rPr>
        <w:br w:type="textWrapping"/>
      </w:r>
      <w:r>
        <w:rPr>
          <w:rFonts w:hint="eastAsia" w:ascii="微软雅黑" w:hAnsi="微软雅黑" w:eastAsia="微软雅黑" w:cs="微软雅黑"/>
          <w:color w:val="auto"/>
          <w:szCs w:val="21"/>
          <w:highlight w:val="none"/>
          <w:shd w:val="clear" w:color="auto" w:fill="FFFFFF"/>
        </w:rPr>
        <w:t>法定代表人或</w:t>
      </w:r>
      <w:r>
        <w:rPr>
          <w:rFonts w:hint="eastAsia" w:ascii="微软雅黑" w:hAnsi="微软雅黑" w:eastAsia="微软雅黑" w:cs="微软雅黑"/>
          <w:color w:val="auto"/>
          <w:szCs w:val="21"/>
          <w:highlight w:val="none"/>
        </w:rPr>
        <w:t>被授权人</w:t>
      </w:r>
      <w:r>
        <w:rPr>
          <w:rFonts w:hint="eastAsia" w:ascii="微软雅黑" w:hAnsi="微软雅黑" w:eastAsia="微软雅黑" w:cs="微软雅黑"/>
          <w:color w:val="auto"/>
          <w:szCs w:val="21"/>
          <w:highlight w:val="none"/>
          <w:shd w:val="clear" w:color="auto" w:fill="FFFFFF"/>
        </w:rPr>
        <w:t>（签字或盖章）：</w:t>
      </w:r>
      <w:r>
        <w:rPr>
          <w:rFonts w:hint="eastAsia" w:ascii="微软雅黑" w:hAnsi="微软雅黑" w:eastAsia="微软雅黑" w:cs="微软雅黑"/>
          <w:color w:val="auto"/>
          <w:szCs w:val="21"/>
          <w:highlight w:val="none"/>
        </w:rPr>
        <w:br w:type="textWrapping"/>
      </w:r>
      <w:r>
        <w:rPr>
          <w:rFonts w:hint="eastAsia" w:ascii="微软雅黑" w:hAnsi="微软雅黑" w:eastAsia="微软雅黑" w:cs="微软雅黑"/>
          <w:color w:val="auto"/>
          <w:szCs w:val="21"/>
          <w:highlight w:val="none"/>
          <w:shd w:val="clear" w:color="auto" w:fill="FFFFFF"/>
        </w:rPr>
        <w:t>投标日期：  年  月  日</w:t>
      </w:r>
    </w:p>
    <w:p>
      <w:pPr>
        <w:rPr>
          <w:rFonts w:ascii="微软雅黑" w:hAnsi="微软雅黑" w:eastAsia="微软雅黑"/>
          <w:b/>
          <w:color w:val="auto"/>
          <w:szCs w:val="21"/>
          <w:highlight w:val="none"/>
        </w:rPr>
      </w:pPr>
      <w:r>
        <w:rPr>
          <w:rFonts w:hint="eastAsia" w:ascii="微软雅黑" w:hAnsi="微软雅黑" w:eastAsia="微软雅黑"/>
          <w:b/>
          <w:color w:val="auto"/>
          <w:szCs w:val="21"/>
          <w:highlight w:val="none"/>
        </w:rPr>
        <w:br w:type="page"/>
      </w:r>
    </w:p>
    <w:p>
      <w:pPr>
        <w:snapToGrid w:val="0"/>
        <w:spacing w:line="360" w:lineRule="auto"/>
        <w:rPr>
          <w:rFonts w:ascii="微软雅黑" w:hAnsi="微软雅黑" w:eastAsia="微软雅黑"/>
          <w:b/>
          <w:color w:val="auto"/>
          <w:szCs w:val="21"/>
          <w:highlight w:val="none"/>
        </w:rPr>
      </w:pPr>
      <w:r>
        <w:rPr>
          <w:rFonts w:hint="eastAsia" w:ascii="微软雅黑" w:hAnsi="微软雅黑" w:eastAsia="微软雅黑"/>
          <w:b/>
          <w:color w:val="auto"/>
          <w:szCs w:val="21"/>
          <w:highlight w:val="none"/>
        </w:rPr>
        <w:t>初次报价表</w:t>
      </w:r>
    </w:p>
    <w:p>
      <w:pPr>
        <w:snapToGrid w:val="0"/>
        <w:spacing w:line="360" w:lineRule="auto"/>
        <w:jc w:val="center"/>
        <w:rPr>
          <w:rFonts w:ascii="微软雅黑" w:hAnsi="微软雅黑" w:eastAsia="微软雅黑"/>
          <w:color w:val="auto"/>
          <w:szCs w:val="21"/>
          <w:highlight w:val="none"/>
        </w:rPr>
      </w:pPr>
    </w:p>
    <w:p>
      <w:pPr>
        <w:snapToGrid w:val="0"/>
        <w:spacing w:line="360" w:lineRule="auto"/>
        <w:jc w:val="center"/>
        <w:rPr>
          <w:rFonts w:hint="eastAsia" w:ascii="微软雅黑" w:hAnsi="微软雅黑" w:eastAsia="微软雅黑" w:cs="Tahoma"/>
          <w:b/>
          <w:bCs/>
          <w:color w:val="auto"/>
          <w:kern w:val="36"/>
          <w:sz w:val="32"/>
          <w:szCs w:val="32"/>
          <w:highlight w:val="none"/>
          <w:lang w:eastAsia="zh-CN"/>
        </w:rPr>
      </w:pPr>
      <w:r>
        <w:rPr>
          <w:rFonts w:ascii="微软雅黑" w:hAnsi="微软雅黑" w:eastAsia="微软雅黑"/>
          <w:color w:val="auto"/>
          <w:szCs w:val="21"/>
          <w:highlight w:val="none"/>
        </w:rPr>
        <w:t>开标一览表</w:t>
      </w:r>
      <w:r>
        <w:rPr>
          <w:rFonts w:hint="eastAsia" w:ascii="微软雅黑" w:hAnsi="微软雅黑" w:eastAsia="微软雅黑"/>
          <w:color w:val="auto"/>
          <w:szCs w:val="21"/>
          <w:highlight w:val="none"/>
          <w:lang w:eastAsia="zh-CN"/>
        </w:rPr>
        <w:t>（一标段）</w:t>
      </w:r>
    </w:p>
    <w:p>
      <w:pPr>
        <w:spacing w:line="360" w:lineRule="auto"/>
        <w:rPr>
          <w:rFonts w:hint="eastAsia" w:ascii="微软雅黑" w:hAnsi="微软雅黑" w:eastAsia="微软雅黑" w:cs="Tahoma"/>
          <w:bCs/>
          <w:color w:val="auto"/>
          <w:kern w:val="36"/>
          <w:highlight w:val="none"/>
          <w:lang w:eastAsia="zh-CN"/>
        </w:rPr>
      </w:pPr>
      <w:r>
        <w:rPr>
          <w:rFonts w:hint="eastAsia" w:ascii="微软雅黑" w:hAnsi="微软雅黑" w:eastAsia="微软雅黑" w:cs="Tahoma"/>
          <w:bCs/>
          <w:color w:val="auto"/>
          <w:kern w:val="36"/>
          <w:highlight w:val="none"/>
        </w:rPr>
        <w:t>项目名称：</w:t>
      </w:r>
      <w:r>
        <w:rPr>
          <w:rFonts w:hint="eastAsia" w:ascii="微软雅黑" w:hAnsi="微软雅黑" w:eastAsia="微软雅黑"/>
          <w:color w:val="auto"/>
          <w:highlight w:val="none"/>
          <w:lang w:eastAsia="zh-CN"/>
        </w:rPr>
        <w:t>嘉兴市秀洲区文化和旅游局送戏下乡服务采购项目</w:t>
      </w:r>
    </w:p>
    <w:p>
      <w:pPr>
        <w:spacing w:line="360" w:lineRule="auto"/>
        <w:rPr>
          <w:rFonts w:ascii="微软雅黑" w:hAnsi="微软雅黑" w:eastAsia="微软雅黑" w:cs="Tahoma"/>
          <w:bCs/>
          <w:color w:val="auto"/>
          <w:kern w:val="36"/>
          <w:highlight w:val="none"/>
        </w:rPr>
      </w:pPr>
      <w:r>
        <w:rPr>
          <w:rFonts w:hint="eastAsia" w:ascii="微软雅黑" w:hAnsi="微软雅黑" w:eastAsia="微软雅黑" w:cs="Tahoma"/>
          <w:bCs/>
          <w:color w:val="auto"/>
          <w:kern w:val="36"/>
          <w:highlight w:val="none"/>
        </w:rPr>
        <w:t>单位：元</w:t>
      </w:r>
    </w:p>
    <w:tbl>
      <w:tblPr>
        <w:tblStyle w:val="58"/>
        <w:tblW w:w="931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2"/>
        <w:gridCol w:w="4604"/>
        <w:gridCol w:w="818"/>
        <w:gridCol w:w="723"/>
        <w:gridCol w:w="23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after="0" w:line="500" w:lineRule="exact"/>
              <w:jc w:val="center"/>
              <w:rPr>
                <w:rFonts w:ascii="微软雅黑" w:hAnsi="微软雅黑" w:eastAsia="微软雅黑"/>
                <w:color w:val="auto"/>
                <w:szCs w:val="21"/>
                <w:highlight w:val="none"/>
              </w:rPr>
            </w:pPr>
            <w:r>
              <w:rPr>
                <w:rFonts w:ascii="微软雅黑" w:hAnsi="微软雅黑" w:eastAsia="微软雅黑"/>
                <w:color w:val="auto"/>
                <w:szCs w:val="21"/>
                <w:highlight w:val="none"/>
              </w:rPr>
              <w:t>标段</w:t>
            </w:r>
          </w:p>
        </w:tc>
        <w:tc>
          <w:tcPr>
            <w:tcW w:w="4604" w:type="dxa"/>
            <w:tcBorders>
              <w:top w:val="single" w:color="auto" w:sz="4" w:space="0"/>
              <w:left w:val="single" w:color="auto" w:sz="4" w:space="0"/>
              <w:bottom w:val="single" w:color="auto" w:sz="4" w:space="0"/>
              <w:right w:val="single" w:color="auto" w:sz="4" w:space="0"/>
            </w:tcBorders>
            <w:vAlign w:val="center"/>
          </w:tcPr>
          <w:p>
            <w:pPr>
              <w:snapToGrid w:val="0"/>
              <w:spacing w:after="0" w:line="500" w:lineRule="exact"/>
              <w:ind w:left="420" w:leftChars="200"/>
              <w:jc w:val="center"/>
              <w:rPr>
                <w:rFonts w:ascii="微软雅黑" w:hAnsi="微软雅黑" w:eastAsia="微软雅黑"/>
                <w:color w:val="auto"/>
                <w:szCs w:val="21"/>
                <w:highlight w:val="none"/>
              </w:rPr>
            </w:pPr>
            <w:r>
              <w:rPr>
                <w:rFonts w:ascii="微软雅黑" w:hAnsi="微软雅黑" w:eastAsia="微软雅黑"/>
                <w:color w:val="auto"/>
                <w:szCs w:val="21"/>
                <w:highlight w:val="none"/>
              </w:rPr>
              <w:t>名称</w:t>
            </w:r>
          </w:p>
        </w:tc>
        <w:tc>
          <w:tcPr>
            <w:tcW w:w="81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spacing w:after="0" w:line="500" w:lineRule="exact"/>
              <w:rPr>
                <w:rFonts w:ascii="微软雅黑" w:hAnsi="微软雅黑" w:eastAsia="微软雅黑"/>
                <w:color w:val="auto"/>
                <w:szCs w:val="21"/>
                <w:highlight w:val="none"/>
              </w:rPr>
            </w:pPr>
            <w:r>
              <w:rPr>
                <w:rFonts w:ascii="微软雅黑" w:hAnsi="微软雅黑" w:eastAsia="微软雅黑"/>
                <w:color w:val="auto"/>
                <w:szCs w:val="21"/>
                <w:highlight w:val="none"/>
              </w:rPr>
              <w:t>数量</w:t>
            </w:r>
          </w:p>
        </w:tc>
        <w:tc>
          <w:tcPr>
            <w:tcW w:w="72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spacing w:after="0" w:line="500" w:lineRule="exact"/>
              <w:rPr>
                <w:rFonts w:ascii="微软雅黑" w:hAnsi="微软雅黑" w:eastAsia="微软雅黑"/>
                <w:color w:val="auto"/>
                <w:szCs w:val="21"/>
                <w:highlight w:val="none"/>
              </w:rPr>
            </w:pPr>
            <w:r>
              <w:rPr>
                <w:rFonts w:ascii="微软雅黑" w:hAnsi="微软雅黑" w:eastAsia="微软雅黑"/>
                <w:color w:val="auto"/>
                <w:szCs w:val="21"/>
                <w:highlight w:val="none"/>
              </w:rPr>
              <w:t>单位</w:t>
            </w:r>
          </w:p>
        </w:tc>
        <w:tc>
          <w:tcPr>
            <w:tcW w:w="238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spacing w:after="0" w:line="500" w:lineRule="exact"/>
              <w:ind w:leftChars="-129" w:hanging="270" w:hangingChars="129"/>
              <w:jc w:val="center"/>
              <w:rPr>
                <w:rFonts w:hint="eastAsia" w:ascii="微软雅黑" w:hAnsi="微软雅黑" w:eastAsia="微软雅黑"/>
                <w:color w:val="auto"/>
                <w:szCs w:val="21"/>
                <w:highlight w:val="none"/>
                <w:lang w:eastAsia="zh-CN"/>
              </w:rPr>
            </w:pPr>
            <w:r>
              <w:rPr>
                <w:rFonts w:ascii="微软雅黑" w:hAnsi="微软雅黑" w:eastAsia="微软雅黑"/>
                <w:color w:val="auto"/>
                <w:szCs w:val="21"/>
                <w:highlight w:val="none"/>
              </w:rPr>
              <w:t>投标</w:t>
            </w:r>
            <w:r>
              <w:rPr>
                <w:rFonts w:hint="eastAsia" w:ascii="微软雅黑" w:hAnsi="微软雅黑" w:eastAsia="微软雅黑"/>
                <w:color w:val="auto"/>
                <w:szCs w:val="21"/>
                <w:highlight w:val="none"/>
                <w:lang w:eastAsia="zh-CN"/>
              </w:rPr>
              <w:t>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782" w:type="dxa"/>
            <w:vMerge w:val="restart"/>
            <w:tcBorders>
              <w:top w:val="single" w:color="auto" w:sz="4" w:space="0"/>
              <w:left w:val="single" w:color="auto" w:sz="4" w:space="0"/>
              <w:right w:val="single" w:color="auto" w:sz="4" w:space="0"/>
            </w:tcBorders>
            <w:vAlign w:val="center"/>
          </w:tcPr>
          <w:p>
            <w:pPr>
              <w:snapToGrid w:val="0"/>
              <w:spacing w:after="0" w:line="500" w:lineRule="exact"/>
              <w:jc w:val="center"/>
              <w:rPr>
                <w:rFonts w:ascii="微软雅黑" w:hAnsi="微软雅黑" w:eastAsia="微软雅黑"/>
                <w:color w:val="auto"/>
                <w:szCs w:val="21"/>
                <w:highlight w:val="none"/>
              </w:rPr>
            </w:pPr>
            <w:r>
              <w:rPr>
                <w:rFonts w:ascii="微软雅黑" w:hAnsi="微软雅黑" w:eastAsia="微软雅黑"/>
                <w:color w:val="auto"/>
                <w:szCs w:val="21"/>
                <w:highlight w:val="none"/>
              </w:rPr>
              <w:t>1</w:t>
            </w:r>
          </w:p>
        </w:tc>
        <w:tc>
          <w:tcPr>
            <w:tcW w:w="4604" w:type="dxa"/>
            <w:tcBorders>
              <w:top w:val="single" w:color="auto" w:sz="4" w:space="0"/>
              <w:left w:val="single" w:color="auto" w:sz="4" w:space="0"/>
              <w:bottom w:val="single" w:color="auto" w:sz="4" w:space="0"/>
              <w:right w:val="single" w:color="auto" w:sz="4" w:space="0"/>
            </w:tcBorders>
            <w:vAlign w:val="center"/>
          </w:tcPr>
          <w:p>
            <w:pPr>
              <w:snapToGrid w:val="0"/>
              <w:spacing w:after="0" w:line="500" w:lineRule="exact"/>
              <w:jc w:val="left"/>
              <w:rPr>
                <w:rFonts w:hint="eastAsia" w:ascii="微软雅黑" w:hAnsi="微软雅黑" w:eastAsia="微软雅黑"/>
                <w:color w:val="auto"/>
                <w:spacing w:val="20"/>
                <w:szCs w:val="21"/>
                <w:highlight w:val="none"/>
                <w:lang w:eastAsia="zh-CN"/>
              </w:rPr>
            </w:pPr>
            <w:r>
              <w:rPr>
                <w:rFonts w:hint="eastAsia" w:ascii="微软雅黑" w:hAnsi="微软雅黑" w:eastAsia="微软雅黑"/>
                <w:color w:val="auto"/>
                <w:highlight w:val="none"/>
                <w:lang w:eastAsia="zh-CN"/>
              </w:rPr>
              <w:t>戏曲专场</w:t>
            </w:r>
          </w:p>
        </w:tc>
        <w:tc>
          <w:tcPr>
            <w:tcW w:w="81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spacing w:after="0" w:line="500" w:lineRule="exact"/>
              <w:ind w:firstLine="105" w:firstLineChars="50"/>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1</w:t>
            </w:r>
          </w:p>
        </w:tc>
        <w:tc>
          <w:tcPr>
            <w:tcW w:w="72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spacing w:after="0" w:line="500" w:lineRule="exact"/>
              <w:ind w:firstLine="105" w:firstLineChars="50"/>
              <w:jc w:val="center"/>
              <w:rPr>
                <w:rFonts w:hint="eastAsia" w:ascii="微软雅黑" w:hAnsi="微软雅黑" w:eastAsia="微软雅黑"/>
                <w:color w:val="auto"/>
                <w:szCs w:val="21"/>
                <w:highlight w:val="none"/>
                <w:lang w:eastAsia="zh-CN"/>
              </w:rPr>
            </w:pPr>
            <w:r>
              <w:rPr>
                <w:rFonts w:hint="eastAsia" w:ascii="微软雅黑" w:hAnsi="微软雅黑" w:eastAsia="微软雅黑"/>
                <w:color w:val="auto"/>
                <w:szCs w:val="21"/>
                <w:highlight w:val="none"/>
                <w:lang w:eastAsia="zh-CN"/>
              </w:rPr>
              <w:t>场</w:t>
            </w:r>
          </w:p>
        </w:tc>
        <w:tc>
          <w:tcPr>
            <w:tcW w:w="238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spacing w:after="0" w:line="500" w:lineRule="exact"/>
              <w:jc w:val="center"/>
              <w:rPr>
                <w:rFonts w:ascii="微软雅黑" w:hAnsi="微软雅黑" w:eastAsia="微软雅黑"/>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782" w:type="dxa"/>
            <w:vMerge w:val="continue"/>
            <w:tcBorders>
              <w:left w:val="single" w:color="auto" w:sz="4" w:space="0"/>
              <w:bottom w:val="single" w:color="auto" w:sz="4" w:space="0"/>
              <w:right w:val="single" w:color="auto" w:sz="4" w:space="0"/>
            </w:tcBorders>
            <w:vAlign w:val="center"/>
          </w:tcPr>
          <w:p>
            <w:pPr>
              <w:snapToGrid w:val="0"/>
              <w:spacing w:after="0" w:line="500" w:lineRule="exact"/>
              <w:jc w:val="center"/>
              <w:rPr>
                <w:rFonts w:ascii="微软雅黑" w:hAnsi="微软雅黑" w:eastAsia="微软雅黑"/>
                <w:color w:val="auto"/>
                <w:szCs w:val="21"/>
                <w:highlight w:val="none"/>
              </w:rPr>
            </w:pPr>
          </w:p>
        </w:tc>
        <w:tc>
          <w:tcPr>
            <w:tcW w:w="4604" w:type="dxa"/>
            <w:tcBorders>
              <w:top w:val="single" w:color="auto" w:sz="4" w:space="0"/>
              <w:left w:val="single" w:color="auto" w:sz="4" w:space="0"/>
              <w:bottom w:val="single" w:color="auto" w:sz="4" w:space="0"/>
              <w:right w:val="single" w:color="auto" w:sz="4" w:space="0"/>
            </w:tcBorders>
            <w:vAlign w:val="center"/>
          </w:tcPr>
          <w:p>
            <w:pPr>
              <w:snapToGrid w:val="0"/>
              <w:spacing w:after="0" w:line="500" w:lineRule="exact"/>
              <w:jc w:val="left"/>
              <w:rPr>
                <w:rFonts w:hint="eastAsia" w:ascii="微软雅黑" w:hAnsi="微软雅黑" w:eastAsia="微软雅黑"/>
                <w:color w:val="auto"/>
                <w:highlight w:val="none"/>
                <w:lang w:eastAsia="zh-CN"/>
              </w:rPr>
            </w:pPr>
            <w:r>
              <w:rPr>
                <w:rFonts w:hint="eastAsia" w:ascii="微软雅黑" w:hAnsi="微软雅黑" w:eastAsia="微软雅黑"/>
                <w:color w:val="auto"/>
                <w:highlight w:val="none"/>
                <w:lang w:eastAsia="zh-CN"/>
              </w:rPr>
              <w:t>综合型专场</w:t>
            </w:r>
          </w:p>
        </w:tc>
        <w:tc>
          <w:tcPr>
            <w:tcW w:w="81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spacing w:after="0" w:line="500" w:lineRule="exact"/>
              <w:ind w:firstLine="105" w:firstLineChars="50"/>
              <w:jc w:val="center"/>
              <w:rPr>
                <w:rFonts w:hint="eastAsia" w:ascii="微软雅黑" w:hAnsi="微软雅黑" w:eastAsia="微软雅黑" w:cs="Times New Roman"/>
                <w:color w:val="auto"/>
                <w:kern w:val="2"/>
                <w:sz w:val="21"/>
                <w:szCs w:val="21"/>
                <w:highlight w:val="none"/>
                <w:lang w:val="en-US" w:eastAsia="zh-CN" w:bidi="ar-SA"/>
              </w:rPr>
            </w:pPr>
            <w:r>
              <w:rPr>
                <w:rFonts w:hint="eastAsia" w:ascii="微软雅黑" w:hAnsi="微软雅黑" w:eastAsia="微软雅黑"/>
                <w:color w:val="auto"/>
                <w:szCs w:val="21"/>
                <w:highlight w:val="none"/>
              </w:rPr>
              <w:t>1</w:t>
            </w:r>
          </w:p>
        </w:tc>
        <w:tc>
          <w:tcPr>
            <w:tcW w:w="72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spacing w:after="0" w:line="500" w:lineRule="exact"/>
              <w:ind w:firstLine="105" w:firstLineChars="50"/>
              <w:jc w:val="center"/>
              <w:rPr>
                <w:rFonts w:hint="eastAsia" w:ascii="微软雅黑" w:hAnsi="微软雅黑" w:eastAsia="微软雅黑" w:cs="Times New Roman"/>
                <w:color w:val="auto"/>
                <w:kern w:val="2"/>
                <w:sz w:val="21"/>
                <w:szCs w:val="21"/>
                <w:highlight w:val="none"/>
                <w:lang w:val="en-US" w:eastAsia="zh-CN" w:bidi="ar-SA"/>
              </w:rPr>
            </w:pPr>
            <w:r>
              <w:rPr>
                <w:rFonts w:hint="eastAsia" w:ascii="微软雅黑" w:hAnsi="微软雅黑" w:eastAsia="微软雅黑"/>
                <w:color w:val="auto"/>
                <w:szCs w:val="21"/>
                <w:highlight w:val="none"/>
                <w:lang w:eastAsia="zh-CN"/>
              </w:rPr>
              <w:t>场</w:t>
            </w:r>
          </w:p>
        </w:tc>
        <w:tc>
          <w:tcPr>
            <w:tcW w:w="238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spacing w:after="0" w:line="500" w:lineRule="exact"/>
              <w:jc w:val="center"/>
              <w:rPr>
                <w:rFonts w:ascii="微软雅黑" w:hAnsi="微软雅黑" w:eastAsia="微软雅黑"/>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9310" w:type="dxa"/>
            <w:gridSpan w:val="5"/>
            <w:tcBorders>
              <w:top w:val="single" w:color="auto" w:sz="4" w:space="0"/>
              <w:left w:val="single" w:color="auto" w:sz="4" w:space="0"/>
              <w:bottom w:val="single" w:color="auto" w:sz="4" w:space="0"/>
              <w:right w:val="single" w:color="auto" w:sz="4" w:space="0"/>
            </w:tcBorders>
            <w:vAlign w:val="center"/>
          </w:tcPr>
          <w:p>
            <w:pPr>
              <w:snapToGrid w:val="0"/>
              <w:spacing w:after="0" w:line="500" w:lineRule="exact"/>
              <w:ind w:left="420" w:leftChars="200"/>
              <w:jc w:val="left"/>
              <w:rPr>
                <w:rFonts w:ascii="微软雅黑" w:hAnsi="微软雅黑" w:eastAsia="微软雅黑"/>
                <w:color w:val="auto"/>
                <w:szCs w:val="21"/>
                <w:highlight w:val="none"/>
              </w:rPr>
            </w:pPr>
            <w:r>
              <w:rPr>
                <w:rFonts w:ascii="微软雅黑" w:hAnsi="微软雅黑" w:eastAsia="微软雅黑"/>
                <w:color w:val="auto"/>
                <w:szCs w:val="21"/>
                <w:highlight w:val="none"/>
              </w:rPr>
              <w:t>合计：大写：</w:t>
            </w:r>
            <w:r>
              <w:rPr>
                <w:rFonts w:hint="eastAsia" w:ascii="微软雅黑" w:hAnsi="微软雅黑" w:eastAsia="微软雅黑"/>
                <w:color w:val="auto"/>
                <w:szCs w:val="21"/>
                <w:highlight w:val="none"/>
              </w:rPr>
              <w:t xml:space="preserve"> </w:t>
            </w:r>
            <w:r>
              <w:rPr>
                <w:rFonts w:ascii="微软雅黑" w:hAnsi="微软雅黑" w:eastAsia="微软雅黑"/>
                <w:color w:val="auto"/>
                <w:szCs w:val="21"/>
                <w:highlight w:val="none"/>
              </w:rPr>
              <w:t xml:space="preserve">                                 小写：</w:t>
            </w:r>
          </w:p>
        </w:tc>
      </w:tr>
    </w:tbl>
    <w:p>
      <w:pPr>
        <w:spacing w:line="360" w:lineRule="auto"/>
        <w:rPr>
          <w:rFonts w:ascii="微软雅黑" w:hAnsi="微软雅黑" w:eastAsia="微软雅黑" w:cs="Tahoma"/>
          <w:bCs/>
          <w:color w:val="auto"/>
          <w:kern w:val="36"/>
          <w:highlight w:val="none"/>
        </w:rPr>
      </w:pPr>
    </w:p>
    <w:p>
      <w:pPr>
        <w:pStyle w:val="34"/>
        <w:snapToGrid w:val="0"/>
        <w:spacing w:line="360" w:lineRule="auto"/>
        <w:rPr>
          <w:rFonts w:ascii="微软雅黑" w:hAnsi="微软雅黑" w:eastAsia="微软雅黑"/>
          <w:color w:val="auto"/>
          <w:szCs w:val="21"/>
          <w:highlight w:val="none"/>
        </w:rPr>
      </w:pPr>
      <w:r>
        <w:rPr>
          <w:rFonts w:ascii="微软雅黑" w:hAnsi="微软雅黑" w:eastAsia="微软雅黑"/>
          <w:color w:val="auto"/>
          <w:szCs w:val="21"/>
          <w:highlight w:val="none"/>
        </w:rPr>
        <w:t>1、报价一经涂改，应在涂改处加盖单位公章或者由法定代表人或授权委托人签字或盖章，否则其投标作无效标处理。</w:t>
      </w:r>
    </w:p>
    <w:p>
      <w:pPr>
        <w:pStyle w:val="34"/>
        <w:snapToGrid w:val="0"/>
        <w:spacing w:line="360" w:lineRule="auto"/>
        <w:rPr>
          <w:rFonts w:ascii="微软雅黑" w:hAnsi="微软雅黑" w:eastAsia="微软雅黑"/>
          <w:color w:val="auto"/>
          <w:szCs w:val="21"/>
          <w:highlight w:val="none"/>
        </w:rPr>
      </w:pPr>
      <w:r>
        <w:rPr>
          <w:rFonts w:ascii="微软雅黑" w:hAnsi="微软雅黑" w:eastAsia="微软雅黑"/>
          <w:color w:val="auto"/>
          <w:szCs w:val="21"/>
          <w:highlight w:val="none"/>
        </w:rPr>
        <w:t>▲</w:t>
      </w:r>
      <w:r>
        <w:rPr>
          <w:rFonts w:hint="eastAsia" w:ascii="微软雅黑" w:hAnsi="微软雅黑" w:eastAsia="微软雅黑"/>
          <w:color w:val="auto"/>
          <w:szCs w:val="21"/>
          <w:highlight w:val="none"/>
        </w:rPr>
        <w:t>2</w:t>
      </w:r>
      <w:r>
        <w:rPr>
          <w:rFonts w:ascii="微软雅黑" w:hAnsi="微软雅黑" w:eastAsia="微软雅黑"/>
          <w:color w:val="auto"/>
          <w:szCs w:val="21"/>
          <w:highlight w:val="none"/>
        </w:rPr>
        <w:t>、以上报价不得超过上限价，任何超过上限价的报价均导致投标被否决。</w:t>
      </w:r>
    </w:p>
    <w:p>
      <w:pPr>
        <w:adjustRightInd w:val="0"/>
        <w:spacing w:line="360" w:lineRule="auto"/>
        <w:ind w:firstLine="105" w:firstLineChars="5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3、报价</w:t>
      </w:r>
      <w:r>
        <w:rPr>
          <w:rFonts w:ascii="微软雅黑" w:hAnsi="微软雅黑" w:eastAsia="微软雅黑"/>
          <w:color w:val="auto"/>
          <w:szCs w:val="21"/>
          <w:highlight w:val="none"/>
        </w:rPr>
        <w:t>包括</w:t>
      </w:r>
      <w:r>
        <w:rPr>
          <w:rFonts w:hint="eastAsia" w:ascii="微软雅黑" w:hAnsi="微软雅黑" w:eastAsia="微软雅黑"/>
          <w:color w:val="auto"/>
          <w:szCs w:val="21"/>
          <w:highlight w:val="none"/>
        </w:rPr>
        <w:t>为完成本项目所需的</w:t>
      </w:r>
      <w:r>
        <w:rPr>
          <w:rFonts w:ascii="微软雅黑" w:hAnsi="微软雅黑" w:eastAsia="微软雅黑"/>
          <w:color w:val="auto"/>
          <w:szCs w:val="21"/>
          <w:highlight w:val="none"/>
        </w:rPr>
        <w:t>全部费用。</w:t>
      </w:r>
    </w:p>
    <w:p>
      <w:pPr>
        <w:pStyle w:val="34"/>
        <w:snapToGrid w:val="0"/>
        <w:spacing w:line="360" w:lineRule="auto"/>
        <w:rPr>
          <w:rFonts w:ascii="微软雅黑" w:hAnsi="微软雅黑" w:eastAsia="微软雅黑"/>
          <w:color w:val="auto"/>
          <w:szCs w:val="21"/>
          <w:highlight w:val="none"/>
        </w:rPr>
      </w:pPr>
    </w:p>
    <w:p>
      <w:pPr>
        <w:rPr>
          <w:rFonts w:hint="eastAsia" w:ascii="微软雅黑" w:hAnsi="微软雅黑" w:eastAsia="微软雅黑" w:cs="微软雅黑"/>
          <w:color w:val="auto"/>
          <w:szCs w:val="21"/>
          <w:highlight w:val="none"/>
          <w:shd w:val="clear" w:color="auto" w:fill="FFFFFF"/>
        </w:rPr>
        <w:sectPr>
          <w:pgSz w:w="11906" w:h="16838"/>
          <w:pgMar w:top="1440" w:right="1559" w:bottom="1440" w:left="1797" w:header="851" w:footer="851" w:gutter="0"/>
          <w:cols w:space="720" w:num="1"/>
        </w:sectPr>
      </w:pPr>
      <w:r>
        <w:rPr>
          <w:rFonts w:hint="eastAsia" w:ascii="微软雅黑" w:hAnsi="微软雅黑" w:eastAsia="微软雅黑" w:cs="微软雅黑"/>
          <w:color w:val="auto"/>
          <w:szCs w:val="21"/>
          <w:highlight w:val="none"/>
          <w:shd w:val="clear" w:color="auto" w:fill="FFFFFF"/>
        </w:rPr>
        <w:t>投标人名称：（盖章）</w:t>
      </w:r>
      <w:r>
        <w:rPr>
          <w:rFonts w:hint="eastAsia" w:ascii="微软雅黑" w:hAnsi="微软雅黑" w:eastAsia="微软雅黑" w:cs="微软雅黑"/>
          <w:color w:val="auto"/>
          <w:szCs w:val="21"/>
          <w:highlight w:val="none"/>
        </w:rPr>
        <w:br w:type="textWrapping"/>
      </w:r>
      <w:r>
        <w:rPr>
          <w:rFonts w:hint="eastAsia" w:ascii="微软雅黑" w:hAnsi="微软雅黑" w:eastAsia="微软雅黑" w:cs="微软雅黑"/>
          <w:color w:val="auto"/>
          <w:szCs w:val="21"/>
          <w:highlight w:val="none"/>
          <w:shd w:val="clear" w:color="auto" w:fill="FFFFFF"/>
        </w:rPr>
        <w:t>法定代表人或</w:t>
      </w:r>
      <w:r>
        <w:rPr>
          <w:rFonts w:hint="eastAsia" w:ascii="微软雅黑" w:hAnsi="微软雅黑" w:eastAsia="微软雅黑" w:cs="微软雅黑"/>
          <w:color w:val="auto"/>
          <w:szCs w:val="21"/>
          <w:highlight w:val="none"/>
        </w:rPr>
        <w:t>被授权人</w:t>
      </w:r>
      <w:r>
        <w:rPr>
          <w:rFonts w:hint="eastAsia" w:ascii="微软雅黑" w:hAnsi="微软雅黑" w:eastAsia="微软雅黑" w:cs="微软雅黑"/>
          <w:color w:val="auto"/>
          <w:szCs w:val="21"/>
          <w:highlight w:val="none"/>
          <w:shd w:val="clear" w:color="auto" w:fill="FFFFFF"/>
        </w:rPr>
        <w:t>（签字或盖章）：</w:t>
      </w:r>
      <w:r>
        <w:rPr>
          <w:rFonts w:hint="eastAsia" w:ascii="微软雅黑" w:hAnsi="微软雅黑" w:eastAsia="微软雅黑" w:cs="微软雅黑"/>
          <w:color w:val="auto"/>
          <w:szCs w:val="21"/>
          <w:highlight w:val="none"/>
        </w:rPr>
        <w:br w:type="textWrapping"/>
      </w:r>
      <w:r>
        <w:rPr>
          <w:rFonts w:hint="eastAsia" w:ascii="微软雅黑" w:hAnsi="微软雅黑" w:eastAsia="微软雅黑" w:cs="微软雅黑"/>
          <w:color w:val="auto"/>
          <w:szCs w:val="21"/>
          <w:highlight w:val="none"/>
          <w:shd w:val="clear" w:color="auto" w:fill="FFFFFF"/>
        </w:rPr>
        <w:t>投标日期：  年  月  日</w:t>
      </w:r>
    </w:p>
    <w:p>
      <w:pPr>
        <w:snapToGrid w:val="0"/>
        <w:spacing w:line="360" w:lineRule="auto"/>
        <w:jc w:val="center"/>
        <w:rPr>
          <w:rFonts w:hint="eastAsia" w:ascii="微软雅黑" w:hAnsi="微软雅黑" w:eastAsia="微软雅黑" w:cs="Tahoma"/>
          <w:b/>
          <w:bCs/>
          <w:color w:val="auto"/>
          <w:kern w:val="36"/>
          <w:sz w:val="32"/>
          <w:szCs w:val="32"/>
          <w:highlight w:val="none"/>
          <w:lang w:eastAsia="zh-CN"/>
        </w:rPr>
      </w:pPr>
      <w:r>
        <w:rPr>
          <w:rFonts w:ascii="微软雅黑" w:hAnsi="微软雅黑" w:eastAsia="微软雅黑"/>
          <w:color w:val="auto"/>
          <w:szCs w:val="21"/>
          <w:highlight w:val="none"/>
        </w:rPr>
        <w:t>开标一览表</w:t>
      </w:r>
      <w:r>
        <w:rPr>
          <w:rFonts w:hint="eastAsia" w:ascii="微软雅黑" w:hAnsi="微软雅黑" w:eastAsia="微软雅黑"/>
          <w:color w:val="auto"/>
          <w:szCs w:val="21"/>
          <w:highlight w:val="none"/>
          <w:lang w:eastAsia="zh-CN"/>
        </w:rPr>
        <w:t>（二标段）</w:t>
      </w:r>
    </w:p>
    <w:p>
      <w:pPr>
        <w:spacing w:line="360" w:lineRule="auto"/>
        <w:rPr>
          <w:rFonts w:hint="eastAsia" w:ascii="微软雅黑" w:hAnsi="微软雅黑" w:eastAsia="微软雅黑" w:cs="Tahoma"/>
          <w:bCs/>
          <w:color w:val="auto"/>
          <w:kern w:val="36"/>
          <w:highlight w:val="none"/>
          <w:lang w:eastAsia="zh-CN"/>
        </w:rPr>
      </w:pPr>
      <w:r>
        <w:rPr>
          <w:rFonts w:hint="eastAsia" w:ascii="微软雅黑" w:hAnsi="微软雅黑" w:eastAsia="微软雅黑" w:cs="Tahoma"/>
          <w:bCs/>
          <w:color w:val="auto"/>
          <w:kern w:val="36"/>
          <w:highlight w:val="none"/>
        </w:rPr>
        <w:t>项目名称：</w:t>
      </w:r>
      <w:r>
        <w:rPr>
          <w:rFonts w:hint="eastAsia" w:ascii="微软雅黑" w:hAnsi="微软雅黑" w:eastAsia="微软雅黑"/>
          <w:color w:val="auto"/>
          <w:highlight w:val="none"/>
          <w:lang w:eastAsia="zh-CN"/>
        </w:rPr>
        <w:t>嘉兴市秀洲区文化和旅游局送戏下乡服务采购项目</w:t>
      </w:r>
    </w:p>
    <w:p>
      <w:pPr>
        <w:spacing w:line="360" w:lineRule="auto"/>
        <w:rPr>
          <w:rFonts w:ascii="微软雅黑" w:hAnsi="微软雅黑" w:eastAsia="微软雅黑" w:cs="Tahoma"/>
          <w:bCs/>
          <w:color w:val="auto"/>
          <w:kern w:val="36"/>
          <w:highlight w:val="none"/>
        </w:rPr>
      </w:pPr>
      <w:r>
        <w:rPr>
          <w:rFonts w:hint="eastAsia" w:ascii="微软雅黑" w:hAnsi="微软雅黑" w:eastAsia="微软雅黑" w:cs="Tahoma"/>
          <w:bCs/>
          <w:color w:val="auto"/>
          <w:kern w:val="36"/>
          <w:highlight w:val="none"/>
        </w:rPr>
        <w:t>单位：元</w:t>
      </w:r>
    </w:p>
    <w:tbl>
      <w:tblPr>
        <w:tblStyle w:val="58"/>
        <w:tblW w:w="931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2"/>
        <w:gridCol w:w="4604"/>
        <w:gridCol w:w="818"/>
        <w:gridCol w:w="723"/>
        <w:gridCol w:w="23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after="0" w:line="500" w:lineRule="exact"/>
              <w:jc w:val="center"/>
              <w:rPr>
                <w:rFonts w:ascii="微软雅黑" w:hAnsi="微软雅黑" w:eastAsia="微软雅黑"/>
                <w:color w:val="auto"/>
                <w:szCs w:val="21"/>
                <w:highlight w:val="none"/>
              </w:rPr>
            </w:pPr>
            <w:r>
              <w:rPr>
                <w:rFonts w:ascii="微软雅黑" w:hAnsi="微软雅黑" w:eastAsia="微软雅黑"/>
                <w:color w:val="auto"/>
                <w:szCs w:val="21"/>
                <w:highlight w:val="none"/>
              </w:rPr>
              <w:t>标段</w:t>
            </w:r>
          </w:p>
        </w:tc>
        <w:tc>
          <w:tcPr>
            <w:tcW w:w="4604" w:type="dxa"/>
            <w:tcBorders>
              <w:top w:val="single" w:color="auto" w:sz="4" w:space="0"/>
              <w:left w:val="single" w:color="auto" w:sz="4" w:space="0"/>
              <w:bottom w:val="single" w:color="auto" w:sz="4" w:space="0"/>
              <w:right w:val="single" w:color="auto" w:sz="4" w:space="0"/>
            </w:tcBorders>
            <w:vAlign w:val="center"/>
          </w:tcPr>
          <w:p>
            <w:pPr>
              <w:snapToGrid w:val="0"/>
              <w:spacing w:after="0" w:line="500" w:lineRule="exact"/>
              <w:ind w:left="420" w:leftChars="200"/>
              <w:jc w:val="center"/>
              <w:rPr>
                <w:rFonts w:ascii="微软雅黑" w:hAnsi="微软雅黑" w:eastAsia="微软雅黑"/>
                <w:color w:val="auto"/>
                <w:szCs w:val="21"/>
                <w:highlight w:val="none"/>
              </w:rPr>
            </w:pPr>
            <w:r>
              <w:rPr>
                <w:rFonts w:ascii="微软雅黑" w:hAnsi="微软雅黑" w:eastAsia="微软雅黑"/>
                <w:color w:val="auto"/>
                <w:szCs w:val="21"/>
                <w:highlight w:val="none"/>
              </w:rPr>
              <w:t>名称</w:t>
            </w:r>
          </w:p>
        </w:tc>
        <w:tc>
          <w:tcPr>
            <w:tcW w:w="81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spacing w:after="0" w:line="500" w:lineRule="exact"/>
              <w:rPr>
                <w:rFonts w:ascii="微软雅黑" w:hAnsi="微软雅黑" w:eastAsia="微软雅黑"/>
                <w:color w:val="auto"/>
                <w:szCs w:val="21"/>
                <w:highlight w:val="none"/>
              </w:rPr>
            </w:pPr>
            <w:r>
              <w:rPr>
                <w:rFonts w:ascii="微软雅黑" w:hAnsi="微软雅黑" w:eastAsia="微软雅黑"/>
                <w:color w:val="auto"/>
                <w:szCs w:val="21"/>
                <w:highlight w:val="none"/>
              </w:rPr>
              <w:t>数量</w:t>
            </w:r>
          </w:p>
        </w:tc>
        <w:tc>
          <w:tcPr>
            <w:tcW w:w="72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spacing w:after="0" w:line="500" w:lineRule="exact"/>
              <w:rPr>
                <w:rFonts w:ascii="微软雅黑" w:hAnsi="微软雅黑" w:eastAsia="微软雅黑"/>
                <w:color w:val="auto"/>
                <w:szCs w:val="21"/>
                <w:highlight w:val="none"/>
              </w:rPr>
            </w:pPr>
            <w:r>
              <w:rPr>
                <w:rFonts w:ascii="微软雅黑" w:hAnsi="微软雅黑" w:eastAsia="微软雅黑"/>
                <w:color w:val="auto"/>
                <w:szCs w:val="21"/>
                <w:highlight w:val="none"/>
              </w:rPr>
              <w:t>单位</w:t>
            </w:r>
          </w:p>
        </w:tc>
        <w:tc>
          <w:tcPr>
            <w:tcW w:w="238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spacing w:after="0" w:line="500" w:lineRule="exact"/>
              <w:ind w:leftChars="-129" w:hanging="270" w:hangingChars="129"/>
              <w:jc w:val="center"/>
              <w:rPr>
                <w:rFonts w:hint="eastAsia" w:ascii="微软雅黑" w:hAnsi="微软雅黑" w:eastAsia="微软雅黑"/>
                <w:color w:val="auto"/>
                <w:szCs w:val="21"/>
                <w:highlight w:val="none"/>
                <w:lang w:eastAsia="zh-CN"/>
              </w:rPr>
            </w:pPr>
            <w:r>
              <w:rPr>
                <w:rFonts w:ascii="微软雅黑" w:hAnsi="微软雅黑" w:eastAsia="微软雅黑"/>
                <w:color w:val="auto"/>
                <w:szCs w:val="21"/>
                <w:highlight w:val="none"/>
              </w:rPr>
              <w:t>投标</w:t>
            </w:r>
            <w:r>
              <w:rPr>
                <w:rFonts w:hint="eastAsia" w:ascii="微软雅黑" w:hAnsi="微软雅黑" w:eastAsia="微软雅黑"/>
                <w:color w:val="auto"/>
                <w:szCs w:val="21"/>
                <w:highlight w:val="none"/>
                <w:lang w:eastAsia="zh-CN"/>
              </w:rPr>
              <w:t>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782" w:type="dxa"/>
            <w:vMerge w:val="restart"/>
            <w:tcBorders>
              <w:top w:val="single" w:color="auto" w:sz="4" w:space="0"/>
              <w:left w:val="single" w:color="auto" w:sz="4" w:space="0"/>
              <w:right w:val="single" w:color="auto" w:sz="4" w:space="0"/>
            </w:tcBorders>
            <w:vAlign w:val="center"/>
          </w:tcPr>
          <w:p>
            <w:pPr>
              <w:snapToGrid w:val="0"/>
              <w:spacing w:after="0" w:line="500" w:lineRule="exact"/>
              <w:jc w:val="center"/>
              <w:rPr>
                <w:rFonts w:ascii="微软雅黑" w:hAnsi="微软雅黑" w:eastAsia="微软雅黑"/>
                <w:color w:val="auto"/>
                <w:szCs w:val="21"/>
                <w:highlight w:val="none"/>
              </w:rPr>
            </w:pPr>
            <w:r>
              <w:rPr>
                <w:rFonts w:ascii="微软雅黑" w:hAnsi="微软雅黑" w:eastAsia="微软雅黑"/>
                <w:color w:val="auto"/>
                <w:szCs w:val="21"/>
                <w:highlight w:val="none"/>
              </w:rPr>
              <w:t>1</w:t>
            </w:r>
          </w:p>
        </w:tc>
        <w:tc>
          <w:tcPr>
            <w:tcW w:w="4604" w:type="dxa"/>
            <w:tcBorders>
              <w:top w:val="single" w:color="auto" w:sz="4" w:space="0"/>
              <w:left w:val="single" w:color="auto" w:sz="4" w:space="0"/>
              <w:bottom w:val="single" w:color="auto" w:sz="4" w:space="0"/>
              <w:right w:val="single" w:color="auto" w:sz="4" w:space="0"/>
            </w:tcBorders>
            <w:vAlign w:val="center"/>
          </w:tcPr>
          <w:p>
            <w:pPr>
              <w:snapToGrid w:val="0"/>
              <w:spacing w:after="0" w:line="500" w:lineRule="exact"/>
              <w:jc w:val="left"/>
              <w:rPr>
                <w:rFonts w:hint="eastAsia" w:ascii="微软雅黑" w:hAnsi="微软雅黑" w:eastAsia="微软雅黑"/>
                <w:color w:val="auto"/>
                <w:spacing w:val="20"/>
                <w:szCs w:val="21"/>
                <w:highlight w:val="none"/>
                <w:lang w:eastAsia="zh-CN"/>
              </w:rPr>
            </w:pPr>
            <w:r>
              <w:rPr>
                <w:rFonts w:hint="eastAsia" w:ascii="微软雅黑" w:hAnsi="微软雅黑" w:eastAsia="微软雅黑"/>
                <w:color w:val="auto"/>
                <w:highlight w:val="none"/>
                <w:lang w:eastAsia="zh-CN"/>
              </w:rPr>
              <w:t>戏曲专场</w:t>
            </w:r>
          </w:p>
        </w:tc>
        <w:tc>
          <w:tcPr>
            <w:tcW w:w="81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spacing w:after="0" w:line="500" w:lineRule="exact"/>
              <w:ind w:firstLine="105" w:firstLineChars="50"/>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1</w:t>
            </w:r>
          </w:p>
        </w:tc>
        <w:tc>
          <w:tcPr>
            <w:tcW w:w="72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spacing w:after="0" w:line="500" w:lineRule="exact"/>
              <w:ind w:firstLine="105" w:firstLineChars="50"/>
              <w:jc w:val="center"/>
              <w:rPr>
                <w:rFonts w:hint="eastAsia" w:ascii="微软雅黑" w:hAnsi="微软雅黑" w:eastAsia="微软雅黑"/>
                <w:color w:val="auto"/>
                <w:szCs w:val="21"/>
                <w:highlight w:val="none"/>
                <w:lang w:eastAsia="zh-CN"/>
              </w:rPr>
            </w:pPr>
            <w:r>
              <w:rPr>
                <w:rFonts w:hint="eastAsia" w:ascii="微软雅黑" w:hAnsi="微软雅黑" w:eastAsia="微软雅黑"/>
                <w:color w:val="auto"/>
                <w:szCs w:val="21"/>
                <w:highlight w:val="none"/>
                <w:lang w:eastAsia="zh-CN"/>
              </w:rPr>
              <w:t>场</w:t>
            </w:r>
          </w:p>
        </w:tc>
        <w:tc>
          <w:tcPr>
            <w:tcW w:w="238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spacing w:after="0" w:line="500" w:lineRule="exact"/>
              <w:jc w:val="center"/>
              <w:rPr>
                <w:rFonts w:ascii="微软雅黑" w:hAnsi="微软雅黑" w:eastAsia="微软雅黑"/>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782" w:type="dxa"/>
            <w:vMerge w:val="continue"/>
            <w:tcBorders>
              <w:left w:val="single" w:color="auto" w:sz="4" w:space="0"/>
              <w:bottom w:val="single" w:color="auto" w:sz="4" w:space="0"/>
              <w:right w:val="single" w:color="auto" w:sz="4" w:space="0"/>
            </w:tcBorders>
            <w:vAlign w:val="center"/>
          </w:tcPr>
          <w:p>
            <w:pPr>
              <w:snapToGrid w:val="0"/>
              <w:spacing w:after="0" w:line="500" w:lineRule="exact"/>
              <w:jc w:val="center"/>
              <w:rPr>
                <w:rFonts w:ascii="微软雅黑" w:hAnsi="微软雅黑" w:eastAsia="微软雅黑"/>
                <w:color w:val="auto"/>
                <w:szCs w:val="21"/>
                <w:highlight w:val="none"/>
              </w:rPr>
            </w:pPr>
          </w:p>
        </w:tc>
        <w:tc>
          <w:tcPr>
            <w:tcW w:w="4604" w:type="dxa"/>
            <w:tcBorders>
              <w:top w:val="single" w:color="auto" w:sz="4" w:space="0"/>
              <w:left w:val="single" w:color="auto" w:sz="4" w:space="0"/>
              <w:bottom w:val="single" w:color="auto" w:sz="4" w:space="0"/>
              <w:right w:val="single" w:color="auto" w:sz="4" w:space="0"/>
            </w:tcBorders>
            <w:vAlign w:val="center"/>
          </w:tcPr>
          <w:p>
            <w:pPr>
              <w:snapToGrid w:val="0"/>
              <w:spacing w:after="0" w:line="500" w:lineRule="exact"/>
              <w:jc w:val="left"/>
              <w:rPr>
                <w:rFonts w:hint="eastAsia" w:ascii="微软雅黑" w:hAnsi="微软雅黑" w:eastAsia="微软雅黑"/>
                <w:color w:val="auto"/>
                <w:highlight w:val="none"/>
                <w:lang w:eastAsia="zh-CN"/>
              </w:rPr>
            </w:pPr>
            <w:r>
              <w:rPr>
                <w:rFonts w:hint="eastAsia" w:ascii="微软雅黑" w:hAnsi="微软雅黑" w:eastAsia="微软雅黑"/>
                <w:color w:val="auto"/>
                <w:highlight w:val="none"/>
                <w:lang w:eastAsia="zh-CN"/>
              </w:rPr>
              <w:t>综合型专场</w:t>
            </w:r>
          </w:p>
        </w:tc>
        <w:tc>
          <w:tcPr>
            <w:tcW w:w="81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spacing w:after="0" w:line="500" w:lineRule="exact"/>
              <w:ind w:firstLine="105" w:firstLineChars="50"/>
              <w:jc w:val="center"/>
              <w:rPr>
                <w:rFonts w:hint="eastAsia" w:ascii="微软雅黑" w:hAnsi="微软雅黑" w:eastAsia="微软雅黑" w:cs="Times New Roman"/>
                <w:color w:val="auto"/>
                <w:kern w:val="2"/>
                <w:sz w:val="21"/>
                <w:szCs w:val="21"/>
                <w:highlight w:val="none"/>
                <w:lang w:val="en-US" w:eastAsia="zh-CN" w:bidi="ar-SA"/>
              </w:rPr>
            </w:pPr>
            <w:r>
              <w:rPr>
                <w:rFonts w:hint="eastAsia" w:ascii="微软雅黑" w:hAnsi="微软雅黑" w:eastAsia="微软雅黑"/>
                <w:color w:val="auto"/>
                <w:szCs w:val="21"/>
                <w:highlight w:val="none"/>
              </w:rPr>
              <w:t>1</w:t>
            </w:r>
          </w:p>
        </w:tc>
        <w:tc>
          <w:tcPr>
            <w:tcW w:w="72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spacing w:after="0" w:line="500" w:lineRule="exact"/>
              <w:ind w:firstLine="105" w:firstLineChars="50"/>
              <w:jc w:val="center"/>
              <w:rPr>
                <w:rFonts w:hint="eastAsia" w:ascii="微软雅黑" w:hAnsi="微软雅黑" w:eastAsia="微软雅黑" w:cs="Times New Roman"/>
                <w:color w:val="auto"/>
                <w:kern w:val="2"/>
                <w:sz w:val="21"/>
                <w:szCs w:val="21"/>
                <w:highlight w:val="none"/>
                <w:lang w:val="en-US" w:eastAsia="zh-CN" w:bidi="ar-SA"/>
              </w:rPr>
            </w:pPr>
            <w:r>
              <w:rPr>
                <w:rFonts w:hint="eastAsia" w:ascii="微软雅黑" w:hAnsi="微软雅黑" w:eastAsia="微软雅黑"/>
                <w:color w:val="auto"/>
                <w:szCs w:val="21"/>
                <w:highlight w:val="none"/>
                <w:lang w:eastAsia="zh-CN"/>
              </w:rPr>
              <w:t>场</w:t>
            </w:r>
          </w:p>
        </w:tc>
        <w:tc>
          <w:tcPr>
            <w:tcW w:w="238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spacing w:after="0" w:line="500" w:lineRule="exact"/>
              <w:jc w:val="center"/>
              <w:rPr>
                <w:rFonts w:ascii="微软雅黑" w:hAnsi="微软雅黑" w:eastAsia="微软雅黑"/>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9310" w:type="dxa"/>
            <w:gridSpan w:val="5"/>
            <w:tcBorders>
              <w:top w:val="single" w:color="auto" w:sz="4" w:space="0"/>
              <w:left w:val="single" w:color="auto" w:sz="4" w:space="0"/>
              <w:bottom w:val="single" w:color="auto" w:sz="4" w:space="0"/>
              <w:right w:val="single" w:color="auto" w:sz="4" w:space="0"/>
            </w:tcBorders>
            <w:vAlign w:val="center"/>
          </w:tcPr>
          <w:p>
            <w:pPr>
              <w:snapToGrid w:val="0"/>
              <w:spacing w:after="0" w:line="500" w:lineRule="exact"/>
              <w:ind w:left="420" w:leftChars="200"/>
              <w:jc w:val="left"/>
              <w:rPr>
                <w:rFonts w:ascii="微软雅黑" w:hAnsi="微软雅黑" w:eastAsia="微软雅黑"/>
                <w:color w:val="auto"/>
                <w:szCs w:val="21"/>
                <w:highlight w:val="none"/>
              </w:rPr>
            </w:pPr>
            <w:r>
              <w:rPr>
                <w:rFonts w:ascii="微软雅黑" w:hAnsi="微软雅黑" w:eastAsia="微软雅黑"/>
                <w:color w:val="auto"/>
                <w:szCs w:val="21"/>
                <w:highlight w:val="none"/>
              </w:rPr>
              <w:t>合计：大写：</w:t>
            </w:r>
            <w:r>
              <w:rPr>
                <w:rFonts w:hint="eastAsia" w:ascii="微软雅黑" w:hAnsi="微软雅黑" w:eastAsia="微软雅黑"/>
                <w:color w:val="auto"/>
                <w:szCs w:val="21"/>
                <w:highlight w:val="none"/>
              </w:rPr>
              <w:t xml:space="preserve"> </w:t>
            </w:r>
            <w:r>
              <w:rPr>
                <w:rFonts w:ascii="微软雅黑" w:hAnsi="微软雅黑" w:eastAsia="微软雅黑"/>
                <w:color w:val="auto"/>
                <w:szCs w:val="21"/>
                <w:highlight w:val="none"/>
              </w:rPr>
              <w:t xml:space="preserve">                                 小写：</w:t>
            </w:r>
          </w:p>
        </w:tc>
      </w:tr>
    </w:tbl>
    <w:p>
      <w:pPr>
        <w:spacing w:line="360" w:lineRule="auto"/>
        <w:rPr>
          <w:rFonts w:ascii="微软雅黑" w:hAnsi="微软雅黑" w:eastAsia="微软雅黑" w:cs="Tahoma"/>
          <w:bCs/>
          <w:color w:val="auto"/>
          <w:kern w:val="36"/>
          <w:highlight w:val="none"/>
        </w:rPr>
      </w:pPr>
    </w:p>
    <w:p>
      <w:pPr>
        <w:pStyle w:val="34"/>
        <w:snapToGrid w:val="0"/>
        <w:spacing w:line="360" w:lineRule="auto"/>
        <w:rPr>
          <w:rFonts w:ascii="微软雅黑" w:hAnsi="微软雅黑" w:eastAsia="微软雅黑"/>
          <w:color w:val="auto"/>
          <w:szCs w:val="21"/>
          <w:highlight w:val="none"/>
        </w:rPr>
      </w:pPr>
      <w:r>
        <w:rPr>
          <w:rFonts w:ascii="微软雅黑" w:hAnsi="微软雅黑" w:eastAsia="微软雅黑"/>
          <w:color w:val="auto"/>
          <w:szCs w:val="21"/>
          <w:highlight w:val="none"/>
        </w:rPr>
        <w:t>1、报价一经涂改，应在涂改处加盖单位公章或者由法定代表人或授权委托人签字或盖章，否则其投标作无效标处理。</w:t>
      </w:r>
    </w:p>
    <w:p>
      <w:pPr>
        <w:pStyle w:val="34"/>
        <w:snapToGrid w:val="0"/>
        <w:spacing w:line="360" w:lineRule="auto"/>
        <w:rPr>
          <w:rFonts w:ascii="微软雅黑" w:hAnsi="微软雅黑" w:eastAsia="微软雅黑"/>
          <w:color w:val="auto"/>
          <w:szCs w:val="21"/>
          <w:highlight w:val="none"/>
        </w:rPr>
      </w:pPr>
      <w:r>
        <w:rPr>
          <w:rFonts w:ascii="微软雅黑" w:hAnsi="微软雅黑" w:eastAsia="微软雅黑"/>
          <w:color w:val="auto"/>
          <w:szCs w:val="21"/>
          <w:highlight w:val="none"/>
        </w:rPr>
        <w:t>▲</w:t>
      </w:r>
      <w:r>
        <w:rPr>
          <w:rFonts w:hint="eastAsia" w:ascii="微软雅黑" w:hAnsi="微软雅黑" w:eastAsia="微软雅黑"/>
          <w:color w:val="auto"/>
          <w:szCs w:val="21"/>
          <w:highlight w:val="none"/>
        </w:rPr>
        <w:t>2</w:t>
      </w:r>
      <w:r>
        <w:rPr>
          <w:rFonts w:ascii="微软雅黑" w:hAnsi="微软雅黑" w:eastAsia="微软雅黑"/>
          <w:color w:val="auto"/>
          <w:szCs w:val="21"/>
          <w:highlight w:val="none"/>
        </w:rPr>
        <w:t>、以上报价不得超过上限价，任何超过上限价的报价均导致投标被否决。</w:t>
      </w:r>
    </w:p>
    <w:p>
      <w:pPr>
        <w:adjustRightInd w:val="0"/>
        <w:spacing w:line="360" w:lineRule="auto"/>
        <w:ind w:firstLine="105" w:firstLineChars="5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3、报价</w:t>
      </w:r>
      <w:r>
        <w:rPr>
          <w:rFonts w:ascii="微软雅黑" w:hAnsi="微软雅黑" w:eastAsia="微软雅黑"/>
          <w:color w:val="auto"/>
          <w:szCs w:val="21"/>
          <w:highlight w:val="none"/>
        </w:rPr>
        <w:t>包括</w:t>
      </w:r>
      <w:r>
        <w:rPr>
          <w:rFonts w:hint="eastAsia" w:ascii="微软雅黑" w:hAnsi="微软雅黑" w:eastAsia="微软雅黑"/>
          <w:color w:val="auto"/>
          <w:szCs w:val="21"/>
          <w:highlight w:val="none"/>
        </w:rPr>
        <w:t>为完成本项目所需的</w:t>
      </w:r>
      <w:r>
        <w:rPr>
          <w:rFonts w:ascii="微软雅黑" w:hAnsi="微软雅黑" w:eastAsia="微软雅黑"/>
          <w:color w:val="auto"/>
          <w:szCs w:val="21"/>
          <w:highlight w:val="none"/>
        </w:rPr>
        <w:t>全部费用。</w:t>
      </w:r>
    </w:p>
    <w:p>
      <w:pPr>
        <w:pStyle w:val="34"/>
        <w:snapToGrid w:val="0"/>
        <w:spacing w:line="360" w:lineRule="auto"/>
        <w:rPr>
          <w:rFonts w:ascii="微软雅黑" w:hAnsi="微软雅黑" w:eastAsia="微软雅黑"/>
          <w:color w:val="auto"/>
          <w:szCs w:val="21"/>
          <w:highlight w:val="none"/>
        </w:rPr>
      </w:pPr>
    </w:p>
    <w:p>
      <w:pPr>
        <w:rPr>
          <w:rFonts w:hint="eastAsia" w:ascii="微软雅黑" w:hAnsi="微软雅黑" w:eastAsia="微软雅黑" w:cs="微软雅黑"/>
          <w:color w:val="auto"/>
          <w:szCs w:val="21"/>
          <w:highlight w:val="none"/>
          <w:shd w:val="clear" w:color="auto" w:fill="FFFFFF"/>
        </w:rPr>
        <w:sectPr>
          <w:pgSz w:w="11906" w:h="16838"/>
          <w:pgMar w:top="1440" w:right="1559" w:bottom="1440" w:left="1797" w:header="851" w:footer="851" w:gutter="0"/>
          <w:cols w:space="720" w:num="1"/>
        </w:sectPr>
      </w:pPr>
      <w:r>
        <w:rPr>
          <w:rFonts w:hint="eastAsia" w:ascii="微软雅黑" w:hAnsi="微软雅黑" w:eastAsia="微软雅黑" w:cs="微软雅黑"/>
          <w:color w:val="auto"/>
          <w:szCs w:val="21"/>
          <w:highlight w:val="none"/>
          <w:shd w:val="clear" w:color="auto" w:fill="FFFFFF"/>
        </w:rPr>
        <w:t>投标人名称：（盖章）</w:t>
      </w:r>
      <w:r>
        <w:rPr>
          <w:rFonts w:hint="eastAsia" w:ascii="微软雅黑" w:hAnsi="微软雅黑" w:eastAsia="微软雅黑" w:cs="微软雅黑"/>
          <w:color w:val="auto"/>
          <w:szCs w:val="21"/>
          <w:highlight w:val="none"/>
        </w:rPr>
        <w:br w:type="textWrapping"/>
      </w:r>
      <w:r>
        <w:rPr>
          <w:rFonts w:hint="eastAsia" w:ascii="微软雅黑" w:hAnsi="微软雅黑" w:eastAsia="微软雅黑" w:cs="微软雅黑"/>
          <w:color w:val="auto"/>
          <w:szCs w:val="21"/>
          <w:highlight w:val="none"/>
          <w:shd w:val="clear" w:color="auto" w:fill="FFFFFF"/>
        </w:rPr>
        <w:t>法定代表人或</w:t>
      </w:r>
      <w:r>
        <w:rPr>
          <w:rFonts w:hint="eastAsia" w:ascii="微软雅黑" w:hAnsi="微软雅黑" w:eastAsia="微软雅黑" w:cs="微软雅黑"/>
          <w:color w:val="auto"/>
          <w:szCs w:val="21"/>
          <w:highlight w:val="none"/>
        </w:rPr>
        <w:t>被授权人</w:t>
      </w:r>
      <w:r>
        <w:rPr>
          <w:rFonts w:hint="eastAsia" w:ascii="微软雅黑" w:hAnsi="微软雅黑" w:eastAsia="微软雅黑" w:cs="微软雅黑"/>
          <w:color w:val="auto"/>
          <w:szCs w:val="21"/>
          <w:highlight w:val="none"/>
          <w:shd w:val="clear" w:color="auto" w:fill="FFFFFF"/>
        </w:rPr>
        <w:t>（签字或盖章）：</w:t>
      </w:r>
      <w:r>
        <w:rPr>
          <w:rFonts w:hint="eastAsia" w:ascii="微软雅黑" w:hAnsi="微软雅黑" w:eastAsia="微软雅黑" w:cs="微软雅黑"/>
          <w:color w:val="auto"/>
          <w:szCs w:val="21"/>
          <w:highlight w:val="none"/>
        </w:rPr>
        <w:br w:type="textWrapping"/>
      </w:r>
      <w:r>
        <w:rPr>
          <w:rFonts w:hint="eastAsia" w:ascii="微软雅黑" w:hAnsi="微软雅黑" w:eastAsia="微软雅黑" w:cs="微软雅黑"/>
          <w:color w:val="auto"/>
          <w:szCs w:val="21"/>
          <w:highlight w:val="none"/>
          <w:shd w:val="clear" w:color="auto" w:fill="FFFFFF"/>
        </w:rPr>
        <w:t>投标日期：  年  月  日</w:t>
      </w:r>
    </w:p>
    <w:p>
      <w:pPr>
        <w:snapToGrid w:val="0"/>
        <w:spacing w:line="360" w:lineRule="auto"/>
        <w:jc w:val="center"/>
        <w:rPr>
          <w:rFonts w:hint="eastAsia" w:ascii="微软雅黑" w:hAnsi="微软雅黑" w:eastAsia="微软雅黑" w:cs="Tahoma"/>
          <w:b/>
          <w:bCs/>
          <w:color w:val="auto"/>
          <w:kern w:val="36"/>
          <w:sz w:val="32"/>
          <w:szCs w:val="32"/>
          <w:highlight w:val="none"/>
          <w:lang w:eastAsia="zh-CN"/>
        </w:rPr>
      </w:pPr>
      <w:r>
        <w:rPr>
          <w:rFonts w:ascii="微软雅黑" w:hAnsi="微软雅黑" w:eastAsia="微软雅黑"/>
          <w:color w:val="auto"/>
          <w:szCs w:val="21"/>
          <w:highlight w:val="none"/>
        </w:rPr>
        <w:t>开标一览表</w:t>
      </w:r>
      <w:r>
        <w:rPr>
          <w:rFonts w:hint="eastAsia" w:ascii="微软雅黑" w:hAnsi="微软雅黑" w:eastAsia="微软雅黑"/>
          <w:color w:val="auto"/>
          <w:szCs w:val="21"/>
          <w:highlight w:val="none"/>
          <w:lang w:eastAsia="zh-CN"/>
        </w:rPr>
        <w:t>（三标段）</w:t>
      </w:r>
    </w:p>
    <w:p>
      <w:pPr>
        <w:spacing w:line="360" w:lineRule="auto"/>
        <w:rPr>
          <w:rFonts w:hint="eastAsia" w:ascii="微软雅黑" w:hAnsi="微软雅黑" w:eastAsia="微软雅黑" w:cs="Tahoma"/>
          <w:bCs/>
          <w:color w:val="auto"/>
          <w:kern w:val="36"/>
          <w:highlight w:val="none"/>
          <w:lang w:eastAsia="zh-CN"/>
        </w:rPr>
      </w:pPr>
      <w:r>
        <w:rPr>
          <w:rFonts w:hint="eastAsia" w:ascii="微软雅黑" w:hAnsi="微软雅黑" w:eastAsia="微软雅黑" w:cs="Tahoma"/>
          <w:bCs/>
          <w:color w:val="auto"/>
          <w:kern w:val="36"/>
          <w:highlight w:val="none"/>
        </w:rPr>
        <w:t>项目名称：</w:t>
      </w:r>
      <w:r>
        <w:rPr>
          <w:rFonts w:hint="eastAsia" w:ascii="微软雅黑" w:hAnsi="微软雅黑" w:eastAsia="微软雅黑"/>
          <w:color w:val="auto"/>
          <w:highlight w:val="none"/>
          <w:lang w:eastAsia="zh-CN"/>
        </w:rPr>
        <w:t>嘉兴市秀洲区文化和旅游局送戏下乡服务采购项目</w:t>
      </w:r>
    </w:p>
    <w:p>
      <w:pPr>
        <w:spacing w:line="360" w:lineRule="auto"/>
        <w:rPr>
          <w:rFonts w:ascii="微软雅黑" w:hAnsi="微软雅黑" w:eastAsia="微软雅黑" w:cs="Tahoma"/>
          <w:bCs/>
          <w:color w:val="auto"/>
          <w:kern w:val="36"/>
          <w:highlight w:val="none"/>
        </w:rPr>
      </w:pPr>
      <w:r>
        <w:rPr>
          <w:rFonts w:hint="eastAsia" w:ascii="微软雅黑" w:hAnsi="微软雅黑" w:eastAsia="微软雅黑" w:cs="Tahoma"/>
          <w:bCs/>
          <w:color w:val="auto"/>
          <w:kern w:val="36"/>
          <w:highlight w:val="none"/>
        </w:rPr>
        <w:t>单位：元</w:t>
      </w:r>
    </w:p>
    <w:tbl>
      <w:tblPr>
        <w:tblStyle w:val="58"/>
        <w:tblW w:w="931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2"/>
        <w:gridCol w:w="4604"/>
        <w:gridCol w:w="818"/>
        <w:gridCol w:w="723"/>
        <w:gridCol w:w="23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after="0" w:line="500" w:lineRule="exact"/>
              <w:jc w:val="center"/>
              <w:rPr>
                <w:rFonts w:ascii="微软雅黑" w:hAnsi="微软雅黑" w:eastAsia="微软雅黑"/>
                <w:color w:val="auto"/>
                <w:szCs w:val="21"/>
                <w:highlight w:val="none"/>
              </w:rPr>
            </w:pPr>
            <w:r>
              <w:rPr>
                <w:rFonts w:ascii="微软雅黑" w:hAnsi="微软雅黑" w:eastAsia="微软雅黑"/>
                <w:color w:val="auto"/>
                <w:szCs w:val="21"/>
                <w:highlight w:val="none"/>
              </w:rPr>
              <w:t>标段</w:t>
            </w:r>
          </w:p>
        </w:tc>
        <w:tc>
          <w:tcPr>
            <w:tcW w:w="4604" w:type="dxa"/>
            <w:tcBorders>
              <w:top w:val="single" w:color="auto" w:sz="4" w:space="0"/>
              <w:left w:val="single" w:color="auto" w:sz="4" w:space="0"/>
              <w:bottom w:val="single" w:color="auto" w:sz="4" w:space="0"/>
              <w:right w:val="single" w:color="auto" w:sz="4" w:space="0"/>
            </w:tcBorders>
            <w:vAlign w:val="center"/>
          </w:tcPr>
          <w:p>
            <w:pPr>
              <w:snapToGrid w:val="0"/>
              <w:spacing w:after="0" w:line="500" w:lineRule="exact"/>
              <w:ind w:left="420" w:leftChars="200"/>
              <w:jc w:val="center"/>
              <w:rPr>
                <w:rFonts w:ascii="微软雅黑" w:hAnsi="微软雅黑" w:eastAsia="微软雅黑"/>
                <w:color w:val="auto"/>
                <w:szCs w:val="21"/>
                <w:highlight w:val="none"/>
              </w:rPr>
            </w:pPr>
            <w:r>
              <w:rPr>
                <w:rFonts w:ascii="微软雅黑" w:hAnsi="微软雅黑" w:eastAsia="微软雅黑"/>
                <w:color w:val="auto"/>
                <w:szCs w:val="21"/>
                <w:highlight w:val="none"/>
              </w:rPr>
              <w:t>名称</w:t>
            </w:r>
          </w:p>
        </w:tc>
        <w:tc>
          <w:tcPr>
            <w:tcW w:w="81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spacing w:after="0" w:line="500" w:lineRule="exact"/>
              <w:rPr>
                <w:rFonts w:ascii="微软雅黑" w:hAnsi="微软雅黑" w:eastAsia="微软雅黑"/>
                <w:color w:val="auto"/>
                <w:szCs w:val="21"/>
                <w:highlight w:val="none"/>
              </w:rPr>
            </w:pPr>
            <w:r>
              <w:rPr>
                <w:rFonts w:ascii="微软雅黑" w:hAnsi="微软雅黑" w:eastAsia="微软雅黑"/>
                <w:color w:val="auto"/>
                <w:szCs w:val="21"/>
                <w:highlight w:val="none"/>
              </w:rPr>
              <w:t>数量</w:t>
            </w:r>
          </w:p>
        </w:tc>
        <w:tc>
          <w:tcPr>
            <w:tcW w:w="72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spacing w:after="0" w:line="500" w:lineRule="exact"/>
              <w:rPr>
                <w:rFonts w:ascii="微软雅黑" w:hAnsi="微软雅黑" w:eastAsia="微软雅黑"/>
                <w:color w:val="auto"/>
                <w:szCs w:val="21"/>
                <w:highlight w:val="none"/>
              </w:rPr>
            </w:pPr>
            <w:r>
              <w:rPr>
                <w:rFonts w:ascii="微软雅黑" w:hAnsi="微软雅黑" w:eastAsia="微软雅黑"/>
                <w:color w:val="auto"/>
                <w:szCs w:val="21"/>
                <w:highlight w:val="none"/>
              </w:rPr>
              <w:t>单位</w:t>
            </w:r>
          </w:p>
        </w:tc>
        <w:tc>
          <w:tcPr>
            <w:tcW w:w="238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spacing w:after="0" w:line="500" w:lineRule="exact"/>
              <w:ind w:leftChars="-129" w:hanging="270" w:hangingChars="129"/>
              <w:jc w:val="center"/>
              <w:rPr>
                <w:rFonts w:hint="eastAsia" w:ascii="微软雅黑" w:hAnsi="微软雅黑" w:eastAsia="微软雅黑"/>
                <w:color w:val="auto"/>
                <w:szCs w:val="21"/>
                <w:highlight w:val="none"/>
                <w:lang w:eastAsia="zh-CN"/>
              </w:rPr>
            </w:pPr>
            <w:r>
              <w:rPr>
                <w:rFonts w:ascii="微软雅黑" w:hAnsi="微软雅黑" w:eastAsia="微软雅黑"/>
                <w:color w:val="auto"/>
                <w:szCs w:val="21"/>
                <w:highlight w:val="none"/>
              </w:rPr>
              <w:t>投标</w:t>
            </w:r>
            <w:r>
              <w:rPr>
                <w:rFonts w:hint="eastAsia" w:ascii="微软雅黑" w:hAnsi="微软雅黑" w:eastAsia="微软雅黑"/>
                <w:color w:val="auto"/>
                <w:szCs w:val="21"/>
                <w:highlight w:val="none"/>
                <w:lang w:eastAsia="zh-CN"/>
              </w:rPr>
              <w:t>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782" w:type="dxa"/>
            <w:vMerge w:val="restart"/>
            <w:tcBorders>
              <w:top w:val="single" w:color="auto" w:sz="4" w:space="0"/>
              <w:left w:val="single" w:color="auto" w:sz="4" w:space="0"/>
              <w:right w:val="single" w:color="auto" w:sz="4" w:space="0"/>
            </w:tcBorders>
            <w:vAlign w:val="center"/>
          </w:tcPr>
          <w:p>
            <w:pPr>
              <w:snapToGrid w:val="0"/>
              <w:spacing w:after="0" w:line="500" w:lineRule="exact"/>
              <w:jc w:val="center"/>
              <w:rPr>
                <w:rFonts w:ascii="微软雅黑" w:hAnsi="微软雅黑" w:eastAsia="微软雅黑"/>
                <w:color w:val="auto"/>
                <w:szCs w:val="21"/>
                <w:highlight w:val="none"/>
              </w:rPr>
            </w:pPr>
            <w:r>
              <w:rPr>
                <w:rFonts w:ascii="微软雅黑" w:hAnsi="微软雅黑" w:eastAsia="微软雅黑"/>
                <w:color w:val="auto"/>
                <w:szCs w:val="21"/>
                <w:highlight w:val="none"/>
              </w:rPr>
              <w:t>1</w:t>
            </w:r>
          </w:p>
        </w:tc>
        <w:tc>
          <w:tcPr>
            <w:tcW w:w="4604" w:type="dxa"/>
            <w:tcBorders>
              <w:top w:val="single" w:color="auto" w:sz="4" w:space="0"/>
              <w:left w:val="single" w:color="auto" w:sz="4" w:space="0"/>
              <w:bottom w:val="single" w:color="auto" w:sz="4" w:space="0"/>
              <w:right w:val="single" w:color="auto" w:sz="4" w:space="0"/>
            </w:tcBorders>
            <w:vAlign w:val="center"/>
          </w:tcPr>
          <w:p>
            <w:pPr>
              <w:snapToGrid w:val="0"/>
              <w:spacing w:after="0" w:line="500" w:lineRule="exact"/>
              <w:jc w:val="left"/>
              <w:rPr>
                <w:rFonts w:hint="eastAsia" w:ascii="微软雅黑" w:hAnsi="微软雅黑" w:eastAsia="微软雅黑"/>
                <w:color w:val="auto"/>
                <w:spacing w:val="20"/>
                <w:szCs w:val="21"/>
                <w:highlight w:val="none"/>
                <w:lang w:eastAsia="zh-CN"/>
              </w:rPr>
            </w:pPr>
            <w:r>
              <w:rPr>
                <w:rFonts w:hint="eastAsia" w:ascii="微软雅黑" w:hAnsi="微软雅黑" w:eastAsia="微软雅黑"/>
                <w:color w:val="auto"/>
                <w:highlight w:val="none"/>
                <w:lang w:eastAsia="zh-CN"/>
              </w:rPr>
              <w:t>戏曲专场</w:t>
            </w:r>
          </w:p>
        </w:tc>
        <w:tc>
          <w:tcPr>
            <w:tcW w:w="81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spacing w:after="0" w:line="500" w:lineRule="exact"/>
              <w:ind w:firstLine="105" w:firstLineChars="50"/>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1</w:t>
            </w:r>
          </w:p>
        </w:tc>
        <w:tc>
          <w:tcPr>
            <w:tcW w:w="72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spacing w:after="0" w:line="500" w:lineRule="exact"/>
              <w:ind w:firstLine="105" w:firstLineChars="50"/>
              <w:jc w:val="center"/>
              <w:rPr>
                <w:rFonts w:hint="eastAsia" w:ascii="微软雅黑" w:hAnsi="微软雅黑" w:eastAsia="微软雅黑"/>
                <w:color w:val="auto"/>
                <w:szCs w:val="21"/>
                <w:highlight w:val="none"/>
                <w:lang w:eastAsia="zh-CN"/>
              </w:rPr>
            </w:pPr>
            <w:r>
              <w:rPr>
                <w:rFonts w:hint="eastAsia" w:ascii="微软雅黑" w:hAnsi="微软雅黑" w:eastAsia="微软雅黑"/>
                <w:color w:val="auto"/>
                <w:szCs w:val="21"/>
                <w:highlight w:val="none"/>
                <w:lang w:eastAsia="zh-CN"/>
              </w:rPr>
              <w:t>场</w:t>
            </w:r>
          </w:p>
        </w:tc>
        <w:tc>
          <w:tcPr>
            <w:tcW w:w="238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spacing w:after="0" w:line="500" w:lineRule="exact"/>
              <w:jc w:val="center"/>
              <w:rPr>
                <w:rFonts w:ascii="微软雅黑" w:hAnsi="微软雅黑" w:eastAsia="微软雅黑"/>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782" w:type="dxa"/>
            <w:vMerge w:val="continue"/>
            <w:tcBorders>
              <w:left w:val="single" w:color="auto" w:sz="4" w:space="0"/>
              <w:bottom w:val="single" w:color="auto" w:sz="4" w:space="0"/>
              <w:right w:val="single" w:color="auto" w:sz="4" w:space="0"/>
            </w:tcBorders>
            <w:vAlign w:val="center"/>
          </w:tcPr>
          <w:p>
            <w:pPr>
              <w:snapToGrid w:val="0"/>
              <w:spacing w:after="0" w:line="500" w:lineRule="exact"/>
              <w:jc w:val="center"/>
              <w:rPr>
                <w:rFonts w:ascii="微软雅黑" w:hAnsi="微软雅黑" w:eastAsia="微软雅黑"/>
                <w:color w:val="auto"/>
                <w:szCs w:val="21"/>
                <w:highlight w:val="none"/>
              </w:rPr>
            </w:pPr>
          </w:p>
        </w:tc>
        <w:tc>
          <w:tcPr>
            <w:tcW w:w="4604" w:type="dxa"/>
            <w:tcBorders>
              <w:top w:val="single" w:color="auto" w:sz="4" w:space="0"/>
              <w:left w:val="single" w:color="auto" w:sz="4" w:space="0"/>
              <w:bottom w:val="single" w:color="auto" w:sz="4" w:space="0"/>
              <w:right w:val="single" w:color="auto" w:sz="4" w:space="0"/>
            </w:tcBorders>
            <w:vAlign w:val="center"/>
          </w:tcPr>
          <w:p>
            <w:pPr>
              <w:snapToGrid w:val="0"/>
              <w:spacing w:after="0" w:line="500" w:lineRule="exact"/>
              <w:jc w:val="left"/>
              <w:rPr>
                <w:rFonts w:hint="eastAsia" w:ascii="微软雅黑" w:hAnsi="微软雅黑" w:eastAsia="微软雅黑"/>
                <w:color w:val="auto"/>
                <w:highlight w:val="none"/>
                <w:lang w:eastAsia="zh-CN"/>
              </w:rPr>
            </w:pPr>
            <w:r>
              <w:rPr>
                <w:rFonts w:hint="eastAsia" w:ascii="微软雅黑" w:hAnsi="微软雅黑" w:eastAsia="微软雅黑"/>
                <w:color w:val="auto"/>
                <w:highlight w:val="none"/>
                <w:lang w:eastAsia="zh-CN"/>
              </w:rPr>
              <w:t>综合型专场</w:t>
            </w:r>
          </w:p>
        </w:tc>
        <w:tc>
          <w:tcPr>
            <w:tcW w:w="81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spacing w:after="0" w:line="500" w:lineRule="exact"/>
              <w:ind w:firstLine="105" w:firstLineChars="50"/>
              <w:jc w:val="center"/>
              <w:rPr>
                <w:rFonts w:hint="eastAsia" w:ascii="微软雅黑" w:hAnsi="微软雅黑" w:eastAsia="微软雅黑" w:cs="Times New Roman"/>
                <w:color w:val="auto"/>
                <w:kern w:val="2"/>
                <w:sz w:val="21"/>
                <w:szCs w:val="21"/>
                <w:highlight w:val="none"/>
                <w:lang w:val="en-US" w:eastAsia="zh-CN" w:bidi="ar-SA"/>
              </w:rPr>
            </w:pPr>
            <w:r>
              <w:rPr>
                <w:rFonts w:hint="eastAsia" w:ascii="微软雅黑" w:hAnsi="微软雅黑" w:eastAsia="微软雅黑"/>
                <w:color w:val="auto"/>
                <w:szCs w:val="21"/>
                <w:highlight w:val="none"/>
              </w:rPr>
              <w:t>1</w:t>
            </w:r>
          </w:p>
        </w:tc>
        <w:tc>
          <w:tcPr>
            <w:tcW w:w="72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spacing w:after="0" w:line="500" w:lineRule="exact"/>
              <w:ind w:firstLine="105" w:firstLineChars="50"/>
              <w:jc w:val="center"/>
              <w:rPr>
                <w:rFonts w:hint="eastAsia" w:ascii="微软雅黑" w:hAnsi="微软雅黑" w:eastAsia="微软雅黑" w:cs="Times New Roman"/>
                <w:color w:val="auto"/>
                <w:kern w:val="2"/>
                <w:sz w:val="21"/>
                <w:szCs w:val="21"/>
                <w:highlight w:val="none"/>
                <w:lang w:val="en-US" w:eastAsia="zh-CN" w:bidi="ar-SA"/>
              </w:rPr>
            </w:pPr>
            <w:r>
              <w:rPr>
                <w:rFonts w:hint="eastAsia" w:ascii="微软雅黑" w:hAnsi="微软雅黑" w:eastAsia="微软雅黑"/>
                <w:color w:val="auto"/>
                <w:szCs w:val="21"/>
                <w:highlight w:val="none"/>
                <w:lang w:eastAsia="zh-CN"/>
              </w:rPr>
              <w:t>场</w:t>
            </w:r>
          </w:p>
        </w:tc>
        <w:tc>
          <w:tcPr>
            <w:tcW w:w="238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spacing w:after="0" w:line="500" w:lineRule="exact"/>
              <w:jc w:val="center"/>
              <w:rPr>
                <w:rFonts w:ascii="微软雅黑" w:hAnsi="微软雅黑" w:eastAsia="微软雅黑"/>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9310" w:type="dxa"/>
            <w:gridSpan w:val="5"/>
            <w:tcBorders>
              <w:top w:val="single" w:color="auto" w:sz="4" w:space="0"/>
              <w:left w:val="single" w:color="auto" w:sz="4" w:space="0"/>
              <w:bottom w:val="single" w:color="auto" w:sz="4" w:space="0"/>
              <w:right w:val="single" w:color="auto" w:sz="4" w:space="0"/>
            </w:tcBorders>
            <w:vAlign w:val="center"/>
          </w:tcPr>
          <w:p>
            <w:pPr>
              <w:snapToGrid w:val="0"/>
              <w:spacing w:after="0" w:line="500" w:lineRule="exact"/>
              <w:ind w:left="420" w:leftChars="200"/>
              <w:jc w:val="left"/>
              <w:rPr>
                <w:rFonts w:ascii="微软雅黑" w:hAnsi="微软雅黑" w:eastAsia="微软雅黑"/>
                <w:color w:val="auto"/>
                <w:szCs w:val="21"/>
                <w:highlight w:val="none"/>
              </w:rPr>
            </w:pPr>
            <w:r>
              <w:rPr>
                <w:rFonts w:ascii="微软雅黑" w:hAnsi="微软雅黑" w:eastAsia="微软雅黑"/>
                <w:color w:val="auto"/>
                <w:szCs w:val="21"/>
                <w:highlight w:val="none"/>
              </w:rPr>
              <w:t>合计：大写：</w:t>
            </w:r>
            <w:r>
              <w:rPr>
                <w:rFonts w:hint="eastAsia" w:ascii="微软雅黑" w:hAnsi="微软雅黑" w:eastAsia="微软雅黑"/>
                <w:color w:val="auto"/>
                <w:szCs w:val="21"/>
                <w:highlight w:val="none"/>
              </w:rPr>
              <w:t xml:space="preserve"> </w:t>
            </w:r>
            <w:r>
              <w:rPr>
                <w:rFonts w:ascii="微软雅黑" w:hAnsi="微软雅黑" w:eastAsia="微软雅黑"/>
                <w:color w:val="auto"/>
                <w:szCs w:val="21"/>
                <w:highlight w:val="none"/>
              </w:rPr>
              <w:t xml:space="preserve">                                 小写：</w:t>
            </w:r>
          </w:p>
        </w:tc>
      </w:tr>
    </w:tbl>
    <w:p>
      <w:pPr>
        <w:spacing w:line="360" w:lineRule="auto"/>
        <w:rPr>
          <w:rFonts w:ascii="微软雅黑" w:hAnsi="微软雅黑" w:eastAsia="微软雅黑" w:cs="Tahoma"/>
          <w:bCs/>
          <w:color w:val="auto"/>
          <w:kern w:val="36"/>
          <w:highlight w:val="none"/>
        </w:rPr>
      </w:pPr>
    </w:p>
    <w:p>
      <w:pPr>
        <w:pStyle w:val="34"/>
        <w:snapToGrid w:val="0"/>
        <w:spacing w:line="360" w:lineRule="auto"/>
        <w:rPr>
          <w:rFonts w:ascii="微软雅黑" w:hAnsi="微软雅黑" w:eastAsia="微软雅黑"/>
          <w:color w:val="auto"/>
          <w:szCs w:val="21"/>
          <w:highlight w:val="none"/>
        </w:rPr>
      </w:pPr>
      <w:r>
        <w:rPr>
          <w:rFonts w:ascii="微软雅黑" w:hAnsi="微软雅黑" w:eastAsia="微软雅黑"/>
          <w:color w:val="auto"/>
          <w:szCs w:val="21"/>
          <w:highlight w:val="none"/>
        </w:rPr>
        <w:t>1、报价一经涂改，应在涂改处加盖单位公章或者由法定代表人或授权委托人签字或盖章，否则其投标作无效标处理。</w:t>
      </w:r>
    </w:p>
    <w:p>
      <w:pPr>
        <w:pStyle w:val="34"/>
        <w:snapToGrid w:val="0"/>
        <w:spacing w:line="360" w:lineRule="auto"/>
        <w:rPr>
          <w:rFonts w:ascii="微软雅黑" w:hAnsi="微软雅黑" w:eastAsia="微软雅黑"/>
          <w:color w:val="auto"/>
          <w:szCs w:val="21"/>
          <w:highlight w:val="none"/>
        </w:rPr>
      </w:pPr>
      <w:r>
        <w:rPr>
          <w:rFonts w:ascii="微软雅黑" w:hAnsi="微软雅黑" w:eastAsia="微软雅黑"/>
          <w:color w:val="auto"/>
          <w:szCs w:val="21"/>
          <w:highlight w:val="none"/>
        </w:rPr>
        <w:t>▲</w:t>
      </w:r>
      <w:r>
        <w:rPr>
          <w:rFonts w:hint="eastAsia" w:ascii="微软雅黑" w:hAnsi="微软雅黑" w:eastAsia="微软雅黑"/>
          <w:color w:val="auto"/>
          <w:szCs w:val="21"/>
          <w:highlight w:val="none"/>
        </w:rPr>
        <w:t>2</w:t>
      </w:r>
      <w:r>
        <w:rPr>
          <w:rFonts w:ascii="微软雅黑" w:hAnsi="微软雅黑" w:eastAsia="微软雅黑"/>
          <w:color w:val="auto"/>
          <w:szCs w:val="21"/>
          <w:highlight w:val="none"/>
        </w:rPr>
        <w:t>、以上报价不得超过上限价，任何超过上限价的报价均导致投标被否决。</w:t>
      </w:r>
    </w:p>
    <w:p>
      <w:pPr>
        <w:adjustRightInd w:val="0"/>
        <w:spacing w:line="360" w:lineRule="auto"/>
        <w:ind w:firstLine="105" w:firstLineChars="5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3、报价</w:t>
      </w:r>
      <w:r>
        <w:rPr>
          <w:rFonts w:ascii="微软雅黑" w:hAnsi="微软雅黑" w:eastAsia="微软雅黑"/>
          <w:color w:val="auto"/>
          <w:szCs w:val="21"/>
          <w:highlight w:val="none"/>
        </w:rPr>
        <w:t>包括</w:t>
      </w:r>
      <w:r>
        <w:rPr>
          <w:rFonts w:hint="eastAsia" w:ascii="微软雅黑" w:hAnsi="微软雅黑" w:eastAsia="微软雅黑"/>
          <w:color w:val="auto"/>
          <w:szCs w:val="21"/>
          <w:highlight w:val="none"/>
        </w:rPr>
        <w:t>为完成本项目所需的</w:t>
      </w:r>
      <w:r>
        <w:rPr>
          <w:rFonts w:ascii="微软雅黑" w:hAnsi="微软雅黑" w:eastAsia="微软雅黑"/>
          <w:color w:val="auto"/>
          <w:szCs w:val="21"/>
          <w:highlight w:val="none"/>
        </w:rPr>
        <w:t>全部费用。</w:t>
      </w:r>
    </w:p>
    <w:p>
      <w:pPr>
        <w:pStyle w:val="34"/>
        <w:snapToGrid w:val="0"/>
        <w:spacing w:line="360" w:lineRule="auto"/>
        <w:rPr>
          <w:rFonts w:ascii="微软雅黑" w:hAnsi="微软雅黑" w:eastAsia="微软雅黑"/>
          <w:color w:val="auto"/>
          <w:szCs w:val="21"/>
          <w:highlight w:val="none"/>
        </w:rPr>
      </w:pPr>
    </w:p>
    <w:p>
      <w:pPr>
        <w:rPr>
          <w:rFonts w:hint="eastAsia" w:ascii="微软雅黑" w:hAnsi="微软雅黑" w:eastAsia="微软雅黑" w:cs="微软雅黑"/>
          <w:color w:val="auto"/>
          <w:szCs w:val="21"/>
          <w:highlight w:val="none"/>
          <w:shd w:val="clear" w:color="auto" w:fill="FFFFFF"/>
        </w:rPr>
        <w:sectPr>
          <w:pgSz w:w="11906" w:h="16838"/>
          <w:pgMar w:top="1440" w:right="1559" w:bottom="1440" w:left="1797" w:header="851" w:footer="851" w:gutter="0"/>
          <w:cols w:space="720" w:num="1"/>
        </w:sectPr>
      </w:pPr>
      <w:r>
        <w:rPr>
          <w:rFonts w:hint="eastAsia" w:ascii="微软雅黑" w:hAnsi="微软雅黑" w:eastAsia="微软雅黑" w:cs="微软雅黑"/>
          <w:color w:val="auto"/>
          <w:szCs w:val="21"/>
          <w:highlight w:val="none"/>
          <w:shd w:val="clear" w:color="auto" w:fill="FFFFFF"/>
        </w:rPr>
        <w:t>投标人名称：（盖章）</w:t>
      </w:r>
      <w:r>
        <w:rPr>
          <w:rFonts w:hint="eastAsia" w:ascii="微软雅黑" w:hAnsi="微软雅黑" w:eastAsia="微软雅黑" w:cs="微软雅黑"/>
          <w:color w:val="auto"/>
          <w:szCs w:val="21"/>
          <w:highlight w:val="none"/>
        </w:rPr>
        <w:br w:type="textWrapping"/>
      </w:r>
      <w:r>
        <w:rPr>
          <w:rFonts w:hint="eastAsia" w:ascii="微软雅黑" w:hAnsi="微软雅黑" w:eastAsia="微软雅黑" w:cs="微软雅黑"/>
          <w:color w:val="auto"/>
          <w:szCs w:val="21"/>
          <w:highlight w:val="none"/>
          <w:shd w:val="clear" w:color="auto" w:fill="FFFFFF"/>
        </w:rPr>
        <w:t>法定代表人或</w:t>
      </w:r>
      <w:r>
        <w:rPr>
          <w:rFonts w:hint="eastAsia" w:ascii="微软雅黑" w:hAnsi="微软雅黑" w:eastAsia="微软雅黑" w:cs="微软雅黑"/>
          <w:color w:val="auto"/>
          <w:szCs w:val="21"/>
          <w:highlight w:val="none"/>
        </w:rPr>
        <w:t>被授权人</w:t>
      </w:r>
      <w:r>
        <w:rPr>
          <w:rFonts w:hint="eastAsia" w:ascii="微软雅黑" w:hAnsi="微软雅黑" w:eastAsia="微软雅黑" w:cs="微软雅黑"/>
          <w:color w:val="auto"/>
          <w:szCs w:val="21"/>
          <w:highlight w:val="none"/>
          <w:shd w:val="clear" w:color="auto" w:fill="FFFFFF"/>
        </w:rPr>
        <w:t>（签字或盖章）：</w:t>
      </w:r>
      <w:r>
        <w:rPr>
          <w:rFonts w:hint="eastAsia" w:ascii="微软雅黑" w:hAnsi="微软雅黑" w:eastAsia="微软雅黑" w:cs="微软雅黑"/>
          <w:color w:val="auto"/>
          <w:szCs w:val="21"/>
          <w:highlight w:val="none"/>
        </w:rPr>
        <w:br w:type="textWrapping"/>
      </w:r>
      <w:r>
        <w:rPr>
          <w:rFonts w:hint="eastAsia" w:ascii="微软雅黑" w:hAnsi="微软雅黑" w:eastAsia="微软雅黑" w:cs="微软雅黑"/>
          <w:color w:val="auto"/>
          <w:szCs w:val="21"/>
          <w:highlight w:val="none"/>
          <w:shd w:val="clear" w:color="auto" w:fill="FFFFFF"/>
        </w:rPr>
        <w:t>投标日期：  年  月  日</w:t>
      </w:r>
    </w:p>
    <w:p>
      <w:pPr>
        <w:snapToGrid w:val="0"/>
        <w:spacing w:line="360" w:lineRule="auto"/>
        <w:jc w:val="center"/>
        <w:rPr>
          <w:rFonts w:hint="eastAsia" w:ascii="微软雅黑" w:hAnsi="微软雅黑" w:eastAsia="微软雅黑" w:cs="Tahoma"/>
          <w:b/>
          <w:bCs/>
          <w:color w:val="auto"/>
          <w:kern w:val="36"/>
          <w:sz w:val="32"/>
          <w:szCs w:val="32"/>
          <w:highlight w:val="none"/>
          <w:lang w:eastAsia="zh-CN"/>
        </w:rPr>
      </w:pPr>
      <w:r>
        <w:rPr>
          <w:rFonts w:ascii="微软雅黑" w:hAnsi="微软雅黑" w:eastAsia="微软雅黑"/>
          <w:color w:val="auto"/>
          <w:szCs w:val="21"/>
          <w:highlight w:val="none"/>
        </w:rPr>
        <w:t>开标一览表</w:t>
      </w:r>
      <w:r>
        <w:rPr>
          <w:rFonts w:hint="eastAsia" w:ascii="微软雅黑" w:hAnsi="微软雅黑" w:eastAsia="微软雅黑"/>
          <w:color w:val="auto"/>
          <w:szCs w:val="21"/>
          <w:highlight w:val="none"/>
          <w:lang w:eastAsia="zh-CN"/>
        </w:rPr>
        <w:t>（四标段）</w:t>
      </w:r>
    </w:p>
    <w:p>
      <w:pPr>
        <w:spacing w:line="360" w:lineRule="auto"/>
        <w:rPr>
          <w:rFonts w:hint="eastAsia" w:ascii="微软雅黑" w:hAnsi="微软雅黑" w:eastAsia="微软雅黑" w:cs="Tahoma"/>
          <w:bCs/>
          <w:color w:val="auto"/>
          <w:kern w:val="36"/>
          <w:highlight w:val="none"/>
          <w:lang w:eastAsia="zh-CN"/>
        </w:rPr>
      </w:pPr>
      <w:r>
        <w:rPr>
          <w:rFonts w:hint="eastAsia" w:ascii="微软雅黑" w:hAnsi="微软雅黑" w:eastAsia="微软雅黑" w:cs="Tahoma"/>
          <w:bCs/>
          <w:color w:val="auto"/>
          <w:kern w:val="36"/>
          <w:highlight w:val="none"/>
        </w:rPr>
        <w:t>项目名称：</w:t>
      </w:r>
      <w:r>
        <w:rPr>
          <w:rFonts w:hint="eastAsia" w:ascii="微软雅黑" w:hAnsi="微软雅黑" w:eastAsia="微软雅黑"/>
          <w:color w:val="auto"/>
          <w:highlight w:val="none"/>
          <w:lang w:eastAsia="zh-CN"/>
        </w:rPr>
        <w:t>嘉兴市秀洲区文化和旅游局送戏下乡服务采购项目</w:t>
      </w:r>
    </w:p>
    <w:p>
      <w:pPr>
        <w:spacing w:line="360" w:lineRule="auto"/>
        <w:rPr>
          <w:rFonts w:ascii="微软雅黑" w:hAnsi="微软雅黑" w:eastAsia="微软雅黑" w:cs="Tahoma"/>
          <w:bCs/>
          <w:color w:val="auto"/>
          <w:kern w:val="36"/>
          <w:highlight w:val="none"/>
        </w:rPr>
      </w:pPr>
      <w:r>
        <w:rPr>
          <w:rFonts w:hint="eastAsia" w:ascii="微软雅黑" w:hAnsi="微软雅黑" w:eastAsia="微软雅黑" w:cs="Tahoma"/>
          <w:bCs/>
          <w:color w:val="auto"/>
          <w:kern w:val="36"/>
          <w:highlight w:val="none"/>
        </w:rPr>
        <w:t>单位：元</w:t>
      </w:r>
    </w:p>
    <w:tbl>
      <w:tblPr>
        <w:tblStyle w:val="58"/>
        <w:tblW w:w="931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2"/>
        <w:gridCol w:w="4604"/>
        <w:gridCol w:w="818"/>
        <w:gridCol w:w="723"/>
        <w:gridCol w:w="23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after="0" w:line="500" w:lineRule="exact"/>
              <w:jc w:val="center"/>
              <w:rPr>
                <w:rFonts w:ascii="微软雅黑" w:hAnsi="微软雅黑" w:eastAsia="微软雅黑"/>
                <w:color w:val="auto"/>
                <w:szCs w:val="21"/>
                <w:highlight w:val="none"/>
              </w:rPr>
            </w:pPr>
            <w:r>
              <w:rPr>
                <w:rFonts w:ascii="微软雅黑" w:hAnsi="微软雅黑" w:eastAsia="微软雅黑"/>
                <w:color w:val="auto"/>
                <w:szCs w:val="21"/>
                <w:highlight w:val="none"/>
              </w:rPr>
              <w:t>标段</w:t>
            </w:r>
          </w:p>
        </w:tc>
        <w:tc>
          <w:tcPr>
            <w:tcW w:w="4604" w:type="dxa"/>
            <w:tcBorders>
              <w:top w:val="single" w:color="auto" w:sz="4" w:space="0"/>
              <w:left w:val="single" w:color="auto" w:sz="4" w:space="0"/>
              <w:bottom w:val="single" w:color="auto" w:sz="4" w:space="0"/>
              <w:right w:val="single" w:color="auto" w:sz="4" w:space="0"/>
            </w:tcBorders>
            <w:vAlign w:val="center"/>
          </w:tcPr>
          <w:p>
            <w:pPr>
              <w:snapToGrid w:val="0"/>
              <w:spacing w:after="0" w:line="500" w:lineRule="exact"/>
              <w:ind w:left="420" w:leftChars="200"/>
              <w:jc w:val="center"/>
              <w:rPr>
                <w:rFonts w:ascii="微软雅黑" w:hAnsi="微软雅黑" w:eastAsia="微软雅黑"/>
                <w:color w:val="auto"/>
                <w:szCs w:val="21"/>
                <w:highlight w:val="none"/>
              </w:rPr>
            </w:pPr>
            <w:r>
              <w:rPr>
                <w:rFonts w:ascii="微软雅黑" w:hAnsi="微软雅黑" w:eastAsia="微软雅黑"/>
                <w:color w:val="auto"/>
                <w:szCs w:val="21"/>
                <w:highlight w:val="none"/>
              </w:rPr>
              <w:t>名称</w:t>
            </w:r>
          </w:p>
        </w:tc>
        <w:tc>
          <w:tcPr>
            <w:tcW w:w="81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spacing w:after="0" w:line="500" w:lineRule="exact"/>
              <w:rPr>
                <w:rFonts w:ascii="微软雅黑" w:hAnsi="微软雅黑" w:eastAsia="微软雅黑"/>
                <w:color w:val="auto"/>
                <w:szCs w:val="21"/>
                <w:highlight w:val="none"/>
              </w:rPr>
            </w:pPr>
            <w:r>
              <w:rPr>
                <w:rFonts w:ascii="微软雅黑" w:hAnsi="微软雅黑" w:eastAsia="微软雅黑"/>
                <w:color w:val="auto"/>
                <w:szCs w:val="21"/>
                <w:highlight w:val="none"/>
              </w:rPr>
              <w:t>数量</w:t>
            </w:r>
          </w:p>
        </w:tc>
        <w:tc>
          <w:tcPr>
            <w:tcW w:w="72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spacing w:after="0" w:line="500" w:lineRule="exact"/>
              <w:rPr>
                <w:rFonts w:ascii="微软雅黑" w:hAnsi="微软雅黑" w:eastAsia="微软雅黑"/>
                <w:color w:val="auto"/>
                <w:szCs w:val="21"/>
                <w:highlight w:val="none"/>
              </w:rPr>
            </w:pPr>
            <w:r>
              <w:rPr>
                <w:rFonts w:ascii="微软雅黑" w:hAnsi="微软雅黑" w:eastAsia="微软雅黑"/>
                <w:color w:val="auto"/>
                <w:szCs w:val="21"/>
                <w:highlight w:val="none"/>
              </w:rPr>
              <w:t>单位</w:t>
            </w:r>
          </w:p>
        </w:tc>
        <w:tc>
          <w:tcPr>
            <w:tcW w:w="238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spacing w:after="0" w:line="500" w:lineRule="exact"/>
              <w:ind w:leftChars="-129" w:hanging="270" w:hangingChars="129"/>
              <w:jc w:val="center"/>
              <w:rPr>
                <w:rFonts w:hint="eastAsia" w:ascii="微软雅黑" w:hAnsi="微软雅黑" w:eastAsia="微软雅黑"/>
                <w:color w:val="auto"/>
                <w:szCs w:val="21"/>
                <w:highlight w:val="none"/>
                <w:lang w:eastAsia="zh-CN"/>
              </w:rPr>
            </w:pPr>
            <w:r>
              <w:rPr>
                <w:rFonts w:ascii="微软雅黑" w:hAnsi="微软雅黑" w:eastAsia="微软雅黑"/>
                <w:color w:val="auto"/>
                <w:szCs w:val="21"/>
                <w:highlight w:val="none"/>
              </w:rPr>
              <w:t>投标</w:t>
            </w:r>
            <w:r>
              <w:rPr>
                <w:rFonts w:hint="eastAsia" w:ascii="微软雅黑" w:hAnsi="微软雅黑" w:eastAsia="微软雅黑"/>
                <w:color w:val="auto"/>
                <w:szCs w:val="21"/>
                <w:highlight w:val="none"/>
                <w:lang w:eastAsia="zh-CN"/>
              </w:rPr>
              <w:t>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782" w:type="dxa"/>
            <w:vMerge w:val="restart"/>
            <w:tcBorders>
              <w:top w:val="single" w:color="auto" w:sz="4" w:space="0"/>
              <w:left w:val="single" w:color="auto" w:sz="4" w:space="0"/>
              <w:right w:val="single" w:color="auto" w:sz="4" w:space="0"/>
            </w:tcBorders>
            <w:vAlign w:val="center"/>
          </w:tcPr>
          <w:p>
            <w:pPr>
              <w:snapToGrid w:val="0"/>
              <w:spacing w:after="0" w:line="500" w:lineRule="exact"/>
              <w:jc w:val="center"/>
              <w:rPr>
                <w:rFonts w:ascii="微软雅黑" w:hAnsi="微软雅黑" w:eastAsia="微软雅黑"/>
                <w:color w:val="auto"/>
                <w:szCs w:val="21"/>
                <w:highlight w:val="none"/>
              </w:rPr>
            </w:pPr>
            <w:r>
              <w:rPr>
                <w:rFonts w:ascii="微软雅黑" w:hAnsi="微软雅黑" w:eastAsia="微软雅黑"/>
                <w:color w:val="auto"/>
                <w:szCs w:val="21"/>
                <w:highlight w:val="none"/>
              </w:rPr>
              <w:t>1</w:t>
            </w:r>
          </w:p>
        </w:tc>
        <w:tc>
          <w:tcPr>
            <w:tcW w:w="4604" w:type="dxa"/>
            <w:tcBorders>
              <w:top w:val="single" w:color="auto" w:sz="4" w:space="0"/>
              <w:left w:val="single" w:color="auto" w:sz="4" w:space="0"/>
              <w:bottom w:val="single" w:color="auto" w:sz="4" w:space="0"/>
              <w:right w:val="single" w:color="auto" w:sz="4" w:space="0"/>
            </w:tcBorders>
            <w:vAlign w:val="center"/>
          </w:tcPr>
          <w:p>
            <w:pPr>
              <w:snapToGrid w:val="0"/>
              <w:spacing w:after="0" w:line="500" w:lineRule="exact"/>
              <w:jc w:val="left"/>
              <w:rPr>
                <w:rFonts w:hint="eastAsia" w:ascii="微软雅黑" w:hAnsi="微软雅黑" w:eastAsia="微软雅黑"/>
                <w:color w:val="auto"/>
                <w:spacing w:val="20"/>
                <w:szCs w:val="21"/>
                <w:highlight w:val="none"/>
                <w:lang w:eastAsia="zh-CN"/>
              </w:rPr>
            </w:pPr>
            <w:r>
              <w:rPr>
                <w:rFonts w:hint="eastAsia" w:ascii="微软雅黑" w:hAnsi="微软雅黑" w:eastAsia="微软雅黑"/>
                <w:color w:val="auto"/>
                <w:highlight w:val="none"/>
                <w:lang w:eastAsia="zh-CN"/>
              </w:rPr>
              <w:t>戏曲专场</w:t>
            </w:r>
          </w:p>
        </w:tc>
        <w:tc>
          <w:tcPr>
            <w:tcW w:w="81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spacing w:after="0" w:line="500" w:lineRule="exact"/>
              <w:ind w:firstLine="105" w:firstLineChars="50"/>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1</w:t>
            </w:r>
          </w:p>
        </w:tc>
        <w:tc>
          <w:tcPr>
            <w:tcW w:w="72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spacing w:after="0" w:line="500" w:lineRule="exact"/>
              <w:ind w:firstLine="105" w:firstLineChars="50"/>
              <w:jc w:val="center"/>
              <w:rPr>
                <w:rFonts w:hint="eastAsia" w:ascii="微软雅黑" w:hAnsi="微软雅黑" w:eastAsia="微软雅黑"/>
                <w:color w:val="auto"/>
                <w:szCs w:val="21"/>
                <w:highlight w:val="none"/>
                <w:lang w:eastAsia="zh-CN"/>
              </w:rPr>
            </w:pPr>
            <w:r>
              <w:rPr>
                <w:rFonts w:hint="eastAsia" w:ascii="微软雅黑" w:hAnsi="微软雅黑" w:eastAsia="微软雅黑"/>
                <w:color w:val="auto"/>
                <w:szCs w:val="21"/>
                <w:highlight w:val="none"/>
                <w:lang w:eastAsia="zh-CN"/>
              </w:rPr>
              <w:t>场</w:t>
            </w:r>
          </w:p>
        </w:tc>
        <w:tc>
          <w:tcPr>
            <w:tcW w:w="238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spacing w:after="0" w:line="500" w:lineRule="exact"/>
              <w:jc w:val="center"/>
              <w:rPr>
                <w:rFonts w:ascii="微软雅黑" w:hAnsi="微软雅黑" w:eastAsia="微软雅黑"/>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782" w:type="dxa"/>
            <w:vMerge w:val="continue"/>
            <w:tcBorders>
              <w:left w:val="single" w:color="auto" w:sz="4" w:space="0"/>
              <w:bottom w:val="single" w:color="auto" w:sz="4" w:space="0"/>
              <w:right w:val="single" w:color="auto" w:sz="4" w:space="0"/>
            </w:tcBorders>
            <w:vAlign w:val="center"/>
          </w:tcPr>
          <w:p>
            <w:pPr>
              <w:snapToGrid w:val="0"/>
              <w:spacing w:after="0" w:line="500" w:lineRule="exact"/>
              <w:jc w:val="center"/>
              <w:rPr>
                <w:rFonts w:ascii="微软雅黑" w:hAnsi="微软雅黑" w:eastAsia="微软雅黑"/>
                <w:color w:val="auto"/>
                <w:szCs w:val="21"/>
                <w:highlight w:val="none"/>
              </w:rPr>
            </w:pPr>
          </w:p>
        </w:tc>
        <w:tc>
          <w:tcPr>
            <w:tcW w:w="4604" w:type="dxa"/>
            <w:tcBorders>
              <w:top w:val="single" w:color="auto" w:sz="4" w:space="0"/>
              <w:left w:val="single" w:color="auto" w:sz="4" w:space="0"/>
              <w:bottom w:val="single" w:color="auto" w:sz="4" w:space="0"/>
              <w:right w:val="single" w:color="auto" w:sz="4" w:space="0"/>
            </w:tcBorders>
            <w:vAlign w:val="center"/>
          </w:tcPr>
          <w:p>
            <w:pPr>
              <w:snapToGrid w:val="0"/>
              <w:spacing w:after="0" w:line="500" w:lineRule="exact"/>
              <w:jc w:val="left"/>
              <w:rPr>
                <w:rFonts w:hint="eastAsia" w:ascii="微软雅黑" w:hAnsi="微软雅黑" w:eastAsia="微软雅黑"/>
                <w:color w:val="auto"/>
                <w:highlight w:val="none"/>
                <w:lang w:eastAsia="zh-CN"/>
              </w:rPr>
            </w:pPr>
            <w:r>
              <w:rPr>
                <w:rFonts w:hint="eastAsia" w:ascii="微软雅黑" w:hAnsi="微软雅黑" w:eastAsia="微软雅黑"/>
                <w:color w:val="auto"/>
                <w:highlight w:val="none"/>
                <w:lang w:eastAsia="zh-CN"/>
              </w:rPr>
              <w:t>综合型专场</w:t>
            </w:r>
          </w:p>
        </w:tc>
        <w:tc>
          <w:tcPr>
            <w:tcW w:w="81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spacing w:after="0" w:line="500" w:lineRule="exact"/>
              <w:ind w:firstLine="105" w:firstLineChars="50"/>
              <w:jc w:val="center"/>
              <w:rPr>
                <w:rFonts w:hint="eastAsia" w:ascii="微软雅黑" w:hAnsi="微软雅黑" w:eastAsia="微软雅黑" w:cs="Times New Roman"/>
                <w:color w:val="auto"/>
                <w:kern w:val="2"/>
                <w:sz w:val="21"/>
                <w:szCs w:val="21"/>
                <w:highlight w:val="none"/>
                <w:lang w:val="en-US" w:eastAsia="zh-CN" w:bidi="ar-SA"/>
              </w:rPr>
            </w:pPr>
            <w:r>
              <w:rPr>
                <w:rFonts w:hint="eastAsia" w:ascii="微软雅黑" w:hAnsi="微软雅黑" w:eastAsia="微软雅黑"/>
                <w:color w:val="auto"/>
                <w:szCs w:val="21"/>
                <w:highlight w:val="none"/>
              </w:rPr>
              <w:t>1</w:t>
            </w:r>
          </w:p>
        </w:tc>
        <w:tc>
          <w:tcPr>
            <w:tcW w:w="72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spacing w:after="0" w:line="500" w:lineRule="exact"/>
              <w:ind w:firstLine="105" w:firstLineChars="50"/>
              <w:jc w:val="center"/>
              <w:rPr>
                <w:rFonts w:hint="eastAsia" w:ascii="微软雅黑" w:hAnsi="微软雅黑" w:eastAsia="微软雅黑" w:cs="Times New Roman"/>
                <w:color w:val="auto"/>
                <w:kern w:val="2"/>
                <w:sz w:val="21"/>
                <w:szCs w:val="21"/>
                <w:highlight w:val="none"/>
                <w:lang w:val="en-US" w:eastAsia="zh-CN" w:bidi="ar-SA"/>
              </w:rPr>
            </w:pPr>
            <w:r>
              <w:rPr>
                <w:rFonts w:hint="eastAsia" w:ascii="微软雅黑" w:hAnsi="微软雅黑" w:eastAsia="微软雅黑"/>
                <w:color w:val="auto"/>
                <w:szCs w:val="21"/>
                <w:highlight w:val="none"/>
                <w:lang w:eastAsia="zh-CN"/>
              </w:rPr>
              <w:t>场</w:t>
            </w:r>
          </w:p>
        </w:tc>
        <w:tc>
          <w:tcPr>
            <w:tcW w:w="238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spacing w:after="0" w:line="500" w:lineRule="exact"/>
              <w:jc w:val="center"/>
              <w:rPr>
                <w:rFonts w:ascii="微软雅黑" w:hAnsi="微软雅黑" w:eastAsia="微软雅黑"/>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9310" w:type="dxa"/>
            <w:gridSpan w:val="5"/>
            <w:tcBorders>
              <w:top w:val="single" w:color="auto" w:sz="4" w:space="0"/>
              <w:left w:val="single" w:color="auto" w:sz="4" w:space="0"/>
              <w:bottom w:val="single" w:color="auto" w:sz="4" w:space="0"/>
              <w:right w:val="single" w:color="auto" w:sz="4" w:space="0"/>
            </w:tcBorders>
            <w:vAlign w:val="center"/>
          </w:tcPr>
          <w:p>
            <w:pPr>
              <w:snapToGrid w:val="0"/>
              <w:spacing w:after="0" w:line="500" w:lineRule="exact"/>
              <w:ind w:left="420" w:leftChars="200"/>
              <w:jc w:val="left"/>
              <w:rPr>
                <w:rFonts w:ascii="微软雅黑" w:hAnsi="微软雅黑" w:eastAsia="微软雅黑"/>
                <w:color w:val="auto"/>
                <w:szCs w:val="21"/>
                <w:highlight w:val="none"/>
              </w:rPr>
            </w:pPr>
            <w:r>
              <w:rPr>
                <w:rFonts w:ascii="微软雅黑" w:hAnsi="微软雅黑" w:eastAsia="微软雅黑"/>
                <w:color w:val="auto"/>
                <w:szCs w:val="21"/>
                <w:highlight w:val="none"/>
              </w:rPr>
              <w:t>合计：大写：</w:t>
            </w:r>
            <w:r>
              <w:rPr>
                <w:rFonts w:hint="eastAsia" w:ascii="微软雅黑" w:hAnsi="微软雅黑" w:eastAsia="微软雅黑"/>
                <w:color w:val="auto"/>
                <w:szCs w:val="21"/>
                <w:highlight w:val="none"/>
              </w:rPr>
              <w:t xml:space="preserve"> </w:t>
            </w:r>
            <w:r>
              <w:rPr>
                <w:rFonts w:ascii="微软雅黑" w:hAnsi="微软雅黑" w:eastAsia="微软雅黑"/>
                <w:color w:val="auto"/>
                <w:szCs w:val="21"/>
                <w:highlight w:val="none"/>
              </w:rPr>
              <w:t xml:space="preserve">                                 小写：</w:t>
            </w:r>
          </w:p>
        </w:tc>
      </w:tr>
    </w:tbl>
    <w:p>
      <w:pPr>
        <w:spacing w:line="360" w:lineRule="auto"/>
        <w:rPr>
          <w:rFonts w:ascii="微软雅黑" w:hAnsi="微软雅黑" w:eastAsia="微软雅黑" w:cs="Tahoma"/>
          <w:bCs/>
          <w:color w:val="auto"/>
          <w:kern w:val="36"/>
          <w:highlight w:val="none"/>
        </w:rPr>
      </w:pPr>
    </w:p>
    <w:p>
      <w:pPr>
        <w:pStyle w:val="34"/>
        <w:snapToGrid w:val="0"/>
        <w:spacing w:line="360" w:lineRule="auto"/>
        <w:rPr>
          <w:rFonts w:ascii="微软雅黑" w:hAnsi="微软雅黑" w:eastAsia="微软雅黑"/>
          <w:color w:val="auto"/>
          <w:szCs w:val="21"/>
          <w:highlight w:val="none"/>
        </w:rPr>
      </w:pPr>
      <w:r>
        <w:rPr>
          <w:rFonts w:ascii="微软雅黑" w:hAnsi="微软雅黑" w:eastAsia="微软雅黑"/>
          <w:color w:val="auto"/>
          <w:szCs w:val="21"/>
          <w:highlight w:val="none"/>
        </w:rPr>
        <w:t>1、报价一经涂改，应在涂改处加盖单位公章或者由法定代表人或授权委托人签字或盖章，否则其投标作无效标处理。</w:t>
      </w:r>
    </w:p>
    <w:p>
      <w:pPr>
        <w:pStyle w:val="34"/>
        <w:snapToGrid w:val="0"/>
        <w:spacing w:line="360" w:lineRule="auto"/>
        <w:rPr>
          <w:rFonts w:ascii="微软雅黑" w:hAnsi="微软雅黑" w:eastAsia="微软雅黑"/>
          <w:color w:val="auto"/>
          <w:szCs w:val="21"/>
          <w:highlight w:val="none"/>
        </w:rPr>
      </w:pPr>
      <w:r>
        <w:rPr>
          <w:rFonts w:ascii="微软雅黑" w:hAnsi="微软雅黑" w:eastAsia="微软雅黑"/>
          <w:color w:val="auto"/>
          <w:szCs w:val="21"/>
          <w:highlight w:val="none"/>
        </w:rPr>
        <w:t>▲</w:t>
      </w:r>
      <w:r>
        <w:rPr>
          <w:rFonts w:hint="eastAsia" w:ascii="微软雅黑" w:hAnsi="微软雅黑" w:eastAsia="微软雅黑"/>
          <w:color w:val="auto"/>
          <w:szCs w:val="21"/>
          <w:highlight w:val="none"/>
        </w:rPr>
        <w:t>2</w:t>
      </w:r>
      <w:r>
        <w:rPr>
          <w:rFonts w:ascii="微软雅黑" w:hAnsi="微软雅黑" w:eastAsia="微软雅黑"/>
          <w:color w:val="auto"/>
          <w:szCs w:val="21"/>
          <w:highlight w:val="none"/>
        </w:rPr>
        <w:t>、以上报价不得超过上限价，任何超过上限价的报价均导致投标被否决。</w:t>
      </w:r>
    </w:p>
    <w:p>
      <w:pPr>
        <w:adjustRightInd w:val="0"/>
        <w:spacing w:line="360" w:lineRule="auto"/>
        <w:ind w:firstLine="105" w:firstLineChars="5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3、报价</w:t>
      </w:r>
      <w:r>
        <w:rPr>
          <w:rFonts w:ascii="微软雅黑" w:hAnsi="微软雅黑" w:eastAsia="微软雅黑"/>
          <w:color w:val="auto"/>
          <w:szCs w:val="21"/>
          <w:highlight w:val="none"/>
        </w:rPr>
        <w:t>包括</w:t>
      </w:r>
      <w:r>
        <w:rPr>
          <w:rFonts w:hint="eastAsia" w:ascii="微软雅黑" w:hAnsi="微软雅黑" w:eastAsia="微软雅黑"/>
          <w:color w:val="auto"/>
          <w:szCs w:val="21"/>
          <w:highlight w:val="none"/>
        </w:rPr>
        <w:t>为完成本项目所需的</w:t>
      </w:r>
      <w:r>
        <w:rPr>
          <w:rFonts w:ascii="微软雅黑" w:hAnsi="微软雅黑" w:eastAsia="微软雅黑"/>
          <w:color w:val="auto"/>
          <w:szCs w:val="21"/>
          <w:highlight w:val="none"/>
        </w:rPr>
        <w:t>全部费用。</w:t>
      </w:r>
    </w:p>
    <w:p>
      <w:pPr>
        <w:pStyle w:val="34"/>
        <w:snapToGrid w:val="0"/>
        <w:spacing w:line="360" w:lineRule="auto"/>
        <w:rPr>
          <w:rFonts w:ascii="微软雅黑" w:hAnsi="微软雅黑" w:eastAsia="微软雅黑"/>
          <w:color w:val="auto"/>
          <w:szCs w:val="21"/>
          <w:highlight w:val="none"/>
        </w:rPr>
      </w:pPr>
    </w:p>
    <w:p>
      <w:pPr>
        <w:rPr>
          <w:color w:val="auto"/>
          <w:highlight w:val="none"/>
        </w:rPr>
      </w:pPr>
      <w:r>
        <w:rPr>
          <w:rFonts w:hint="eastAsia" w:ascii="微软雅黑" w:hAnsi="微软雅黑" w:eastAsia="微软雅黑" w:cs="微软雅黑"/>
          <w:color w:val="auto"/>
          <w:szCs w:val="21"/>
          <w:highlight w:val="none"/>
          <w:shd w:val="clear" w:color="auto" w:fill="FFFFFF"/>
        </w:rPr>
        <w:t>投标人名称：（盖章）</w:t>
      </w:r>
      <w:r>
        <w:rPr>
          <w:rFonts w:hint="eastAsia" w:ascii="微软雅黑" w:hAnsi="微软雅黑" w:eastAsia="微软雅黑" w:cs="微软雅黑"/>
          <w:color w:val="auto"/>
          <w:szCs w:val="21"/>
          <w:highlight w:val="none"/>
        </w:rPr>
        <w:br w:type="textWrapping"/>
      </w:r>
      <w:r>
        <w:rPr>
          <w:rFonts w:hint="eastAsia" w:ascii="微软雅黑" w:hAnsi="微软雅黑" w:eastAsia="微软雅黑" w:cs="微软雅黑"/>
          <w:color w:val="auto"/>
          <w:szCs w:val="21"/>
          <w:highlight w:val="none"/>
          <w:shd w:val="clear" w:color="auto" w:fill="FFFFFF"/>
        </w:rPr>
        <w:t>法定代表人或</w:t>
      </w:r>
      <w:r>
        <w:rPr>
          <w:rFonts w:hint="eastAsia" w:ascii="微软雅黑" w:hAnsi="微软雅黑" w:eastAsia="微软雅黑" w:cs="微软雅黑"/>
          <w:color w:val="auto"/>
          <w:szCs w:val="21"/>
          <w:highlight w:val="none"/>
        </w:rPr>
        <w:t>被授权人</w:t>
      </w:r>
      <w:r>
        <w:rPr>
          <w:rFonts w:hint="eastAsia" w:ascii="微软雅黑" w:hAnsi="微软雅黑" w:eastAsia="微软雅黑" w:cs="微软雅黑"/>
          <w:color w:val="auto"/>
          <w:szCs w:val="21"/>
          <w:highlight w:val="none"/>
          <w:shd w:val="clear" w:color="auto" w:fill="FFFFFF"/>
        </w:rPr>
        <w:t>（签字或盖章）：</w:t>
      </w:r>
      <w:r>
        <w:rPr>
          <w:rFonts w:hint="eastAsia" w:ascii="微软雅黑" w:hAnsi="微软雅黑" w:eastAsia="微软雅黑" w:cs="微软雅黑"/>
          <w:color w:val="auto"/>
          <w:szCs w:val="21"/>
          <w:highlight w:val="none"/>
        </w:rPr>
        <w:br w:type="textWrapping"/>
      </w:r>
      <w:r>
        <w:rPr>
          <w:rFonts w:hint="eastAsia" w:ascii="微软雅黑" w:hAnsi="微软雅黑" w:eastAsia="微软雅黑" w:cs="微软雅黑"/>
          <w:color w:val="auto"/>
          <w:szCs w:val="21"/>
          <w:highlight w:val="none"/>
          <w:shd w:val="clear" w:color="auto" w:fill="FFFFFF"/>
        </w:rPr>
        <w:t>投标日期：  年  月  日</w:t>
      </w:r>
    </w:p>
    <w:p>
      <w:pPr>
        <w:pStyle w:val="57"/>
        <w:rPr>
          <w:color w:val="auto"/>
          <w:highlight w:val="none"/>
        </w:rPr>
      </w:pPr>
    </w:p>
    <w:p>
      <w:pPr>
        <w:pStyle w:val="57"/>
        <w:rPr>
          <w:color w:val="auto"/>
          <w:highlight w:val="none"/>
        </w:rPr>
      </w:pPr>
    </w:p>
    <w:p>
      <w:pPr>
        <w:pStyle w:val="57"/>
        <w:rPr>
          <w:color w:val="auto"/>
          <w:highlight w:val="none"/>
        </w:rPr>
      </w:pPr>
    </w:p>
    <w:p>
      <w:pPr>
        <w:pStyle w:val="34"/>
        <w:snapToGrid w:val="0"/>
        <w:spacing w:line="360" w:lineRule="auto"/>
        <w:rPr>
          <w:rFonts w:ascii="微软雅黑" w:hAnsi="微软雅黑" w:eastAsia="微软雅黑"/>
          <w:color w:val="auto"/>
          <w:szCs w:val="21"/>
          <w:highlight w:val="none"/>
          <w:shd w:val="clear" w:color="auto" w:fill="FFFFFF"/>
        </w:rPr>
      </w:pPr>
    </w:p>
    <w:p>
      <w:pPr>
        <w:rPr>
          <w:rFonts w:ascii="微软雅黑" w:hAnsi="微软雅黑" w:eastAsia="微软雅黑" w:cs="微软雅黑"/>
          <w:b/>
          <w:color w:val="auto"/>
          <w:szCs w:val="21"/>
          <w:highlight w:val="none"/>
        </w:rPr>
      </w:pPr>
    </w:p>
    <w:p>
      <w:pPr>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br w:type="page"/>
      </w:r>
    </w:p>
    <w:p>
      <w:pPr>
        <w:snapToGrid w:val="0"/>
        <w:spacing w:line="360" w:lineRule="auto"/>
        <w:jc w:val="left"/>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中小企业声明函</w:t>
      </w:r>
    </w:p>
    <w:p>
      <w:pPr>
        <w:snapToGrid w:val="0"/>
        <w:spacing w:before="50" w:after="50" w:line="360" w:lineRule="auto"/>
        <w:jc w:val="center"/>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中小企业声明函（工程、服务）</w:t>
      </w:r>
    </w:p>
    <w:p>
      <w:pPr>
        <w:pStyle w:val="203"/>
        <w:spacing w:line="360" w:lineRule="auto"/>
        <w:ind w:right="157" w:firstLine="875" w:firstLineChars="417"/>
        <w:rPr>
          <w:rFonts w:hint="default" w:ascii="微软雅黑" w:hAnsi="微软雅黑" w:eastAsia="微软雅黑" w:cs="微软雅黑"/>
          <w:color w:val="auto"/>
          <w:sz w:val="21"/>
          <w:szCs w:val="21"/>
          <w:highlight w:val="none"/>
        </w:rPr>
      </w:pPr>
      <w:r>
        <w:rPr>
          <w:rFonts w:ascii="微软雅黑" w:hAnsi="微软雅黑" w:eastAsia="微软雅黑" w:cs="微软雅黑"/>
          <w:color w:val="auto"/>
          <w:sz w:val="21"/>
          <w:szCs w:val="21"/>
          <w:highlight w:val="none"/>
        </w:rPr>
        <w:t>本公司（联合体）郑重声明，根据《政府采购促进中小企业发展管理办法》（财库﹝2020﹞46 号）的规定，本公司（联合体）参加</w:t>
      </w:r>
      <w:r>
        <w:rPr>
          <w:rFonts w:ascii="微软雅黑" w:hAnsi="微软雅黑" w:eastAsia="微软雅黑" w:cs="微软雅黑"/>
          <w:color w:val="auto"/>
          <w:sz w:val="21"/>
          <w:szCs w:val="21"/>
          <w:highlight w:val="none"/>
          <w:u w:val="single"/>
        </w:rPr>
        <w:t>（单位名称）</w:t>
      </w:r>
      <w:r>
        <w:rPr>
          <w:rFonts w:ascii="微软雅黑" w:hAnsi="微软雅黑" w:eastAsia="微软雅黑" w:cs="微软雅黑"/>
          <w:color w:val="auto"/>
          <w:sz w:val="21"/>
          <w:szCs w:val="21"/>
          <w:highlight w:val="none"/>
        </w:rPr>
        <w:t>的</w:t>
      </w:r>
      <w:r>
        <w:rPr>
          <w:rFonts w:ascii="微软雅黑" w:hAnsi="微软雅黑" w:eastAsia="微软雅黑" w:cs="微软雅黑"/>
          <w:color w:val="auto"/>
          <w:sz w:val="21"/>
          <w:szCs w:val="21"/>
          <w:highlight w:val="none"/>
          <w:u w:val="single"/>
        </w:rPr>
        <w:t>（项目名称）</w:t>
      </w:r>
      <w:r>
        <w:rPr>
          <w:rFonts w:ascii="微软雅黑" w:hAnsi="微软雅黑" w:eastAsia="微软雅黑" w:cs="微软雅黑"/>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pStyle w:val="203"/>
        <w:spacing w:line="360" w:lineRule="auto"/>
        <w:ind w:right="157" w:firstLine="875" w:firstLineChars="417"/>
        <w:rPr>
          <w:rFonts w:hint="default" w:ascii="微软雅黑" w:hAnsi="微软雅黑" w:eastAsia="微软雅黑" w:cs="微软雅黑"/>
          <w:color w:val="auto"/>
          <w:sz w:val="21"/>
          <w:szCs w:val="21"/>
          <w:highlight w:val="none"/>
        </w:rPr>
      </w:pPr>
      <w:r>
        <w:rPr>
          <w:rFonts w:ascii="微软雅黑" w:hAnsi="微软雅黑" w:eastAsia="微软雅黑" w:cs="微软雅黑"/>
          <w:color w:val="auto"/>
          <w:sz w:val="21"/>
          <w:szCs w:val="21"/>
          <w:highlight w:val="none"/>
        </w:rPr>
        <w:t xml:space="preserve">1. </w:t>
      </w:r>
      <w:r>
        <w:rPr>
          <w:rFonts w:ascii="微软雅黑" w:hAnsi="微软雅黑" w:eastAsia="微软雅黑" w:cs="微软雅黑"/>
          <w:color w:val="auto"/>
          <w:sz w:val="21"/>
          <w:szCs w:val="21"/>
          <w:highlight w:val="none"/>
          <w:u w:val="single"/>
        </w:rPr>
        <w:t>（标的名称）</w:t>
      </w:r>
      <w:r>
        <w:rPr>
          <w:rFonts w:ascii="微软雅黑" w:hAnsi="微软雅黑" w:eastAsia="微软雅黑" w:cs="微软雅黑"/>
          <w:color w:val="auto"/>
          <w:sz w:val="21"/>
          <w:szCs w:val="21"/>
          <w:highlight w:val="none"/>
        </w:rPr>
        <w:t>，属于</w:t>
      </w:r>
      <w:r>
        <w:rPr>
          <w:rFonts w:ascii="微软雅黑" w:hAnsi="微软雅黑" w:eastAsia="微软雅黑" w:cs="微软雅黑"/>
          <w:color w:val="auto"/>
          <w:sz w:val="21"/>
          <w:szCs w:val="21"/>
          <w:highlight w:val="none"/>
          <w:u w:val="single"/>
        </w:rPr>
        <w:t>（采购文件中明确的所属行业）</w:t>
      </w:r>
      <w:r>
        <w:rPr>
          <w:rFonts w:ascii="微软雅黑" w:hAnsi="微软雅黑" w:eastAsia="微软雅黑" w:cs="微软雅黑"/>
          <w:color w:val="auto"/>
          <w:sz w:val="21"/>
          <w:szCs w:val="21"/>
          <w:highlight w:val="none"/>
        </w:rPr>
        <w:t>；承建（承接）企业为</w:t>
      </w:r>
      <w:r>
        <w:rPr>
          <w:rFonts w:ascii="微软雅黑" w:hAnsi="微软雅黑" w:eastAsia="微软雅黑" w:cs="微软雅黑"/>
          <w:color w:val="auto"/>
          <w:sz w:val="21"/>
          <w:szCs w:val="21"/>
          <w:highlight w:val="none"/>
          <w:u w:val="single"/>
        </w:rPr>
        <w:t>（企业名称）</w:t>
      </w:r>
      <w:r>
        <w:rPr>
          <w:rFonts w:ascii="微软雅黑" w:hAnsi="微软雅黑" w:eastAsia="微软雅黑" w:cs="微软雅黑"/>
          <w:color w:val="auto"/>
          <w:sz w:val="21"/>
          <w:szCs w:val="21"/>
          <w:highlight w:val="none"/>
        </w:rPr>
        <w:t>，从业人员人，营业收入为万元，资产总额为万元，属于（中型企业、小型企业、微型企业）；</w:t>
      </w:r>
    </w:p>
    <w:p>
      <w:pPr>
        <w:pStyle w:val="203"/>
        <w:spacing w:line="360" w:lineRule="auto"/>
        <w:ind w:right="157" w:firstLine="875" w:firstLineChars="417"/>
        <w:rPr>
          <w:rFonts w:hint="default" w:ascii="微软雅黑" w:hAnsi="微软雅黑" w:eastAsia="微软雅黑" w:cs="微软雅黑"/>
          <w:color w:val="auto"/>
          <w:sz w:val="21"/>
          <w:szCs w:val="21"/>
          <w:highlight w:val="none"/>
        </w:rPr>
      </w:pPr>
      <w:r>
        <w:rPr>
          <w:rFonts w:ascii="微软雅黑" w:hAnsi="微软雅黑" w:eastAsia="微软雅黑" w:cs="微软雅黑"/>
          <w:color w:val="auto"/>
          <w:sz w:val="21"/>
          <w:szCs w:val="21"/>
          <w:highlight w:val="none"/>
        </w:rPr>
        <w:t xml:space="preserve">2. </w:t>
      </w:r>
      <w:r>
        <w:rPr>
          <w:rFonts w:ascii="微软雅黑" w:hAnsi="微软雅黑" w:eastAsia="微软雅黑" w:cs="微软雅黑"/>
          <w:color w:val="auto"/>
          <w:sz w:val="21"/>
          <w:szCs w:val="21"/>
          <w:highlight w:val="none"/>
          <w:u w:val="single"/>
        </w:rPr>
        <w:t>（标的名称）</w:t>
      </w:r>
      <w:r>
        <w:rPr>
          <w:rFonts w:ascii="微软雅黑" w:hAnsi="微软雅黑" w:eastAsia="微软雅黑" w:cs="微软雅黑"/>
          <w:color w:val="auto"/>
          <w:sz w:val="21"/>
          <w:szCs w:val="21"/>
          <w:highlight w:val="none"/>
        </w:rPr>
        <w:t>，属于</w:t>
      </w:r>
      <w:r>
        <w:rPr>
          <w:rFonts w:ascii="微软雅黑" w:hAnsi="微软雅黑" w:eastAsia="微软雅黑" w:cs="微软雅黑"/>
          <w:color w:val="auto"/>
          <w:sz w:val="21"/>
          <w:szCs w:val="21"/>
          <w:highlight w:val="none"/>
          <w:u w:val="single"/>
        </w:rPr>
        <w:t>（采购文件中明确的所属行业）</w:t>
      </w:r>
      <w:r>
        <w:rPr>
          <w:rFonts w:ascii="微软雅黑" w:hAnsi="微软雅黑" w:eastAsia="微软雅黑" w:cs="微软雅黑"/>
          <w:color w:val="auto"/>
          <w:sz w:val="21"/>
          <w:szCs w:val="21"/>
          <w:highlight w:val="none"/>
        </w:rPr>
        <w:t>；承建（承接）企业为</w:t>
      </w:r>
      <w:r>
        <w:rPr>
          <w:rFonts w:ascii="微软雅黑" w:hAnsi="微软雅黑" w:eastAsia="微软雅黑" w:cs="微软雅黑"/>
          <w:color w:val="auto"/>
          <w:sz w:val="21"/>
          <w:szCs w:val="21"/>
          <w:highlight w:val="none"/>
          <w:u w:val="single"/>
        </w:rPr>
        <w:t>（企业名称）</w:t>
      </w:r>
      <w:r>
        <w:rPr>
          <w:rFonts w:ascii="微软雅黑" w:hAnsi="微软雅黑" w:eastAsia="微软雅黑" w:cs="微软雅黑"/>
          <w:color w:val="auto"/>
          <w:sz w:val="21"/>
          <w:szCs w:val="21"/>
          <w:highlight w:val="none"/>
        </w:rPr>
        <w:t>，从业人员人，营业收入为万元，资产总额为万元，属于</w:t>
      </w:r>
      <w:r>
        <w:rPr>
          <w:rFonts w:ascii="微软雅黑" w:hAnsi="微软雅黑" w:eastAsia="微软雅黑" w:cs="微软雅黑"/>
          <w:color w:val="auto"/>
          <w:sz w:val="21"/>
          <w:szCs w:val="21"/>
          <w:highlight w:val="none"/>
          <w:u w:val="single"/>
        </w:rPr>
        <w:t>（中型企业、小型企业、微型企业）</w:t>
      </w:r>
      <w:r>
        <w:rPr>
          <w:rFonts w:ascii="微软雅黑" w:hAnsi="微软雅黑" w:eastAsia="微软雅黑" w:cs="微软雅黑"/>
          <w:color w:val="auto"/>
          <w:sz w:val="21"/>
          <w:szCs w:val="21"/>
          <w:highlight w:val="none"/>
        </w:rPr>
        <w:t>；</w:t>
      </w:r>
    </w:p>
    <w:p>
      <w:pPr>
        <w:pStyle w:val="203"/>
        <w:spacing w:line="360" w:lineRule="auto"/>
        <w:ind w:right="157" w:firstLine="875" w:firstLineChars="417"/>
        <w:rPr>
          <w:rFonts w:hint="default" w:ascii="微软雅黑" w:hAnsi="微软雅黑" w:eastAsia="微软雅黑" w:cs="微软雅黑"/>
          <w:color w:val="auto"/>
          <w:sz w:val="21"/>
          <w:szCs w:val="21"/>
          <w:highlight w:val="none"/>
        </w:rPr>
      </w:pPr>
      <w:r>
        <w:rPr>
          <w:rFonts w:ascii="微软雅黑" w:hAnsi="微软雅黑" w:eastAsia="微软雅黑" w:cs="微软雅黑"/>
          <w:color w:val="auto"/>
          <w:sz w:val="21"/>
          <w:szCs w:val="21"/>
          <w:highlight w:val="none"/>
        </w:rPr>
        <w:t>……</w:t>
      </w:r>
    </w:p>
    <w:p>
      <w:pPr>
        <w:pStyle w:val="203"/>
        <w:spacing w:line="360" w:lineRule="auto"/>
        <w:ind w:right="157" w:firstLine="642"/>
        <w:rPr>
          <w:rFonts w:hint="default" w:ascii="微软雅黑" w:hAnsi="微软雅黑" w:eastAsia="微软雅黑" w:cs="微软雅黑"/>
          <w:color w:val="auto"/>
          <w:sz w:val="21"/>
          <w:szCs w:val="21"/>
          <w:highlight w:val="none"/>
        </w:rPr>
      </w:pPr>
      <w:r>
        <w:rPr>
          <w:rFonts w:ascii="微软雅黑" w:hAnsi="微软雅黑" w:eastAsia="微软雅黑" w:cs="微软雅黑"/>
          <w:color w:val="auto"/>
          <w:sz w:val="21"/>
          <w:szCs w:val="21"/>
          <w:highlight w:val="none"/>
        </w:rPr>
        <w:t>以上企业，不属于大企业的分支机构，不存在控股股东为大企业的情形，也不存在与大企业的负责人为同一人的情形。</w:t>
      </w:r>
    </w:p>
    <w:p>
      <w:pPr>
        <w:pStyle w:val="203"/>
        <w:spacing w:line="360" w:lineRule="auto"/>
        <w:ind w:right="157" w:firstLine="642"/>
        <w:rPr>
          <w:rFonts w:hint="default" w:ascii="微软雅黑" w:hAnsi="微软雅黑" w:eastAsia="微软雅黑" w:cs="微软雅黑"/>
          <w:color w:val="auto"/>
          <w:sz w:val="21"/>
          <w:szCs w:val="21"/>
          <w:highlight w:val="none"/>
        </w:rPr>
      </w:pPr>
      <w:r>
        <w:rPr>
          <w:rFonts w:ascii="微软雅黑" w:hAnsi="微软雅黑" w:eastAsia="微软雅黑" w:cs="微软雅黑"/>
          <w:color w:val="auto"/>
          <w:sz w:val="21"/>
          <w:szCs w:val="21"/>
          <w:highlight w:val="none"/>
        </w:rPr>
        <w:t>本企业对上述声明内容的真实性负责。如有虚假，将依法承担相应责任。</w:t>
      </w:r>
    </w:p>
    <w:p>
      <w:pPr>
        <w:pStyle w:val="153"/>
        <w:rPr>
          <w:rFonts w:ascii="微软雅黑" w:hAnsi="微软雅黑" w:eastAsia="微软雅黑" w:cs="微软雅黑"/>
          <w:color w:val="auto"/>
          <w:sz w:val="21"/>
          <w:szCs w:val="21"/>
          <w:highlight w:val="none"/>
        </w:rPr>
      </w:pPr>
    </w:p>
    <w:p>
      <w:pPr>
        <w:pStyle w:val="153"/>
        <w:rPr>
          <w:rFonts w:ascii="微软雅黑" w:hAnsi="微软雅黑" w:eastAsia="微软雅黑" w:cs="微软雅黑"/>
          <w:color w:val="auto"/>
          <w:sz w:val="21"/>
          <w:szCs w:val="21"/>
          <w:highlight w:val="none"/>
        </w:rPr>
      </w:pPr>
    </w:p>
    <w:p>
      <w:pPr>
        <w:pStyle w:val="203"/>
        <w:spacing w:line="360" w:lineRule="auto"/>
        <w:ind w:right="157" w:firstLine="642"/>
        <w:rPr>
          <w:rFonts w:hint="default" w:ascii="微软雅黑" w:hAnsi="微软雅黑" w:eastAsia="微软雅黑" w:cs="微软雅黑"/>
          <w:color w:val="auto"/>
          <w:spacing w:val="20"/>
          <w:sz w:val="21"/>
          <w:szCs w:val="21"/>
          <w:highlight w:val="none"/>
          <w:u w:val="single"/>
        </w:rPr>
      </w:pPr>
      <w:r>
        <w:rPr>
          <w:rFonts w:ascii="微软雅黑" w:hAnsi="微软雅黑" w:eastAsia="微软雅黑" w:cs="微软雅黑"/>
          <w:color w:val="auto"/>
          <w:spacing w:val="20"/>
          <w:sz w:val="21"/>
          <w:szCs w:val="21"/>
          <w:highlight w:val="none"/>
        </w:rPr>
        <w:t>供应商名称：</w:t>
      </w:r>
      <w:r>
        <w:rPr>
          <w:rFonts w:ascii="微软雅黑" w:hAnsi="微软雅黑" w:eastAsia="微软雅黑" w:cs="微软雅黑"/>
          <w:color w:val="auto"/>
          <w:spacing w:val="20"/>
          <w:sz w:val="21"/>
          <w:szCs w:val="21"/>
          <w:highlight w:val="none"/>
          <w:u w:val="single"/>
        </w:rPr>
        <w:t>（盖章）</w:t>
      </w:r>
      <w:r>
        <w:rPr>
          <w:rFonts w:ascii="微软雅黑" w:hAnsi="微软雅黑" w:eastAsia="微软雅黑" w:cs="微软雅黑"/>
          <w:color w:val="auto"/>
          <w:spacing w:val="20"/>
          <w:sz w:val="21"/>
          <w:szCs w:val="21"/>
          <w:highlight w:val="none"/>
        </w:rPr>
        <w:t>日期：</w:t>
      </w:r>
    </w:p>
    <w:p>
      <w:pPr>
        <w:pStyle w:val="153"/>
        <w:rPr>
          <w:rFonts w:ascii="微软雅黑" w:hAnsi="微软雅黑" w:eastAsia="微软雅黑" w:cs="微软雅黑"/>
          <w:color w:val="auto"/>
          <w:sz w:val="21"/>
          <w:szCs w:val="21"/>
          <w:highlight w:val="none"/>
        </w:rPr>
      </w:pPr>
    </w:p>
    <w:p>
      <w:pPr>
        <w:pStyle w:val="45"/>
        <w:rPr>
          <w:rFonts w:hint="default" w:ascii="微软雅黑" w:hAnsi="微软雅黑" w:eastAsia="微软雅黑" w:cs="微软雅黑"/>
          <w:color w:val="auto"/>
          <w:sz w:val="21"/>
          <w:szCs w:val="21"/>
          <w:highlight w:val="none"/>
        </w:rPr>
      </w:pPr>
      <w:r>
        <w:rPr>
          <w:rFonts w:ascii="微软雅黑" w:hAnsi="微软雅黑" w:eastAsia="微软雅黑" w:cs="微软雅黑"/>
          <w:color w:val="auto"/>
          <w:sz w:val="21"/>
          <w:szCs w:val="21"/>
          <w:highlight w:val="none"/>
        </w:rPr>
        <w:t>从业人员、营业收入、资产总额填报上一年度数据，无上一年度数据的新成立企业可不填报。</w:t>
      </w:r>
    </w:p>
    <w:p>
      <w:pPr>
        <w:snapToGrid w:val="0"/>
        <w:spacing w:line="360" w:lineRule="auto"/>
        <w:jc w:val="left"/>
        <w:rPr>
          <w:rFonts w:ascii="微软雅黑" w:hAnsi="微软雅黑" w:eastAsia="微软雅黑" w:cs="微软雅黑"/>
          <w:color w:val="auto"/>
          <w:szCs w:val="21"/>
          <w:highlight w:val="none"/>
        </w:rPr>
      </w:pPr>
    </w:p>
    <w:p>
      <w:pPr>
        <w:widowControl/>
        <w:jc w:val="left"/>
        <w:rPr>
          <w:rFonts w:ascii="微软雅黑" w:hAnsi="微软雅黑" w:eastAsia="微软雅黑" w:cs="微软雅黑"/>
          <w:b/>
          <w:color w:val="auto"/>
          <w:szCs w:val="21"/>
          <w:highlight w:val="none"/>
        </w:rPr>
      </w:pPr>
    </w:p>
    <w:p>
      <w:pPr>
        <w:pStyle w:val="4"/>
        <w:rPr>
          <w:rFonts w:ascii="微软雅黑" w:hAnsi="微软雅黑" w:eastAsia="微软雅黑" w:cs="微软雅黑"/>
          <w:color w:val="auto"/>
          <w:szCs w:val="21"/>
          <w:highlight w:val="none"/>
        </w:rPr>
      </w:pPr>
    </w:p>
    <w:p>
      <w:pPr>
        <w:widowControl/>
        <w:spacing w:line="360" w:lineRule="auto"/>
        <w:jc w:val="left"/>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残疾人福利性单位声明函（非残疾人福利性单位无需提供）</w:t>
      </w:r>
    </w:p>
    <w:p>
      <w:pPr>
        <w:widowControl/>
        <w:spacing w:line="360" w:lineRule="auto"/>
        <w:jc w:val="center"/>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残疾人福利性单位声明函</w:t>
      </w:r>
    </w:p>
    <w:p>
      <w:pPr>
        <w:widowControl/>
        <w:spacing w:line="360" w:lineRule="auto"/>
        <w:ind w:firstLine="420" w:firstLineChars="2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spacing w:line="360" w:lineRule="auto"/>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本单位对上述声明的真实性负责。如有虚假，将依法承担相应责任。</w:t>
      </w:r>
    </w:p>
    <w:p>
      <w:pPr>
        <w:widowControl/>
        <w:spacing w:line="360" w:lineRule="auto"/>
        <w:jc w:val="center"/>
        <w:outlineLvl w:val="9"/>
        <w:rPr>
          <w:rFonts w:ascii="微软雅黑" w:hAnsi="微软雅黑" w:eastAsia="微软雅黑" w:cs="微软雅黑"/>
          <w:color w:val="auto"/>
          <w:szCs w:val="21"/>
          <w:highlight w:val="none"/>
        </w:rPr>
      </w:pPr>
      <w:bookmarkStart w:id="632" w:name="_Toc806"/>
      <w:bookmarkStart w:id="633" w:name="_Toc14507"/>
      <w:bookmarkStart w:id="634" w:name="_Toc28503"/>
      <w:r>
        <w:rPr>
          <w:rFonts w:hint="eastAsia" w:ascii="微软雅黑" w:hAnsi="微软雅黑" w:eastAsia="微软雅黑" w:cs="微软雅黑"/>
          <w:color w:val="auto"/>
          <w:szCs w:val="21"/>
          <w:highlight w:val="none"/>
        </w:rPr>
        <w:t>投标人（盖章）：</w:t>
      </w:r>
      <w:bookmarkEnd w:id="632"/>
      <w:bookmarkEnd w:id="633"/>
      <w:bookmarkEnd w:id="634"/>
    </w:p>
    <w:p>
      <w:pPr>
        <w:widowControl/>
        <w:spacing w:line="360" w:lineRule="auto"/>
        <w:jc w:val="center"/>
        <w:outlineLvl w:val="9"/>
        <w:rPr>
          <w:rFonts w:ascii="微软雅黑" w:hAnsi="微软雅黑" w:eastAsia="微软雅黑" w:cs="微软雅黑"/>
          <w:color w:val="auto"/>
          <w:szCs w:val="21"/>
          <w:highlight w:val="none"/>
        </w:rPr>
      </w:pPr>
      <w:bookmarkStart w:id="635" w:name="_Toc19957"/>
      <w:bookmarkStart w:id="636" w:name="_Toc27545"/>
      <w:bookmarkStart w:id="637" w:name="_Toc18368"/>
      <w:r>
        <w:rPr>
          <w:rFonts w:hint="eastAsia" w:ascii="微软雅黑" w:hAnsi="微软雅黑" w:eastAsia="微软雅黑" w:cs="微软雅黑"/>
          <w:color w:val="auto"/>
          <w:szCs w:val="21"/>
          <w:highlight w:val="none"/>
        </w:rPr>
        <w:t>日期：</w:t>
      </w:r>
      <w:bookmarkEnd w:id="635"/>
      <w:bookmarkEnd w:id="636"/>
      <w:bookmarkEnd w:id="637"/>
    </w:p>
    <w:p>
      <w:pPr>
        <w:pStyle w:val="4"/>
        <w:rPr>
          <w:rFonts w:ascii="微软雅黑" w:hAnsi="微软雅黑" w:eastAsia="微软雅黑" w:cs="微软雅黑"/>
          <w:color w:val="auto"/>
          <w:szCs w:val="21"/>
          <w:highlight w:val="none"/>
        </w:rPr>
      </w:pPr>
    </w:p>
    <w:p>
      <w:pPr>
        <w:pStyle w:val="5"/>
        <w:ind w:firstLine="210"/>
        <w:rPr>
          <w:rFonts w:ascii="微软雅黑" w:hAnsi="微软雅黑" w:eastAsia="微软雅黑" w:cs="微软雅黑"/>
          <w:color w:val="auto"/>
          <w:szCs w:val="21"/>
          <w:highlight w:val="none"/>
        </w:rPr>
      </w:pPr>
    </w:p>
    <w:p>
      <w:pPr>
        <w:rPr>
          <w:rFonts w:ascii="微软雅黑" w:hAnsi="微软雅黑" w:eastAsia="微软雅黑" w:cs="微软雅黑"/>
          <w:color w:val="auto"/>
          <w:szCs w:val="21"/>
          <w:highlight w:val="none"/>
        </w:rPr>
      </w:pPr>
    </w:p>
    <w:p>
      <w:pPr>
        <w:pStyle w:val="4"/>
        <w:rPr>
          <w:rFonts w:ascii="微软雅黑" w:hAnsi="微软雅黑" w:eastAsia="微软雅黑" w:cs="微软雅黑"/>
          <w:color w:val="auto"/>
          <w:szCs w:val="21"/>
          <w:highlight w:val="none"/>
        </w:rPr>
      </w:pPr>
    </w:p>
    <w:p>
      <w:pPr>
        <w:pStyle w:val="5"/>
        <w:ind w:firstLine="210"/>
        <w:rPr>
          <w:rFonts w:ascii="微软雅黑" w:hAnsi="微软雅黑" w:eastAsia="微软雅黑" w:cs="微软雅黑"/>
          <w:color w:val="auto"/>
          <w:szCs w:val="21"/>
          <w:highlight w:val="none"/>
        </w:rPr>
      </w:pPr>
    </w:p>
    <w:p>
      <w:pPr>
        <w:rPr>
          <w:rFonts w:ascii="微软雅黑" w:hAnsi="微软雅黑" w:eastAsia="微软雅黑" w:cs="微软雅黑"/>
          <w:color w:val="auto"/>
          <w:szCs w:val="21"/>
          <w:highlight w:val="none"/>
        </w:rPr>
      </w:pPr>
    </w:p>
    <w:p>
      <w:pPr>
        <w:pStyle w:val="4"/>
        <w:rPr>
          <w:rFonts w:ascii="微软雅黑" w:hAnsi="微软雅黑" w:eastAsia="微软雅黑" w:cs="微软雅黑"/>
          <w:color w:val="auto"/>
          <w:szCs w:val="21"/>
          <w:highlight w:val="none"/>
        </w:rPr>
      </w:pPr>
    </w:p>
    <w:p>
      <w:pPr>
        <w:pStyle w:val="5"/>
        <w:ind w:firstLine="210"/>
        <w:rPr>
          <w:rFonts w:ascii="微软雅黑" w:hAnsi="微软雅黑" w:eastAsia="微软雅黑" w:cs="微软雅黑"/>
          <w:color w:val="auto"/>
          <w:szCs w:val="21"/>
          <w:highlight w:val="none"/>
        </w:rPr>
      </w:pPr>
    </w:p>
    <w:p>
      <w:pPr>
        <w:rPr>
          <w:rFonts w:ascii="微软雅黑" w:hAnsi="微软雅黑" w:eastAsia="微软雅黑" w:cs="微软雅黑"/>
          <w:color w:val="auto"/>
          <w:szCs w:val="21"/>
          <w:highlight w:val="none"/>
        </w:rPr>
      </w:pPr>
    </w:p>
    <w:p>
      <w:pPr>
        <w:pStyle w:val="4"/>
        <w:rPr>
          <w:rFonts w:ascii="微软雅黑" w:hAnsi="微软雅黑" w:eastAsia="微软雅黑" w:cs="微软雅黑"/>
          <w:color w:val="auto"/>
          <w:szCs w:val="21"/>
          <w:highlight w:val="none"/>
        </w:rPr>
      </w:pPr>
    </w:p>
    <w:p>
      <w:pPr>
        <w:pStyle w:val="5"/>
        <w:ind w:firstLine="210"/>
        <w:rPr>
          <w:rFonts w:ascii="微软雅黑" w:hAnsi="微软雅黑" w:eastAsia="微软雅黑" w:cs="微软雅黑"/>
          <w:color w:val="auto"/>
          <w:szCs w:val="21"/>
          <w:highlight w:val="none"/>
        </w:rPr>
      </w:pPr>
    </w:p>
    <w:p>
      <w:pPr>
        <w:rPr>
          <w:rFonts w:ascii="微软雅黑" w:hAnsi="微软雅黑" w:eastAsia="微软雅黑" w:cs="微软雅黑"/>
          <w:color w:val="auto"/>
          <w:szCs w:val="21"/>
          <w:highlight w:val="none"/>
        </w:rPr>
      </w:pPr>
    </w:p>
    <w:p>
      <w:pPr>
        <w:pStyle w:val="4"/>
        <w:rPr>
          <w:rFonts w:ascii="微软雅黑" w:hAnsi="微软雅黑" w:eastAsia="微软雅黑" w:cs="微软雅黑"/>
          <w:color w:val="auto"/>
          <w:szCs w:val="21"/>
          <w:highlight w:val="none"/>
        </w:rPr>
      </w:pPr>
    </w:p>
    <w:p>
      <w:pPr>
        <w:pStyle w:val="5"/>
        <w:ind w:firstLine="210"/>
        <w:rPr>
          <w:rFonts w:ascii="微软雅黑" w:hAnsi="微软雅黑" w:eastAsia="微软雅黑" w:cs="微软雅黑"/>
          <w:color w:val="auto"/>
          <w:szCs w:val="21"/>
          <w:highlight w:val="none"/>
        </w:rPr>
      </w:pPr>
    </w:p>
    <w:p>
      <w:pPr>
        <w:rPr>
          <w:rFonts w:ascii="微软雅黑" w:hAnsi="微软雅黑" w:eastAsia="微软雅黑" w:cs="微软雅黑"/>
          <w:color w:val="auto"/>
          <w:szCs w:val="21"/>
          <w:highlight w:val="none"/>
        </w:rPr>
      </w:pPr>
    </w:p>
    <w:p>
      <w:pPr>
        <w:pStyle w:val="5"/>
        <w:ind w:firstLine="210"/>
        <w:rPr>
          <w:rFonts w:ascii="微软雅黑" w:hAnsi="微软雅黑" w:eastAsia="微软雅黑" w:cs="微软雅黑"/>
          <w:color w:val="auto"/>
          <w:szCs w:val="21"/>
          <w:highlight w:val="none"/>
        </w:rPr>
      </w:pPr>
    </w:p>
    <w:p>
      <w:pPr>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监狱企业证明文件</w:t>
      </w:r>
    </w:p>
    <w:p>
      <w:pPr>
        <w:spacing w:line="360" w:lineRule="auto"/>
        <w:jc w:val="center"/>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监狱企业证明文件</w:t>
      </w:r>
    </w:p>
    <w:tbl>
      <w:tblPr>
        <w:tblStyle w:val="58"/>
        <w:tblW w:w="8647" w:type="dxa"/>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8647"/>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8500" w:hRule="atLeast"/>
        </w:trPr>
        <w:tc>
          <w:tcPr>
            <w:tcW w:w="8647" w:type="dxa"/>
            <w:vAlign w:val="center"/>
          </w:tcPr>
          <w:p>
            <w:pPr>
              <w:spacing w:line="360" w:lineRule="auto"/>
              <w:jc w:val="center"/>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相关部门出具的监狱企业证明文件</w:t>
            </w:r>
          </w:p>
          <w:p>
            <w:pPr>
              <w:spacing w:line="360" w:lineRule="auto"/>
              <w:jc w:val="center"/>
              <w:rPr>
                <w:rFonts w:ascii="微软雅黑" w:hAnsi="微软雅黑" w:eastAsia="微软雅黑" w:cs="微软雅黑"/>
                <w:b/>
                <w:i/>
                <w:color w:val="auto"/>
                <w:kern w:val="0"/>
                <w:szCs w:val="21"/>
                <w:highlight w:val="none"/>
              </w:rPr>
            </w:pPr>
            <w:r>
              <w:rPr>
                <w:rFonts w:hint="eastAsia" w:ascii="微软雅黑" w:hAnsi="微软雅黑" w:eastAsia="微软雅黑" w:cs="微软雅黑"/>
                <w:color w:val="auto"/>
                <w:szCs w:val="21"/>
                <w:highlight w:val="none"/>
              </w:rPr>
              <w:t>（如是，提供</w:t>
            </w:r>
            <w:r>
              <w:rPr>
                <w:rFonts w:hint="eastAsia" w:ascii="微软雅黑" w:hAnsi="微软雅黑" w:eastAsia="微软雅黑" w:cs="微软雅黑"/>
                <w:color w:val="auto"/>
                <w:kern w:val="0"/>
                <w:szCs w:val="21"/>
                <w:highlight w:val="none"/>
              </w:rPr>
              <w:t>复印件加盖投标供应商公章）</w:t>
            </w:r>
          </w:p>
        </w:tc>
      </w:tr>
    </w:tbl>
    <w:p>
      <w:pPr>
        <w:spacing w:line="360" w:lineRule="auto"/>
        <w:rPr>
          <w:rFonts w:ascii="微软雅黑" w:hAnsi="微软雅黑" w:eastAsia="微软雅黑" w:cs="微软雅黑"/>
          <w:i/>
          <w:color w:val="auto"/>
          <w:szCs w:val="21"/>
          <w:highlight w:val="none"/>
        </w:rPr>
      </w:pPr>
    </w:p>
    <w:p>
      <w:pPr>
        <w:snapToGrid w:val="0"/>
        <w:spacing w:line="360" w:lineRule="auto"/>
        <w:jc w:val="left"/>
        <w:rPr>
          <w:rFonts w:ascii="微软雅黑" w:hAnsi="微软雅黑" w:eastAsia="微软雅黑" w:cs="微软雅黑"/>
          <w:color w:val="auto"/>
          <w:szCs w:val="21"/>
          <w:highlight w:val="none"/>
          <w:u w:val="single"/>
        </w:rPr>
      </w:pPr>
      <w:r>
        <w:rPr>
          <w:rFonts w:hint="eastAsia" w:ascii="微软雅黑" w:hAnsi="微软雅黑" w:eastAsia="微软雅黑" w:cs="微软雅黑"/>
          <w:color w:val="auto"/>
          <w:szCs w:val="21"/>
          <w:highlight w:val="none"/>
          <w:shd w:val="clear" w:color="auto" w:fill="FFFFFF"/>
        </w:rPr>
        <w:t>投标人名称：（盖章）</w:t>
      </w:r>
      <w:r>
        <w:rPr>
          <w:rFonts w:hint="eastAsia" w:ascii="微软雅黑" w:hAnsi="微软雅黑" w:eastAsia="微软雅黑" w:cs="微软雅黑"/>
          <w:color w:val="auto"/>
          <w:szCs w:val="21"/>
          <w:highlight w:val="none"/>
        </w:rPr>
        <w:br w:type="textWrapping"/>
      </w:r>
      <w:r>
        <w:rPr>
          <w:rFonts w:hint="eastAsia" w:ascii="微软雅黑" w:hAnsi="微软雅黑" w:eastAsia="微软雅黑" w:cs="微软雅黑"/>
          <w:color w:val="auto"/>
          <w:szCs w:val="21"/>
          <w:highlight w:val="none"/>
          <w:shd w:val="clear" w:color="auto" w:fill="FFFFFF"/>
        </w:rPr>
        <w:t>法定代表人或授权代表（签字）：</w:t>
      </w:r>
      <w:r>
        <w:rPr>
          <w:rFonts w:hint="eastAsia" w:ascii="微软雅黑" w:hAnsi="微软雅黑" w:eastAsia="微软雅黑" w:cs="微软雅黑"/>
          <w:color w:val="auto"/>
          <w:szCs w:val="21"/>
          <w:highlight w:val="none"/>
        </w:rPr>
        <w:br w:type="textWrapping"/>
      </w:r>
      <w:r>
        <w:rPr>
          <w:rFonts w:hint="eastAsia" w:ascii="微软雅黑" w:hAnsi="微软雅黑" w:eastAsia="微软雅黑" w:cs="微软雅黑"/>
          <w:color w:val="auto"/>
          <w:szCs w:val="21"/>
          <w:highlight w:val="none"/>
          <w:shd w:val="clear" w:color="auto" w:fill="FFFFFF"/>
        </w:rPr>
        <w:t>投标日期： 年 月 日</w:t>
      </w:r>
    </w:p>
    <w:p>
      <w:pPr>
        <w:pStyle w:val="554"/>
        <w:rPr>
          <w:rFonts w:ascii="微软雅黑" w:hAnsi="微软雅黑" w:eastAsia="微软雅黑" w:cs="微软雅黑"/>
          <w:color w:val="auto"/>
          <w:szCs w:val="21"/>
          <w:highlight w:val="none"/>
        </w:rPr>
      </w:pPr>
    </w:p>
    <w:p>
      <w:pPr>
        <w:rPr>
          <w:rFonts w:ascii="微软雅黑" w:hAnsi="微软雅黑" w:eastAsia="微软雅黑" w:cs="微软雅黑"/>
          <w:color w:val="auto"/>
          <w:szCs w:val="21"/>
          <w:highlight w:val="none"/>
        </w:rPr>
        <w:sectPr>
          <w:pgSz w:w="11906" w:h="16838"/>
          <w:pgMar w:top="1440" w:right="1559" w:bottom="1440" w:left="1797" w:header="851" w:footer="851" w:gutter="0"/>
          <w:cols w:space="720" w:num="1"/>
        </w:sectPr>
      </w:pPr>
    </w:p>
    <w:p>
      <w:pPr>
        <w:shd w:val="clear" w:color="auto" w:fill="FFFFFF"/>
        <w:spacing w:before="156" w:line="330" w:lineRule="atLeast"/>
        <w:ind w:firstLine="420"/>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附件：</w:t>
      </w:r>
    </w:p>
    <w:p>
      <w:pPr>
        <w:shd w:val="clear" w:color="auto" w:fill="FFFFFF"/>
        <w:spacing w:before="156" w:line="330" w:lineRule="atLeast"/>
        <w:ind w:firstLine="420"/>
        <w:jc w:val="center"/>
        <w:rPr>
          <w:rFonts w:ascii="微软雅黑" w:hAnsi="微软雅黑" w:eastAsia="微软雅黑" w:cs="微软雅黑"/>
          <w:bCs/>
          <w:color w:val="auto"/>
          <w:szCs w:val="21"/>
          <w:highlight w:val="none"/>
        </w:rPr>
      </w:pPr>
      <w:r>
        <w:rPr>
          <w:rFonts w:hint="eastAsia" w:ascii="微软雅黑" w:hAnsi="微软雅黑" w:eastAsia="微软雅黑" w:cs="微软雅黑"/>
          <w:b/>
          <w:color w:val="auto"/>
          <w:szCs w:val="21"/>
          <w:highlight w:val="none"/>
        </w:rPr>
        <w:t>国家统计局关于印发统计上大中小微型企业划分办法的通知</w:t>
      </w:r>
    </w:p>
    <w:p>
      <w:pPr>
        <w:shd w:val="clear" w:color="auto" w:fill="FFFFFF"/>
        <w:spacing w:line="330" w:lineRule="atLeast"/>
        <w:ind w:firstLine="420"/>
        <w:jc w:val="center"/>
        <w:outlineLvl w:val="9"/>
        <w:rPr>
          <w:rFonts w:ascii="微软雅黑" w:hAnsi="微软雅黑" w:eastAsia="微软雅黑" w:cs="微软雅黑"/>
          <w:bCs/>
          <w:color w:val="auto"/>
          <w:szCs w:val="21"/>
          <w:highlight w:val="none"/>
        </w:rPr>
      </w:pPr>
      <w:bookmarkStart w:id="638" w:name="_Toc24862"/>
      <w:bookmarkStart w:id="639" w:name="_Toc26183"/>
      <w:bookmarkStart w:id="640" w:name="_Toc7702"/>
      <w:r>
        <w:rPr>
          <w:rFonts w:hint="eastAsia" w:ascii="微软雅黑" w:hAnsi="微软雅黑" w:eastAsia="微软雅黑" w:cs="微软雅黑"/>
          <w:color w:val="auto"/>
          <w:szCs w:val="21"/>
          <w:highlight w:val="none"/>
        </w:rPr>
        <w:t>国统字〔2011〕75号</w:t>
      </w:r>
      <w:bookmarkEnd w:id="638"/>
      <w:bookmarkEnd w:id="639"/>
      <w:bookmarkEnd w:id="640"/>
    </w:p>
    <w:p>
      <w:pPr>
        <w:shd w:val="clear" w:color="auto" w:fill="FFFFFF"/>
        <w:spacing w:line="330" w:lineRule="atLeast"/>
        <w:ind w:firstLine="42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 各省、自治区、直辖市统计局，新疆生产建设兵团统计局，国家统计局各调查总队，国务院有关部门：</w:t>
      </w:r>
    </w:p>
    <w:p>
      <w:pPr>
        <w:shd w:val="clear" w:color="auto" w:fill="FFFFFF"/>
        <w:spacing w:line="330" w:lineRule="atLeast"/>
        <w:ind w:firstLine="42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 </w:t>
      </w:r>
    </w:p>
    <w:p>
      <w:pPr>
        <w:shd w:val="clear" w:color="auto" w:fill="FFFFFF"/>
        <w:spacing w:line="330" w:lineRule="atLeast"/>
        <w:ind w:firstLine="42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　　为贯彻落实工业和信息化部、国家统计局、国家发展改革委、财政部《关于印发中小企业划型标准规定的通知》（工信部联企业〔2011〕300号），结合统计工作的实际情况，我们制定了《统计上大中小微型企业划分办法》。现印发给你们，请遵照执行。</w:t>
      </w:r>
    </w:p>
    <w:p>
      <w:pPr>
        <w:shd w:val="clear" w:color="auto" w:fill="FFFFFF"/>
        <w:spacing w:line="330" w:lineRule="atLeast"/>
        <w:ind w:firstLine="42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 </w:t>
      </w:r>
    </w:p>
    <w:p>
      <w:pPr>
        <w:shd w:val="clear" w:color="auto" w:fill="FFFFFF"/>
        <w:wordWrap w:val="0"/>
        <w:spacing w:line="330" w:lineRule="atLeast"/>
        <w:ind w:firstLine="420"/>
        <w:jc w:val="righ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　　国家统计局 </w:t>
      </w:r>
    </w:p>
    <w:p>
      <w:pPr>
        <w:shd w:val="clear" w:color="auto" w:fill="FFFFFF"/>
        <w:spacing w:line="330" w:lineRule="atLeast"/>
        <w:ind w:firstLine="420"/>
        <w:jc w:val="righ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　　二〇一一年九月二日</w:t>
      </w:r>
    </w:p>
    <w:p>
      <w:pPr>
        <w:shd w:val="clear" w:color="auto" w:fill="FFFFFF"/>
        <w:spacing w:line="330" w:lineRule="atLeast"/>
        <w:ind w:firstLine="420"/>
        <w:jc w:val="center"/>
        <w:rPr>
          <w:rFonts w:ascii="微软雅黑" w:hAnsi="微软雅黑" w:eastAsia="微软雅黑" w:cs="微软雅黑"/>
          <w:bCs/>
          <w:color w:val="auto"/>
          <w:szCs w:val="21"/>
          <w:highlight w:val="none"/>
        </w:rPr>
      </w:pPr>
      <w:r>
        <w:rPr>
          <w:rFonts w:hint="eastAsia" w:ascii="微软雅黑" w:hAnsi="微软雅黑" w:eastAsia="微软雅黑" w:cs="微软雅黑"/>
          <w:b/>
          <w:color w:val="auto"/>
          <w:szCs w:val="21"/>
          <w:highlight w:val="none"/>
        </w:rPr>
        <w:t>统计上大中小微型企业划分办法</w:t>
      </w:r>
    </w:p>
    <w:p>
      <w:pPr>
        <w:shd w:val="clear" w:color="auto" w:fill="FFFFFF"/>
        <w:spacing w:line="330" w:lineRule="atLeast"/>
        <w:ind w:firstLine="42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 一、根据工业和信息化部、国家统计局、国家发展改革委、财政部《关于印发中小企业划型标准规定的通知》（工信部联企业〔2011〕300号），结合统计工作的实际情况，特制定本办法。</w:t>
      </w:r>
    </w:p>
    <w:p>
      <w:pPr>
        <w:shd w:val="clear" w:color="auto" w:fill="FFFFFF"/>
        <w:spacing w:line="330" w:lineRule="atLeast"/>
        <w:ind w:firstLine="42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 二、本办法适用对象为在中华人民共和国境内依法设立的各种组织形式的法人企业或单位。个体工商户参照本办法进行划分。</w:t>
      </w:r>
    </w:p>
    <w:p>
      <w:pPr>
        <w:shd w:val="clear" w:color="auto" w:fill="FFFFFF"/>
        <w:spacing w:line="330" w:lineRule="atLeast"/>
        <w:ind w:firstLine="42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 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shd w:val="clear" w:color="auto" w:fill="FFFFFF"/>
        <w:spacing w:line="330" w:lineRule="atLeast"/>
        <w:ind w:firstLine="42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四、本办法按照行业门类、大类、中类和组合类别，依据从业人员、营业收入、资产总额等指标或替代指标，将我国的企业划分为大型、中型、小型、微型等四种类型。具体划分标准见附表。</w:t>
      </w:r>
    </w:p>
    <w:p>
      <w:pPr>
        <w:shd w:val="clear" w:color="auto" w:fill="FFFFFF"/>
        <w:spacing w:line="330" w:lineRule="atLeast"/>
        <w:ind w:firstLine="42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 五、企业划分由政府综合统计部门根据统计年报每年确定一次，定报统计原则上不进行调整。</w:t>
      </w:r>
    </w:p>
    <w:p>
      <w:pPr>
        <w:shd w:val="clear" w:color="auto" w:fill="FFFFFF"/>
        <w:spacing w:line="330" w:lineRule="atLeast"/>
        <w:ind w:firstLine="42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六、本办法自印发之日起执行，国家统计局2003年印发的《统计上大中小型企业划分办法（暂行）》（国统字〔2003〕17号）同时废止。</w:t>
      </w:r>
    </w:p>
    <w:p>
      <w:pPr>
        <w:shd w:val="clear" w:color="auto" w:fill="FFFFFF"/>
        <w:spacing w:line="330" w:lineRule="atLeast"/>
        <w:ind w:firstLine="482"/>
        <w:rPr>
          <w:rFonts w:ascii="微软雅黑" w:hAnsi="微软雅黑" w:eastAsia="微软雅黑" w:cs="微软雅黑"/>
          <w:bCs/>
          <w:color w:val="auto"/>
          <w:szCs w:val="21"/>
          <w:highlight w:val="none"/>
        </w:rPr>
      </w:pPr>
      <w:r>
        <w:rPr>
          <w:rFonts w:hint="eastAsia" w:ascii="微软雅黑" w:hAnsi="微软雅黑" w:eastAsia="微软雅黑" w:cs="微软雅黑"/>
          <w:b/>
          <w:color w:val="auto"/>
          <w:szCs w:val="21"/>
          <w:highlight w:val="none"/>
        </w:rPr>
        <w:t> </w:t>
      </w:r>
      <w:r>
        <w:rPr>
          <w:rFonts w:hint="eastAsia" w:ascii="微软雅黑" w:hAnsi="微软雅黑" w:eastAsia="微软雅黑" w:cs="微软雅黑"/>
          <w:color w:val="auto"/>
          <w:szCs w:val="21"/>
          <w:highlight w:val="none"/>
        </w:rPr>
        <w:t>　　附表：</w:t>
      </w:r>
    </w:p>
    <w:p>
      <w:pPr>
        <w:shd w:val="clear" w:color="auto" w:fill="FFFFFF"/>
        <w:spacing w:line="330" w:lineRule="atLeast"/>
        <w:ind w:firstLine="42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 </w:t>
      </w:r>
      <w:r>
        <w:rPr>
          <w:rFonts w:hint="eastAsia" w:ascii="微软雅黑" w:hAnsi="微软雅黑" w:eastAsia="微软雅黑" w:cs="微软雅黑"/>
          <w:b/>
          <w:color w:val="auto"/>
          <w:szCs w:val="21"/>
          <w:highlight w:val="none"/>
        </w:rPr>
        <w:t>统计上大中小微型企业划分标准</w:t>
      </w:r>
    </w:p>
    <w:tbl>
      <w:tblPr>
        <w:tblStyle w:val="58"/>
        <w:tblW w:w="9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35"/>
        <w:gridCol w:w="1406"/>
        <w:gridCol w:w="758"/>
        <w:gridCol w:w="1361"/>
        <w:gridCol w:w="1894"/>
        <w:gridCol w:w="1556"/>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435" w:type="dxa"/>
            <w:shd w:val="clear" w:color="auto" w:fill="auto"/>
            <w:tcMar>
              <w:top w:w="0" w:type="dxa"/>
              <w:left w:w="108" w:type="dxa"/>
              <w:bottom w:w="0" w:type="dxa"/>
              <w:right w:w="108" w:type="dxa"/>
            </w:tcMar>
            <w:vAlign w:val="center"/>
          </w:tcPr>
          <w:p>
            <w:pPr>
              <w:spacing w:after="0" w:line="500" w:lineRule="exact"/>
              <w:jc w:val="center"/>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 </w:t>
            </w:r>
            <w:r>
              <w:rPr>
                <w:rFonts w:hint="eastAsia" w:ascii="微软雅黑" w:hAnsi="微软雅黑" w:eastAsia="微软雅黑" w:cs="微软雅黑"/>
                <w:b/>
                <w:color w:val="auto"/>
                <w:szCs w:val="21"/>
                <w:highlight w:val="none"/>
              </w:rPr>
              <w:t>行业名称</w:t>
            </w:r>
          </w:p>
        </w:tc>
        <w:tc>
          <w:tcPr>
            <w:tcW w:w="1406" w:type="dxa"/>
            <w:shd w:val="clear" w:color="auto" w:fill="auto"/>
            <w:tcMar>
              <w:top w:w="0" w:type="dxa"/>
              <w:left w:w="108" w:type="dxa"/>
              <w:bottom w:w="0" w:type="dxa"/>
              <w:right w:w="108" w:type="dxa"/>
            </w:tcMar>
            <w:vAlign w:val="center"/>
          </w:tcPr>
          <w:p>
            <w:pPr>
              <w:spacing w:after="0" w:line="500" w:lineRule="exact"/>
              <w:jc w:val="center"/>
              <w:rPr>
                <w:rFonts w:ascii="微软雅黑" w:hAnsi="微软雅黑" w:eastAsia="微软雅黑" w:cs="微软雅黑"/>
                <w:bCs/>
                <w:color w:val="auto"/>
                <w:szCs w:val="21"/>
                <w:highlight w:val="none"/>
              </w:rPr>
            </w:pPr>
            <w:r>
              <w:rPr>
                <w:rFonts w:hint="eastAsia" w:ascii="微软雅黑" w:hAnsi="微软雅黑" w:eastAsia="微软雅黑" w:cs="微软雅黑"/>
                <w:b/>
                <w:color w:val="auto"/>
                <w:szCs w:val="21"/>
                <w:highlight w:val="none"/>
              </w:rPr>
              <w:t>指标名称</w:t>
            </w:r>
          </w:p>
        </w:tc>
        <w:tc>
          <w:tcPr>
            <w:tcW w:w="758" w:type="dxa"/>
            <w:shd w:val="clear" w:color="auto" w:fill="auto"/>
            <w:tcMar>
              <w:top w:w="0" w:type="dxa"/>
              <w:left w:w="108" w:type="dxa"/>
              <w:bottom w:w="0" w:type="dxa"/>
              <w:right w:w="108" w:type="dxa"/>
            </w:tcMar>
            <w:vAlign w:val="center"/>
          </w:tcPr>
          <w:p>
            <w:pPr>
              <w:spacing w:after="0" w:line="500" w:lineRule="exact"/>
              <w:jc w:val="center"/>
              <w:rPr>
                <w:rFonts w:ascii="微软雅黑" w:hAnsi="微软雅黑" w:eastAsia="微软雅黑" w:cs="微软雅黑"/>
                <w:bCs/>
                <w:color w:val="auto"/>
                <w:szCs w:val="21"/>
                <w:highlight w:val="none"/>
              </w:rPr>
            </w:pPr>
            <w:r>
              <w:rPr>
                <w:rFonts w:hint="eastAsia" w:ascii="微软雅黑" w:hAnsi="微软雅黑" w:eastAsia="微软雅黑" w:cs="微软雅黑"/>
                <w:b/>
                <w:color w:val="auto"/>
                <w:szCs w:val="21"/>
                <w:highlight w:val="none"/>
              </w:rPr>
              <w:t>计量</w:t>
            </w:r>
            <w:r>
              <w:rPr>
                <w:rFonts w:hint="eastAsia" w:ascii="微软雅黑" w:hAnsi="微软雅黑" w:eastAsia="微软雅黑" w:cs="微软雅黑"/>
                <w:b/>
                <w:color w:val="auto"/>
                <w:szCs w:val="21"/>
                <w:highlight w:val="none"/>
              </w:rPr>
              <w:br w:type="textWrapping"/>
            </w:r>
            <w:r>
              <w:rPr>
                <w:rFonts w:hint="eastAsia" w:ascii="微软雅黑" w:hAnsi="微软雅黑" w:eastAsia="微软雅黑" w:cs="微软雅黑"/>
                <w:b/>
                <w:color w:val="auto"/>
                <w:szCs w:val="21"/>
                <w:highlight w:val="none"/>
              </w:rPr>
              <w:t>单位</w:t>
            </w:r>
          </w:p>
        </w:tc>
        <w:tc>
          <w:tcPr>
            <w:tcW w:w="1361" w:type="dxa"/>
            <w:shd w:val="clear" w:color="auto" w:fill="auto"/>
            <w:tcMar>
              <w:top w:w="0" w:type="dxa"/>
              <w:left w:w="108" w:type="dxa"/>
              <w:bottom w:w="0" w:type="dxa"/>
              <w:right w:w="108" w:type="dxa"/>
            </w:tcMar>
            <w:vAlign w:val="center"/>
          </w:tcPr>
          <w:p>
            <w:pPr>
              <w:spacing w:after="0" w:line="500" w:lineRule="exact"/>
              <w:jc w:val="center"/>
              <w:rPr>
                <w:rFonts w:ascii="微软雅黑" w:hAnsi="微软雅黑" w:eastAsia="微软雅黑" w:cs="微软雅黑"/>
                <w:bCs/>
                <w:color w:val="auto"/>
                <w:szCs w:val="21"/>
                <w:highlight w:val="none"/>
              </w:rPr>
            </w:pPr>
            <w:r>
              <w:rPr>
                <w:rFonts w:hint="eastAsia" w:ascii="微软雅黑" w:hAnsi="微软雅黑" w:eastAsia="微软雅黑" w:cs="微软雅黑"/>
                <w:b/>
                <w:color w:val="auto"/>
                <w:szCs w:val="21"/>
                <w:highlight w:val="none"/>
              </w:rPr>
              <w:t>大型</w:t>
            </w:r>
          </w:p>
        </w:tc>
        <w:tc>
          <w:tcPr>
            <w:tcW w:w="1894" w:type="dxa"/>
            <w:shd w:val="clear" w:color="auto" w:fill="auto"/>
            <w:tcMar>
              <w:top w:w="0" w:type="dxa"/>
              <w:left w:w="108" w:type="dxa"/>
              <w:bottom w:w="0" w:type="dxa"/>
              <w:right w:w="108" w:type="dxa"/>
            </w:tcMar>
            <w:vAlign w:val="center"/>
          </w:tcPr>
          <w:p>
            <w:pPr>
              <w:spacing w:after="0" w:line="500" w:lineRule="exact"/>
              <w:jc w:val="center"/>
              <w:rPr>
                <w:rFonts w:ascii="微软雅黑" w:hAnsi="微软雅黑" w:eastAsia="微软雅黑" w:cs="微软雅黑"/>
                <w:bCs/>
                <w:color w:val="auto"/>
                <w:szCs w:val="21"/>
                <w:highlight w:val="none"/>
              </w:rPr>
            </w:pPr>
            <w:r>
              <w:rPr>
                <w:rFonts w:hint="eastAsia" w:ascii="微软雅黑" w:hAnsi="微软雅黑" w:eastAsia="微软雅黑" w:cs="微软雅黑"/>
                <w:b/>
                <w:color w:val="auto"/>
                <w:szCs w:val="21"/>
                <w:highlight w:val="none"/>
              </w:rPr>
              <w:t>中型</w:t>
            </w:r>
          </w:p>
        </w:tc>
        <w:tc>
          <w:tcPr>
            <w:tcW w:w="1556" w:type="dxa"/>
            <w:shd w:val="clear" w:color="auto" w:fill="auto"/>
            <w:tcMar>
              <w:top w:w="0" w:type="dxa"/>
              <w:left w:w="108" w:type="dxa"/>
              <w:bottom w:w="0" w:type="dxa"/>
              <w:right w:w="108" w:type="dxa"/>
            </w:tcMar>
            <w:vAlign w:val="center"/>
          </w:tcPr>
          <w:p>
            <w:pPr>
              <w:spacing w:after="0" w:line="500" w:lineRule="exact"/>
              <w:jc w:val="center"/>
              <w:rPr>
                <w:rFonts w:ascii="微软雅黑" w:hAnsi="微软雅黑" w:eastAsia="微软雅黑" w:cs="微软雅黑"/>
                <w:bCs/>
                <w:color w:val="auto"/>
                <w:szCs w:val="21"/>
                <w:highlight w:val="none"/>
              </w:rPr>
            </w:pPr>
            <w:r>
              <w:rPr>
                <w:rFonts w:hint="eastAsia" w:ascii="微软雅黑" w:hAnsi="微软雅黑" w:eastAsia="微软雅黑" w:cs="微软雅黑"/>
                <w:b/>
                <w:color w:val="auto"/>
                <w:szCs w:val="21"/>
                <w:highlight w:val="none"/>
              </w:rPr>
              <w:t>小型</w:t>
            </w:r>
          </w:p>
        </w:tc>
        <w:tc>
          <w:tcPr>
            <w:tcW w:w="1116" w:type="dxa"/>
            <w:shd w:val="clear" w:color="auto" w:fill="auto"/>
            <w:tcMar>
              <w:top w:w="0" w:type="dxa"/>
              <w:left w:w="108" w:type="dxa"/>
              <w:bottom w:w="0" w:type="dxa"/>
              <w:right w:w="108" w:type="dxa"/>
            </w:tcMar>
            <w:vAlign w:val="center"/>
          </w:tcPr>
          <w:p>
            <w:pPr>
              <w:spacing w:after="0" w:line="500" w:lineRule="exact"/>
              <w:jc w:val="center"/>
              <w:rPr>
                <w:rFonts w:ascii="微软雅黑" w:hAnsi="微软雅黑" w:eastAsia="微软雅黑" w:cs="微软雅黑"/>
                <w:bCs/>
                <w:color w:val="auto"/>
                <w:szCs w:val="21"/>
                <w:highlight w:val="none"/>
              </w:rPr>
            </w:pPr>
            <w:r>
              <w:rPr>
                <w:rFonts w:hint="eastAsia" w:ascii="微软雅黑" w:hAnsi="微软雅黑" w:eastAsia="微软雅黑" w:cs="微软雅黑"/>
                <w:b/>
                <w:color w:val="auto"/>
                <w:szCs w:val="21"/>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435"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农、林、牧、渔业</w:t>
            </w:r>
          </w:p>
        </w:tc>
        <w:tc>
          <w:tcPr>
            <w:tcW w:w="1406"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营业收入(Y)</w:t>
            </w:r>
          </w:p>
        </w:tc>
        <w:tc>
          <w:tcPr>
            <w:tcW w:w="758"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万元</w:t>
            </w:r>
          </w:p>
        </w:tc>
        <w:tc>
          <w:tcPr>
            <w:tcW w:w="1361"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Y≥20000</w:t>
            </w:r>
          </w:p>
        </w:tc>
        <w:tc>
          <w:tcPr>
            <w:tcW w:w="1894"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500≤Y＜20000</w:t>
            </w:r>
          </w:p>
        </w:tc>
        <w:tc>
          <w:tcPr>
            <w:tcW w:w="1556"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50≤Y＜500</w:t>
            </w:r>
          </w:p>
        </w:tc>
        <w:tc>
          <w:tcPr>
            <w:tcW w:w="1116"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435" w:type="dxa"/>
            <w:vMerge w:val="restart"/>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工业 *</w:t>
            </w:r>
          </w:p>
        </w:tc>
        <w:tc>
          <w:tcPr>
            <w:tcW w:w="1406"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从业人员(X)</w:t>
            </w:r>
          </w:p>
        </w:tc>
        <w:tc>
          <w:tcPr>
            <w:tcW w:w="758"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人</w:t>
            </w:r>
          </w:p>
        </w:tc>
        <w:tc>
          <w:tcPr>
            <w:tcW w:w="1361"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X≥1000</w:t>
            </w:r>
          </w:p>
        </w:tc>
        <w:tc>
          <w:tcPr>
            <w:tcW w:w="1894"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300≤X＜1000</w:t>
            </w:r>
          </w:p>
        </w:tc>
        <w:tc>
          <w:tcPr>
            <w:tcW w:w="1556"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20≤X＜300</w:t>
            </w:r>
          </w:p>
        </w:tc>
        <w:tc>
          <w:tcPr>
            <w:tcW w:w="1116"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435" w:type="dxa"/>
            <w:vMerge w:val="continue"/>
            <w:vAlign w:val="center"/>
          </w:tcPr>
          <w:p>
            <w:pPr>
              <w:spacing w:after="0" w:line="500" w:lineRule="exact"/>
              <w:rPr>
                <w:rFonts w:ascii="微软雅黑" w:hAnsi="微软雅黑" w:eastAsia="微软雅黑" w:cs="微软雅黑"/>
                <w:bCs/>
                <w:color w:val="auto"/>
                <w:szCs w:val="21"/>
                <w:highlight w:val="none"/>
              </w:rPr>
            </w:pPr>
          </w:p>
        </w:tc>
        <w:tc>
          <w:tcPr>
            <w:tcW w:w="1406"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营业收入(Y)</w:t>
            </w:r>
          </w:p>
        </w:tc>
        <w:tc>
          <w:tcPr>
            <w:tcW w:w="758"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万元</w:t>
            </w:r>
          </w:p>
        </w:tc>
        <w:tc>
          <w:tcPr>
            <w:tcW w:w="1361"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Y≥40000</w:t>
            </w:r>
          </w:p>
        </w:tc>
        <w:tc>
          <w:tcPr>
            <w:tcW w:w="1894"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2000≤Y＜40000</w:t>
            </w:r>
          </w:p>
        </w:tc>
        <w:tc>
          <w:tcPr>
            <w:tcW w:w="1556"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300≤Y＜2000</w:t>
            </w:r>
          </w:p>
        </w:tc>
        <w:tc>
          <w:tcPr>
            <w:tcW w:w="1116"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435" w:type="dxa"/>
            <w:vMerge w:val="restart"/>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建筑业</w:t>
            </w:r>
          </w:p>
        </w:tc>
        <w:tc>
          <w:tcPr>
            <w:tcW w:w="1406"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营业收入(Y)</w:t>
            </w:r>
          </w:p>
        </w:tc>
        <w:tc>
          <w:tcPr>
            <w:tcW w:w="758"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万元</w:t>
            </w:r>
          </w:p>
        </w:tc>
        <w:tc>
          <w:tcPr>
            <w:tcW w:w="1361"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Y≥80000</w:t>
            </w:r>
          </w:p>
        </w:tc>
        <w:tc>
          <w:tcPr>
            <w:tcW w:w="1894"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6000≤Y＜80000</w:t>
            </w:r>
          </w:p>
        </w:tc>
        <w:tc>
          <w:tcPr>
            <w:tcW w:w="1556"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300≤Y＜6000</w:t>
            </w:r>
          </w:p>
        </w:tc>
        <w:tc>
          <w:tcPr>
            <w:tcW w:w="1116"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435" w:type="dxa"/>
            <w:vMerge w:val="continue"/>
            <w:vAlign w:val="center"/>
          </w:tcPr>
          <w:p>
            <w:pPr>
              <w:spacing w:after="0" w:line="500" w:lineRule="exact"/>
              <w:rPr>
                <w:rFonts w:ascii="微软雅黑" w:hAnsi="微软雅黑" w:eastAsia="微软雅黑" w:cs="微软雅黑"/>
                <w:bCs/>
                <w:color w:val="auto"/>
                <w:szCs w:val="21"/>
                <w:highlight w:val="none"/>
              </w:rPr>
            </w:pPr>
          </w:p>
        </w:tc>
        <w:tc>
          <w:tcPr>
            <w:tcW w:w="1406"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资产总额(Z)</w:t>
            </w:r>
          </w:p>
        </w:tc>
        <w:tc>
          <w:tcPr>
            <w:tcW w:w="758"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万元</w:t>
            </w:r>
          </w:p>
        </w:tc>
        <w:tc>
          <w:tcPr>
            <w:tcW w:w="1361"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Z≥80000</w:t>
            </w:r>
          </w:p>
        </w:tc>
        <w:tc>
          <w:tcPr>
            <w:tcW w:w="1894"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5000≤Z＜80000</w:t>
            </w:r>
          </w:p>
        </w:tc>
        <w:tc>
          <w:tcPr>
            <w:tcW w:w="1556"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300≤Z＜5000</w:t>
            </w:r>
          </w:p>
        </w:tc>
        <w:tc>
          <w:tcPr>
            <w:tcW w:w="1116"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435" w:type="dxa"/>
            <w:vMerge w:val="restart"/>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批发业</w:t>
            </w:r>
          </w:p>
        </w:tc>
        <w:tc>
          <w:tcPr>
            <w:tcW w:w="1406"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从业人员(X)</w:t>
            </w:r>
          </w:p>
        </w:tc>
        <w:tc>
          <w:tcPr>
            <w:tcW w:w="758"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人</w:t>
            </w:r>
          </w:p>
        </w:tc>
        <w:tc>
          <w:tcPr>
            <w:tcW w:w="1361"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X≥200</w:t>
            </w:r>
          </w:p>
        </w:tc>
        <w:tc>
          <w:tcPr>
            <w:tcW w:w="1894"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20≤X＜200</w:t>
            </w:r>
          </w:p>
        </w:tc>
        <w:tc>
          <w:tcPr>
            <w:tcW w:w="1556"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5≤X＜20</w:t>
            </w:r>
          </w:p>
        </w:tc>
        <w:tc>
          <w:tcPr>
            <w:tcW w:w="1116"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435" w:type="dxa"/>
            <w:vMerge w:val="continue"/>
            <w:vAlign w:val="center"/>
          </w:tcPr>
          <w:p>
            <w:pPr>
              <w:spacing w:after="0" w:line="500" w:lineRule="exact"/>
              <w:rPr>
                <w:rFonts w:ascii="微软雅黑" w:hAnsi="微软雅黑" w:eastAsia="微软雅黑" w:cs="微软雅黑"/>
                <w:bCs/>
                <w:color w:val="auto"/>
                <w:szCs w:val="21"/>
                <w:highlight w:val="none"/>
              </w:rPr>
            </w:pPr>
          </w:p>
        </w:tc>
        <w:tc>
          <w:tcPr>
            <w:tcW w:w="1406"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营业收入(Y)</w:t>
            </w:r>
          </w:p>
        </w:tc>
        <w:tc>
          <w:tcPr>
            <w:tcW w:w="758"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万元</w:t>
            </w:r>
          </w:p>
        </w:tc>
        <w:tc>
          <w:tcPr>
            <w:tcW w:w="1361"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Y≥40000</w:t>
            </w:r>
          </w:p>
        </w:tc>
        <w:tc>
          <w:tcPr>
            <w:tcW w:w="1894"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5000≤Y＜40000</w:t>
            </w:r>
          </w:p>
        </w:tc>
        <w:tc>
          <w:tcPr>
            <w:tcW w:w="1556"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1000≤Y＜5000</w:t>
            </w:r>
          </w:p>
        </w:tc>
        <w:tc>
          <w:tcPr>
            <w:tcW w:w="1116"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435" w:type="dxa"/>
            <w:vMerge w:val="restart"/>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零售业</w:t>
            </w:r>
          </w:p>
        </w:tc>
        <w:tc>
          <w:tcPr>
            <w:tcW w:w="1406"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从业人员(X)</w:t>
            </w:r>
          </w:p>
        </w:tc>
        <w:tc>
          <w:tcPr>
            <w:tcW w:w="758"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人</w:t>
            </w:r>
          </w:p>
        </w:tc>
        <w:tc>
          <w:tcPr>
            <w:tcW w:w="1361"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X≥300</w:t>
            </w:r>
          </w:p>
        </w:tc>
        <w:tc>
          <w:tcPr>
            <w:tcW w:w="1894"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50≤X＜300</w:t>
            </w:r>
          </w:p>
        </w:tc>
        <w:tc>
          <w:tcPr>
            <w:tcW w:w="1556"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10≤X＜50</w:t>
            </w:r>
          </w:p>
        </w:tc>
        <w:tc>
          <w:tcPr>
            <w:tcW w:w="1116"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435" w:type="dxa"/>
            <w:vMerge w:val="continue"/>
            <w:vAlign w:val="center"/>
          </w:tcPr>
          <w:p>
            <w:pPr>
              <w:spacing w:after="0" w:line="500" w:lineRule="exact"/>
              <w:rPr>
                <w:rFonts w:ascii="微软雅黑" w:hAnsi="微软雅黑" w:eastAsia="微软雅黑" w:cs="微软雅黑"/>
                <w:bCs/>
                <w:color w:val="auto"/>
                <w:szCs w:val="21"/>
                <w:highlight w:val="none"/>
              </w:rPr>
            </w:pPr>
          </w:p>
        </w:tc>
        <w:tc>
          <w:tcPr>
            <w:tcW w:w="1406"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营业收入(Y)</w:t>
            </w:r>
          </w:p>
        </w:tc>
        <w:tc>
          <w:tcPr>
            <w:tcW w:w="758"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万元</w:t>
            </w:r>
          </w:p>
        </w:tc>
        <w:tc>
          <w:tcPr>
            <w:tcW w:w="1361"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Y≥20000</w:t>
            </w:r>
          </w:p>
        </w:tc>
        <w:tc>
          <w:tcPr>
            <w:tcW w:w="1894"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500≤Y＜20000</w:t>
            </w:r>
          </w:p>
        </w:tc>
        <w:tc>
          <w:tcPr>
            <w:tcW w:w="1556"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100≤Y＜500</w:t>
            </w:r>
          </w:p>
        </w:tc>
        <w:tc>
          <w:tcPr>
            <w:tcW w:w="1116"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435" w:type="dxa"/>
            <w:vMerge w:val="restart"/>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交通运输业 *</w:t>
            </w:r>
          </w:p>
        </w:tc>
        <w:tc>
          <w:tcPr>
            <w:tcW w:w="1406"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从业人员(X)</w:t>
            </w:r>
          </w:p>
        </w:tc>
        <w:tc>
          <w:tcPr>
            <w:tcW w:w="758"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人</w:t>
            </w:r>
          </w:p>
        </w:tc>
        <w:tc>
          <w:tcPr>
            <w:tcW w:w="1361"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X≥1000</w:t>
            </w:r>
          </w:p>
        </w:tc>
        <w:tc>
          <w:tcPr>
            <w:tcW w:w="1894"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300≤X＜1000</w:t>
            </w:r>
          </w:p>
        </w:tc>
        <w:tc>
          <w:tcPr>
            <w:tcW w:w="1556"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20≤X＜300</w:t>
            </w:r>
          </w:p>
        </w:tc>
        <w:tc>
          <w:tcPr>
            <w:tcW w:w="1116"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435" w:type="dxa"/>
            <w:vMerge w:val="continue"/>
            <w:vAlign w:val="center"/>
          </w:tcPr>
          <w:p>
            <w:pPr>
              <w:spacing w:after="0" w:line="500" w:lineRule="exact"/>
              <w:rPr>
                <w:rFonts w:ascii="微软雅黑" w:hAnsi="微软雅黑" w:eastAsia="微软雅黑" w:cs="微软雅黑"/>
                <w:bCs/>
                <w:color w:val="auto"/>
                <w:szCs w:val="21"/>
                <w:highlight w:val="none"/>
              </w:rPr>
            </w:pPr>
          </w:p>
        </w:tc>
        <w:tc>
          <w:tcPr>
            <w:tcW w:w="1406"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营业收入(Y)</w:t>
            </w:r>
          </w:p>
        </w:tc>
        <w:tc>
          <w:tcPr>
            <w:tcW w:w="758"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万元</w:t>
            </w:r>
          </w:p>
        </w:tc>
        <w:tc>
          <w:tcPr>
            <w:tcW w:w="1361"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Y≥30000</w:t>
            </w:r>
          </w:p>
        </w:tc>
        <w:tc>
          <w:tcPr>
            <w:tcW w:w="1894"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3000≤Y＜30000</w:t>
            </w:r>
          </w:p>
        </w:tc>
        <w:tc>
          <w:tcPr>
            <w:tcW w:w="1556"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200≤Y＜3000</w:t>
            </w:r>
          </w:p>
        </w:tc>
        <w:tc>
          <w:tcPr>
            <w:tcW w:w="1116"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435" w:type="dxa"/>
            <w:vMerge w:val="restart"/>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仓储业</w:t>
            </w:r>
          </w:p>
        </w:tc>
        <w:tc>
          <w:tcPr>
            <w:tcW w:w="1406"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从业人员(X)</w:t>
            </w:r>
          </w:p>
        </w:tc>
        <w:tc>
          <w:tcPr>
            <w:tcW w:w="758"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人</w:t>
            </w:r>
          </w:p>
        </w:tc>
        <w:tc>
          <w:tcPr>
            <w:tcW w:w="1361"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X≥200</w:t>
            </w:r>
          </w:p>
        </w:tc>
        <w:tc>
          <w:tcPr>
            <w:tcW w:w="1894"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100≤X＜200</w:t>
            </w:r>
          </w:p>
        </w:tc>
        <w:tc>
          <w:tcPr>
            <w:tcW w:w="1556"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20≤X＜100</w:t>
            </w:r>
          </w:p>
        </w:tc>
        <w:tc>
          <w:tcPr>
            <w:tcW w:w="1116"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435" w:type="dxa"/>
            <w:vMerge w:val="continue"/>
            <w:vAlign w:val="center"/>
          </w:tcPr>
          <w:p>
            <w:pPr>
              <w:spacing w:after="0" w:line="500" w:lineRule="exact"/>
              <w:rPr>
                <w:rFonts w:ascii="微软雅黑" w:hAnsi="微软雅黑" w:eastAsia="微软雅黑" w:cs="微软雅黑"/>
                <w:bCs/>
                <w:color w:val="auto"/>
                <w:szCs w:val="21"/>
                <w:highlight w:val="none"/>
              </w:rPr>
            </w:pPr>
          </w:p>
        </w:tc>
        <w:tc>
          <w:tcPr>
            <w:tcW w:w="1406"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营业收入(Y)</w:t>
            </w:r>
          </w:p>
        </w:tc>
        <w:tc>
          <w:tcPr>
            <w:tcW w:w="758"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万元</w:t>
            </w:r>
          </w:p>
        </w:tc>
        <w:tc>
          <w:tcPr>
            <w:tcW w:w="1361"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Y≥30000</w:t>
            </w:r>
          </w:p>
        </w:tc>
        <w:tc>
          <w:tcPr>
            <w:tcW w:w="1894"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1000≤Y＜30000</w:t>
            </w:r>
          </w:p>
        </w:tc>
        <w:tc>
          <w:tcPr>
            <w:tcW w:w="1556"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100≤Y＜1000</w:t>
            </w:r>
          </w:p>
        </w:tc>
        <w:tc>
          <w:tcPr>
            <w:tcW w:w="1116"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435" w:type="dxa"/>
            <w:vMerge w:val="restart"/>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邮政业</w:t>
            </w:r>
          </w:p>
        </w:tc>
        <w:tc>
          <w:tcPr>
            <w:tcW w:w="1406"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从业人员(X)</w:t>
            </w:r>
          </w:p>
        </w:tc>
        <w:tc>
          <w:tcPr>
            <w:tcW w:w="758"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人</w:t>
            </w:r>
          </w:p>
        </w:tc>
        <w:tc>
          <w:tcPr>
            <w:tcW w:w="1361"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X≥1000</w:t>
            </w:r>
          </w:p>
        </w:tc>
        <w:tc>
          <w:tcPr>
            <w:tcW w:w="1894"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300≤X＜1000</w:t>
            </w:r>
          </w:p>
        </w:tc>
        <w:tc>
          <w:tcPr>
            <w:tcW w:w="1556"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20≤X＜300</w:t>
            </w:r>
          </w:p>
        </w:tc>
        <w:tc>
          <w:tcPr>
            <w:tcW w:w="1116"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435" w:type="dxa"/>
            <w:vMerge w:val="continue"/>
            <w:vAlign w:val="center"/>
          </w:tcPr>
          <w:p>
            <w:pPr>
              <w:spacing w:after="0" w:line="500" w:lineRule="exact"/>
              <w:rPr>
                <w:rFonts w:ascii="微软雅黑" w:hAnsi="微软雅黑" w:eastAsia="微软雅黑" w:cs="微软雅黑"/>
                <w:bCs/>
                <w:color w:val="auto"/>
                <w:szCs w:val="21"/>
                <w:highlight w:val="none"/>
              </w:rPr>
            </w:pPr>
          </w:p>
        </w:tc>
        <w:tc>
          <w:tcPr>
            <w:tcW w:w="1406"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营业收入(Y)</w:t>
            </w:r>
          </w:p>
        </w:tc>
        <w:tc>
          <w:tcPr>
            <w:tcW w:w="758"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万元</w:t>
            </w:r>
          </w:p>
        </w:tc>
        <w:tc>
          <w:tcPr>
            <w:tcW w:w="1361"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Y≥30000</w:t>
            </w:r>
          </w:p>
        </w:tc>
        <w:tc>
          <w:tcPr>
            <w:tcW w:w="1894"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2000≤Y＜30000</w:t>
            </w:r>
          </w:p>
        </w:tc>
        <w:tc>
          <w:tcPr>
            <w:tcW w:w="1556"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100≤Y＜2000</w:t>
            </w:r>
          </w:p>
        </w:tc>
        <w:tc>
          <w:tcPr>
            <w:tcW w:w="1116"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435" w:type="dxa"/>
            <w:vMerge w:val="restart"/>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住宿业</w:t>
            </w:r>
          </w:p>
        </w:tc>
        <w:tc>
          <w:tcPr>
            <w:tcW w:w="1406"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从业人员(X)</w:t>
            </w:r>
          </w:p>
        </w:tc>
        <w:tc>
          <w:tcPr>
            <w:tcW w:w="758"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人</w:t>
            </w:r>
          </w:p>
        </w:tc>
        <w:tc>
          <w:tcPr>
            <w:tcW w:w="1361"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X≥300</w:t>
            </w:r>
          </w:p>
        </w:tc>
        <w:tc>
          <w:tcPr>
            <w:tcW w:w="1894"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100≤X＜300</w:t>
            </w:r>
          </w:p>
        </w:tc>
        <w:tc>
          <w:tcPr>
            <w:tcW w:w="1556"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10≤X＜100</w:t>
            </w:r>
          </w:p>
        </w:tc>
        <w:tc>
          <w:tcPr>
            <w:tcW w:w="1116"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435" w:type="dxa"/>
            <w:vMerge w:val="continue"/>
            <w:vAlign w:val="center"/>
          </w:tcPr>
          <w:p>
            <w:pPr>
              <w:spacing w:after="0" w:line="500" w:lineRule="exact"/>
              <w:rPr>
                <w:rFonts w:ascii="微软雅黑" w:hAnsi="微软雅黑" w:eastAsia="微软雅黑" w:cs="微软雅黑"/>
                <w:bCs/>
                <w:color w:val="auto"/>
                <w:szCs w:val="21"/>
                <w:highlight w:val="none"/>
              </w:rPr>
            </w:pPr>
          </w:p>
        </w:tc>
        <w:tc>
          <w:tcPr>
            <w:tcW w:w="1406"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营业收入(Y)</w:t>
            </w:r>
          </w:p>
        </w:tc>
        <w:tc>
          <w:tcPr>
            <w:tcW w:w="758"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万元</w:t>
            </w:r>
          </w:p>
        </w:tc>
        <w:tc>
          <w:tcPr>
            <w:tcW w:w="1361"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Y≥10000</w:t>
            </w:r>
          </w:p>
        </w:tc>
        <w:tc>
          <w:tcPr>
            <w:tcW w:w="1894"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2000≤Y＜10000</w:t>
            </w:r>
          </w:p>
        </w:tc>
        <w:tc>
          <w:tcPr>
            <w:tcW w:w="1556"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100≤Y＜2000</w:t>
            </w:r>
          </w:p>
        </w:tc>
        <w:tc>
          <w:tcPr>
            <w:tcW w:w="1116"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435" w:type="dxa"/>
            <w:vMerge w:val="restart"/>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餐饮业</w:t>
            </w:r>
          </w:p>
        </w:tc>
        <w:tc>
          <w:tcPr>
            <w:tcW w:w="1406"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从业人员(X)</w:t>
            </w:r>
          </w:p>
        </w:tc>
        <w:tc>
          <w:tcPr>
            <w:tcW w:w="758"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人</w:t>
            </w:r>
          </w:p>
        </w:tc>
        <w:tc>
          <w:tcPr>
            <w:tcW w:w="1361"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X≥300</w:t>
            </w:r>
          </w:p>
        </w:tc>
        <w:tc>
          <w:tcPr>
            <w:tcW w:w="1894"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100≤X＜300</w:t>
            </w:r>
          </w:p>
        </w:tc>
        <w:tc>
          <w:tcPr>
            <w:tcW w:w="1556"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10≤X＜100</w:t>
            </w:r>
          </w:p>
        </w:tc>
        <w:tc>
          <w:tcPr>
            <w:tcW w:w="1116"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435" w:type="dxa"/>
            <w:vMerge w:val="continue"/>
            <w:vAlign w:val="center"/>
          </w:tcPr>
          <w:p>
            <w:pPr>
              <w:spacing w:after="0" w:line="500" w:lineRule="exact"/>
              <w:rPr>
                <w:rFonts w:ascii="微软雅黑" w:hAnsi="微软雅黑" w:eastAsia="微软雅黑" w:cs="微软雅黑"/>
                <w:bCs/>
                <w:color w:val="auto"/>
                <w:szCs w:val="21"/>
                <w:highlight w:val="none"/>
              </w:rPr>
            </w:pPr>
          </w:p>
        </w:tc>
        <w:tc>
          <w:tcPr>
            <w:tcW w:w="1406"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营业收入(Y)</w:t>
            </w:r>
          </w:p>
        </w:tc>
        <w:tc>
          <w:tcPr>
            <w:tcW w:w="758"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万元</w:t>
            </w:r>
          </w:p>
        </w:tc>
        <w:tc>
          <w:tcPr>
            <w:tcW w:w="1361"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Y≥10000</w:t>
            </w:r>
          </w:p>
        </w:tc>
        <w:tc>
          <w:tcPr>
            <w:tcW w:w="1894"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2000≤Y＜10000</w:t>
            </w:r>
          </w:p>
        </w:tc>
        <w:tc>
          <w:tcPr>
            <w:tcW w:w="1556" w:type="dxa"/>
            <w:shd w:val="clear" w:color="auto" w:fill="auto"/>
            <w:tcMar>
              <w:top w:w="0" w:type="dxa"/>
              <w:left w:w="108" w:type="dxa"/>
              <w:bottom w:w="0" w:type="dxa"/>
              <w:right w:w="108" w:type="dxa"/>
            </w:tcMar>
            <w:vAlign w:val="center"/>
          </w:tcPr>
          <w:p>
            <w:pPr>
              <w:spacing w:after="0" w:line="500" w:lineRule="exact"/>
              <w:ind w:firstLine="360"/>
              <w:jc w:val="center"/>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100≤Y＜2000</w:t>
            </w:r>
          </w:p>
        </w:tc>
        <w:tc>
          <w:tcPr>
            <w:tcW w:w="1116"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435" w:type="dxa"/>
            <w:vMerge w:val="restart"/>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信息传输业 *</w:t>
            </w:r>
          </w:p>
        </w:tc>
        <w:tc>
          <w:tcPr>
            <w:tcW w:w="1406"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从业人员(X)</w:t>
            </w:r>
          </w:p>
        </w:tc>
        <w:tc>
          <w:tcPr>
            <w:tcW w:w="758"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人</w:t>
            </w:r>
          </w:p>
        </w:tc>
        <w:tc>
          <w:tcPr>
            <w:tcW w:w="1361"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X≥2000</w:t>
            </w:r>
          </w:p>
        </w:tc>
        <w:tc>
          <w:tcPr>
            <w:tcW w:w="1894"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100≤X＜2000</w:t>
            </w:r>
          </w:p>
        </w:tc>
        <w:tc>
          <w:tcPr>
            <w:tcW w:w="1556"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10≤X＜100</w:t>
            </w:r>
          </w:p>
        </w:tc>
        <w:tc>
          <w:tcPr>
            <w:tcW w:w="1116"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7" w:hRule="atLeast"/>
          <w:jc w:val="center"/>
        </w:trPr>
        <w:tc>
          <w:tcPr>
            <w:tcW w:w="1435" w:type="dxa"/>
            <w:vMerge w:val="continue"/>
            <w:vAlign w:val="center"/>
          </w:tcPr>
          <w:p>
            <w:pPr>
              <w:spacing w:after="0" w:line="500" w:lineRule="exact"/>
              <w:rPr>
                <w:rFonts w:ascii="微软雅黑" w:hAnsi="微软雅黑" w:eastAsia="微软雅黑" w:cs="微软雅黑"/>
                <w:bCs/>
                <w:color w:val="auto"/>
                <w:szCs w:val="21"/>
                <w:highlight w:val="none"/>
              </w:rPr>
            </w:pPr>
          </w:p>
        </w:tc>
        <w:tc>
          <w:tcPr>
            <w:tcW w:w="1406"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营业收入(Y)</w:t>
            </w:r>
          </w:p>
        </w:tc>
        <w:tc>
          <w:tcPr>
            <w:tcW w:w="758"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万元</w:t>
            </w:r>
          </w:p>
        </w:tc>
        <w:tc>
          <w:tcPr>
            <w:tcW w:w="1361"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Y≥100000</w:t>
            </w:r>
          </w:p>
        </w:tc>
        <w:tc>
          <w:tcPr>
            <w:tcW w:w="1894"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1000≤Y＜100000</w:t>
            </w:r>
          </w:p>
        </w:tc>
        <w:tc>
          <w:tcPr>
            <w:tcW w:w="1556"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100≤Y＜1000</w:t>
            </w:r>
          </w:p>
        </w:tc>
        <w:tc>
          <w:tcPr>
            <w:tcW w:w="1116"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435" w:type="dxa"/>
            <w:vMerge w:val="restart"/>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pacing w:val="-12"/>
                <w:szCs w:val="21"/>
                <w:highlight w:val="none"/>
              </w:rPr>
              <w:t>软件和信息技术服</w:t>
            </w:r>
            <w:r>
              <w:rPr>
                <w:rFonts w:hint="eastAsia" w:ascii="微软雅黑" w:hAnsi="微软雅黑" w:eastAsia="微软雅黑" w:cs="微软雅黑"/>
                <w:color w:val="auto"/>
                <w:szCs w:val="21"/>
                <w:highlight w:val="none"/>
              </w:rPr>
              <w:t>务业</w:t>
            </w:r>
          </w:p>
        </w:tc>
        <w:tc>
          <w:tcPr>
            <w:tcW w:w="1406"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从业人员(X)</w:t>
            </w:r>
          </w:p>
        </w:tc>
        <w:tc>
          <w:tcPr>
            <w:tcW w:w="758"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人</w:t>
            </w:r>
          </w:p>
        </w:tc>
        <w:tc>
          <w:tcPr>
            <w:tcW w:w="1361" w:type="dxa"/>
            <w:shd w:val="clear" w:color="auto" w:fill="auto"/>
            <w:tcMar>
              <w:top w:w="0" w:type="dxa"/>
              <w:left w:w="108" w:type="dxa"/>
              <w:bottom w:w="0" w:type="dxa"/>
              <w:right w:w="108" w:type="dxa"/>
            </w:tcMar>
            <w:vAlign w:val="center"/>
          </w:tcPr>
          <w:p>
            <w:pPr>
              <w:spacing w:after="0" w:line="500" w:lineRule="exact"/>
              <w:ind w:firstLine="360"/>
              <w:jc w:val="center"/>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X≥300</w:t>
            </w:r>
          </w:p>
        </w:tc>
        <w:tc>
          <w:tcPr>
            <w:tcW w:w="1894" w:type="dxa"/>
            <w:shd w:val="clear" w:color="auto" w:fill="auto"/>
            <w:tcMar>
              <w:top w:w="0" w:type="dxa"/>
              <w:left w:w="108" w:type="dxa"/>
              <w:bottom w:w="0" w:type="dxa"/>
              <w:right w:w="108" w:type="dxa"/>
            </w:tcMar>
            <w:vAlign w:val="center"/>
          </w:tcPr>
          <w:p>
            <w:pPr>
              <w:spacing w:after="0" w:line="500" w:lineRule="exact"/>
              <w:ind w:firstLine="360"/>
              <w:jc w:val="center"/>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100≤X＜300</w:t>
            </w:r>
          </w:p>
        </w:tc>
        <w:tc>
          <w:tcPr>
            <w:tcW w:w="1556"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10≤X＜100</w:t>
            </w:r>
          </w:p>
        </w:tc>
        <w:tc>
          <w:tcPr>
            <w:tcW w:w="1116"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435" w:type="dxa"/>
            <w:vMerge w:val="continue"/>
            <w:vAlign w:val="center"/>
          </w:tcPr>
          <w:p>
            <w:pPr>
              <w:spacing w:after="0" w:line="500" w:lineRule="exact"/>
              <w:rPr>
                <w:rFonts w:ascii="微软雅黑" w:hAnsi="微软雅黑" w:eastAsia="微软雅黑" w:cs="微软雅黑"/>
                <w:bCs/>
                <w:color w:val="auto"/>
                <w:szCs w:val="21"/>
                <w:highlight w:val="none"/>
              </w:rPr>
            </w:pPr>
          </w:p>
        </w:tc>
        <w:tc>
          <w:tcPr>
            <w:tcW w:w="1406"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营业收入(Y)</w:t>
            </w:r>
          </w:p>
        </w:tc>
        <w:tc>
          <w:tcPr>
            <w:tcW w:w="758"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万元</w:t>
            </w:r>
          </w:p>
        </w:tc>
        <w:tc>
          <w:tcPr>
            <w:tcW w:w="1361" w:type="dxa"/>
            <w:shd w:val="clear" w:color="auto" w:fill="auto"/>
            <w:tcMar>
              <w:top w:w="0" w:type="dxa"/>
              <w:left w:w="108" w:type="dxa"/>
              <w:bottom w:w="0" w:type="dxa"/>
              <w:right w:w="108" w:type="dxa"/>
            </w:tcMar>
            <w:vAlign w:val="center"/>
          </w:tcPr>
          <w:p>
            <w:pPr>
              <w:spacing w:after="0" w:line="500" w:lineRule="exact"/>
              <w:ind w:firstLine="360"/>
              <w:jc w:val="center"/>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Y≥10000</w:t>
            </w:r>
          </w:p>
        </w:tc>
        <w:tc>
          <w:tcPr>
            <w:tcW w:w="1894" w:type="dxa"/>
            <w:shd w:val="clear" w:color="auto" w:fill="auto"/>
            <w:tcMar>
              <w:top w:w="0" w:type="dxa"/>
              <w:left w:w="108" w:type="dxa"/>
              <w:bottom w:w="0" w:type="dxa"/>
              <w:right w:w="108" w:type="dxa"/>
            </w:tcMar>
            <w:vAlign w:val="center"/>
          </w:tcPr>
          <w:p>
            <w:pPr>
              <w:spacing w:after="0" w:line="500" w:lineRule="exact"/>
              <w:ind w:firstLine="360"/>
              <w:jc w:val="center"/>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1000≤Y＜10000</w:t>
            </w:r>
          </w:p>
        </w:tc>
        <w:tc>
          <w:tcPr>
            <w:tcW w:w="1556"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50≤Y＜1000</w:t>
            </w:r>
          </w:p>
        </w:tc>
        <w:tc>
          <w:tcPr>
            <w:tcW w:w="1116"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435" w:type="dxa"/>
            <w:vMerge w:val="restart"/>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房地产开发经营</w:t>
            </w:r>
          </w:p>
        </w:tc>
        <w:tc>
          <w:tcPr>
            <w:tcW w:w="1406"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营业收入(Y)</w:t>
            </w:r>
          </w:p>
        </w:tc>
        <w:tc>
          <w:tcPr>
            <w:tcW w:w="758"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万元</w:t>
            </w:r>
          </w:p>
        </w:tc>
        <w:tc>
          <w:tcPr>
            <w:tcW w:w="1361"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Y≥200000</w:t>
            </w:r>
          </w:p>
        </w:tc>
        <w:tc>
          <w:tcPr>
            <w:tcW w:w="1894" w:type="dxa"/>
            <w:shd w:val="clear" w:color="auto" w:fill="auto"/>
            <w:tcMar>
              <w:top w:w="0" w:type="dxa"/>
              <w:left w:w="108" w:type="dxa"/>
              <w:bottom w:w="0" w:type="dxa"/>
              <w:right w:w="108" w:type="dxa"/>
            </w:tcMar>
            <w:vAlign w:val="center"/>
          </w:tcPr>
          <w:p>
            <w:pPr>
              <w:spacing w:after="0" w:line="500" w:lineRule="exact"/>
              <w:ind w:firstLine="360"/>
              <w:jc w:val="center"/>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 1000≤Y＜200000</w:t>
            </w:r>
          </w:p>
        </w:tc>
        <w:tc>
          <w:tcPr>
            <w:tcW w:w="1556"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100≤Y＜1000</w:t>
            </w:r>
          </w:p>
        </w:tc>
        <w:tc>
          <w:tcPr>
            <w:tcW w:w="1116"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435" w:type="dxa"/>
            <w:vMerge w:val="continue"/>
            <w:vAlign w:val="center"/>
          </w:tcPr>
          <w:p>
            <w:pPr>
              <w:spacing w:after="0" w:line="500" w:lineRule="exact"/>
              <w:rPr>
                <w:rFonts w:ascii="微软雅黑" w:hAnsi="微软雅黑" w:eastAsia="微软雅黑" w:cs="微软雅黑"/>
                <w:bCs/>
                <w:color w:val="auto"/>
                <w:szCs w:val="21"/>
                <w:highlight w:val="none"/>
              </w:rPr>
            </w:pPr>
          </w:p>
        </w:tc>
        <w:tc>
          <w:tcPr>
            <w:tcW w:w="1406"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资产总额(Z)</w:t>
            </w:r>
          </w:p>
        </w:tc>
        <w:tc>
          <w:tcPr>
            <w:tcW w:w="758"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万元</w:t>
            </w:r>
          </w:p>
        </w:tc>
        <w:tc>
          <w:tcPr>
            <w:tcW w:w="1361"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Z≥10000</w:t>
            </w:r>
          </w:p>
        </w:tc>
        <w:tc>
          <w:tcPr>
            <w:tcW w:w="1894" w:type="dxa"/>
            <w:shd w:val="clear" w:color="auto" w:fill="auto"/>
            <w:tcMar>
              <w:top w:w="0" w:type="dxa"/>
              <w:left w:w="108" w:type="dxa"/>
              <w:bottom w:w="0" w:type="dxa"/>
              <w:right w:w="108" w:type="dxa"/>
            </w:tcMar>
            <w:vAlign w:val="center"/>
          </w:tcPr>
          <w:p>
            <w:pPr>
              <w:spacing w:after="0" w:line="500" w:lineRule="exact"/>
              <w:ind w:firstLine="360"/>
              <w:jc w:val="center"/>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5000≤Z＜10000</w:t>
            </w:r>
          </w:p>
        </w:tc>
        <w:tc>
          <w:tcPr>
            <w:tcW w:w="1556"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2000≤Z＜5000  </w:t>
            </w:r>
          </w:p>
        </w:tc>
        <w:tc>
          <w:tcPr>
            <w:tcW w:w="1116"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435" w:type="dxa"/>
            <w:vMerge w:val="restart"/>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物业管理</w:t>
            </w:r>
          </w:p>
        </w:tc>
        <w:tc>
          <w:tcPr>
            <w:tcW w:w="1406"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从业人员(X)</w:t>
            </w:r>
          </w:p>
        </w:tc>
        <w:tc>
          <w:tcPr>
            <w:tcW w:w="758"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人</w:t>
            </w:r>
          </w:p>
        </w:tc>
        <w:tc>
          <w:tcPr>
            <w:tcW w:w="1361"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X≥1000</w:t>
            </w:r>
          </w:p>
        </w:tc>
        <w:tc>
          <w:tcPr>
            <w:tcW w:w="1894"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300≤X＜1000</w:t>
            </w:r>
          </w:p>
        </w:tc>
        <w:tc>
          <w:tcPr>
            <w:tcW w:w="1556"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100≤X＜300</w:t>
            </w:r>
          </w:p>
        </w:tc>
        <w:tc>
          <w:tcPr>
            <w:tcW w:w="1116"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435" w:type="dxa"/>
            <w:vMerge w:val="continue"/>
            <w:vAlign w:val="center"/>
          </w:tcPr>
          <w:p>
            <w:pPr>
              <w:spacing w:after="0" w:line="500" w:lineRule="exact"/>
              <w:rPr>
                <w:rFonts w:ascii="微软雅黑" w:hAnsi="微软雅黑" w:eastAsia="微软雅黑" w:cs="微软雅黑"/>
                <w:bCs/>
                <w:color w:val="auto"/>
                <w:szCs w:val="21"/>
                <w:highlight w:val="none"/>
              </w:rPr>
            </w:pPr>
          </w:p>
        </w:tc>
        <w:tc>
          <w:tcPr>
            <w:tcW w:w="1406"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营业收入(Y)</w:t>
            </w:r>
          </w:p>
        </w:tc>
        <w:tc>
          <w:tcPr>
            <w:tcW w:w="758"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万元</w:t>
            </w:r>
          </w:p>
        </w:tc>
        <w:tc>
          <w:tcPr>
            <w:tcW w:w="1361"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Y≥5000</w:t>
            </w:r>
          </w:p>
        </w:tc>
        <w:tc>
          <w:tcPr>
            <w:tcW w:w="1894"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1000≤Y＜5000</w:t>
            </w:r>
          </w:p>
        </w:tc>
        <w:tc>
          <w:tcPr>
            <w:tcW w:w="1556"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500≤Y＜1000</w:t>
            </w:r>
          </w:p>
        </w:tc>
        <w:tc>
          <w:tcPr>
            <w:tcW w:w="1116"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435" w:type="dxa"/>
            <w:vMerge w:val="restart"/>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租赁和商务服务业</w:t>
            </w:r>
          </w:p>
        </w:tc>
        <w:tc>
          <w:tcPr>
            <w:tcW w:w="1406"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从业人员(X)</w:t>
            </w:r>
          </w:p>
        </w:tc>
        <w:tc>
          <w:tcPr>
            <w:tcW w:w="758"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人</w:t>
            </w:r>
          </w:p>
        </w:tc>
        <w:tc>
          <w:tcPr>
            <w:tcW w:w="1361"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X≥300</w:t>
            </w:r>
          </w:p>
        </w:tc>
        <w:tc>
          <w:tcPr>
            <w:tcW w:w="1894"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100≤X＜300</w:t>
            </w:r>
          </w:p>
        </w:tc>
        <w:tc>
          <w:tcPr>
            <w:tcW w:w="1556"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10≤X＜100</w:t>
            </w:r>
          </w:p>
        </w:tc>
        <w:tc>
          <w:tcPr>
            <w:tcW w:w="1116"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435" w:type="dxa"/>
            <w:vMerge w:val="continue"/>
            <w:vAlign w:val="center"/>
          </w:tcPr>
          <w:p>
            <w:pPr>
              <w:spacing w:after="0" w:line="500" w:lineRule="exact"/>
              <w:rPr>
                <w:rFonts w:ascii="微软雅黑" w:hAnsi="微软雅黑" w:eastAsia="微软雅黑" w:cs="微软雅黑"/>
                <w:bCs/>
                <w:color w:val="auto"/>
                <w:szCs w:val="21"/>
                <w:highlight w:val="none"/>
              </w:rPr>
            </w:pPr>
          </w:p>
        </w:tc>
        <w:tc>
          <w:tcPr>
            <w:tcW w:w="1406"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资产总额(Z)</w:t>
            </w:r>
          </w:p>
        </w:tc>
        <w:tc>
          <w:tcPr>
            <w:tcW w:w="758"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万元</w:t>
            </w:r>
          </w:p>
        </w:tc>
        <w:tc>
          <w:tcPr>
            <w:tcW w:w="1361"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Z≥120000</w:t>
            </w:r>
          </w:p>
        </w:tc>
        <w:tc>
          <w:tcPr>
            <w:tcW w:w="1894"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8000≤Z＜120000</w:t>
            </w:r>
          </w:p>
        </w:tc>
        <w:tc>
          <w:tcPr>
            <w:tcW w:w="1556"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100≤Z＜8000</w:t>
            </w:r>
          </w:p>
        </w:tc>
        <w:tc>
          <w:tcPr>
            <w:tcW w:w="1116"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435"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其他未列明行业 *</w:t>
            </w:r>
          </w:p>
        </w:tc>
        <w:tc>
          <w:tcPr>
            <w:tcW w:w="1406"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从业人员(X)</w:t>
            </w:r>
          </w:p>
        </w:tc>
        <w:tc>
          <w:tcPr>
            <w:tcW w:w="758"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人</w:t>
            </w:r>
          </w:p>
        </w:tc>
        <w:tc>
          <w:tcPr>
            <w:tcW w:w="1361"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X≥300</w:t>
            </w:r>
          </w:p>
        </w:tc>
        <w:tc>
          <w:tcPr>
            <w:tcW w:w="1894"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100≤X＜300</w:t>
            </w:r>
          </w:p>
        </w:tc>
        <w:tc>
          <w:tcPr>
            <w:tcW w:w="1556"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10≤X＜100</w:t>
            </w:r>
          </w:p>
        </w:tc>
        <w:tc>
          <w:tcPr>
            <w:tcW w:w="1116" w:type="dxa"/>
            <w:shd w:val="clear" w:color="auto" w:fill="auto"/>
            <w:tcMar>
              <w:top w:w="0" w:type="dxa"/>
              <w:left w:w="108" w:type="dxa"/>
              <w:bottom w:w="0" w:type="dxa"/>
              <w:right w:w="108" w:type="dxa"/>
            </w:tcMar>
            <w:vAlign w:val="center"/>
          </w:tcPr>
          <w:p>
            <w:pPr>
              <w:spacing w:after="0" w:line="50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X＜10</w:t>
            </w:r>
          </w:p>
        </w:tc>
      </w:tr>
    </w:tbl>
    <w:p>
      <w:pPr>
        <w:shd w:val="clear" w:color="auto" w:fill="FFFFFF"/>
        <w:spacing w:line="375" w:lineRule="atLeas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 </w:t>
      </w:r>
      <w:r>
        <w:rPr>
          <w:rFonts w:hint="eastAsia" w:ascii="微软雅黑" w:hAnsi="微软雅黑" w:eastAsia="微软雅黑" w:cs="微软雅黑"/>
          <w:color w:val="auto"/>
          <w:spacing w:val="8"/>
          <w:szCs w:val="21"/>
          <w:highlight w:val="none"/>
        </w:rPr>
        <w:t>　　说明：</w:t>
      </w:r>
    </w:p>
    <w:p>
      <w:pPr>
        <w:shd w:val="clear" w:color="auto" w:fill="FFFFFF"/>
        <w:spacing w:line="330" w:lineRule="atLeast"/>
        <w:rPr>
          <w:rFonts w:ascii="微软雅黑" w:hAnsi="微软雅黑" w:eastAsia="微软雅黑" w:cs="微软雅黑"/>
          <w:bCs/>
          <w:color w:val="auto"/>
          <w:szCs w:val="21"/>
          <w:highlight w:val="none"/>
        </w:rPr>
      </w:pPr>
      <w:r>
        <w:rPr>
          <w:rFonts w:hint="eastAsia" w:ascii="微软雅黑" w:hAnsi="微软雅黑" w:eastAsia="微软雅黑" w:cs="微软雅黑"/>
          <w:color w:val="auto"/>
          <w:spacing w:val="8"/>
          <w:szCs w:val="21"/>
          <w:highlight w:val="none"/>
        </w:rPr>
        <w:t> 　　1.大型、中型和小型企业须同时满足所列指标的下限，否则下划一档；微型企业只须满足所列指标中的一项即可。</w:t>
      </w:r>
    </w:p>
    <w:p>
      <w:pPr>
        <w:shd w:val="clear" w:color="auto" w:fill="FFFFFF"/>
        <w:spacing w:line="330" w:lineRule="atLeast"/>
        <w:rPr>
          <w:rFonts w:ascii="微软雅黑" w:hAnsi="微软雅黑" w:eastAsia="微软雅黑" w:cs="微软雅黑"/>
          <w:bCs/>
          <w:color w:val="auto"/>
          <w:szCs w:val="21"/>
          <w:highlight w:val="none"/>
        </w:rPr>
      </w:pPr>
      <w:r>
        <w:rPr>
          <w:rFonts w:hint="eastAsia" w:ascii="微软雅黑" w:hAnsi="微软雅黑" w:eastAsia="微软雅黑" w:cs="微软雅黑"/>
          <w:color w:val="auto"/>
          <w:spacing w:val="8"/>
          <w:szCs w:val="21"/>
          <w:highlight w:val="none"/>
        </w:rPr>
        <w:t> 　　2.附表中各行业的范围以《国民经济行业分类》（GB/T4754-2011）为准。带*的项为行业组合类别，其中，工业包括采矿业，制造业，电力、热力、燃气及水生产和供应业；交通运输业包括道路运输业，水上运输业，航空运输业，管道运输业，装卸搬运和运输代理业，不包括铁路运输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shd w:val="clear" w:color="auto" w:fill="FFFFFF"/>
        <w:spacing w:line="330" w:lineRule="atLeast"/>
        <w:rPr>
          <w:color w:val="auto"/>
          <w:highlight w:val="none"/>
        </w:rPr>
      </w:pPr>
      <w:r>
        <w:rPr>
          <w:rFonts w:hint="eastAsia" w:ascii="微软雅黑" w:hAnsi="微软雅黑" w:eastAsia="微软雅黑" w:cs="微软雅黑"/>
          <w:color w:val="auto"/>
          <w:spacing w:val="8"/>
          <w:szCs w:val="21"/>
          <w:highlight w:val="none"/>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34"/>
        <w:snapToGrid w:val="0"/>
        <w:spacing w:line="360" w:lineRule="auto"/>
        <w:rPr>
          <w:rFonts w:ascii="微软雅黑" w:hAnsi="微软雅黑" w:eastAsia="微软雅黑" w:cs="微软雅黑"/>
          <w:b/>
          <w:color w:val="auto"/>
          <w:szCs w:val="21"/>
          <w:highlight w:val="none"/>
        </w:rPr>
      </w:pPr>
    </w:p>
    <w:sectPr>
      <w:footerReference r:id="rId19" w:type="default"/>
      <w:pgSz w:w="11906" w:h="16838"/>
      <w:pgMar w:top="1134" w:right="1134" w:bottom="1134" w:left="1134"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DFKai-SB">
    <w:panose1 w:val="03000509000000000000"/>
    <w:charset w:val="88"/>
    <w:family w:val="script"/>
    <w:pitch w:val="default"/>
    <w:sig w:usb0="00000003" w:usb1="082E0000" w:usb2="00000016" w:usb3="00000000" w:csb0="00100001" w:csb1="00000000"/>
  </w:font>
  <w:font w:name="楷体_GB2312">
    <w:altName w:val="楷体"/>
    <w:panose1 w:val="00000000000000000000"/>
    <w:charset w:val="86"/>
    <w:family w:val="auto"/>
    <w:pitch w:val="default"/>
    <w:sig w:usb0="00000000" w:usb1="0000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Trebuchet MS">
    <w:panose1 w:val="020B0603020202020204"/>
    <w:charset w:val="00"/>
    <w:family w:val="swiss"/>
    <w:pitch w:val="default"/>
    <w:sig w:usb0="00000287" w:usb1="00000000" w:usb2="00000000" w:usb3="00000000" w:csb0="2000009F" w:csb1="00000000"/>
  </w:font>
  <w:font w:name="长城仿宋">
    <w:altName w:val="仿宋"/>
    <w:panose1 w:val="00000000000000000000"/>
    <w:charset w:val="86"/>
    <w:family w:val="modern"/>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PMingLiU">
    <w:panose1 w:val="02020500000000000000"/>
    <w:charset w:val="88"/>
    <w:family w:val="roman"/>
    <w:pitch w:val="default"/>
    <w:sig w:usb0="A00002FF" w:usb1="28CFFCFA" w:usb2="00000016" w:usb3="00000000" w:csb0="0010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right="720" w:firstLine="210" w:firstLineChars="100"/>
      <w:jc w:val="center"/>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43205"/>
              <wp:effectExtent l="0" t="0" r="0" b="0"/>
              <wp:wrapNone/>
              <wp:docPr id="5" name="文本框 3"/>
              <wp:cNvGraphicFramePr/>
              <a:graphic xmlns:a="http://schemas.openxmlformats.org/drawingml/2006/main">
                <a:graphicData uri="http://schemas.microsoft.com/office/word/2010/wordprocessingShape">
                  <wps:wsp>
                    <wps:cNvSpPr txBox="1"/>
                    <wps:spPr>
                      <a:xfrm>
                        <a:off x="0" y="0"/>
                        <a:ext cx="114935" cy="243205"/>
                      </a:xfrm>
                      <a:prstGeom prst="rect">
                        <a:avLst/>
                      </a:prstGeom>
                      <a:noFill/>
                      <a:ln>
                        <a:noFill/>
                      </a:ln>
                      <a:effectLst/>
                    </wps:spPr>
                    <wps:txbx>
                      <w:txbxContent>
                        <w:p>
                          <w:pPr>
                            <w:pStyle w:val="39"/>
                          </w:pP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9.15pt;width:9.05pt;mso-position-horizontal:center;mso-position-horizontal-relative:margin;mso-wrap-style:none;z-index:251659264;mso-width-relative:page;mso-height-relative:page;" filled="f" stroked="f" coordsize="21600,21600" o:gfxdata="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jb0XotAAAAADAQAADwAAAAAAAAABACAAAAAiAAAAZHJz&#10;L2Rvd25yZXYueG1sUEsBAhQAFAAAAAgAh07iQFFSDU/TAQAApQMAAA4AAAAAAAAAAQAgAAAAHwEA&#10;AGRycy9lMm9Eb2MueG1sUEsFBgAAAAAGAAYAWQEAAGQFAAAAAA==&#10;">
              <v:fill on="f" focussize="0,0"/>
              <v:stroke on="f"/>
              <v:imagedata o:title=""/>
              <o:lock v:ext="edit" aspectratio="f"/>
              <v:textbox inset="0mm,0mm,0mm,0mm" style="mso-fit-shape-to-text:t;">
                <w:txbxContent>
                  <w:p>
                    <w:pPr>
                      <w:pStyle w:val="39"/>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63"/>
      </w:rPr>
    </w:pPr>
    <w:r>
      <w:fldChar w:fldCharType="begin"/>
    </w:r>
    <w:r>
      <w:rPr>
        <w:rStyle w:val="63"/>
      </w:rPr>
      <w:instrText xml:space="preserve">PAGE  </w:instrText>
    </w:r>
    <w:r>
      <w:fldChar w:fldCharType="end"/>
    </w:r>
  </w:p>
  <w:p>
    <w:pPr>
      <w:pStyle w:val="3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9372160"/>
    </w:sdtPr>
    <w:sdtContent>
      <w:p>
        <w:pPr>
          <w:pStyle w:val="39"/>
          <w:spacing w:before="120" w:after="120"/>
          <w:jc w:val="center"/>
        </w:pPr>
        <w:r>
          <w:fldChar w:fldCharType="begin"/>
        </w:r>
        <w:r>
          <w:instrText xml:space="preserve">PAGE   \* MERGEFORMAT</w:instrText>
        </w:r>
        <w:r>
          <w:fldChar w:fldCharType="separate"/>
        </w:r>
        <w:r>
          <w:rPr>
            <w:lang w:val="zh-CN"/>
          </w:rPr>
          <w:t>23</w:t>
        </w:r>
        <w:r>
          <w:rPr>
            <w:lang w:val="zh-CN"/>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63"/>
      </w:rPr>
    </w:pPr>
    <w:r>
      <w:fldChar w:fldCharType="begin"/>
    </w:r>
    <w:r>
      <w:rPr>
        <w:rStyle w:val="63"/>
      </w:rPr>
      <w:instrText xml:space="preserve">PAGE  </w:instrText>
    </w:r>
    <w:r>
      <w:fldChar w:fldCharType="end"/>
    </w:r>
  </w:p>
  <w:p>
    <w:pPr>
      <w:pStyle w:val="3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center" w:y="1"/>
      <w:ind w:right="360"/>
      <w:jc w:val="center"/>
      <w:rPr>
        <w:rStyle w:val="63"/>
      </w:rPr>
    </w:pPr>
  </w:p>
  <w:p>
    <w:pPr>
      <w:pStyle w:val="39"/>
      <w:ind w:firstLine="7920" w:firstLineChars="4400"/>
    </w:pPr>
    <w:r>
      <w:fldChar w:fldCharType="begin"/>
    </w:r>
    <w:r>
      <w:instrText xml:space="preserve"> PAGE   \* MERGEFORMAT </w:instrText>
    </w:r>
    <w:r>
      <w:fldChar w:fldCharType="separate"/>
    </w:r>
    <w:r>
      <w:rPr>
        <w:lang w:val="zh-CN"/>
      </w:rPr>
      <w:t>49</w:t>
    </w:r>
    <w:r>
      <w:rPr>
        <w:lang w:val="zh-CN"/>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center" w:y="1"/>
      <w:ind w:right="360"/>
      <w:jc w:val="center"/>
      <w:rPr>
        <w:rStyle w:val="63"/>
      </w:rPr>
    </w:pPr>
  </w:p>
  <w:p>
    <w:pPr>
      <w:pStyle w:val="39"/>
      <w:ind w:firstLine="7920" w:firstLineChars="4400"/>
    </w:pPr>
    <w:r>
      <w:fldChar w:fldCharType="begin"/>
    </w:r>
    <w:r>
      <w:instrText xml:space="preserve"> PAGE   \* MERGEFORMAT </w:instrText>
    </w:r>
    <w:r>
      <w:fldChar w:fldCharType="separate"/>
    </w:r>
    <w:r>
      <w:rPr>
        <w:lang w:val="zh-CN"/>
      </w:rPr>
      <w:t>49</w:t>
    </w:r>
    <w:r>
      <w:rPr>
        <w:lang w:val="zh-CN"/>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63"/>
      </w:rPr>
    </w:pPr>
    <w:r>
      <w:fldChar w:fldCharType="begin"/>
    </w:r>
    <w:r>
      <w:rPr>
        <w:rStyle w:val="63"/>
      </w:rPr>
      <w:instrText xml:space="preserve">PAGE  </w:instrText>
    </w:r>
    <w:r>
      <w:fldChar w:fldCharType="separate"/>
    </w:r>
    <w:r>
      <w:rPr>
        <w:rStyle w:val="63"/>
      </w:rPr>
      <w:t>39</w:t>
    </w:r>
    <w:r>
      <w:fldChar w:fldCharType="end"/>
    </w:r>
  </w:p>
  <w:p>
    <w:pPr>
      <w:pStyle w:val="3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4865173" o:spid="_x0000_s4098" o:spt="136" type="#_x0000_t136" style="position:absolute;left:0pt;height:45.15pt;width:587.5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shape="t" fitpath="t" trim="f" xscale="f" string="嘉兴市千秋工程咨询有限公司" style="font-family:宋体;font-size:1pt;v-text-align:center;"/>
        </v:shape>
      </w:pict>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pict>
        <v:shape id="PowerPlusWaterMarkObject4865172" o:spid="_x0000_s4099" o:spt="136" type="#_x0000_t136" style="position:absolute;left:0pt;height:45.15pt;width:587.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f" xscale="f" string="嘉兴市千秋工程咨询有限公司"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pict>
        <v:shape id="PowerPlusWaterMarkObject4865171" o:spid="_x0000_s4097" o:spt="136" type="#_x0000_t136" style="position:absolute;left:0pt;height:45.15pt;width:587.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嘉兴市千秋工程咨询有限公司"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spacing w:after="120"/>
      <w:jc w:val="right"/>
      <w:rPr>
        <w:rFonts w:ascii="微软雅黑" w:hAnsi="微软雅黑" w:eastAsia="微软雅黑"/>
      </w:rPr>
    </w:pPr>
    <w:r>
      <w:rPr>
        <w:rFonts w:ascii="微软雅黑" w:hAnsi="微软雅黑" w:eastAsia="微软雅黑"/>
      </w:rPr>
      <w:drawing>
        <wp:anchor distT="0" distB="0" distL="0" distR="0" simplePos="0" relativeHeight="251660288" behindDoc="0" locked="0" layoutInCell="1" allowOverlap="1">
          <wp:simplePos x="0" y="0"/>
          <wp:positionH relativeFrom="column">
            <wp:posOffset>43815</wp:posOffset>
          </wp:positionH>
          <wp:positionV relativeFrom="paragraph">
            <wp:posOffset>-106045</wp:posOffset>
          </wp:positionV>
          <wp:extent cx="362585" cy="344805"/>
          <wp:effectExtent l="19050" t="0" r="0" b="0"/>
          <wp:wrapNone/>
          <wp:docPr id="7" name="图片 6" descr="16394856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1639485609.jpg"/>
                  <pic:cNvPicPr>
                    <a:picLocks noChangeAspect="1"/>
                  </pic:cNvPicPr>
                </pic:nvPicPr>
                <pic:blipFill>
                  <a:blip r:embed="rId1"/>
                  <a:stretch>
                    <a:fillRect/>
                  </a:stretch>
                </pic:blipFill>
                <pic:spPr>
                  <a:xfrm>
                    <a:off x="0" y="0"/>
                    <a:ext cx="362879" cy="345310"/>
                  </a:xfrm>
                  <a:prstGeom prst="rect">
                    <a:avLst/>
                  </a:prstGeom>
                </pic:spPr>
              </pic:pic>
            </a:graphicData>
          </a:graphic>
        </wp:anchor>
      </w:drawing>
    </w:r>
    <w:r>
      <w:rPr>
        <w:rFonts w:hint="eastAsia" w:ascii="微软雅黑" w:hAnsi="微软雅黑" w:eastAsia="微软雅黑"/>
      </w:rPr>
      <w:t xml:space="preserve"> </w:t>
    </w:r>
    <w:r>
      <w:rPr>
        <w:rFonts w:hint="eastAsia" w:ascii="微软雅黑" w:hAnsi="微软雅黑" w:eastAsia="微软雅黑"/>
        <w:lang w:eastAsia="zh-CN"/>
      </w:rPr>
      <w:t>嘉兴市秀洲区文化和旅游局送戏下乡服务采购项目</w:t>
    </w:r>
    <w:r>
      <w:rPr>
        <w:rFonts w:hint="eastAsia" w:ascii="微软雅黑" w:hAnsi="微软雅黑" w:eastAsia="微软雅黑"/>
      </w:rPr>
      <w:t>·竞争性磋商采购文件</w:t>
    </w:r>
    <w:r>
      <w:rPr>
        <w:rFonts w:ascii="微软雅黑" w:hAnsi="微软雅黑" w:eastAsia="微软雅黑"/>
      </w:rPr>
      <w:pict>
        <v:shape id="PowerPlusWaterMarkObject4865176" o:spid="_x0000_s4101" o:spt="136" type="#_x0000_t136" style="position:absolute;left:0pt;height:45.15pt;width:587.5pt;mso-position-horizontal:center;mso-position-horizontal-relative:margin;mso-position-vertical:center;mso-position-vertical-relative:margin;rotation:20643840f;z-index:-251650048;mso-width-relative:page;mso-height-relative:page;" fillcolor="#C0C0C0" filled="t" stroked="f" coordsize="21600,21600" o:allowincell="f">
          <v:path/>
          <v:fill on="t" opacity="32768f" focussize="0,0"/>
          <v:stroke on="f"/>
          <v:imagedata o:title=""/>
          <o:lock v:ext="edit"/>
          <v:textpath on="t" fitshape="t" fitpath="t" trim="f" xscale="f" string="嘉兴市千秋工程咨询有限公司"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pict>
        <v:shape id="PowerPlusWaterMarkObject4865175" o:spid="_x0000_s4102" o:spt="136" type="#_x0000_t136" style="position:absolute;left:0pt;height:45.15pt;width:587.5pt;mso-position-horizontal:center;mso-position-horizontal-relative:margin;mso-position-vertical:center;mso-position-vertical-relative:margin;rotation:20643840f;z-index:-251651072;mso-width-relative:page;mso-height-relative:page;" fillcolor="#C0C0C0" filled="t" stroked="f" coordsize="21600,21600" o:allowincell="f">
          <v:path/>
          <v:fill on="t" opacity="32768f" focussize="0,0"/>
          <v:stroke on="f"/>
          <v:imagedata o:title=""/>
          <o:lock v:ext="edit"/>
          <v:textpath on="t" fitshape="t" fitpath="t" trim="f" xscale="f" string="嘉兴市千秋工程咨询有限公司"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pict>
        <v:shape id="PowerPlusWaterMarkObject4865174" o:spid="_x0000_s4100" o:spt="136" type="#_x0000_t136" style="position:absolute;left:0pt;height:45.15pt;width:587.5pt;mso-position-horizontal:center;mso-position-horizontal-relative:margin;mso-position-vertical:center;mso-position-vertical-relative:margin;rotation:20643840f;z-index:-251652096;mso-width-relative:page;mso-height-relative:page;" fillcolor="#C0C0C0" filled="t" stroked="f" coordsize="21600,21600" o:allowincell="f">
          <v:path/>
          <v:fill on="t" opacity="32768f" focussize="0,0"/>
          <v:stroke on="f"/>
          <v:imagedata o:title=""/>
          <o:lock v:ext="edit"/>
          <v:textpath on="t" fitshape="t" fitpath="t" trim="f" xscale="f" string="嘉兴市千秋工程咨询有限公司"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11E61F"/>
    <w:multiLevelType w:val="multilevel"/>
    <w:tmpl w:val="8511E61F"/>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92A091FE"/>
    <w:multiLevelType w:val="singleLevel"/>
    <w:tmpl w:val="92A091FE"/>
    <w:lvl w:ilvl="0" w:tentative="0">
      <w:start w:val="1"/>
      <w:numFmt w:val="decimal"/>
      <w:lvlText w:val="%1."/>
      <w:lvlJc w:val="left"/>
      <w:pPr>
        <w:ind w:left="425" w:hanging="425"/>
      </w:pPr>
      <w:rPr>
        <w:rFonts w:hint="default"/>
      </w:rPr>
    </w:lvl>
  </w:abstractNum>
  <w:abstractNum w:abstractNumId="2">
    <w:nsid w:val="CAD8FD43"/>
    <w:multiLevelType w:val="multilevel"/>
    <w:tmpl w:val="CAD8FD43"/>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D7037E7A"/>
    <w:multiLevelType w:val="singleLevel"/>
    <w:tmpl w:val="D7037E7A"/>
    <w:lvl w:ilvl="0" w:tentative="0">
      <w:start w:val="1"/>
      <w:numFmt w:val="decimal"/>
      <w:lvlText w:val="(%1)"/>
      <w:lvlJc w:val="left"/>
      <w:pPr>
        <w:ind w:left="425" w:hanging="425"/>
      </w:pPr>
      <w:rPr>
        <w:rFonts w:hint="default"/>
        <w:b w:val="0"/>
      </w:rPr>
    </w:lvl>
  </w:abstractNum>
  <w:abstractNum w:abstractNumId="4">
    <w:nsid w:val="EB3E1868"/>
    <w:multiLevelType w:val="singleLevel"/>
    <w:tmpl w:val="EB3E1868"/>
    <w:lvl w:ilvl="0" w:tentative="0">
      <w:start w:val="4"/>
      <w:numFmt w:val="decimal"/>
      <w:suff w:val="nothing"/>
      <w:lvlText w:val="%1、"/>
      <w:lvlJc w:val="left"/>
    </w:lvl>
  </w:abstractNum>
  <w:abstractNum w:abstractNumId="5">
    <w:nsid w:val="00684585"/>
    <w:multiLevelType w:val="multilevel"/>
    <w:tmpl w:val="00684585"/>
    <w:lvl w:ilvl="0" w:tentative="0">
      <w:start w:val="1"/>
      <w:numFmt w:val="decimal"/>
      <w:pStyle w:val="533"/>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3AB67EE"/>
    <w:multiLevelType w:val="multilevel"/>
    <w:tmpl w:val="03AB67EE"/>
    <w:lvl w:ilvl="0" w:tentative="0">
      <w:start w:val="1"/>
      <w:numFmt w:val="bullet"/>
      <w:pStyle w:val="498"/>
      <w:lvlText w:val=""/>
      <w:lvlJc w:val="left"/>
      <w:pPr>
        <w:ind w:left="420" w:hanging="420"/>
      </w:pPr>
      <w:rPr>
        <w:rFonts w:hint="default" w:ascii="Wingdings" w:hAnsi="Wingdings"/>
        <w:color w:val="aut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06F212CC"/>
    <w:multiLevelType w:val="multilevel"/>
    <w:tmpl w:val="06F212CC"/>
    <w:lvl w:ilvl="0" w:tentative="0">
      <w:start w:val="1"/>
      <w:numFmt w:val="decimal"/>
      <w:pStyle w:val="286"/>
      <w:lvlText w:val="2.%1."/>
      <w:lvlJc w:val="left"/>
      <w:pPr>
        <w:tabs>
          <w:tab w:val="left" w:pos="1145"/>
        </w:tabs>
        <w:ind w:left="1145" w:hanging="425"/>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8A9E685"/>
    <w:multiLevelType w:val="multilevel"/>
    <w:tmpl w:val="08A9E685"/>
    <w:lvl w:ilvl="0" w:tentative="0">
      <w:start w:val="1"/>
      <w:numFmt w:val="chineseCounting"/>
      <w:suff w:val="nothing"/>
      <w:lvlText w:val="%1、"/>
      <w:lvlJc w:val="left"/>
      <w:pPr>
        <w:ind w:left="2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24"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9">
    <w:nsid w:val="16240AB4"/>
    <w:multiLevelType w:val="multilevel"/>
    <w:tmpl w:val="16240AB4"/>
    <w:lvl w:ilvl="0" w:tentative="0">
      <w:start w:val="1"/>
      <w:numFmt w:val="bullet"/>
      <w:pStyle w:val="248"/>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1D033215"/>
    <w:multiLevelType w:val="multilevel"/>
    <w:tmpl w:val="1D033215"/>
    <w:lvl w:ilvl="0" w:tentative="0">
      <w:start w:val="1"/>
      <w:numFmt w:val="bullet"/>
      <w:pStyle w:val="535"/>
      <w:lvlText w:val="◇"/>
      <w:lvlJc w:val="left"/>
      <w:pPr>
        <w:ind w:left="0" w:hanging="420"/>
      </w:pPr>
      <w:rPr>
        <w:rFonts w:hint="eastAsia" w:ascii="微软雅黑" w:hAnsi="微软雅黑" w:eastAsia="微软雅黑"/>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22387661"/>
    <w:multiLevelType w:val="multilevel"/>
    <w:tmpl w:val="22387661"/>
    <w:lvl w:ilvl="0" w:tentative="0">
      <w:start w:val="1"/>
      <w:numFmt w:val="decimal"/>
      <w:pStyle w:val="490"/>
      <w:lvlText w:val="8.3.3.%1"/>
      <w:lvlJc w:val="left"/>
      <w:pPr>
        <w:ind w:left="42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EE3724F"/>
    <w:multiLevelType w:val="multilevel"/>
    <w:tmpl w:val="2EE3724F"/>
    <w:lvl w:ilvl="0" w:tentative="0">
      <w:start w:val="1"/>
      <w:numFmt w:val="bullet"/>
      <w:pStyle w:val="474"/>
      <w:lvlText w:val=""/>
      <w:lvlJc w:val="left"/>
      <w:pPr>
        <w:tabs>
          <w:tab w:val="left" w:pos="704"/>
        </w:tabs>
        <w:ind w:left="704" w:hanging="420"/>
      </w:pPr>
      <w:rPr>
        <w:rFonts w:hint="default" w:ascii="Wingdings" w:hAnsi="Wingdings"/>
      </w:rPr>
    </w:lvl>
    <w:lvl w:ilvl="1" w:tentative="0">
      <w:start w:val="1"/>
      <w:numFmt w:val="bullet"/>
      <w:pStyle w:val="473"/>
      <w:lvlText w:val=""/>
      <w:lvlJc w:val="left"/>
      <w:pPr>
        <w:tabs>
          <w:tab w:val="left" w:pos="846"/>
        </w:tabs>
        <w:ind w:left="846" w:hanging="420"/>
      </w:pPr>
      <w:rPr>
        <w:rFonts w:hint="default" w:ascii="Wingdings" w:hAnsi="Wingdings"/>
      </w:rPr>
    </w:lvl>
    <w:lvl w:ilvl="2" w:tentative="0">
      <w:start w:val="1"/>
      <w:numFmt w:val="bullet"/>
      <w:lvlText w:val=""/>
      <w:lvlJc w:val="left"/>
      <w:pPr>
        <w:tabs>
          <w:tab w:val="left" w:pos="1544"/>
        </w:tabs>
        <w:ind w:left="1544" w:hanging="420"/>
      </w:pPr>
      <w:rPr>
        <w:rFonts w:hint="default" w:ascii="Wingdings" w:hAnsi="Wingdings"/>
      </w:rPr>
    </w:lvl>
    <w:lvl w:ilvl="3" w:tentative="0">
      <w:start w:val="1"/>
      <w:numFmt w:val="bullet"/>
      <w:lvlText w:val=""/>
      <w:lvlJc w:val="left"/>
      <w:pPr>
        <w:tabs>
          <w:tab w:val="left" w:pos="1964"/>
        </w:tabs>
        <w:ind w:left="1964" w:hanging="420"/>
      </w:pPr>
      <w:rPr>
        <w:rFonts w:hint="default" w:ascii="Wingdings" w:hAnsi="Wingdings"/>
      </w:rPr>
    </w:lvl>
    <w:lvl w:ilvl="4" w:tentative="0">
      <w:start w:val="1"/>
      <w:numFmt w:val="bullet"/>
      <w:lvlText w:val=""/>
      <w:lvlJc w:val="left"/>
      <w:pPr>
        <w:tabs>
          <w:tab w:val="left" w:pos="2384"/>
        </w:tabs>
        <w:ind w:left="2384" w:hanging="420"/>
      </w:pPr>
      <w:rPr>
        <w:rFonts w:hint="default" w:ascii="Wingdings" w:hAnsi="Wingdings"/>
      </w:rPr>
    </w:lvl>
    <w:lvl w:ilvl="5" w:tentative="0">
      <w:start w:val="1"/>
      <w:numFmt w:val="bullet"/>
      <w:lvlText w:val=""/>
      <w:lvlJc w:val="left"/>
      <w:pPr>
        <w:tabs>
          <w:tab w:val="left" w:pos="2804"/>
        </w:tabs>
        <w:ind w:left="2804" w:hanging="420"/>
      </w:pPr>
      <w:rPr>
        <w:rFonts w:hint="default" w:ascii="Wingdings" w:hAnsi="Wingdings"/>
      </w:rPr>
    </w:lvl>
    <w:lvl w:ilvl="6" w:tentative="0">
      <w:start w:val="1"/>
      <w:numFmt w:val="bullet"/>
      <w:lvlText w:val=""/>
      <w:lvlJc w:val="left"/>
      <w:pPr>
        <w:tabs>
          <w:tab w:val="left" w:pos="3224"/>
        </w:tabs>
        <w:ind w:left="3224" w:hanging="420"/>
      </w:pPr>
      <w:rPr>
        <w:rFonts w:hint="default" w:ascii="Wingdings" w:hAnsi="Wingdings"/>
      </w:rPr>
    </w:lvl>
    <w:lvl w:ilvl="7" w:tentative="0">
      <w:start w:val="1"/>
      <w:numFmt w:val="bullet"/>
      <w:lvlText w:val=""/>
      <w:lvlJc w:val="left"/>
      <w:pPr>
        <w:tabs>
          <w:tab w:val="left" w:pos="3644"/>
        </w:tabs>
        <w:ind w:left="3644" w:hanging="420"/>
      </w:pPr>
      <w:rPr>
        <w:rFonts w:hint="default" w:ascii="Wingdings" w:hAnsi="Wingdings"/>
      </w:rPr>
    </w:lvl>
    <w:lvl w:ilvl="8" w:tentative="0">
      <w:start w:val="1"/>
      <w:numFmt w:val="bullet"/>
      <w:lvlText w:val=""/>
      <w:lvlJc w:val="left"/>
      <w:pPr>
        <w:tabs>
          <w:tab w:val="left" w:pos="4064"/>
        </w:tabs>
        <w:ind w:left="4064" w:hanging="420"/>
      </w:pPr>
      <w:rPr>
        <w:rFonts w:hint="default" w:ascii="Wingdings" w:hAnsi="Wingdings"/>
      </w:rPr>
    </w:lvl>
  </w:abstractNum>
  <w:abstractNum w:abstractNumId="13">
    <w:nsid w:val="3396D96C"/>
    <w:multiLevelType w:val="multilevel"/>
    <w:tmpl w:val="3396D96C"/>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4">
    <w:nsid w:val="47583D86"/>
    <w:multiLevelType w:val="multilevel"/>
    <w:tmpl w:val="47583D86"/>
    <w:lvl w:ilvl="0" w:tentative="0">
      <w:start w:val="1"/>
      <w:numFmt w:val="decimal"/>
      <w:lvlText w:val="4.4.%1"/>
      <w:lvlJc w:val="left"/>
      <w:pPr>
        <w:tabs>
          <w:tab w:val="left" w:pos="360"/>
        </w:tabs>
        <w:ind w:left="360" w:hanging="360"/>
      </w:pPr>
      <w:rPr>
        <w:rFonts w:hint="default"/>
      </w:rPr>
    </w:lvl>
    <w:lvl w:ilvl="1" w:tentative="0">
      <w:start w:val="1"/>
      <w:numFmt w:val="decimal"/>
      <w:lvlText w:val="4.4.2.%2"/>
      <w:lvlJc w:val="left"/>
      <w:pPr>
        <w:tabs>
          <w:tab w:val="left" w:pos="840"/>
        </w:tabs>
        <w:ind w:left="840" w:hanging="420"/>
      </w:pPr>
      <w:rPr>
        <w:rFonts w:hint="eastAsia"/>
      </w:rPr>
    </w:lvl>
    <w:lvl w:ilvl="2" w:tentative="0">
      <w:start w:val="1"/>
      <w:numFmt w:val="decimalEnclosedCircle"/>
      <w:pStyle w:val="495"/>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47FA0EFA"/>
    <w:multiLevelType w:val="multilevel"/>
    <w:tmpl w:val="47FA0EFA"/>
    <w:lvl w:ilvl="0" w:tentative="0">
      <w:start w:val="1"/>
      <w:numFmt w:val="bullet"/>
      <w:pStyle w:val="288"/>
      <w:lvlText w:val="●"/>
      <w:lvlJc w:val="left"/>
      <w:pPr>
        <w:ind w:left="360" w:hanging="360"/>
      </w:pPr>
      <w:rPr>
        <w:rFonts w:hint="default" w:ascii="Trebuchet MS" w:hAnsi="Trebuchet MS"/>
        <w:b w:val="0"/>
        <w:i w:val="0"/>
        <w:color w:val="AAAAAA"/>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6">
    <w:nsid w:val="48484612"/>
    <w:multiLevelType w:val="singleLevel"/>
    <w:tmpl w:val="48484612"/>
    <w:lvl w:ilvl="0" w:tentative="0">
      <w:start w:val="1"/>
      <w:numFmt w:val="bullet"/>
      <w:pStyle w:val="279"/>
      <w:lvlText w:val=""/>
      <w:lvlJc w:val="left"/>
      <w:pPr>
        <w:tabs>
          <w:tab w:val="left" w:pos="1843"/>
        </w:tabs>
        <w:ind w:left="1843" w:hanging="425"/>
      </w:pPr>
      <w:rPr>
        <w:rFonts w:hint="default" w:ascii="Wingdings" w:hAnsi="Wingdings"/>
        <w:sz w:val="20"/>
      </w:rPr>
    </w:lvl>
  </w:abstractNum>
  <w:abstractNum w:abstractNumId="17">
    <w:nsid w:val="4C714CCA"/>
    <w:multiLevelType w:val="multilevel"/>
    <w:tmpl w:val="4C714CCA"/>
    <w:lvl w:ilvl="0" w:tentative="0">
      <w:start w:val="1"/>
      <w:numFmt w:val="bullet"/>
      <w:pStyle w:val="536"/>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509821AF"/>
    <w:multiLevelType w:val="multilevel"/>
    <w:tmpl w:val="509821AF"/>
    <w:lvl w:ilvl="0" w:tentative="0">
      <w:start w:val="1"/>
      <w:numFmt w:val="none"/>
      <w:pStyle w:val="292"/>
      <w:suff w:val="nothing"/>
      <w:lvlText w:val=""/>
      <w:lvlJc w:val="left"/>
      <w:pPr>
        <w:ind w:left="0" w:firstLine="0"/>
      </w:pPr>
      <w:rPr>
        <w:rFonts w:hint="default" w:ascii="Trebuchet MS" w:hAnsi="Trebuchet MS" w:eastAsia="宋体"/>
        <w:b w:val="0"/>
        <w:i w:val="0"/>
        <w:color w:val="0085C3"/>
        <w:sz w:val="24"/>
        <w:szCs w:val="24"/>
        <w:u w:val="none"/>
      </w:rPr>
    </w:lvl>
    <w:lvl w:ilvl="1" w:tentative="0">
      <w:start w:val="1"/>
      <w:numFmt w:val="none"/>
      <w:pStyle w:val="297"/>
      <w:suff w:val="nothing"/>
      <w:lvlText w:val=""/>
      <w:lvlJc w:val="left"/>
      <w:pPr>
        <w:ind w:left="0" w:firstLine="0"/>
      </w:pPr>
      <w:rPr>
        <w:rFonts w:hint="default" w:ascii="Trebuchet MS" w:hAnsi="Trebuchet MS" w:eastAsia="宋体"/>
        <w:b w:val="0"/>
        <w:i w:val="0"/>
        <w:color w:val="0085C3"/>
        <w:sz w:val="24"/>
        <w:szCs w:val="20"/>
        <w:u w:val="none"/>
      </w:rPr>
    </w:lvl>
    <w:lvl w:ilvl="2" w:tentative="0">
      <w:start w:val="1"/>
      <w:numFmt w:val="none"/>
      <w:pStyle w:val="293"/>
      <w:suff w:val="nothing"/>
      <w:lvlText w:val=""/>
      <w:lvlJc w:val="left"/>
      <w:pPr>
        <w:ind w:left="0" w:firstLine="0"/>
      </w:pPr>
      <w:rPr>
        <w:rFonts w:hint="default" w:ascii="Trebuchet MS" w:hAnsi="Trebuchet MS" w:eastAsia="宋体"/>
        <w:b w:val="0"/>
        <w:i w:val="0"/>
        <w:color w:val="0085C3"/>
        <w:sz w:val="22"/>
        <w:szCs w:val="18"/>
        <w:u w:val="none"/>
      </w:rPr>
    </w:lvl>
    <w:lvl w:ilvl="3" w:tentative="0">
      <w:start w:val="1"/>
      <w:numFmt w:val="none"/>
      <w:pStyle w:val="294"/>
      <w:suff w:val="nothing"/>
      <w:lvlText w:val=""/>
      <w:lvlJc w:val="left"/>
      <w:pPr>
        <w:ind w:left="0" w:firstLine="0"/>
      </w:pPr>
      <w:rPr>
        <w:rFonts w:hint="default" w:ascii="Trebuchet MS" w:hAnsi="Trebuchet MS" w:eastAsia="宋体"/>
        <w:b w:val="0"/>
        <w:i w:val="0"/>
        <w:color w:val="0085C3"/>
        <w:sz w:val="20"/>
        <w:szCs w:val="16"/>
        <w:u w:val="none"/>
      </w:rPr>
    </w:lvl>
    <w:lvl w:ilvl="4" w:tentative="0">
      <w:start w:val="1"/>
      <w:numFmt w:val="none"/>
      <w:pStyle w:val="295"/>
      <w:suff w:val="nothing"/>
      <w:lvlText w:val=""/>
      <w:lvlJc w:val="left"/>
      <w:pPr>
        <w:ind w:left="0" w:firstLine="0"/>
      </w:pPr>
      <w:rPr>
        <w:rFonts w:hint="default" w:ascii="Trebuchet MS" w:hAnsi="Trebuchet MS" w:eastAsia="宋体"/>
        <w:b w:val="0"/>
        <w:i w:val="0"/>
        <w:color w:val="0085C3"/>
        <w:sz w:val="18"/>
        <w:szCs w:val="16"/>
      </w:rPr>
    </w:lvl>
    <w:lvl w:ilvl="5" w:tentative="0">
      <w:start w:val="1"/>
      <w:numFmt w:val="none"/>
      <w:pStyle w:val="296"/>
      <w:suff w:val="nothing"/>
      <w:lvlText w:val=""/>
      <w:lvlJc w:val="left"/>
      <w:pPr>
        <w:ind w:left="0" w:firstLine="0"/>
      </w:pPr>
      <w:rPr>
        <w:rFonts w:hint="default" w:ascii="Trebuchet MS" w:hAnsi="Trebuchet MS" w:eastAsia="宋体"/>
        <w:b w:val="0"/>
        <w:i w:val="0"/>
        <w:color w:val="0085C3"/>
        <w:sz w:val="16"/>
        <w:szCs w:val="24"/>
      </w:rPr>
    </w:lvl>
    <w:lvl w:ilvl="6" w:tentative="0">
      <w:start w:val="1"/>
      <w:numFmt w:val="upperLetter"/>
      <w:pStyle w:val="289"/>
      <w:suff w:val="nothing"/>
      <w:lvlText w:val="附录%7:  "/>
      <w:lvlJc w:val="left"/>
      <w:pPr>
        <w:ind w:left="0" w:firstLine="0"/>
      </w:pPr>
      <w:rPr>
        <w:rFonts w:hint="default" w:ascii="Trebuchet MS" w:hAnsi="Trebuchet MS" w:eastAsia="宋体"/>
        <w:b/>
        <w:i w:val="0"/>
        <w:caps w:val="0"/>
        <w:strike w:val="0"/>
        <w:dstrike w:val="0"/>
        <w:vanish w:val="0"/>
        <w:color w:val="0085C3"/>
        <w:sz w:val="36"/>
        <w:szCs w:val="20"/>
        <w:vertAlign w:val="baseline"/>
      </w:rPr>
    </w:lvl>
    <w:lvl w:ilvl="7" w:tentative="0">
      <w:start w:val="1"/>
      <w:numFmt w:val="decimal"/>
      <w:pStyle w:val="290"/>
      <w:suff w:val="nothing"/>
      <w:lvlText w:val="%7.%8  "/>
      <w:lvlJc w:val="left"/>
      <w:pPr>
        <w:ind w:left="0" w:firstLine="0"/>
      </w:pPr>
      <w:rPr>
        <w:rFonts w:hint="default" w:ascii="Trebuchet MS" w:hAnsi="Trebuchet MS"/>
        <w:b/>
        <w:i w:val="0"/>
        <w:color w:val="0085C3"/>
        <w:sz w:val="32"/>
        <w:szCs w:val="22"/>
      </w:rPr>
    </w:lvl>
    <w:lvl w:ilvl="8" w:tentative="0">
      <w:start w:val="1"/>
      <w:numFmt w:val="decimal"/>
      <w:pStyle w:val="291"/>
      <w:suff w:val="nothing"/>
      <w:lvlText w:val="%7.%8.%9  "/>
      <w:lvlJc w:val="left"/>
      <w:pPr>
        <w:ind w:left="0" w:firstLine="0"/>
      </w:pPr>
      <w:rPr>
        <w:rFonts w:hint="default" w:ascii="Trebuchet MS" w:hAnsi="Trebuchet MS"/>
        <w:b/>
        <w:i w:val="0"/>
        <w:color w:val="0085C3"/>
        <w:sz w:val="28"/>
        <w:szCs w:val="20"/>
      </w:rPr>
    </w:lvl>
  </w:abstractNum>
  <w:abstractNum w:abstractNumId="19">
    <w:nsid w:val="55B005B9"/>
    <w:multiLevelType w:val="multilevel"/>
    <w:tmpl w:val="55B005B9"/>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701A936"/>
    <w:multiLevelType w:val="multilevel"/>
    <w:tmpl w:val="5701A936"/>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1">
    <w:nsid w:val="5C0C7826"/>
    <w:multiLevelType w:val="multilevel"/>
    <w:tmpl w:val="5C0C7826"/>
    <w:lvl w:ilvl="0" w:tentative="0">
      <w:start w:val="2"/>
      <w:numFmt w:val="decimal"/>
      <w:lvlText w:val="%1"/>
      <w:lvlJc w:val="left"/>
      <w:pPr>
        <w:ind w:left="600" w:hanging="600"/>
      </w:pPr>
      <w:rPr>
        <w:rFonts w:hint="default"/>
      </w:rPr>
    </w:lvl>
    <w:lvl w:ilvl="1" w:tentative="0">
      <w:start w:val="7"/>
      <w:numFmt w:val="decimal"/>
      <w:lvlText w:val="%1.%2"/>
      <w:lvlJc w:val="left"/>
      <w:pPr>
        <w:ind w:left="800" w:hanging="600"/>
      </w:pPr>
      <w:rPr>
        <w:rFonts w:hint="default"/>
      </w:rPr>
    </w:lvl>
    <w:lvl w:ilvl="2" w:tentative="0">
      <w:start w:val="7"/>
      <w:numFmt w:val="decimal"/>
      <w:lvlText w:val="%1.%2.%3"/>
      <w:lvlJc w:val="left"/>
      <w:pPr>
        <w:ind w:left="1120" w:hanging="720"/>
      </w:pPr>
      <w:rPr>
        <w:rFonts w:hint="default"/>
      </w:rPr>
    </w:lvl>
    <w:lvl w:ilvl="3" w:tentative="0">
      <w:start w:val="1"/>
      <w:numFmt w:val="decimal"/>
      <w:pStyle w:val="520"/>
      <w:lvlText w:val="%1.%2.%3.%4"/>
      <w:lvlJc w:val="left"/>
      <w:pPr>
        <w:ind w:left="1320" w:hanging="720"/>
      </w:pPr>
      <w:rPr>
        <w:rFonts w:hint="default"/>
      </w:rPr>
    </w:lvl>
    <w:lvl w:ilvl="4" w:tentative="0">
      <w:start w:val="1"/>
      <w:numFmt w:val="decimal"/>
      <w:lvlText w:val="%1.%2.%3.%4.%5"/>
      <w:lvlJc w:val="left"/>
      <w:pPr>
        <w:ind w:left="1880" w:hanging="1080"/>
      </w:pPr>
      <w:rPr>
        <w:rFonts w:hint="default"/>
      </w:rPr>
    </w:lvl>
    <w:lvl w:ilvl="5" w:tentative="0">
      <w:start w:val="1"/>
      <w:numFmt w:val="decimal"/>
      <w:lvlText w:val="%1.%2.%3.%4.%5.%6"/>
      <w:lvlJc w:val="left"/>
      <w:pPr>
        <w:ind w:left="2080" w:hanging="1080"/>
      </w:pPr>
      <w:rPr>
        <w:rFonts w:hint="default"/>
      </w:rPr>
    </w:lvl>
    <w:lvl w:ilvl="6" w:tentative="0">
      <w:start w:val="1"/>
      <w:numFmt w:val="decimal"/>
      <w:lvlText w:val="%1.%2.%3.%4.%5.%6.%7"/>
      <w:lvlJc w:val="left"/>
      <w:pPr>
        <w:ind w:left="2280" w:hanging="1080"/>
      </w:pPr>
      <w:rPr>
        <w:rFonts w:hint="default"/>
      </w:rPr>
    </w:lvl>
    <w:lvl w:ilvl="7" w:tentative="0">
      <w:start w:val="1"/>
      <w:numFmt w:val="decimal"/>
      <w:lvlText w:val="%1.%2.%3.%4.%5.%6.%7.%8"/>
      <w:lvlJc w:val="left"/>
      <w:pPr>
        <w:ind w:left="2840" w:hanging="1440"/>
      </w:pPr>
      <w:rPr>
        <w:rFonts w:hint="default"/>
      </w:rPr>
    </w:lvl>
    <w:lvl w:ilvl="8" w:tentative="0">
      <w:start w:val="1"/>
      <w:numFmt w:val="decimal"/>
      <w:lvlText w:val="%1.%2.%3.%4.%5.%6.%7.%8.%9"/>
      <w:lvlJc w:val="left"/>
      <w:pPr>
        <w:ind w:left="3040" w:hanging="1440"/>
      </w:pPr>
      <w:rPr>
        <w:rFonts w:hint="default"/>
      </w:rPr>
    </w:lvl>
  </w:abstractNum>
  <w:abstractNum w:abstractNumId="22">
    <w:nsid w:val="5D1B2DE3"/>
    <w:multiLevelType w:val="singleLevel"/>
    <w:tmpl w:val="5D1B2DE3"/>
    <w:lvl w:ilvl="0" w:tentative="0">
      <w:start w:val="2"/>
      <w:numFmt w:val="chineseCounting"/>
      <w:suff w:val="nothing"/>
      <w:lvlText w:val="（%1）"/>
      <w:lvlJc w:val="left"/>
      <w:rPr>
        <w:rFonts w:hint="eastAsia"/>
      </w:rPr>
    </w:lvl>
  </w:abstractNum>
  <w:abstractNum w:abstractNumId="23">
    <w:nsid w:val="64070C5F"/>
    <w:multiLevelType w:val="multilevel"/>
    <w:tmpl w:val="64070C5F"/>
    <w:lvl w:ilvl="0" w:tentative="0">
      <w:start w:val="1"/>
      <w:numFmt w:val="decimal"/>
      <w:lvlText w:val="%1."/>
      <w:lvlJc w:val="left"/>
      <w:pPr>
        <w:ind w:left="884" w:hanging="420"/>
      </w:pPr>
    </w:lvl>
    <w:lvl w:ilvl="1" w:tentative="0">
      <w:start w:val="1"/>
      <w:numFmt w:val="lowerLetter"/>
      <w:lvlText w:val="%2)"/>
      <w:lvlJc w:val="left"/>
      <w:pPr>
        <w:ind w:left="1304" w:hanging="420"/>
      </w:pPr>
    </w:lvl>
    <w:lvl w:ilvl="2" w:tentative="0">
      <w:start w:val="1"/>
      <w:numFmt w:val="lowerRoman"/>
      <w:lvlText w:val="%3."/>
      <w:lvlJc w:val="right"/>
      <w:pPr>
        <w:ind w:left="1724" w:hanging="420"/>
      </w:pPr>
    </w:lvl>
    <w:lvl w:ilvl="3" w:tentative="0">
      <w:start w:val="1"/>
      <w:numFmt w:val="decimal"/>
      <w:lvlText w:val="%4."/>
      <w:lvlJc w:val="left"/>
      <w:pPr>
        <w:ind w:left="2144" w:hanging="420"/>
      </w:pPr>
    </w:lvl>
    <w:lvl w:ilvl="4" w:tentative="0">
      <w:start w:val="1"/>
      <w:numFmt w:val="lowerLetter"/>
      <w:lvlText w:val="%5)"/>
      <w:lvlJc w:val="left"/>
      <w:pPr>
        <w:ind w:left="2564" w:hanging="420"/>
      </w:pPr>
    </w:lvl>
    <w:lvl w:ilvl="5" w:tentative="0">
      <w:start w:val="1"/>
      <w:numFmt w:val="lowerRoman"/>
      <w:lvlText w:val="%6."/>
      <w:lvlJc w:val="right"/>
      <w:pPr>
        <w:ind w:left="2984" w:hanging="420"/>
      </w:pPr>
    </w:lvl>
    <w:lvl w:ilvl="6" w:tentative="0">
      <w:start w:val="1"/>
      <w:numFmt w:val="decimal"/>
      <w:lvlText w:val="%7."/>
      <w:lvlJc w:val="left"/>
      <w:pPr>
        <w:ind w:left="3404" w:hanging="420"/>
      </w:pPr>
    </w:lvl>
    <w:lvl w:ilvl="7" w:tentative="0">
      <w:start w:val="1"/>
      <w:numFmt w:val="lowerLetter"/>
      <w:lvlText w:val="%8)"/>
      <w:lvlJc w:val="left"/>
      <w:pPr>
        <w:ind w:left="3824" w:hanging="420"/>
      </w:pPr>
    </w:lvl>
    <w:lvl w:ilvl="8" w:tentative="0">
      <w:start w:val="1"/>
      <w:numFmt w:val="lowerRoman"/>
      <w:lvlText w:val="%9."/>
      <w:lvlJc w:val="right"/>
      <w:pPr>
        <w:ind w:left="4244" w:hanging="420"/>
      </w:pPr>
    </w:lvl>
  </w:abstractNum>
  <w:abstractNum w:abstractNumId="24">
    <w:nsid w:val="65F53776"/>
    <w:multiLevelType w:val="multilevel"/>
    <w:tmpl w:val="65F53776"/>
    <w:lvl w:ilvl="0" w:tentative="0">
      <w:start w:val="1"/>
      <w:numFmt w:val="japaneseCounting"/>
      <w:lvlText w:val="第%1章"/>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67311956"/>
    <w:multiLevelType w:val="multilevel"/>
    <w:tmpl w:val="67311956"/>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rPr>
        <w:rFonts w:hint="default"/>
      </w:r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6">
    <w:nsid w:val="684A1E8D"/>
    <w:multiLevelType w:val="multilevel"/>
    <w:tmpl w:val="684A1E8D"/>
    <w:lvl w:ilvl="0" w:tentative="0">
      <w:start w:val="1"/>
      <w:numFmt w:val="bullet"/>
      <w:pStyle w:val="249"/>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27">
    <w:nsid w:val="69DA2676"/>
    <w:multiLevelType w:val="multilevel"/>
    <w:tmpl w:val="69DA2676"/>
    <w:lvl w:ilvl="0" w:tentative="0">
      <w:start w:val="1"/>
      <w:numFmt w:val="bullet"/>
      <w:pStyle w:val="538"/>
      <w:lvlText w:val="＞"/>
      <w:lvlJc w:val="left"/>
      <w:pPr>
        <w:ind w:left="902" w:hanging="420"/>
      </w:pPr>
      <w:rPr>
        <w:rFonts w:hint="eastAsia" w:ascii="微软雅黑" w:hAnsi="微软雅黑" w:eastAsia="微软雅黑"/>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28">
    <w:nsid w:val="6E993F20"/>
    <w:multiLevelType w:val="multilevel"/>
    <w:tmpl w:val="6E993F20"/>
    <w:lvl w:ilvl="0" w:tentative="0">
      <w:start w:val="1"/>
      <w:numFmt w:val="decimal"/>
      <w:pStyle w:val="492"/>
      <w:lvlText w:val="8.%1"/>
      <w:lvlJc w:val="left"/>
      <w:pPr>
        <w:ind w:left="420" w:hanging="420"/>
      </w:pPr>
      <w:rPr>
        <w:rFonts w:hint="eastAsia" w:ascii="宋体" w:hAnsi="宋体" w:eastAsia="宋体"/>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70023C59"/>
    <w:multiLevelType w:val="multilevel"/>
    <w:tmpl w:val="70023C59"/>
    <w:lvl w:ilvl="0" w:tentative="0">
      <w:start w:val="1"/>
      <w:numFmt w:val="bullet"/>
      <w:lvlText w:val=""/>
      <w:lvlJc w:val="left"/>
      <w:pPr>
        <w:ind w:left="846" w:hanging="420"/>
      </w:pPr>
      <w:rPr>
        <w:rFonts w:hint="default" w:ascii="Wingdings" w:hAnsi="Wingdings"/>
        <w:b/>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pStyle w:val="413"/>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30">
    <w:nsid w:val="7C564804"/>
    <w:multiLevelType w:val="multilevel"/>
    <w:tmpl w:val="7C564804"/>
    <w:lvl w:ilvl="0" w:tentative="0">
      <w:start w:val="1"/>
      <w:numFmt w:val="decimal"/>
      <w:pStyle w:val="240"/>
      <w:lvlText w:val="%1"/>
      <w:lvlJc w:val="left"/>
      <w:pPr>
        <w:ind w:left="629" w:hanging="629"/>
      </w:pPr>
      <w:rPr>
        <w:rFonts w:hint="eastAsia"/>
      </w:rPr>
    </w:lvl>
    <w:lvl w:ilvl="1" w:tentative="0">
      <w:start w:val="1"/>
      <w:numFmt w:val="decimal"/>
      <w:pStyle w:val="241"/>
      <w:lvlText w:val="%1.%2"/>
      <w:lvlJc w:val="left"/>
      <w:pPr>
        <w:ind w:left="629" w:hanging="629"/>
      </w:pPr>
      <w:rPr>
        <w:rFonts w:hint="eastAsia"/>
      </w:rPr>
    </w:lvl>
    <w:lvl w:ilvl="2" w:tentative="0">
      <w:start w:val="1"/>
      <w:numFmt w:val="decimal"/>
      <w:pStyle w:val="242"/>
      <w:lvlText w:val="%1.%2.%3"/>
      <w:lvlJc w:val="left"/>
      <w:pPr>
        <w:ind w:left="629" w:hanging="629"/>
      </w:pPr>
      <w:rPr>
        <w:rFonts w:hint="eastAsia"/>
      </w:rPr>
    </w:lvl>
    <w:lvl w:ilvl="3" w:tentative="0">
      <w:start w:val="1"/>
      <w:numFmt w:val="decimal"/>
      <w:pStyle w:val="243"/>
      <w:lvlText w:val="%1.%2.%3.%4"/>
      <w:lvlJc w:val="left"/>
      <w:pPr>
        <w:ind w:left="629" w:hanging="629"/>
      </w:pPr>
      <w:rPr>
        <w:rFonts w:hint="eastAsia"/>
      </w:rPr>
    </w:lvl>
    <w:lvl w:ilvl="4" w:tentative="0">
      <w:start w:val="1"/>
      <w:numFmt w:val="decimal"/>
      <w:pStyle w:val="244"/>
      <w:lvlText w:val="%1.%2.%3.%4.%5"/>
      <w:lvlJc w:val="left"/>
      <w:pPr>
        <w:ind w:left="629" w:hanging="629"/>
      </w:pPr>
      <w:rPr>
        <w:rFonts w:hint="eastAsia"/>
      </w:rPr>
    </w:lvl>
    <w:lvl w:ilvl="5" w:tentative="0">
      <w:start w:val="1"/>
      <w:numFmt w:val="decimal"/>
      <w:pStyle w:val="247"/>
      <w:lvlText w:val="表%6"/>
      <w:lvlJc w:val="left"/>
      <w:pPr>
        <w:ind w:left="629" w:hanging="629"/>
      </w:pPr>
      <w:rPr>
        <w:rFonts w:hint="eastAsia"/>
      </w:rPr>
    </w:lvl>
    <w:lvl w:ilvl="6" w:tentative="0">
      <w:start w:val="1"/>
      <w:numFmt w:val="decimal"/>
      <w:lvlRestart w:val="1"/>
      <w:pStyle w:val="246"/>
      <w:suff w:val="space"/>
      <w:lvlText w:val="图 %1-%7"/>
      <w:lvlJc w:val="left"/>
      <w:pPr>
        <w:ind w:left="4599" w:hanging="629"/>
      </w:pPr>
      <w:rPr>
        <w:rFonts w:hint="eastAsia"/>
      </w:rPr>
    </w:lvl>
    <w:lvl w:ilvl="7" w:tentative="0">
      <w:start w:val="1"/>
      <w:numFmt w:val="decimal"/>
      <w:lvlText w:val="%1.%2.%3.%4.%5.%6.%7.%8"/>
      <w:lvlJc w:val="left"/>
      <w:pPr>
        <w:ind w:left="629" w:hanging="629"/>
      </w:pPr>
      <w:rPr>
        <w:rFonts w:hint="eastAsia"/>
      </w:rPr>
    </w:lvl>
    <w:lvl w:ilvl="8" w:tentative="0">
      <w:start w:val="1"/>
      <w:numFmt w:val="decimal"/>
      <w:lvlText w:val="%1.%2.%3.%4.%5.%6.%7.%8.%9"/>
      <w:lvlJc w:val="left"/>
      <w:pPr>
        <w:ind w:left="629" w:hanging="629"/>
      </w:pPr>
      <w:rPr>
        <w:rFonts w:hint="eastAsia"/>
      </w:rPr>
    </w:lvl>
  </w:abstractNum>
  <w:abstractNum w:abstractNumId="31">
    <w:nsid w:val="7DAA347A"/>
    <w:multiLevelType w:val="multilevel"/>
    <w:tmpl w:val="7DAA347A"/>
    <w:lvl w:ilvl="0" w:tentative="0">
      <w:start w:val="1"/>
      <w:numFmt w:val="japaneseCounting"/>
      <w:lvlText w:val="第%1条"/>
      <w:lvlJc w:val="left"/>
      <w:pPr>
        <w:tabs>
          <w:tab w:val="left" w:pos="1157"/>
        </w:tabs>
        <w:ind w:left="1157" w:hanging="735"/>
      </w:pPr>
      <w:rPr>
        <w:rFonts w:hint="default"/>
      </w:rPr>
    </w:lvl>
    <w:lvl w:ilvl="1" w:tentative="0">
      <w:start w:val="1"/>
      <w:numFmt w:val="lowerLetter"/>
      <w:lvlText w:val="%2)"/>
      <w:lvlJc w:val="left"/>
      <w:pPr>
        <w:tabs>
          <w:tab w:val="left" w:pos="1262"/>
        </w:tabs>
        <w:ind w:left="1262" w:hanging="420"/>
      </w:pPr>
    </w:lvl>
    <w:lvl w:ilvl="2" w:tentative="0">
      <w:start w:val="1"/>
      <w:numFmt w:val="lowerRoman"/>
      <w:lvlText w:val="%3."/>
      <w:lvlJc w:val="right"/>
      <w:pPr>
        <w:tabs>
          <w:tab w:val="left" w:pos="1682"/>
        </w:tabs>
        <w:ind w:left="1682" w:hanging="420"/>
      </w:pPr>
    </w:lvl>
    <w:lvl w:ilvl="3" w:tentative="0">
      <w:start w:val="1"/>
      <w:numFmt w:val="decimal"/>
      <w:lvlText w:val="%4."/>
      <w:lvlJc w:val="left"/>
      <w:pPr>
        <w:tabs>
          <w:tab w:val="left" w:pos="2102"/>
        </w:tabs>
        <w:ind w:left="2102" w:hanging="420"/>
      </w:pPr>
    </w:lvl>
    <w:lvl w:ilvl="4" w:tentative="0">
      <w:start w:val="1"/>
      <w:numFmt w:val="lowerLetter"/>
      <w:lvlText w:val="%5)"/>
      <w:lvlJc w:val="left"/>
      <w:pPr>
        <w:tabs>
          <w:tab w:val="left" w:pos="2522"/>
        </w:tabs>
        <w:ind w:left="2522" w:hanging="420"/>
      </w:pPr>
    </w:lvl>
    <w:lvl w:ilvl="5" w:tentative="0">
      <w:start w:val="1"/>
      <w:numFmt w:val="lowerRoman"/>
      <w:lvlText w:val="%6."/>
      <w:lvlJc w:val="right"/>
      <w:pPr>
        <w:tabs>
          <w:tab w:val="left" w:pos="2942"/>
        </w:tabs>
        <w:ind w:left="2942" w:hanging="420"/>
      </w:pPr>
    </w:lvl>
    <w:lvl w:ilvl="6" w:tentative="0">
      <w:start w:val="1"/>
      <w:numFmt w:val="decimal"/>
      <w:lvlText w:val="%7."/>
      <w:lvlJc w:val="left"/>
      <w:pPr>
        <w:tabs>
          <w:tab w:val="left" w:pos="3362"/>
        </w:tabs>
        <w:ind w:left="3362" w:hanging="420"/>
      </w:pPr>
    </w:lvl>
    <w:lvl w:ilvl="7" w:tentative="0">
      <w:start w:val="1"/>
      <w:numFmt w:val="lowerLetter"/>
      <w:lvlText w:val="%8)"/>
      <w:lvlJc w:val="left"/>
      <w:pPr>
        <w:tabs>
          <w:tab w:val="left" w:pos="3782"/>
        </w:tabs>
        <w:ind w:left="3782" w:hanging="420"/>
      </w:pPr>
    </w:lvl>
    <w:lvl w:ilvl="8" w:tentative="0">
      <w:start w:val="1"/>
      <w:numFmt w:val="lowerRoman"/>
      <w:lvlText w:val="%9."/>
      <w:lvlJc w:val="right"/>
      <w:pPr>
        <w:tabs>
          <w:tab w:val="left" w:pos="4202"/>
        </w:tabs>
        <w:ind w:left="4202" w:hanging="420"/>
      </w:pPr>
    </w:lvl>
  </w:abstractNum>
  <w:num w:numId="1">
    <w:abstractNumId w:val="30"/>
  </w:num>
  <w:num w:numId="2">
    <w:abstractNumId w:val="9"/>
  </w:num>
  <w:num w:numId="3">
    <w:abstractNumId w:val="26"/>
  </w:num>
  <w:num w:numId="4">
    <w:abstractNumId w:val="16"/>
  </w:num>
  <w:num w:numId="5">
    <w:abstractNumId w:val="7"/>
  </w:num>
  <w:num w:numId="6">
    <w:abstractNumId w:val="15"/>
  </w:num>
  <w:num w:numId="7">
    <w:abstractNumId w:val="18"/>
  </w:num>
  <w:num w:numId="8">
    <w:abstractNumId w:val="29"/>
  </w:num>
  <w:num w:numId="9">
    <w:abstractNumId w:val="12"/>
  </w:num>
  <w:num w:numId="10">
    <w:abstractNumId w:val="11"/>
  </w:num>
  <w:num w:numId="11">
    <w:abstractNumId w:val="28"/>
  </w:num>
  <w:num w:numId="12">
    <w:abstractNumId w:val="14"/>
  </w:num>
  <w:num w:numId="13">
    <w:abstractNumId w:val="6"/>
  </w:num>
  <w:num w:numId="14">
    <w:abstractNumId w:val="21"/>
  </w:num>
  <w:num w:numId="15">
    <w:abstractNumId w:val="5"/>
  </w:num>
  <w:num w:numId="16">
    <w:abstractNumId w:val="10"/>
  </w:num>
  <w:num w:numId="17">
    <w:abstractNumId w:val="17"/>
  </w:num>
  <w:num w:numId="18">
    <w:abstractNumId w:val="27"/>
  </w:num>
  <w:num w:numId="19">
    <w:abstractNumId w:val="24"/>
  </w:num>
  <w:num w:numId="20">
    <w:abstractNumId w:val="4"/>
  </w:num>
  <w:num w:numId="21">
    <w:abstractNumId w:val="0"/>
  </w:num>
  <w:num w:numId="22">
    <w:abstractNumId w:val="19"/>
  </w:num>
  <w:num w:numId="23">
    <w:abstractNumId w:val="8"/>
  </w:num>
  <w:num w:numId="24">
    <w:abstractNumId w:val="20"/>
  </w:num>
  <w:num w:numId="25">
    <w:abstractNumId w:val="2"/>
  </w:num>
  <w:num w:numId="26">
    <w:abstractNumId w:val="13"/>
  </w:num>
  <w:num w:numId="27">
    <w:abstractNumId w:val="23"/>
  </w:num>
  <w:num w:numId="28">
    <w:abstractNumId w:val="25"/>
  </w:num>
  <w:num w:numId="29">
    <w:abstractNumId w:val="31"/>
  </w:num>
  <w:num w:numId="30">
    <w:abstractNumId w:val="1"/>
  </w:num>
  <w:num w:numId="31">
    <w:abstractNumId w:val="3"/>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gutterAtTop/>
  <w:documentProtection w:enforcement="0"/>
  <w:defaultTabStop w:val="105"/>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hMzZjNjgwMGI1ODQzOTkzNjQ3YmQ0OTAwZjFlM2QifQ=="/>
  </w:docVars>
  <w:rsids>
    <w:rsidRoot w:val="00172A27"/>
    <w:rsid w:val="00000511"/>
    <w:rsid w:val="000006A5"/>
    <w:rsid w:val="000023DC"/>
    <w:rsid w:val="00004E52"/>
    <w:rsid w:val="00005657"/>
    <w:rsid w:val="000116CD"/>
    <w:rsid w:val="00015404"/>
    <w:rsid w:val="00017A48"/>
    <w:rsid w:val="00017F43"/>
    <w:rsid w:val="0002213E"/>
    <w:rsid w:val="00023B6B"/>
    <w:rsid w:val="0002587C"/>
    <w:rsid w:val="00035D5E"/>
    <w:rsid w:val="00036047"/>
    <w:rsid w:val="0004151C"/>
    <w:rsid w:val="00041EA5"/>
    <w:rsid w:val="00043839"/>
    <w:rsid w:val="00046E8B"/>
    <w:rsid w:val="00051560"/>
    <w:rsid w:val="000604EE"/>
    <w:rsid w:val="00062B85"/>
    <w:rsid w:val="000644A5"/>
    <w:rsid w:val="00064E3A"/>
    <w:rsid w:val="00067EE6"/>
    <w:rsid w:val="00070DF6"/>
    <w:rsid w:val="00072083"/>
    <w:rsid w:val="000733E8"/>
    <w:rsid w:val="0007441D"/>
    <w:rsid w:val="00077BDF"/>
    <w:rsid w:val="00081881"/>
    <w:rsid w:val="00081D3E"/>
    <w:rsid w:val="00087297"/>
    <w:rsid w:val="00091BDB"/>
    <w:rsid w:val="00092737"/>
    <w:rsid w:val="0009688E"/>
    <w:rsid w:val="00096AC8"/>
    <w:rsid w:val="000977D1"/>
    <w:rsid w:val="000A3958"/>
    <w:rsid w:val="000A42EA"/>
    <w:rsid w:val="000B19C8"/>
    <w:rsid w:val="000B2C9B"/>
    <w:rsid w:val="000B5CD6"/>
    <w:rsid w:val="000B7EBB"/>
    <w:rsid w:val="000C0166"/>
    <w:rsid w:val="000C08EC"/>
    <w:rsid w:val="000C700C"/>
    <w:rsid w:val="000D04DE"/>
    <w:rsid w:val="000D4B1D"/>
    <w:rsid w:val="000D5233"/>
    <w:rsid w:val="000D5371"/>
    <w:rsid w:val="000D549B"/>
    <w:rsid w:val="000D6CFA"/>
    <w:rsid w:val="000E2149"/>
    <w:rsid w:val="000E58F4"/>
    <w:rsid w:val="000E5D86"/>
    <w:rsid w:val="000E7167"/>
    <w:rsid w:val="000F351C"/>
    <w:rsid w:val="000F67AE"/>
    <w:rsid w:val="000F6B7B"/>
    <w:rsid w:val="000F741D"/>
    <w:rsid w:val="000F761E"/>
    <w:rsid w:val="000F773A"/>
    <w:rsid w:val="0010113D"/>
    <w:rsid w:val="001011B5"/>
    <w:rsid w:val="001022CE"/>
    <w:rsid w:val="001108E1"/>
    <w:rsid w:val="00110C79"/>
    <w:rsid w:val="0011197C"/>
    <w:rsid w:val="00112255"/>
    <w:rsid w:val="00112B16"/>
    <w:rsid w:val="00113957"/>
    <w:rsid w:val="00113FC7"/>
    <w:rsid w:val="0011414D"/>
    <w:rsid w:val="00114E28"/>
    <w:rsid w:val="00117238"/>
    <w:rsid w:val="00117630"/>
    <w:rsid w:val="0011797F"/>
    <w:rsid w:val="001209D6"/>
    <w:rsid w:val="0012126B"/>
    <w:rsid w:val="00121BD9"/>
    <w:rsid w:val="00123B4A"/>
    <w:rsid w:val="00127AA8"/>
    <w:rsid w:val="00127E90"/>
    <w:rsid w:val="00130234"/>
    <w:rsid w:val="0013174E"/>
    <w:rsid w:val="00131DBD"/>
    <w:rsid w:val="00133A2F"/>
    <w:rsid w:val="001346AE"/>
    <w:rsid w:val="00136E07"/>
    <w:rsid w:val="00143377"/>
    <w:rsid w:val="00152308"/>
    <w:rsid w:val="00152C1C"/>
    <w:rsid w:val="001561BF"/>
    <w:rsid w:val="0015726C"/>
    <w:rsid w:val="00160243"/>
    <w:rsid w:val="00161FD3"/>
    <w:rsid w:val="00162C95"/>
    <w:rsid w:val="00163C2C"/>
    <w:rsid w:val="00163EC2"/>
    <w:rsid w:val="0016451C"/>
    <w:rsid w:val="00166D39"/>
    <w:rsid w:val="00166E5C"/>
    <w:rsid w:val="00172745"/>
    <w:rsid w:val="00172A27"/>
    <w:rsid w:val="0017362F"/>
    <w:rsid w:val="00176503"/>
    <w:rsid w:val="00176655"/>
    <w:rsid w:val="00176925"/>
    <w:rsid w:val="00182477"/>
    <w:rsid w:val="00182DBB"/>
    <w:rsid w:val="001839D9"/>
    <w:rsid w:val="00185D10"/>
    <w:rsid w:val="00186B2C"/>
    <w:rsid w:val="00190127"/>
    <w:rsid w:val="00192454"/>
    <w:rsid w:val="001943A3"/>
    <w:rsid w:val="00194A46"/>
    <w:rsid w:val="0019645E"/>
    <w:rsid w:val="00197B95"/>
    <w:rsid w:val="001A3617"/>
    <w:rsid w:val="001A45CD"/>
    <w:rsid w:val="001A57CB"/>
    <w:rsid w:val="001A6572"/>
    <w:rsid w:val="001A693B"/>
    <w:rsid w:val="001B03EB"/>
    <w:rsid w:val="001B0E63"/>
    <w:rsid w:val="001B3639"/>
    <w:rsid w:val="001B475E"/>
    <w:rsid w:val="001B6045"/>
    <w:rsid w:val="001B6B4C"/>
    <w:rsid w:val="001B6F7D"/>
    <w:rsid w:val="001B7948"/>
    <w:rsid w:val="001B7CED"/>
    <w:rsid w:val="001C0673"/>
    <w:rsid w:val="001C2DEC"/>
    <w:rsid w:val="001C2EAF"/>
    <w:rsid w:val="001C4030"/>
    <w:rsid w:val="001C4595"/>
    <w:rsid w:val="001C564C"/>
    <w:rsid w:val="001D6725"/>
    <w:rsid w:val="001D6C40"/>
    <w:rsid w:val="001D748F"/>
    <w:rsid w:val="001E0460"/>
    <w:rsid w:val="001E1308"/>
    <w:rsid w:val="001E1C8B"/>
    <w:rsid w:val="001E2A2A"/>
    <w:rsid w:val="001E65B3"/>
    <w:rsid w:val="001E674B"/>
    <w:rsid w:val="001F06A5"/>
    <w:rsid w:val="001F6E62"/>
    <w:rsid w:val="002016BF"/>
    <w:rsid w:val="0020404B"/>
    <w:rsid w:val="002058EF"/>
    <w:rsid w:val="002130FC"/>
    <w:rsid w:val="0021416C"/>
    <w:rsid w:val="002142B8"/>
    <w:rsid w:val="00214533"/>
    <w:rsid w:val="00214BF5"/>
    <w:rsid w:val="002158E8"/>
    <w:rsid w:val="00217D21"/>
    <w:rsid w:val="00222A49"/>
    <w:rsid w:val="00226127"/>
    <w:rsid w:val="002274A3"/>
    <w:rsid w:val="00231144"/>
    <w:rsid w:val="00231691"/>
    <w:rsid w:val="0023255F"/>
    <w:rsid w:val="00233877"/>
    <w:rsid w:val="0023659D"/>
    <w:rsid w:val="00237EC6"/>
    <w:rsid w:val="002401A6"/>
    <w:rsid w:val="002455BF"/>
    <w:rsid w:val="00245DC9"/>
    <w:rsid w:val="00246C65"/>
    <w:rsid w:val="00247312"/>
    <w:rsid w:val="00247466"/>
    <w:rsid w:val="0025395F"/>
    <w:rsid w:val="00253BE1"/>
    <w:rsid w:val="00254678"/>
    <w:rsid w:val="00256FC0"/>
    <w:rsid w:val="00257210"/>
    <w:rsid w:val="00257D38"/>
    <w:rsid w:val="00261343"/>
    <w:rsid w:val="00261496"/>
    <w:rsid w:val="00262DAB"/>
    <w:rsid w:val="00267263"/>
    <w:rsid w:val="00270DED"/>
    <w:rsid w:val="00271C1C"/>
    <w:rsid w:val="00273871"/>
    <w:rsid w:val="00273AAF"/>
    <w:rsid w:val="00274EB9"/>
    <w:rsid w:val="00277F24"/>
    <w:rsid w:val="00281738"/>
    <w:rsid w:val="00281FA9"/>
    <w:rsid w:val="0028350F"/>
    <w:rsid w:val="0028580B"/>
    <w:rsid w:val="0028616E"/>
    <w:rsid w:val="00287843"/>
    <w:rsid w:val="0029221A"/>
    <w:rsid w:val="00294EBD"/>
    <w:rsid w:val="0029784E"/>
    <w:rsid w:val="002A37A3"/>
    <w:rsid w:val="002A37DB"/>
    <w:rsid w:val="002A4C97"/>
    <w:rsid w:val="002B431A"/>
    <w:rsid w:val="002B4778"/>
    <w:rsid w:val="002B5E50"/>
    <w:rsid w:val="002B70EF"/>
    <w:rsid w:val="002B738A"/>
    <w:rsid w:val="002C5391"/>
    <w:rsid w:val="002C5645"/>
    <w:rsid w:val="002C6498"/>
    <w:rsid w:val="002C67AD"/>
    <w:rsid w:val="002C696B"/>
    <w:rsid w:val="002D3144"/>
    <w:rsid w:val="002D329C"/>
    <w:rsid w:val="002D61CF"/>
    <w:rsid w:val="002D7762"/>
    <w:rsid w:val="002E4C7D"/>
    <w:rsid w:val="002E51AF"/>
    <w:rsid w:val="002E5542"/>
    <w:rsid w:val="002E6FBC"/>
    <w:rsid w:val="002E743E"/>
    <w:rsid w:val="002E770A"/>
    <w:rsid w:val="002F00C2"/>
    <w:rsid w:val="002F1683"/>
    <w:rsid w:val="002F1789"/>
    <w:rsid w:val="002F19DC"/>
    <w:rsid w:val="002F3C12"/>
    <w:rsid w:val="002F5B6D"/>
    <w:rsid w:val="002F6D02"/>
    <w:rsid w:val="002F73EC"/>
    <w:rsid w:val="002F7560"/>
    <w:rsid w:val="002F77AF"/>
    <w:rsid w:val="003031BB"/>
    <w:rsid w:val="003045F0"/>
    <w:rsid w:val="00313496"/>
    <w:rsid w:val="00322642"/>
    <w:rsid w:val="00322C8A"/>
    <w:rsid w:val="00324D7B"/>
    <w:rsid w:val="0032665C"/>
    <w:rsid w:val="00330353"/>
    <w:rsid w:val="003317CC"/>
    <w:rsid w:val="00332E9F"/>
    <w:rsid w:val="00337D01"/>
    <w:rsid w:val="003433ED"/>
    <w:rsid w:val="003449E7"/>
    <w:rsid w:val="003459AD"/>
    <w:rsid w:val="00346B98"/>
    <w:rsid w:val="003476E0"/>
    <w:rsid w:val="00347FCF"/>
    <w:rsid w:val="0035076B"/>
    <w:rsid w:val="003509BA"/>
    <w:rsid w:val="0035575A"/>
    <w:rsid w:val="0035634D"/>
    <w:rsid w:val="00363A85"/>
    <w:rsid w:val="00365CC4"/>
    <w:rsid w:val="00367A55"/>
    <w:rsid w:val="003701D9"/>
    <w:rsid w:val="003705F7"/>
    <w:rsid w:val="00377345"/>
    <w:rsid w:val="0038109F"/>
    <w:rsid w:val="00381409"/>
    <w:rsid w:val="0038182E"/>
    <w:rsid w:val="0038266F"/>
    <w:rsid w:val="00384EBA"/>
    <w:rsid w:val="00384FF3"/>
    <w:rsid w:val="00386A98"/>
    <w:rsid w:val="003920DD"/>
    <w:rsid w:val="00393CE9"/>
    <w:rsid w:val="0039489A"/>
    <w:rsid w:val="003969C8"/>
    <w:rsid w:val="0039732A"/>
    <w:rsid w:val="003A1998"/>
    <w:rsid w:val="003A1D41"/>
    <w:rsid w:val="003A2BDC"/>
    <w:rsid w:val="003A47C5"/>
    <w:rsid w:val="003B0EA2"/>
    <w:rsid w:val="003B5D54"/>
    <w:rsid w:val="003C0AC9"/>
    <w:rsid w:val="003C14C3"/>
    <w:rsid w:val="003C464E"/>
    <w:rsid w:val="003C6425"/>
    <w:rsid w:val="003C6E0F"/>
    <w:rsid w:val="003C7450"/>
    <w:rsid w:val="003D238A"/>
    <w:rsid w:val="003D363D"/>
    <w:rsid w:val="003D3C7C"/>
    <w:rsid w:val="003D457A"/>
    <w:rsid w:val="003D5714"/>
    <w:rsid w:val="003D6EF8"/>
    <w:rsid w:val="003D70C7"/>
    <w:rsid w:val="003D7B46"/>
    <w:rsid w:val="003E097B"/>
    <w:rsid w:val="003E4323"/>
    <w:rsid w:val="003E5776"/>
    <w:rsid w:val="003E793F"/>
    <w:rsid w:val="003F0954"/>
    <w:rsid w:val="003F3E50"/>
    <w:rsid w:val="003F58FE"/>
    <w:rsid w:val="003F67CA"/>
    <w:rsid w:val="003F754D"/>
    <w:rsid w:val="0040064E"/>
    <w:rsid w:val="00401661"/>
    <w:rsid w:val="0040260D"/>
    <w:rsid w:val="00402919"/>
    <w:rsid w:val="00405D62"/>
    <w:rsid w:val="00406A27"/>
    <w:rsid w:val="00411640"/>
    <w:rsid w:val="00415963"/>
    <w:rsid w:val="00415D83"/>
    <w:rsid w:val="00416A95"/>
    <w:rsid w:val="00422D39"/>
    <w:rsid w:val="00424337"/>
    <w:rsid w:val="00424ECC"/>
    <w:rsid w:val="0042552E"/>
    <w:rsid w:val="00426764"/>
    <w:rsid w:val="00426E54"/>
    <w:rsid w:val="00426E94"/>
    <w:rsid w:val="004271A3"/>
    <w:rsid w:val="00427357"/>
    <w:rsid w:val="0042746B"/>
    <w:rsid w:val="004305B2"/>
    <w:rsid w:val="00430629"/>
    <w:rsid w:val="0043353B"/>
    <w:rsid w:val="00433743"/>
    <w:rsid w:val="0043483A"/>
    <w:rsid w:val="004412E2"/>
    <w:rsid w:val="004453F8"/>
    <w:rsid w:val="0045171D"/>
    <w:rsid w:val="00453E5F"/>
    <w:rsid w:val="00456313"/>
    <w:rsid w:val="00461B48"/>
    <w:rsid w:val="00464DAA"/>
    <w:rsid w:val="00466D7D"/>
    <w:rsid w:val="0047010B"/>
    <w:rsid w:val="00474292"/>
    <w:rsid w:val="00475226"/>
    <w:rsid w:val="00477D6C"/>
    <w:rsid w:val="00480F31"/>
    <w:rsid w:val="00482768"/>
    <w:rsid w:val="00483B12"/>
    <w:rsid w:val="00487863"/>
    <w:rsid w:val="00494F9D"/>
    <w:rsid w:val="004A02B2"/>
    <w:rsid w:val="004A0DBA"/>
    <w:rsid w:val="004A0E81"/>
    <w:rsid w:val="004A20F1"/>
    <w:rsid w:val="004A2332"/>
    <w:rsid w:val="004A325D"/>
    <w:rsid w:val="004A4B4B"/>
    <w:rsid w:val="004A6689"/>
    <w:rsid w:val="004A6C1B"/>
    <w:rsid w:val="004B31DD"/>
    <w:rsid w:val="004C72D3"/>
    <w:rsid w:val="004C7F59"/>
    <w:rsid w:val="004D14AD"/>
    <w:rsid w:val="004D279B"/>
    <w:rsid w:val="004D5747"/>
    <w:rsid w:val="004D5BE0"/>
    <w:rsid w:val="004E0530"/>
    <w:rsid w:val="004E0A1B"/>
    <w:rsid w:val="004E1215"/>
    <w:rsid w:val="004F571C"/>
    <w:rsid w:val="004F77A0"/>
    <w:rsid w:val="0050117A"/>
    <w:rsid w:val="00502AA0"/>
    <w:rsid w:val="005054CB"/>
    <w:rsid w:val="005120F2"/>
    <w:rsid w:val="00512230"/>
    <w:rsid w:val="005254EA"/>
    <w:rsid w:val="00527FE4"/>
    <w:rsid w:val="00530901"/>
    <w:rsid w:val="00532233"/>
    <w:rsid w:val="005374D9"/>
    <w:rsid w:val="00537B69"/>
    <w:rsid w:val="005427E4"/>
    <w:rsid w:val="0054376F"/>
    <w:rsid w:val="005442DB"/>
    <w:rsid w:val="00545B69"/>
    <w:rsid w:val="00546EDA"/>
    <w:rsid w:val="005474A4"/>
    <w:rsid w:val="0055094F"/>
    <w:rsid w:val="00551E18"/>
    <w:rsid w:val="00552D07"/>
    <w:rsid w:val="00563357"/>
    <w:rsid w:val="00564D97"/>
    <w:rsid w:val="00566EF2"/>
    <w:rsid w:val="00567B58"/>
    <w:rsid w:val="005715AD"/>
    <w:rsid w:val="0057313B"/>
    <w:rsid w:val="005806CF"/>
    <w:rsid w:val="00581601"/>
    <w:rsid w:val="00583154"/>
    <w:rsid w:val="00584A88"/>
    <w:rsid w:val="0058518B"/>
    <w:rsid w:val="00586313"/>
    <w:rsid w:val="005910AB"/>
    <w:rsid w:val="005929DC"/>
    <w:rsid w:val="005942C9"/>
    <w:rsid w:val="005943A6"/>
    <w:rsid w:val="005A0173"/>
    <w:rsid w:val="005A1BB4"/>
    <w:rsid w:val="005A3215"/>
    <w:rsid w:val="005A48D7"/>
    <w:rsid w:val="005A4C42"/>
    <w:rsid w:val="005A6DF5"/>
    <w:rsid w:val="005A7696"/>
    <w:rsid w:val="005A791E"/>
    <w:rsid w:val="005B1D3E"/>
    <w:rsid w:val="005B23B7"/>
    <w:rsid w:val="005B48A2"/>
    <w:rsid w:val="005C06BD"/>
    <w:rsid w:val="005C299D"/>
    <w:rsid w:val="005C4D5D"/>
    <w:rsid w:val="005D02E9"/>
    <w:rsid w:val="005D09CD"/>
    <w:rsid w:val="005D0F60"/>
    <w:rsid w:val="005D0FE5"/>
    <w:rsid w:val="005D1091"/>
    <w:rsid w:val="005D1BEB"/>
    <w:rsid w:val="005D3E00"/>
    <w:rsid w:val="005D7B2F"/>
    <w:rsid w:val="005D7D8E"/>
    <w:rsid w:val="005D7DF2"/>
    <w:rsid w:val="005E15DE"/>
    <w:rsid w:val="005E17A0"/>
    <w:rsid w:val="005E2904"/>
    <w:rsid w:val="005E3514"/>
    <w:rsid w:val="005E3EA2"/>
    <w:rsid w:val="005E48C4"/>
    <w:rsid w:val="005E4AE2"/>
    <w:rsid w:val="005E4F00"/>
    <w:rsid w:val="005E646B"/>
    <w:rsid w:val="005E682B"/>
    <w:rsid w:val="005F072E"/>
    <w:rsid w:val="005F0C64"/>
    <w:rsid w:val="005F6552"/>
    <w:rsid w:val="005F6DD2"/>
    <w:rsid w:val="005F6EE9"/>
    <w:rsid w:val="00603D97"/>
    <w:rsid w:val="00605D8B"/>
    <w:rsid w:val="00607CAC"/>
    <w:rsid w:val="006132C0"/>
    <w:rsid w:val="00622814"/>
    <w:rsid w:val="006240CF"/>
    <w:rsid w:val="00624988"/>
    <w:rsid w:val="00626281"/>
    <w:rsid w:val="006315A3"/>
    <w:rsid w:val="00632FD3"/>
    <w:rsid w:val="00635ED1"/>
    <w:rsid w:val="0064011D"/>
    <w:rsid w:val="00640CE0"/>
    <w:rsid w:val="0064232C"/>
    <w:rsid w:val="00642D53"/>
    <w:rsid w:val="00653EEC"/>
    <w:rsid w:val="006544EA"/>
    <w:rsid w:val="006551A8"/>
    <w:rsid w:val="00656C46"/>
    <w:rsid w:val="00662139"/>
    <w:rsid w:val="00666B85"/>
    <w:rsid w:val="006670DD"/>
    <w:rsid w:val="006722DD"/>
    <w:rsid w:val="00673CA7"/>
    <w:rsid w:val="0067678C"/>
    <w:rsid w:val="00676D64"/>
    <w:rsid w:val="00676F7C"/>
    <w:rsid w:val="006851EC"/>
    <w:rsid w:val="00686F48"/>
    <w:rsid w:val="00692E3A"/>
    <w:rsid w:val="00693E22"/>
    <w:rsid w:val="00696493"/>
    <w:rsid w:val="00697521"/>
    <w:rsid w:val="00697DEB"/>
    <w:rsid w:val="006A095B"/>
    <w:rsid w:val="006A1C49"/>
    <w:rsid w:val="006A1D93"/>
    <w:rsid w:val="006A3D70"/>
    <w:rsid w:val="006A6F53"/>
    <w:rsid w:val="006A7477"/>
    <w:rsid w:val="006A7EAA"/>
    <w:rsid w:val="006B43F5"/>
    <w:rsid w:val="006B5F89"/>
    <w:rsid w:val="006B76C2"/>
    <w:rsid w:val="006C062D"/>
    <w:rsid w:val="006C1653"/>
    <w:rsid w:val="006C1945"/>
    <w:rsid w:val="006C3BCD"/>
    <w:rsid w:val="006C4B87"/>
    <w:rsid w:val="006C4C2F"/>
    <w:rsid w:val="006C525E"/>
    <w:rsid w:val="006C7928"/>
    <w:rsid w:val="006D3568"/>
    <w:rsid w:val="006D3ED4"/>
    <w:rsid w:val="006D565B"/>
    <w:rsid w:val="006D65FD"/>
    <w:rsid w:val="006D736E"/>
    <w:rsid w:val="006E0FC0"/>
    <w:rsid w:val="006E1BFE"/>
    <w:rsid w:val="006E25F1"/>
    <w:rsid w:val="006E3404"/>
    <w:rsid w:val="006E5A77"/>
    <w:rsid w:val="006F0289"/>
    <w:rsid w:val="006F1346"/>
    <w:rsid w:val="006F1B8E"/>
    <w:rsid w:val="006F236D"/>
    <w:rsid w:val="006F24EC"/>
    <w:rsid w:val="006F38D1"/>
    <w:rsid w:val="006F54EB"/>
    <w:rsid w:val="007028CA"/>
    <w:rsid w:val="0070517C"/>
    <w:rsid w:val="00707EF9"/>
    <w:rsid w:val="007122A7"/>
    <w:rsid w:val="00717DD0"/>
    <w:rsid w:val="00717E59"/>
    <w:rsid w:val="007212C8"/>
    <w:rsid w:val="007218D0"/>
    <w:rsid w:val="007237C8"/>
    <w:rsid w:val="0072672A"/>
    <w:rsid w:val="007269C4"/>
    <w:rsid w:val="0073177C"/>
    <w:rsid w:val="00732945"/>
    <w:rsid w:val="00733032"/>
    <w:rsid w:val="007353A6"/>
    <w:rsid w:val="00735C79"/>
    <w:rsid w:val="00740BC6"/>
    <w:rsid w:val="00744513"/>
    <w:rsid w:val="007458BB"/>
    <w:rsid w:val="00747B60"/>
    <w:rsid w:val="00760CBD"/>
    <w:rsid w:val="007619E4"/>
    <w:rsid w:val="0076237B"/>
    <w:rsid w:val="0076315B"/>
    <w:rsid w:val="00765CF0"/>
    <w:rsid w:val="00766181"/>
    <w:rsid w:val="007674BF"/>
    <w:rsid w:val="00772303"/>
    <w:rsid w:val="00773888"/>
    <w:rsid w:val="007739B4"/>
    <w:rsid w:val="00773C4B"/>
    <w:rsid w:val="00774654"/>
    <w:rsid w:val="00777B97"/>
    <w:rsid w:val="00780680"/>
    <w:rsid w:val="00785521"/>
    <w:rsid w:val="00786F35"/>
    <w:rsid w:val="00790C19"/>
    <w:rsid w:val="00792B7E"/>
    <w:rsid w:val="007938AC"/>
    <w:rsid w:val="007A6928"/>
    <w:rsid w:val="007B392C"/>
    <w:rsid w:val="007B3FE6"/>
    <w:rsid w:val="007B4277"/>
    <w:rsid w:val="007B7686"/>
    <w:rsid w:val="007C018D"/>
    <w:rsid w:val="007C03E8"/>
    <w:rsid w:val="007C32B9"/>
    <w:rsid w:val="007C6C19"/>
    <w:rsid w:val="007D1C01"/>
    <w:rsid w:val="007D3034"/>
    <w:rsid w:val="007D4AD6"/>
    <w:rsid w:val="007D5A83"/>
    <w:rsid w:val="007D7157"/>
    <w:rsid w:val="007E0EC3"/>
    <w:rsid w:val="007E11F3"/>
    <w:rsid w:val="007E1B08"/>
    <w:rsid w:val="007E23FE"/>
    <w:rsid w:val="007E2FE0"/>
    <w:rsid w:val="007E4A26"/>
    <w:rsid w:val="007F14E2"/>
    <w:rsid w:val="007F3D0B"/>
    <w:rsid w:val="007F3FF1"/>
    <w:rsid w:val="007F481A"/>
    <w:rsid w:val="007F645F"/>
    <w:rsid w:val="00804F2E"/>
    <w:rsid w:val="00805D87"/>
    <w:rsid w:val="008128E7"/>
    <w:rsid w:val="00812C9C"/>
    <w:rsid w:val="0081329A"/>
    <w:rsid w:val="00816F0B"/>
    <w:rsid w:val="00817EFD"/>
    <w:rsid w:val="00820B7E"/>
    <w:rsid w:val="00821BAB"/>
    <w:rsid w:val="00822163"/>
    <w:rsid w:val="00825AC3"/>
    <w:rsid w:val="0082649A"/>
    <w:rsid w:val="00827727"/>
    <w:rsid w:val="00831C6A"/>
    <w:rsid w:val="00833778"/>
    <w:rsid w:val="00833DED"/>
    <w:rsid w:val="00836238"/>
    <w:rsid w:val="00836948"/>
    <w:rsid w:val="008421A3"/>
    <w:rsid w:val="00842B72"/>
    <w:rsid w:val="00855376"/>
    <w:rsid w:val="00855DF5"/>
    <w:rsid w:val="00856711"/>
    <w:rsid w:val="00857FE3"/>
    <w:rsid w:val="0086289B"/>
    <w:rsid w:val="00863328"/>
    <w:rsid w:val="00866119"/>
    <w:rsid w:val="00870A6A"/>
    <w:rsid w:val="00872D17"/>
    <w:rsid w:val="008750FE"/>
    <w:rsid w:val="00876D9F"/>
    <w:rsid w:val="00880549"/>
    <w:rsid w:val="008813C4"/>
    <w:rsid w:val="008919A3"/>
    <w:rsid w:val="008938C1"/>
    <w:rsid w:val="00897550"/>
    <w:rsid w:val="00897C6E"/>
    <w:rsid w:val="00897D29"/>
    <w:rsid w:val="008A060C"/>
    <w:rsid w:val="008A06F1"/>
    <w:rsid w:val="008A3955"/>
    <w:rsid w:val="008A638A"/>
    <w:rsid w:val="008A7AFB"/>
    <w:rsid w:val="008B0FFF"/>
    <w:rsid w:val="008B218E"/>
    <w:rsid w:val="008B4E25"/>
    <w:rsid w:val="008B5E6B"/>
    <w:rsid w:val="008C0721"/>
    <w:rsid w:val="008C0990"/>
    <w:rsid w:val="008C1E25"/>
    <w:rsid w:val="008C3B2E"/>
    <w:rsid w:val="008C4C49"/>
    <w:rsid w:val="008C6001"/>
    <w:rsid w:val="008D1052"/>
    <w:rsid w:val="008D1F88"/>
    <w:rsid w:val="008D3DAD"/>
    <w:rsid w:val="008D4640"/>
    <w:rsid w:val="008D4FC1"/>
    <w:rsid w:val="008D79F2"/>
    <w:rsid w:val="008E0731"/>
    <w:rsid w:val="008E2CB7"/>
    <w:rsid w:val="008E3A28"/>
    <w:rsid w:val="008E58AE"/>
    <w:rsid w:val="008E68EA"/>
    <w:rsid w:val="008F0F86"/>
    <w:rsid w:val="008F30D0"/>
    <w:rsid w:val="008F6DBD"/>
    <w:rsid w:val="009073A8"/>
    <w:rsid w:val="009115DA"/>
    <w:rsid w:val="0091465D"/>
    <w:rsid w:val="009150F9"/>
    <w:rsid w:val="00915133"/>
    <w:rsid w:val="00915DC2"/>
    <w:rsid w:val="009160AB"/>
    <w:rsid w:val="009163E4"/>
    <w:rsid w:val="0092020A"/>
    <w:rsid w:val="009210A1"/>
    <w:rsid w:val="0092382B"/>
    <w:rsid w:val="00924A2B"/>
    <w:rsid w:val="00926BF5"/>
    <w:rsid w:val="00931C19"/>
    <w:rsid w:val="00934710"/>
    <w:rsid w:val="0094034F"/>
    <w:rsid w:val="009429CF"/>
    <w:rsid w:val="009429DF"/>
    <w:rsid w:val="00942F20"/>
    <w:rsid w:val="009430E0"/>
    <w:rsid w:val="00943844"/>
    <w:rsid w:val="00943CF5"/>
    <w:rsid w:val="009464CC"/>
    <w:rsid w:val="00947506"/>
    <w:rsid w:val="009510FC"/>
    <w:rsid w:val="00951A05"/>
    <w:rsid w:val="00952916"/>
    <w:rsid w:val="009545E8"/>
    <w:rsid w:val="00954670"/>
    <w:rsid w:val="009552DE"/>
    <w:rsid w:val="0096022E"/>
    <w:rsid w:val="00960B69"/>
    <w:rsid w:val="0096436A"/>
    <w:rsid w:val="009652FF"/>
    <w:rsid w:val="00965B39"/>
    <w:rsid w:val="00965CA3"/>
    <w:rsid w:val="009723FB"/>
    <w:rsid w:val="00972670"/>
    <w:rsid w:val="0097381B"/>
    <w:rsid w:val="00973E8F"/>
    <w:rsid w:val="00980697"/>
    <w:rsid w:val="00980A21"/>
    <w:rsid w:val="00980F90"/>
    <w:rsid w:val="00982319"/>
    <w:rsid w:val="00982506"/>
    <w:rsid w:val="009857BA"/>
    <w:rsid w:val="00985C9C"/>
    <w:rsid w:val="0099148D"/>
    <w:rsid w:val="0099197C"/>
    <w:rsid w:val="00991EA4"/>
    <w:rsid w:val="00992B4C"/>
    <w:rsid w:val="009A07C8"/>
    <w:rsid w:val="009A3972"/>
    <w:rsid w:val="009A56CC"/>
    <w:rsid w:val="009B0F1D"/>
    <w:rsid w:val="009B33BC"/>
    <w:rsid w:val="009B4526"/>
    <w:rsid w:val="009B6A51"/>
    <w:rsid w:val="009B7368"/>
    <w:rsid w:val="009C0244"/>
    <w:rsid w:val="009C0962"/>
    <w:rsid w:val="009C6E0C"/>
    <w:rsid w:val="009D1A95"/>
    <w:rsid w:val="009D4D3B"/>
    <w:rsid w:val="009D4FCE"/>
    <w:rsid w:val="009D6E58"/>
    <w:rsid w:val="009D7A97"/>
    <w:rsid w:val="009E3B2F"/>
    <w:rsid w:val="009E4AAD"/>
    <w:rsid w:val="009E5FFA"/>
    <w:rsid w:val="009F0931"/>
    <w:rsid w:val="009F1AA8"/>
    <w:rsid w:val="009F3143"/>
    <w:rsid w:val="009F3701"/>
    <w:rsid w:val="009F56BE"/>
    <w:rsid w:val="009F748A"/>
    <w:rsid w:val="009F74A5"/>
    <w:rsid w:val="009F7B93"/>
    <w:rsid w:val="00A0029B"/>
    <w:rsid w:val="00A01076"/>
    <w:rsid w:val="00A03624"/>
    <w:rsid w:val="00A04CB5"/>
    <w:rsid w:val="00A111A5"/>
    <w:rsid w:val="00A131B5"/>
    <w:rsid w:val="00A13D50"/>
    <w:rsid w:val="00A15936"/>
    <w:rsid w:val="00A226AC"/>
    <w:rsid w:val="00A307DE"/>
    <w:rsid w:val="00A41944"/>
    <w:rsid w:val="00A41E0C"/>
    <w:rsid w:val="00A45B2C"/>
    <w:rsid w:val="00A47036"/>
    <w:rsid w:val="00A50B71"/>
    <w:rsid w:val="00A52C21"/>
    <w:rsid w:val="00A54123"/>
    <w:rsid w:val="00A55AE6"/>
    <w:rsid w:val="00A5724A"/>
    <w:rsid w:val="00A602EC"/>
    <w:rsid w:val="00A6049C"/>
    <w:rsid w:val="00A625B7"/>
    <w:rsid w:val="00A70EA9"/>
    <w:rsid w:val="00A722AA"/>
    <w:rsid w:val="00A74678"/>
    <w:rsid w:val="00A74D1B"/>
    <w:rsid w:val="00A75467"/>
    <w:rsid w:val="00A76ADE"/>
    <w:rsid w:val="00A820B4"/>
    <w:rsid w:val="00A821E3"/>
    <w:rsid w:val="00A82326"/>
    <w:rsid w:val="00A825FF"/>
    <w:rsid w:val="00A84D62"/>
    <w:rsid w:val="00A852F3"/>
    <w:rsid w:val="00A86285"/>
    <w:rsid w:val="00A863B5"/>
    <w:rsid w:val="00A8698D"/>
    <w:rsid w:val="00A86DE5"/>
    <w:rsid w:val="00A87C86"/>
    <w:rsid w:val="00AA414B"/>
    <w:rsid w:val="00AA4437"/>
    <w:rsid w:val="00AA47D7"/>
    <w:rsid w:val="00AA557B"/>
    <w:rsid w:val="00AA7949"/>
    <w:rsid w:val="00AB0574"/>
    <w:rsid w:val="00AB0C64"/>
    <w:rsid w:val="00AB0F57"/>
    <w:rsid w:val="00AB2112"/>
    <w:rsid w:val="00AB6824"/>
    <w:rsid w:val="00AB70DD"/>
    <w:rsid w:val="00AC0995"/>
    <w:rsid w:val="00AC401D"/>
    <w:rsid w:val="00AC4302"/>
    <w:rsid w:val="00AC7123"/>
    <w:rsid w:val="00AC7F96"/>
    <w:rsid w:val="00AD069B"/>
    <w:rsid w:val="00AD4FA0"/>
    <w:rsid w:val="00AE06A2"/>
    <w:rsid w:val="00AE7E3C"/>
    <w:rsid w:val="00AF3C99"/>
    <w:rsid w:val="00AF3DFC"/>
    <w:rsid w:val="00AF53D3"/>
    <w:rsid w:val="00AF7C87"/>
    <w:rsid w:val="00B01960"/>
    <w:rsid w:val="00B01C41"/>
    <w:rsid w:val="00B06295"/>
    <w:rsid w:val="00B07089"/>
    <w:rsid w:val="00B103AD"/>
    <w:rsid w:val="00B15CFC"/>
    <w:rsid w:val="00B20ECE"/>
    <w:rsid w:val="00B211A8"/>
    <w:rsid w:val="00B21D8D"/>
    <w:rsid w:val="00B24196"/>
    <w:rsid w:val="00B31E78"/>
    <w:rsid w:val="00B331E8"/>
    <w:rsid w:val="00B33EF4"/>
    <w:rsid w:val="00B33FFA"/>
    <w:rsid w:val="00B340C4"/>
    <w:rsid w:val="00B372B4"/>
    <w:rsid w:val="00B40C25"/>
    <w:rsid w:val="00B42126"/>
    <w:rsid w:val="00B42204"/>
    <w:rsid w:val="00B429FE"/>
    <w:rsid w:val="00B43C9A"/>
    <w:rsid w:val="00B44CD4"/>
    <w:rsid w:val="00B4590A"/>
    <w:rsid w:val="00B471AC"/>
    <w:rsid w:val="00B47234"/>
    <w:rsid w:val="00B53B7D"/>
    <w:rsid w:val="00B54196"/>
    <w:rsid w:val="00B5444F"/>
    <w:rsid w:val="00B5500F"/>
    <w:rsid w:val="00B60007"/>
    <w:rsid w:val="00B60412"/>
    <w:rsid w:val="00B60AD6"/>
    <w:rsid w:val="00B6620C"/>
    <w:rsid w:val="00B66AE8"/>
    <w:rsid w:val="00B73208"/>
    <w:rsid w:val="00B75F2E"/>
    <w:rsid w:val="00B77408"/>
    <w:rsid w:val="00B80632"/>
    <w:rsid w:val="00B840B0"/>
    <w:rsid w:val="00B86EBD"/>
    <w:rsid w:val="00B86FC7"/>
    <w:rsid w:val="00B87561"/>
    <w:rsid w:val="00B87A3C"/>
    <w:rsid w:val="00B93F35"/>
    <w:rsid w:val="00B9429B"/>
    <w:rsid w:val="00B945F5"/>
    <w:rsid w:val="00B94DEC"/>
    <w:rsid w:val="00B958DE"/>
    <w:rsid w:val="00B97B90"/>
    <w:rsid w:val="00BA26B6"/>
    <w:rsid w:val="00BA3945"/>
    <w:rsid w:val="00BA43DA"/>
    <w:rsid w:val="00BA6594"/>
    <w:rsid w:val="00BA66B2"/>
    <w:rsid w:val="00BB093A"/>
    <w:rsid w:val="00BB1880"/>
    <w:rsid w:val="00BB28BE"/>
    <w:rsid w:val="00BB3045"/>
    <w:rsid w:val="00BB374D"/>
    <w:rsid w:val="00BC14AA"/>
    <w:rsid w:val="00BC4B30"/>
    <w:rsid w:val="00BC4DF6"/>
    <w:rsid w:val="00BC75F1"/>
    <w:rsid w:val="00BC7A6E"/>
    <w:rsid w:val="00BD1967"/>
    <w:rsid w:val="00BD3E69"/>
    <w:rsid w:val="00BE1EE2"/>
    <w:rsid w:val="00BE1F1A"/>
    <w:rsid w:val="00BE3A80"/>
    <w:rsid w:val="00BE49DF"/>
    <w:rsid w:val="00BF0B2A"/>
    <w:rsid w:val="00BF1E42"/>
    <w:rsid w:val="00BF5147"/>
    <w:rsid w:val="00BF64C8"/>
    <w:rsid w:val="00BF7339"/>
    <w:rsid w:val="00C04C7F"/>
    <w:rsid w:val="00C04F98"/>
    <w:rsid w:val="00C0681F"/>
    <w:rsid w:val="00C11409"/>
    <w:rsid w:val="00C17581"/>
    <w:rsid w:val="00C209E9"/>
    <w:rsid w:val="00C22B98"/>
    <w:rsid w:val="00C2318A"/>
    <w:rsid w:val="00C25CD9"/>
    <w:rsid w:val="00C27B04"/>
    <w:rsid w:val="00C3107E"/>
    <w:rsid w:val="00C312D5"/>
    <w:rsid w:val="00C31C4C"/>
    <w:rsid w:val="00C34DD2"/>
    <w:rsid w:val="00C352EB"/>
    <w:rsid w:val="00C360ED"/>
    <w:rsid w:val="00C36AC8"/>
    <w:rsid w:val="00C40EA0"/>
    <w:rsid w:val="00C439F4"/>
    <w:rsid w:val="00C44808"/>
    <w:rsid w:val="00C5062D"/>
    <w:rsid w:val="00C554B6"/>
    <w:rsid w:val="00C6075D"/>
    <w:rsid w:val="00C61C36"/>
    <w:rsid w:val="00C63C13"/>
    <w:rsid w:val="00C643D9"/>
    <w:rsid w:val="00C659EF"/>
    <w:rsid w:val="00C65D59"/>
    <w:rsid w:val="00C706AB"/>
    <w:rsid w:val="00C70B62"/>
    <w:rsid w:val="00C7431A"/>
    <w:rsid w:val="00C7726F"/>
    <w:rsid w:val="00C8287E"/>
    <w:rsid w:val="00C830AC"/>
    <w:rsid w:val="00C837C1"/>
    <w:rsid w:val="00C84A44"/>
    <w:rsid w:val="00C856CD"/>
    <w:rsid w:val="00C87907"/>
    <w:rsid w:val="00C9002C"/>
    <w:rsid w:val="00C91E86"/>
    <w:rsid w:val="00C9476D"/>
    <w:rsid w:val="00C978DC"/>
    <w:rsid w:val="00CA02F3"/>
    <w:rsid w:val="00CA0ADB"/>
    <w:rsid w:val="00CA184D"/>
    <w:rsid w:val="00CA3213"/>
    <w:rsid w:val="00CA4A53"/>
    <w:rsid w:val="00CA5915"/>
    <w:rsid w:val="00CA709F"/>
    <w:rsid w:val="00CA7135"/>
    <w:rsid w:val="00CA75FD"/>
    <w:rsid w:val="00CB0D0E"/>
    <w:rsid w:val="00CB0E1A"/>
    <w:rsid w:val="00CB1388"/>
    <w:rsid w:val="00CB2371"/>
    <w:rsid w:val="00CB3350"/>
    <w:rsid w:val="00CB4394"/>
    <w:rsid w:val="00CB4DA7"/>
    <w:rsid w:val="00CB5DF6"/>
    <w:rsid w:val="00CB7206"/>
    <w:rsid w:val="00CC0020"/>
    <w:rsid w:val="00CC0276"/>
    <w:rsid w:val="00CC0C38"/>
    <w:rsid w:val="00CC172D"/>
    <w:rsid w:val="00CC1F85"/>
    <w:rsid w:val="00CC49F2"/>
    <w:rsid w:val="00CC52A9"/>
    <w:rsid w:val="00CC65CC"/>
    <w:rsid w:val="00CD00A0"/>
    <w:rsid w:val="00CD013D"/>
    <w:rsid w:val="00CD30C4"/>
    <w:rsid w:val="00CD7664"/>
    <w:rsid w:val="00CE27F6"/>
    <w:rsid w:val="00CE384C"/>
    <w:rsid w:val="00CE411B"/>
    <w:rsid w:val="00CE7184"/>
    <w:rsid w:val="00CF1A97"/>
    <w:rsid w:val="00CF2FFB"/>
    <w:rsid w:val="00CF5103"/>
    <w:rsid w:val="00D01E88"/>
    <w:rsid w:val="00D027C6"/>
    <w:rsid w:val="00D0357C"/>
    <w:rsid w:val="00D066B0"/>
    <w:rsid w:val="00D0719D"/>
    <w:rsid w:val="00D1033A"/>
    <w:rsid w:val="00D1193B"/>
    <w:rsid w:val="00D11A73"/>
    <w:rsid w:val="00D124B9"/>
    <w:rsid w:val="00D13787"/>
    <w:rsid w:val="00D145FB"/>
    <w:rsid w:val="00D168BC"/>
    <w:rsid w:val="00D20319"/>
    <w:rsid w:val="00D20518"/>
    <w:rsid w:val="00D21065"/>
    <w:rsid w:val="00D2347E"/>
    <w:rsid w:val="00D24CEE"/>
    <w:rsid w:val="00D31F21"/>
    <w:rsid w:val="00D33908"/>
    <w:rsid w:val="00D3491A"/>
    <w:rsid w:val="00D40CA2"/>
    <w:rsid w:val="00D41E4A"/>
    <w:rsid w:val="00D43E43"/>
    <w:rsid w:val="00D44718"/>
    <w:rsid w:val="00D474F7"/>
    <w:rsid w:val="00D47F87"/>
    <w:rsid w:val="00D51A59"/>
    <w:rsid w:val="00D524F1"/>
    <w:rsid w:val="00D52C6D"/>
    <w:rsid w:val="00D55420"/>
    <w:rsid w:val="00D560EC"/>
    <w:rsid w:val="00D571C3"/>
    <w:rsid w:val="00D640CD"/>
    <w:rsid w:val="00D65239"/>
    <w:rsid w:val="00D67AE4"/>
    <w:rsid w:val="00D7196E"/>
    <w:rsid w:val="00D75A5B"/>
    <w:rsid w:val="00D7795F"/>
    <w:rsid w:val="00D800FC"/>
    <w:rsid w:val="00D8049F"/>
    <w:rsid w:val="00D806E7"/>
    <w:rsid w:val="00D85B0D"/>
    <w:rsid w:val="00D911AF"/>
    <w:rsid w:val="00D91739"/>
    <w:rsid w:val="00D95FAF"/>
    <w:rsid w:val="00DA51F5"/>
    <w:rsid w:val="00DB496B"/>
    <w:rsid w:val="00DB52AA"/>
    <w:rsid w:val="00DB5A8E"/>
    <w:rsid w:val="00DC1106"/>
    <w:rsid w:val="00DC1696"/>
    <w:rsid w:val="00DC39E4"/>
    <w:rsid w:val="00DC4BD4"/>
    <w:rsid w:val="00DC4D78"/>
    <w:rsid w:val="00DC5E69"/>
    <w:rsid w:val="00DD33E7"/>
    <w:rsid w:val="00DD478C"/>
    <w:rsid w:val="00DE1918"/>
    <w:rsid w:val="00DE3323"/>
    <w:rsid w:val="00DE6573"/>
    <w:rsid w:val="00DE7D1D"/>
    <w:rsid w:val="00DF2F1A"/>
    <w:rsid w:val="00DF32F2"/>
    <w:rsid w:val="00DF5638"/>
    <w:rsid w:val="00DF5CF4"/>
    <w:rsid w:val="00DF62AB"/>
    <w:rsid w:val="00DF7222"/>
    <w:rsid w:val="00DF7CD1"/>
    <w:rsid w:val="00E05D2E"/>
    <w:rsid w:val="00E07306"/>
    <w:rsid w:val="00E0792B"/>
    <w:rsid w:val="00E10E0B"/>
    <w:rsid w:val="00E15104"/>
    <w:rsid w:val="00E16577"/>
    <w:rsid w:val="00E16A19"/>
    <w:rsid w:val="00E20976"/>
    <w:rsid w:val="00E23944"/>
    <w:rsid w:val="00E241B8"/>
    <w:rsid w:val="00E2590E"/>
    <w:rsid w:val="00E259EB"/>
    <w:rsid w:val="00E27438"/>
    <w:rsid w:val="00E300F0"/>
    <w:rsid w:val="00E30B66"/>
    <w:rsid w:val="00E30D9F"/>
    <w:rsid w:val="00E34513"/>
    <w:rsid w:val="00E34FFA"/>
    <w:rsid w:val="00E36684"/>
    <w:rsid w:val="00E402F6"/>
    <w:rsid w:val="00E40964"/>
    <w:rsid w:val="00E41DF9"/>
    <w:rsid w:val="00E41FCF"/>
    <w:rsid w:val="00E42D95"/>
    <w:rsid w:val="00E4713D"/>
    <w:rsid w:val="00E508AC"/>
    <w:rsid w:val="00E53597"/>
    <w:rsid w:val="00E57A20"/>
    <w:rsid w:val="00E60C89"/>
    <w:rsid w:val="00E61600"/>
    <w:rsid w:val="00E61ECF"/>
    <w:rsid w:val="00E640FF"/>
    <w:rsid w:val="00E70CE3"/>
    <w:rsid w:val="00E720AB"/>
    <w:rsid w:val="00E72782"/>
    <w:rsid w:val="00E739B5"/>
    <w:rsid w:val="00E74082"/>
    <w:rsid w:val="00E756E4"/>
    <w:rsid w:val="00E811FD"/>
    <w:rsid w:val="00E837AD"/>
    <w:rsid w:val="00E86E4F"/>
    <w:rsid w:val="00E9047F"/>
    <w:rsid w:val="00E9136D"/>
    <w:rsid w:val="00E93056"/>
    <w:rsid w:val="00EA0605"/>
    <w:rsid w:val="00EA06A6"/>
    <w:rsid w:val="00EA1F05"/>
    <w:rsid w:val="00EA217B"/>
    <w:rsid w:val="00EA6CB8"/>
    <w:rsid w:val="00EA7EC7"/>
    <w:rsid w:val="00EB1DD9"/>
    <w:rsid w:val="00EB2769"/>
    <w:rsid w:val="00EB45A3"/>
    <w:rsid w:val="00EB5A98"/>
    <w:rsid w:val="00EB7A98"/>
    <w:rsid w:val="00EC0EC6"/>
    <w:rsid w:val="00EC17BF"/>
    <w:rsid w:val="00EC1D34"/>
    <w:rsid w:val="00EC248A"/>
    <w:rsid w:val="00EC5225"/>
    <w:rsid w:val="00EC661F"/>
    <w:rsid w:val="00EC69FF"/>
    <w:rsid w:val="00EC704C"/>
    <w:rsid w:val="00ED20FD"/>
    <w:rsid w:val="00ED27C5"/>
    <w:rsid w:val="00ED748C"/>
    <w:rsid w:val="00ED75DC"/>
    <w:rsid w:val="00ED7A53"/>
    <w:rsid w:val="00EE0D8E"/>
    <w:rsid w:val="00EE100E"/>
    <w:rsid w:val="00EE14C8"/>
    <w:rsid w:val="00EE59FC"/>
    <w:rsid w:val="00EF079C"/>
    <w:rsid w:val="00EF0ED2"/>
    <w:rsid w:val="00EF4A3A"/>
    <w:rsid w:val="00EF4E2C"/>
    <w:rsid w:val="00F0119A"/>
    <w:rsid w:val="00F029D2"/>
    <w:rsid w:val="00F033C6"/>
    <w:rsid w:val="00F04016"/>
    <w:rsid w:val="00F0590E"/>
    <w:rsid w:val="00F07689"/>
    <w:rsid w:val="00F102EF"/>
    <w:rsid w:val="00F13460"/>
    <w:rsid w:val="00F14893"/>
    <w:rsid w:val="00F14A0A"/>
    <w:rsid w:val="00F17EF2"/>
    <w:rsid w:val="00F20B55"/>
    <w:rsid w:val="00F213A4"/>
    <w:rsid w:val="00F25AFC"/>
    <w:rsid w:val="00F31A14"/>
    <w:rsid w:val="00F341D7"/>
    <w:rsid w:val="00F3515B"/>
    <w:rsid w:val="00F3540D"/>
    <w:rsid w:val="00F36047"/>
    <w:rsid w:val="00F36AF4"/>
    <w:rsid w:val="00F37A30"/>
    <w:rsid w:val="00F41457"/>
    <w:rsid w:val="00F4263A"/>
    <w:rsid w:val="00F42B34"/>
    <w:rsid w:val="00F43A0E"/>
    <w:rsid w:val="00F4660A"/>
    <w:rsid w:val="00F477D6"/>
    <w:rsid w:val="00F47C6D"/>
    <w:rsid w:val="00F5031E"/>
    <w:rsid w:val="00F50BF8"/>
    <w:rsid w:val="00F54FC7"/>
    <w:rsid w:val="00F55036"/>
    <w:rsid w:val="00F56828"/>
    <w:rsid w:val="00F61572"/>
    <w:rsid w:val="00F67B5B"/>
    <w:rsid w:val="00F704BF"/>
    <w:rsid w:val="00F72ECC"/>
    <w:rsid w:val="00F8016A"/>
    <w:rsid w:val="00F85C6D"/>
    <w:rsid w:val="00F87ED7"/>
    <w:rsid w:val="00F9106D"/>
    <w:rsid w:val="00F916A3"/>
    <w:rsid w:val="00F93934"/>
    <w:rsid w:val="00F95FF5"/>
    <w:rsid w:val="00F97F43"/>
    <w:rsid w:val="00FA17F9"/>
    <w:rsid w:val="00FA2CE3"/>
    <w:rsid w:val="00FA6841"/>
    <w:rsid w:val="00FA7016"/>
    <w:rsid w:val="00FB1C3C"/>
    <w:rsid w:val="00FB276D"/>
    <w:rsid w:val="00FB2B5D"/>
    <w:rsid w:val="00FB2CF7"/>
    <w:rsid w:val="00FB56EB"/>
    <w:rsid w:val="00FB75D8"/>
    <w:rsid w:val="00FB7878"/>
    <w:rsid w:val="00FC06F1"/>
    <w:rsid w:val="00FC1CD3"/>
    <w:rsid w:val="00FC240F"/>
    <w:rsid w:val="00FC3058"/>
    <w:rsid w:val="00FC3B24"/>
    <w:rsid w:val="00FC4CEA"/>
    <w:rsid w:val="00FC6C1C"/>
    <w:rsid w:val="00FD015F"/>
    <w:rsid w:val="00FD0B91"/>
    <w:rsid w:val="00FD4038"/>
    <w:rsid w:val="00FD51D8"/>
    <w:rsid w:val="00FD5902"/>
    <w:rsid w:val="00FD60AE"/>
    <w:rsid w:val="00FD6759"/>
    <w:rsid w:val="00FE048C"/>
    <w:rsid w:val="00FE0893"/>
    <w:rsid w:val="00FF0BBA"/>
    <w:rsid w:val="00FF3268"/>
    <w:rsid w:val="017267F1"/>
    <w:rsid w:val="0263200F"/>
    <w:rsid w:val="03280EF8"/>
    <w:rsid w:val="039B403D"/>
    <w:rsid w:val="04701149"/>
    <w:rsid w:val="057A226D"/>
    <w:rsid w:val="0581765F"/>
    <w:rsid w:val="05F7030C"/>
    <w:rsid w:val="063412BA"/>
    <w:rsid w:val="07EC3359"/>
    <w:rsid w:val="08C34BBF"/>
    <w:rsid w:val="08E77320"/>
    <w:rsid w:val="09A92667"/>
    <w:rsid w:val="0BCB0FBA"/>
    <w:rsid w:val="0BF14EFC"/>
    <w:rsid w:val="0C503E87"/>
    <w:rsid w:val="0CFC35E9"/>
    <w:rsid w:val="0EEE56EB"/>
    <w:rsid w:val="0F6D3F38"/>
    <w:rsid w:val="0F9A4F2B"/>
    <w:rsid w:val="10526028"/>
    <w:rsid w:val="1064144D"/>
    <w:rsid w:val="119F7C5C"/>
    <w:rsid w:val="11AA39D9"/>
    <w:rsid w:val="137E6912"/>
    <w:rsid w:val="139B6A34"/>
    <w:rsid w:val="14117DC6"/>
    <w:rsid w:val="14D60224"/>
    <w:rsid w:val="15E80D89"/>
    <w:rsid w:val="15EE7D7F"/>
    <w:rsid w:val="184C73A4"/>
    <w:rsid w:val="185C665B"/>
    <w:rsid w:val="186A5605"/>
    <w:rsid w:val="194D74B2"/>
    <w:rsid w:val="199A3486"/>
    <w:rsid w:val="19A660C9"/>
    <w:rsid w:val="1A290C88"/>
    <w:rsid w:val="1AAE6209"/>
    <w:rsid w:val="1AE16104"/>
    <w:rsid w:val="1B46065D"/>
    <w:rsid w:val="1C290B93"/>
    <w:rsid w:val="1CBF4223"/>
    <w:rsid w:val="1CD001DE"/>
    <w:rsid w:val="1D7E37D5"/>
    <w:rsid w:val="1F2E5690"/>
    <w:rsid w:val="1F6B0692"/>
    <w:rsid w:val="21106911"/>
    <w:rsid w:val="222571AB"/>
    <w:rsid w:val="222B18ED"/>
    <w:rsid w:val="22C83AE8"/>
    <w:rsid w:val="23201794"/>
    <w:rsid w:val="23554F21"/>
    <w:rsid w:val="257817B2"/>
    <w:rsid w:val="26847CE6"/>
    <w:rsid w:val="26E36D60"/>
    <w:rsid w:val="293062C2"/>
    <w:rsid w:val="299A1F81"/>
    <w:rsid w:val="2B3776E5"/>
    <w:rsid w:val="2C372F57"/>
    <w:rsid w:val="2C4209CD"/>
    <w:rsid w:val="2D070683"/>
    <w:rsid w:val="2D6D7CCB"/>
    <w:rsid w:val="2DE90FA8"/>
    <w:rsid w:val="2E892267"/>
    <w:rsid w:val="2ECA75DF"/>
    <w:rsid w:val="30340CC0"/>
    <w:rsid w:val="303755A1"/>
    <w:rsid w:val="30392108"/>
    <w:rsid w:val="30E95E70"/>
    <w:rsid w:val="316D3A4E"/>
    <w:rsid w:val="31C72A95"/>
    <w:rsid w:val="34126BED"/>
    <w:rsid w:val="346C36E8"/>
    <w:rsid w:val="354D7E05"/>
    <w:rsid w:val="35AF7627"/>
    <w:rsid w:val="35D16999"/>
    <w:rsid w:val="362F1FC2"/>
    <w:rsid w:val="37450FB3"/>
    <w:rsid w:val="38E72F73"/>
    <w:rsid w:val="39716ED1"/>
    <w:rsid w:val="3A003B5A"/>
    <w:rsid w:val="3A23639D"/>
    <w:rsid w:val="3A4A2CC8"/>
    <w:rsid w:val="3B007157"/>
    <w:rsid w:val="3C7E5795"/>
    <w:rsid w:val="3C995067"/>
    <w:rsid w:val="3D174497"/>
    <w:rsid w:val="3EC610F2"/>
    <w:rsid w:val="42B85CC6"/>
    <w:rsid w:val="42C757E6"/>
    <w:rsid w:val="43BB6C43"/>
    <w:rsid w:val="441F3676"/>
    <w:rsid w:val="44A02CBB"/>
    <w:rsid w:val="459A40E2"/>
    <w:rsid w:val="47011269"/>
    <w:rsid w:val="47E03E04"/>
    <w:rsid w:val="48FF60B3"/>
    <w:rsid w:val="497D1385"/>
    <w:rsid w:val="4A590F64"/>
    <w:rsid w:val="4A791606"/>
    <w:rsid w:val="4A797581"/>
    <w:rsid w:val="4BF21D56"/>
    <w:rsid w:val="4C7D2384"/>
    <w:rsid w:val="4CCF1E12"/>
    <w:rsid w:val="4CDE39A2"/>
    <w:rsid w:val="4CF54E0A"/>
    <w:rsid w:val="4E8B1908"/>
    <w:rsid w:val="4EDC7717"/>
    <w:rsid w:val="4F7B20A3"/>
    <w:rsid w:val="4FE07124"/>
    <w:rsid w:val="5067032E"/>
    <w:rsid w:val="50EC34D7"/>
    <w:rsid w:val="52D64AF7"/>
    <w:rsid w:val="52E9295F"/>
    <w:rsid w:val="55392A77"/>
    <w:rsid w:val="555701F6"/>
    <w:rsid w:val="56FD343E"/>
    <w:rsid w:val="584D423D"/>
    <w:rsid w:val="584D69C9"/>
    <w:rsid w:val="59790718"/>
    <w:rsid w:val="59D900ED"/>
    <w:rsid w:val="5A7301A6"/>
    <w:rsid w:val="5AB8011C"/>
    <w:rsid w:val="5B057FDC"/>
    <w:rsid w:val="5E8B0F7E"/>
    <w:rsid w:val="5F1A25E8"/>
    <w:rsid w:val="5F4B0D8D"/>
    <w:rsid w:val="600426E7"/>
    <w:rsid w:val="61905239"/>
    <w:rsid w:val="619A0388"/>
    <w:rsid w:val="619B6B1B"/>
    <w:rsid w:val="61E66A41"/>
    <w:rsid w:val="62F118C7"/>
    <w:rsid w:val="62F315A2"/>
    <w:rsid w:val="63DD77AC"/>
    <w:rsid w:val="64BF72F8"/>
    <w:rsid w:val="65BA7C14"/>
    <w:rsid w:val="65CE6852"/>
    <w:rsid w:val="66CB5CA3"/>
    <w:rsid w:val="66EA76BB"/>
    <w:rsid w:val="67531826"/>
    <w:rsid w:val="681727DD"/>
    <w:rsid w:val="689E7132"/>
    <w:rsid w:val="68F04EED"/>
    <w:rsid w:val="695F0FA6"/>
    <w:rsid w:val="69751B27"/>
    <w:rsid w:val="6B0D1397"/>
    <w:rsid w:val="6C380996"/>
    <w:rsid w:val="6D106D64"/>
    <w:rsid w:val="6D6A2C5E"/>
    <w:rsid w:val="6D997B37"/>
    <w:rsid w:val="6FD15E60"/>
    <w:rsid w:val="70253CA1"/>
    <w:rsid w:val="70552D71"/>
    <w:rsid w:val="70A64653"/>
    <w:rsid w:val="71D60F75"/>
    <w:rsid w:val="71DF161A"/>
    <w:rsid w:val="725C05BE"/>
    <w:rsid w:val="727A7B45"/>
    <w:rsid w:val="73003FD8"/>
    <w:rsid w:val="75D11F84"/>
    <w:rsid w:val="76AC04E9"/>
    <w:rsid w:val="774230B1"/>
    <w:rsid w:val="784F1D4A"/>
    <w:rsid w:val="786678EE"/>
    <w:rsid w:val="79C577F8"/>
    <w:rsid w:val="7ADD7A6C"/>
    <w:rsid w:val="7B33647E"/>
    <w:rsid w:val="7B733C9D"/>
    <w:rsid w:val="7BD21601"/>
    <w:rsid w:val="7CBF0BC9"/>
    <w:rsid w:val="7D0B56CC"/>
    <w:rsid w:val="7D3A273C"/>
    <w:rsid w:val="7E922F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qFormat="1" w:unhideWhenUsed="0" w:uiPriority="99" w:semiHidden="0" w:name="envelope return"/>
    <w:lsdException w:qFormat="1" w:uiPriority="99"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qFormat="1" w:unhideWhenUsed="0" w:uiPriority="0" w:semiHidden="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iPriority="0" w:semiHidden="0" w:name="Body Text First Indent"/>
    <w:lsdException w:qFormat="1" w:uiPriority="0" w:semiHidden="0" w:name="Body Text First Indent 2"/>
    <w:lsdException w:qFormat="1" w:unhideWhenUsed="0" w:uiPriority="0" w:semiHidden="0"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styleId="6">
    <w:name w:val="heading 1"/>
    <w:basedOn w:val="1"/>
    <w:next w:val="7"/>
    <w:link w:val="77"/>
    <w:qFormat/>
    <w:uiPriority w:val="9"/>
    <w:pPr>
      <w:keepNext/>
      <w:keepLines/>
      <w:spacing w:beforeLines="150" w:line="360" w:lineRule="auto"/>
      <w:jc w:val="left"/>
      <w:outlineLvl w:val="0"/>
    </w:pPr>
    <w:rPr>
      <w:rFonts w:eastAsia="微软雅黑"/>
      <w:b/>
      <w:bCs/>
      <w:kern w:val="44"/>
      <w:szCs w:val="44"/>
    </w:rPr>
  </w:style>
  <w:style w:type="paragraph" w:styleId="8">
    <w:name w:val="heading 2"/>
    <w:basedOn w:val="1"/>
    <w:next w:val="9"/>
    <w:link w:val="80"/>
    <w:qFormat/>
    <w:uiPriority w:val="0"/>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10">
    <w:name w:val="heading 3"/>
    <w:basedOn w:val="1"/>
    <w:next w:val="1"/>
    <w:link w:val="79"/>
    <w:qFormat/>
    <w:uiPriority w:val="9"/>
    <w:pPr>
      <w:keepNext/>
      <w:keepLines/>
      <w:spacing w:before="260" w:after="260" w:line="360" w:lineRule="auto"/>
      <w:ind w:firstLine="602" w:firstLineChars="200"/>
      <w:outlineLvl w:val="2"/>
    </w:pPr>
    <w:rPr>
      <w:rFonts w:ascii="仿宋_GB2312" w:eastAsia="仿宋_GB2312"/>
      <w:b/>
      <w:bCs/>
      <w:sz w:val="30"/>
      <w:szCs w:val="20"/>
    </w:rPr>
  </w:style>
  <w:style w:type="paragraph" w:styleId="11">
    <w:name w:val="heading 4"/>
    <w:basedOn w:val="1"/>
    <w:next w:val="1"/>
    <w:link w:val="78"/>
    <w:qFormat/>
    <w:uiPriority w:val="0"/>
    <w:pPr>
      <w:keepNext/>
      <w:keepLines/>
      <w:spacing w:before="280" w:after="290" w:line="372" w:lineRule="auto"/>
      <w:outlineLvl w:val="3"/>
    </w:pPr>
    <w:rPr>
      <w:rFonts w:ascii="Arial" w:hAnsi="Arial" w:eastAsia="黑体"/>
      <w:b/>
      <w:bCs/>
      <w:sz w:val="28"/>
      <w:szCs w:val="28"/>
    </w:rPr>
  </w:style>
  <w:style w:type="paragraph" w:styleId="12">
    <w:name w:val="heading 5"/>
    <w:basedOn w:val="1"/>
    <w:next w:val="1"/>
    <w:link w:val="82"/>
    <w:qFormat/>
    <w:uiPriority w:val="9"/>
    <w:pPr>
      <w:keepNext/>
      <w:keepLines/>
      <w:spacing w:before="280" w:after="290" w:line="376" w:lineRule="auto"/>
      <w:outlineLvl w:val="4"/>
    </w:pPr>
    <w:rPr>
      <w:rFonts w:ascii="Calibri" w:hAnsi="Calibri"/>
      <w:b/>
      <w:bCs/>
      <w:sz w:val="28"/>
      <w:szCs w:val="28"/>
    </w:rPr>
  </w:style>
  <w:style w:type="paragraph" w:styleId="13">
    <w:name w:val="heading 6"/>
    <w:basedOn w:val="1"/>
    <w:next w:val="1"/>
    <w:link w:val="83"/>
    <w:qFormat/>
    <w:uiPriority w:val="0"/>
    <w:pPr>
      <w:keepNext/>
      <w:keepLines/>
      <w:spacing w:before="240" w:after="64" w:line="320" w:lineRule="auto"/>
      <w:outlineLvl w:val="5"/>
    </w:pPr>
    <w:rPr>
      <w:rFonts w:ascii="Cambria" w:hAnsi="Cambria"/>
      <w:b/>
      <w:bCs/>
      <w:sz w:val="24"/>
    </w:rPr>
  </w:style>
  <w:style w:type="paragraph" w:styleId="14">
    <w:name w:val="heading 7"/>
    <w:basedOn w:val="1"/>
    <w:next w:val="1"/>
    <w:link w:val="84"/>
    <w:qFormat/>
    <w:uiPriority w:val="0"/>
    <w:pPr>
      <w:keepNext/>
      <w:keepLines/>
      <w:spacing w:before="240" w:after="64" w:line="320" w:lineRule="auto"/>
      <w:ind w:left="1296" w:hanging="1296"/>
      <w:outlineLvl w:val="6"/>
    </w:pPr>
    <w:rPr>
      <w:b/>
      <w:bCs/>
      <w:sz w:val="24"/>
    </w:rPr>
  </w:style>
  <w:style w:type="paragraph" w:styleId="15">
    <w:name w:val="heading 8"/>
    <w:basedOn w:val="1"/>
    <w:next w:val="1"/>
    <w:link w:val="85"/>
    <w:qFormat/>
    <w:uiPriority w:val="0"/>
    <w:pPr>
      <w:keepNext/>
      <w:keepLines/>
      <w:spacing w:before="240" w:after="64" w:line="320" w:lineRule="auto"/>
      <w:ind w:left="1440" w:hanging="1440"/>
      <w:outlineLvl w:val="7"/>
    </w:pPr>
    <w:rPr>
      <w:rFonts w:ascii="Cambria" w:hAnsi="Cambria"/>
      <w:sz w:val="24"/>
    </w:rPr>
  </w:style>
  <w:style w:type="paragraph" w:styleId="16">
    <w:name w:val="heading 9"/>
    <w:basedOn w:val="1"/>
    <w:next w:val="1"/>
    <w:link w:val="86"/>
    <w:qFormat/>
    <w:uiPriority w:val="0"/>
    <w:pPr>
      <w:keepNext/>
      <w:keepLines/>
      <w:spacing w:before="240" w:after="64" w:line="320" w:lineRule="auto"/>
      <w:ind w:left="1584" w:hanging="1584"/>
      <w:outlineLvl w:val="8"/>
    </w:pPr>
    <w:rPr>
      <w:rFonts w:ascii="Cambria" w:hAnsi="Cambria"/>
    </w:rPr>
  </w:style>
  <w:style w:type="character" w:default="1" w:styleId="61">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3"/>
    <w:next w:val="4"/>
    <w:qFormat/>
    <w:uiPriority w:val="0"/>
    <w:pPr>
      <w:spacing w:after="0" w:line="360" w:lineRule="auto"/>
      <w:ind w:firstLine="480" w:firstLineChars="200"/>
      <w:jc w:val="left"/>
    </w:pPr>
  </w:style>
  <w:style w:type="paragraph" w:customStyle="1" w:styleId="3">
    <w:name w:val="表格文字（两侧对齐）"/>
    <w:basedOn w:val="1"/>
    <w:qFormat/>
    <w:uiPriority w:val="0"/>
    <w:pPr>
      <w:snapToGrid w:val="0"/>
    </w:pPr>
    <w:rPr>
      <w:sz w:val="20"/>
    </w:rPr>
  </w:style>
  <w:style w:type="paragraph" w:styleId="4">
    <w:name w:val="Body Text"/>
    <w:basedOn w:val="1"/>
    <w:next w:val="5"/>
    <w:link w:val="94"/>
    <w:qFormat/>
    <w:uiPriority w:val="0"/>
    <w:pPr>
      <w:spacing w:after="120"/>
    </w:pPr>
  </w:style>
  <w:style w:type="paragraph" w:styleId="5">
    <w:name w:val="Body Text First Indent"/>
    <w:basedOn w:val="4"/>
    <w:next w:val="1"/>
    <w:link w:val="93"/>
    <w:unhideWhenUsed/>
    <w:qFormat/>
    <w:uiPriority w:val="0"/>
    <w:pPr>
      <w:ind w:firstLine="420" w:firstLineChars="100"/>
    </w:pPr>
    <w:rPr>
      <w:rFonts w:ascii="Calibri" w:hAnsi="Calibri"/>
    </w:rPr>
  </w:style>
  <w:style w:type="paragraph" w:customStyle="1" w:styleId="7">
    <w:name w:val="正"/>
    <w:qFormat/>
    <w:uiPriority w:val="0"/>
    <w:pPr>
      <w:widowControl w:val="0"/>
      <w:spacing w:line="360" w:lineRule="auto"/>
      <w:ind w:firstLine="480" w:firstLineChars="200"/>
      <w:contextualSpacing/>
      <w:jc w:val="both"/>
    </w:pPr>
    <w:rPr>
      <w:rFonts w:ascii="Times New Roman" w:hAnsi="Times New Roman" w:eastAsia="宋体" w:cs="Times New Roman"/>
      <w:sz w:val="24"/>
      <w:szCs w:val="24"/>
      <w:lang w:val="en-US" w:eastAsia="zh-CN" w:bidi="ar-SA"/>
    </w:rPr>
  </w:style>
  <w:style w:type="paragraph" w:customStyle="1" w:styleId="9">
    <w:name w:val="标准正文"/>
    <w:basedOn w:val="1"/>
    <w:qFormat/>
    <w:uiPriority w:val="0"/>
    <w:pPr>
      <w:spacing w:line="360" w:lineRule="auto"/>
      <w:ind w:firstLine="200" w:firstLineChars="200"/>
    </w:pPr>
    <w:rPr>
      <w:rFonts w:ascii="Calibri" w:hAnsi="Calibri"/>
      <w:sz w:val="24"/>
      <w:szCs w:val="20"/>
    </w:rPr>
  </w:style>
  <w:style w:type="paragraph" w:styleId="17">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18">
    <w:name w:val="Note Heading"/>
    <w:basedOn w:val="1"/>
    <w:next w:val="1"/>
    <w:link w:val="389"/>
    <w:qFormat/>
    <w:uiPriority w:val="0"/>
    <w:pPr>
      <w:spacing w:after="0" w:line="360" w:lineRule="auto"/>
      <w:jc w:val="center"/>
    </w:pPr>
    <w:rPr>
      <w:rFonts w:ascii="DFKai-SB" w:hAnsi="DFKai-SB" w:eastAsia="DFKai-SB"/>
      <w:kern w:val="0"/>
      <w:sz w:val="20"/>
      <w:szCs w:val="20"/>
    </w:rPr>
  </w:style>
  <w:style w:type="paragraph" w:styleId="19">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20">
    <w:name w:val="Normal Indent"/>
    <w:basedOn w:val="1"/>
    <w:link w:val="81"/>
    <w:qFormat/>
    <w:uiPriority w:val="0"/>
    <w:pPr>
      <w:ind w:firstLine="420"/>
    </w:pPr>
    <w:rPr>
      <w:szCs w:val="20"/>
    </w:rPr>
  </w:style>
  <w:style w:type="paragraph" w:styleId="21">
    <w:name w:val="caption"/>
    <w:basedOn w:val="1"/>
    <w:next w:val="1"/>
    <w:link w:val="263"/>
    <w:qFormat/>
    <w:uiPriority w:val="0"/>
    <w:pPr>
      <w:spacing w:before="152"/>
    </w:pPr>
    <w:rPr>
      <w:rFonts w:ascii="Arial" w:hAnsi="Arial" w:eastAsia="黑体" w:cs="Arial"/>
      <w:sz w:val="20"/>
      <w:szCs w:val="20"/>
    </w:rPr>
  </w:style>
  <w:style w:type="paragraph" w:styleId="22">
    <w:name w:val="Document Map"/>
    <w:basedOn w:val="1"/>
    <w:link w:val="125"/>
    <w:qFormat/>
    <w:uiPriority w:val="0"/>
    <w:pPr>
      <w:shd w:val="clear" w:color="auto" w:fill="000080"/>
    </w:pPr>
  </w:style>
  <w:style w:type="paragraph" w:styleId="23">
    <w:name w:val="annotation text"/>
    <w:basedOn w:val="1"/>
    <w:link w:val="119"/>
    <w:qFormat/>
    <w:uiPriority w:val="99"/>
    <w:pPr>
      <w:jc w:val="left"/>
    </w:pPr>
  </w:style>
  <w:style w:type="paragraph" w:styleId="24">
    <w:name w:val="Body Text 3"/>
    <w:basedOn w:val="1"/>
    <w:link w:val="105"/>
    <w:qFormat/>
    <w:uiPriority w:val="99"/>
    <w:pPr>
      <w:spacing w:after="120"/>
    </w:pPr>
    <w:rPr>
      <w:sz w:val="16"/>
      <w:szCs w:val="16"/>
    </w:rPr>
  </w:style>
  <w:style w:type="paragraph" w:styleId="25">
    <w:name w:val="Body Text Indent"/>
    <w:basedOn w:val="1"/>
    <w:next w:val="26"/>
    <w:link w:val="103"/>
    <w:qFormat/>
    <w:uiPriority w:val="99"/>
    <w:pPr>
      <w:spacing w:line="200" w:lineRule="exact"/>
      <w:ind w:firstLine="301"/>
    </w:pPr>
    <w:rPr>
      <w:rFonts w:ascii="宋体" w:hAnsi="Courier New"/>
      <w:spacing w:val="-4"/>
      <w:sz w:val="18"/>
      <w:szCs w:val="20"/>
    </w:rPr>
  </w:style>
  <w:style w:type="paragraph" w:styleId="26">
    <w:name w:val="envelope return"/>
    <w:basedOn w:val="1"/>
    <w:qFormat/>
    <w:uiPriority w:val="99"/>
    <w:pPr>
      <w:snapToGrid w:val="0"/>
    </w:pPr>
    <w:rPr>
      <w:rFonts w:ascii="Arial" w:hAnsi="Arial" w:cs="Arial"/>
    </w:rPr>
  </w:style>
  <w:style w:type="paragraph" w:styleId="27">
    <w:name w:val="List Number 3"/>
    <w:basedOn w:val="1"/>
    <w:qFormat/>
    <w:uiPriority w:val="0"/>
    <w:pPr>
      <w:tabs>
        <w:tab w:val="left" w:pos="1200"/>
      </w:tabs>
      <w:spacing w:after="0" w:line="240" w:lineRule="auto"/>
      <w:ind w:left="765" w:hanging="360"/>
    </w:pPr>
  </w:style>
  <w:style w:type="paragraph" w:styleId="28">
    <w:name w:val="List 2"/>
    <w:basedOn w:val="1"/>
    <w:qFormat/>
    <w:uiPriority w:val="0"/>
    <w:pPr>
      <w:ind w:left="100" w:leftChars="200" w:hanging="200" w:hangingChars="200"/>
    </w:pPr>
  </w:style>
  <w:style w:type="paragraph" w:styleId="29">
    <w:name w:val="List Continue"/>
    <w:basedOn w:val="1"/>
    <w:qFormat/>
    <w:uiPriority w:val="0"/>
    <w:pPr>
      <w:spacing w:after="120" w:line="360" w:lineRule="auto"/>
      <w:ind w:left="420" w:leftChars="200"/>
      <w:contextualSpacing/>
    </w:pPr>
  </w:style>
  <w:style w:type="paragraph" w:styleId="30">
    <w:name w:val="Block Text"/>
    <w:basedOn w:val="1"/>
    <w:qFormat/>
    <w:uiPriority w:val="0"/>
    <w:pPr>
      <w:spacing w:after="0" w:line="360" w:lineRule="auto"/>
      <w:ind w:left="420" w:right="-159" w:firstLine="420"/>
    </w:pPr>
  </w:style>
  <w:style w:type="paragraph" w:styleId="31">
    <w:name w:val="HTML Address"/>
    <w:basedOn w:val="1"/>
    <w:link w:val="387"/>
    <w:qFormat/>
    <w:uiPriority w:val="0"/>
    <w:pPr>
      <w:spacing w:after="0" w:line="360" w:lineRule="auto"/>
    </w:pPr>
    <w:rPr>
      <w:rFonts w:ascii="宋体" w:hAnsi="宋体"/>
      <w:i/>
      <w:iCs/>
      <w:kern w:val="0"/>
      <w:sz w:val="20"/>
    </w:rPr>
  </w:style>
  <w:style w:type="paragraph" w:styleId="32">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33">
    <w:name w:val="toc 3"/>
    <w:basedOn w:val="1"/>
    <w:next w:val="1"/>
    <w:qFormat/>
    <w:uiPriority w:val="39"/>
    <w:pPr>
      <w:ind w:left="840" w:leftChars="400"/>
    </w:pPr>
  </w:style>
  <w:style w:type="paragraph" w:styleId="34">
    <w:name w:val="Plain Text"/>
    <w:basedOn w:val="1"/>
    <w:link w:val="91"/>
    <w:qFormat/>
    <w:uiPriority w:val="99"/>
    <w:rPr>
      <w:rFonts w:ascii="宋体" w:hAnsi="Courier New"/>
      <w:szCs w:val="20"/>
    </w:rPr>
  </w:style>
  <w:style w:type="paragraph" w:styleId="35">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36">
    <w:name w:val="Date"/>
    <w:basedOn w:val="1"/>
    <w:next w:val="1"/>
    <w:link w:val="107"/>
    <w:qFormat/>
    <w:uiPriority w:val="0"/>
    <w:pPr>
      <w:ind w:left="2500" w:leftChars="2500"/>
    </w:pPr>
    <w:rPr>
      <w:rFonts w:eastAsia="楷体_GB2312"/>
      <w:sz w:val="32"/>
      <w:szCs w:val="20"/>
    </w:rPr>
  </w:style>
  <w:style w:type="paragraph" w:styleId="37">
    <w:name w:val="Body Text Indent 2"/>
    <w:basedOn w:val="1"/>
    <w:link w:val="130"/>
    <w:qFormat/>
    <w:uiPriority w:val="0"/>
    <w:pPr>
      <w:snapToGrid w:val="0"/>
      <w:ind w:firstLine="542" w:firstLineChars="225"/>
    </w:pPr>
    <w:rPr>
      <w:rFonts w:ascii="仿宋_GB2312" w:hAnsi="宋体" w:cs="Arial"/>
      <w:b/>
      <w:bCs/>
      <w:color w:val="000000"/>
      <w:sz w:val="24"/>
    </w:rPr>
  </w:style>
  <w:style w:type="paragraph" w:styleId="38">
    <w:name w:val="Balloon Text"/>
    <w:basedOn w:val="1"/>
    <w:link w:val="104"/>
    <w:qFormat/>
    <w:uiPriority w:val="99"/>
    <w:rPr>
      <w:sz w:val="18"/>
      <w:szCs w:val="18"/>
    </w:rPr>
  </w:style>
  <w:style w:type="paragraph" w:styleId="39">
    <w:name w:val="footer"/>
    <w:basedOn w:val="1"/>
    <w:link w:val="108"/>
    <w:qFormat/>
    <w:uiPriority w:val="0"/>
    <w:pPr>
      <w:tabs>
        <w:tab w:val="center" w:pos="4153"/>
        <w:tab w:val="right" w:pos="8306"/>
      </w:tabs>
      <w:snapToGrid w:val="0"/>
      <w:jc w:val="left"/>
    </w:pPr>
    <w:rPr>
      <w:sz w:val="18"/>
      <w:szCs w:val="18"/>
    </w:rPr>
  </w:style>
  <w:style w:type="paragraph" w:styleId="40">
    <w:name w:val="header"/>
    <w:basedOn w:val="1"/>
    <w:link w:val="111"/>
    <w:qFormat/>
    <w:uiPriority w:val="99"/>
    <w:pPr>
      <w:pBdr>
        <w:bottom w:val="single" w:color="auto" w:sz="6" w:space="1"/>
      </w:pBdr>
      <w:tabs>
        <w:tab w:val="center" w:pos="4153"/>
        <w:tab w:val="right" w:pos="8306"/>
      </w:tabs>
      <w:snapToGrid w:val="0"/>
      <w:jc w:val="center"/>
    </w:pPr>
    <w:rPr>
      <w:sz w:val="18"/>
      <w:szCs w:val="18"/>
    </w:rPr>
  </w:style>
  <w:style w:type="paragraph" w:styleId="41">
    <w:name w:val="toc 1"/>
    <w:basedOn w:val="1"/>
    <w:next w:val="1"/>
    <w:qFormat/>
    <w:uiPriority w:val="39"/>
    <w:pPr>
      <w:tabs>
        <w:tab w:val="right" w:leader="dot" w:pos="8296"/>
      </w:tabs>
      <w:spacing w:beforeLines="50" w:afterLines="50" w:line="400" w:lineRule="exact"/>
      <w:ind w:firstLine="480" w:firstLineChars="200"/>
    </w:pPr>
    <w:rPr>
      <w:rFonts w:ascii="宋体" w:hAnsi="宋体"/>
      <w:color w:val="000000"/>
      <w:sz w:val="24"/>
    </w:rPr>
  </w:style>
  <w:style w:type="paragraph" w:styleId="42">
    <w:name w:val="toc 4"/>
    <w:basedOn w:val="1"/>
    <w:next w:val="1"/>
    <w:unhideWhenUsed/>
    <w:qFormat/>
    <w:uiPriority w:val="39"/>
    <w:pPr>
      <w:ind w:left="1260" w:leftChars="600"/>
    </w:pPr>
    <w:rPr>
      <w:rFonts w:asciiTheme="minorHAnsi" w:hAnsiTheme="minorHAnsi" w:eastAsiaTheme="minorEastAsia" w:cstheme="minorBidi"/>
      <w:szCs w:val="22"/>
    </w:rPr>
  </w:style>
  <w:style w:type="paragraph" w:styleId="43">
    <w:name w:val="Subtitle"/>
    <w:basedOn w:val="1"/>
    <w:next w:val="1"/>
    <w:link w:val="97"/>
    <w:qFormat/>
    <w:uiPriority w:val="0"/>
    <w:pPr>
      <w:spacing w:before="240" w:after="60" w:line="312" w:lineRule="auto"/>
      <w:jc w:val="center"/>
      <w:outlineLvl w:val="1"/>
    </w:pPr>
    <w:rPr>
      <w:rFonts w:ascii="Cambria" w:hAnsi="Cambria"/>
      <w:b/>
      <w:bCs/>
      <w:kern w:val="28"/>
      <w:sz w:val="32"/>
      <w:szCs w:val="32"/>
    </w:rPr>
  </w:style>
  <w:style w:type="paragraph" w:styleId="44">
    <w:name w:val="List"/>
    <w:basedOn w:val="1"/>
    <w:link w:val="100"/>
    <w:qFormat/>
    <w:uiPriority w:val="0"/>
    <w:pPr>
      <w:ind w:left="200" w:hanging="200" w:hangingChars="200"/>
      <w:contextualSpacing/>
    </w:pPr>
  </w:style>
  <w:style w:type="paragraph" w:styleId="45">
    <w:name w:val="footnote text"/>
    <w:basedOn w:val="1"/>
    <w:link w:val="202"/>
    <w:unhideWhenUsed/>
    <w:qFormat/>
    <w:uiPriority w:val="0"/>
    <w:pPr>
      <w:snapToGrid w:val="0"/>
      <w:jc w:val="left"/>
    </w:pPr>
    <w:rPr>
      <w:rFonts w:hint="eastAsia" w:ascii="Calibri" w:hAnsi="Calibri"/>
      <w:sz w:val="18"/>
    </w:rPr>
  </w:style>
  <w:style w:type="paragraph" w:styleId="46">
    <w:name w:val="toc 6"/>
    <w:basedOn w:val="1"/>
    <w:next w:val="1"/>
    <w:unhideWhenUsed/>
    <w:qFormat/>
    <w:uiPriority w:val="39"/>
    <w:pPr>
      <w:ind w:left="2100" w:leftChars="1000"/>
    </w:pPr>
    <w:rPr>
      <w:rFonts w:asciiTheme="minorHAnsi" w:hAnsiTheme="minorHAnsi" w:eastAsiaTheme="minorEastAsia" w:cstheme="minorBidi"/>
      <w:szCs w:val="22"/>
    </w:rPr>
  </w:style>
  <w:style w:type="paragraph" w:styleId="47">
    <w:name w:val="Body Text Indent 3"/>
    <w:basedOn w:val="1"/>
    <w:link w:val="89"/>
    <w:qFormat/>
    <w:uiPriority w:val="0"/>
    <w:pPr>
      <w:snapToGrid w:val="0"/>
      <w:ind w:firstLine="480" w:firstLineChars="200"/>
      <w:jc w:val="left"/>
    </w:pPr>
    <w:rPr>
      <w:rFonts w:ascii="仿宋_GB2312" w:hAnsi="宋体" w:eastAsia="仿宋_GB2312"/>
      <w:color w:val="000000"/>
      <w:sz w:val="24"/>
    </w:rPr>
  </w:style>
  <w:style w:type="paragraph" w:styleId="48">
    <w:name w:val="table of figures"/>
    <w:basedOn w:val="1"/>
    <w:next w:val="1"/>
    <w:qFormat/>
    <w:uiPriority w:val="0"/>
    <w:pPr>
      <w:tabs>
        <w:tab w:val="left" w:pos="1270"/>
      </w:tabs>
      <w:spacing w:line="360" w:lineRule="auto"/>
      <w:ind w:left="1270" w:hanging="420"/>
      <w:jc w:val="left"/>
    </w:pPr>
    <w:rPr>
      <w:smallCaps/>
      <w:sz w:val="20"/>
      <w:szCs w:val="20"/>
    </w:rPr>
  </w:style>
  <w:style w:type="paragraph" w:styleId="49">
    <w:name w:val="toc 2"/>
    <w:basedOn w:val="1"/>
    <w:next w:val="1"/>
    <w:qFormat/>
    <w:uiPriority w:val="39"/>
    <w:pPr>
      <w:tabs>
        <w:tab w:val="right" w:leader="dot" w:pos="8296"/>
      </w:tabs>
      <w:spacing w:beforeLines="50" w:afterLines="50" w:line="400" w:lineRule="exact"/>
      <w:ind w:left="480" w:leftChars="200" w:hanging="60"/>
    </w:pPr>
  </w:style>
  <w:style w:type="paragraph" w:styleId="50">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51">
    <w:name w:val="Body Text 2"/>
    <w:basedOn w:val="1"/>
    <w:link w:val="143"/>
    <w:qFormat/>
    <w:uiPriority w:val="0"/>
    <w:pPr>
      <w:spacing w:after="120" w:line="480" w:lineRule="auto"/>
    </w:pPr>
  </w:style>
  <w:style w:type="paragraph" w:styleId="52">
    <w:name w:val="HTML Preformatted"/>
    <w:basedOn w:val="1"/>
    <w:link w:val="13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rPr>
  </w:style>
  <w:style w:type="paragraph" w:styleId="53">
    <w:name w:val="Normal (Web)"/>
    <w:basedOn w:val="1"/>
    <w:link w:val="549"/>
    <w:qFormat/>
    <w:uiPriority w:val="99"/>
    <w:pPr>
      <w:widowControl/>
      <w:spacing w:before="100" w:beforeAutospacing="1" w:after="100" w:afterAutospacing="1"/>
      <w:jc w:val="left"/>
    </w:pPr>
    <w:rPr>
      <w:rFonts w:ascii="宋体" w:hAnsi="宋体" w:cs="宋体"/>
      <w:kern w:val="0"/>
      <w:sz w:val="24"/>
    </w:rPr>
  </w:style>
  <w:style w:type="paragraph" w:styleId="54">
    <w:name w:val="index 1"/>
    <w:basedOn w:val="1"/>
    <w:next w:val="1"/>
    <w:semiHidden/>
    <w:qFormat/>
    <w:uiPriority w:val="0"/>
    <w:pPr>
      <w:spacing w:after="0" w:line="360" w:lineRule="auto"/>
      <w:ind w:firstLine="480" w:firstLineChars="200"/>
      <w:jc w:val="left"/>
    </w:pPr>
    <w:rPr>
      <w:rFonts w:eastAsia="微软雅黑"/>
      <w:szCs w:val="20"/>
    </w:rPr>
  </w:style>
  <w:style w:type="paragraph" w:styleId="55">
    <w:name w:val="Title"/>
    <w:basedOn w:val="1"/>
    <w:next w:val="1"/>
    <w:link w:val="92"/>
    <w:qFormat/>
    <w:uiPriority w:val="0"/>
    <w:pPr>
      <w:spacing w:before="240" w:after="60"/>
      <w:jc w:val="center"/>
      <w:outlineLvl w:val="0"/>
    </w:pPr>
    <w:rPr>
      <w:rFonts w:ascii="Cambria" w:hAnsi="Cambria"/>
      <w:b/>
      <w:bCs/>
      <w:sz w:val="32"/>
      <w:szCs w:val="32"/>
    </w:rPr>
  </w:style>
  <w:style w:type="paragraph" w:styleId="56">
    <w:name w:val="annotation subject"/>
    <w:basedOn w:val="23"/>
    <w:next w:val="23"/>
    <w:link w:val="141"/>
    <w:qFormat/>
    <w:uiPriority w:val="0"/>
    <w:rPr>
      <w:b/>
      <w:bCs/>
    </w:rPr>
  </w:style>
  <w:style w:type="paragraph" w:styleId="57">
    <w:name w:val="Body Text First Indent 2"/>
    <w:basedOn w:val="25"/>
    <w:link w:val="205"/>
    <w:unhideWhenUsed/>
    <w:qFormat/>
    <w:uiPriority w:val="0"/>
    <w:pPr>
      <w:spacing w:after="120" w:line="360" w:lineRule="auto"/>
      <w:ind w:left="420" w:leftChars="200" w:firstLine="420" w:firstLineChars="200"/>
    </w:pPr>
    <w:rPr>
      <w:sz w:val="24"/>
    </w:rPr>
  </w:style>
  <w:style w:type="table" w:styleId="59">
    <w:name w:val="Table Grid"/>
    <w:basedOn w:val="58"/>
    <w:qFormat/>
    <w:uiPriority w:val="0"/>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0">
    <w:name w:val="Table Elegant"/>
    <w:basedOn w:val="58"/>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character" w:styleId="62">
    <w:name w:val="Strong"/>
    <w:qFormat/>
    <w:uiPriority w:val="22"/>
    <w:rPr>
      <w:b/>
      <w:bCs/>
    </w:rPr>
  </w:style>
  <w:style w:type="character" w:styleId="63">
    <w:name w:val="page number"/>
    <w:basedOn w:val="61"/>
    <w:qFormat/>
    <w:uiPriority w:val="0"/>
  </w:style>
  <w:style w:type="character" w:styleId="64">
    <w:name w:val="FollowedHyperlink"/>
    <w:qFormat/>
    <w:uiPriority w:val="99"/>
    <w:rPr>
      <w:color w:val="800080"/>
      <w:u w:val="single"/>
    </w:rPr>
  </w:style>
  <w:style w:type="character" w:styleId="65">
    <w:name w:val="Emphasis"/>
    <w:qFormat/>
    <w:uiPriority w:val="0"/>
    <w:rPr>
      <w:color w:val="CC0000"/>
    </w:rPr>
  </w:style>
  <w:style w:type="character" w:styleId="66">
    <w:name w:val="HTML Definition"/>
    <w:qFormat/>
    <w:uiPriority w:val="0"/>
    <w:rPr>
      <w:i/>
      <w:iCs/>
    </w:rPr>
  </w:style>
  <w:style w:type="character" w:styleId="67">
    <w:name w:val="HTML Typewriter"/>
    <w:qFormat/>
    <w:uiPriority w:val="0"/>
    <w:rPr>
      <w:rFonts w:ascii="黑体" w:hAnsi="Courier New" w:eastAsia="黑体"/>
      <w:sz w:val="14"/>
    </w:rPr>
  </w:style>
  <w:style w:type="character" w:styleId="68">
    <w:name w:val="HTML Acronym"/>
    <w:qFormat/>
    <w:uiPriority w:val="0"/>
  </w:style>
  <w:style w:type="character" w:styleId="69">
    <w:name w:val="HTML Variable"/>
    <w:qFormat/>
    <w:uiPriority w:val="0"/>
    <w:rPr>
      <w:i/>
      <w:iCs/>
    </w:rPr>
  </w:style>
  <w:style w:type="character" w:styleId="70">
    <w:name w:val="Hyperlink"/>
    <w:qFormat/>
    <w:uiPriority w:val="99"/>
    <w:rPr>
      <w:color w:val="0000FF"/>
      <w:u w:val="single"/>
    </w:rPr>
  </w:style>
  <w:style w:type="character" w:styleId="71">
    <w:name w:val="HTML Code"/>
    <w:qFormat/>
    <w:uiPriority w:val="0"/>
    <w:rPr>
      <w:rFonts w:ascii="Courier New" w:hAnsi="Courier New"/>
      <w:sz w:val="20"/>
      <w:szCs w:val="20"/>
    </w:rPr>
  </w:style>
  <w:style w:type="character" w:styleId="72">
    <w:name w:val="annotation reference"/>
    <w:qFormat/>
    <w:uiPriority w:val="99"/>
    <w:rPr>
      <w:sz w:val="21"/>
      <w:szCs w:val="21"/>
    </w:rPr>
  </w:style>
  <w:style w:type="character" w:styleId="73">
    <w:name w:val="HTML Cite"/>
    <w:qFormat/>
    <w:uiPriority w:val="0"/>
    <w:rPr>
      <w:i/>
      <w:iCs/>
    </w:rPr>
  </w:style>
  <w:style w:type="character" w:styleId="74">
    <w:name w:val="footnote reference"/>
    <w:basedOn w:val="61"/>
    <w:unhideWhenUsed/>
    <w:qFormat/>
    <w:uiPriority w:val="99"/>
    <w:rPr>
      <w:rFonts w:hint="default" w:ascii="Times New Roman"/>
      <w:sz w:val="24"/>
      <w:vertAlign w:val="superscript"/>
    </w:rPr>
  </w:style>
  <w:style w:type="character" w:styleId="75">
    <w:name w:val="HTML Keyboard"/>
    <w:qFormat/>
    <w:uiPriority w:val="0"/>
    <w:rPr>
      <w:rFonts w:ascii="Courier New" w:hAnsi="Courier New"/>
      <w:sz w:val="20"/>
      <w:szCs w:val="20"/>
    </w:rPr>
  </w:style>
  <w:style w:type="character" w:styleId="76">
    <w:name w:val="HTML Sample"/>
    <w:qFormat/>
    <w:uiPriority w:val="0"/>
    <w:rPr>
      <w:rFonts w:ascii="Courier New" w:hAnsi="Courier New"/>
    </w:rPr>
  </w:style>
  <w:style w:type="character" w:customStyle="1" w:styleId="77">
    <w:name w:val="标题 1 字符"/>
    <w:basedOn w:val="61"/>
    <w:link w:val="6"/>
    <w:qFormat/>
    <w:uiPriority w:val="9"/>
    <w:rPr>
      <w:rFonts w:eastAsia="微软雅黑"/>
      <w:b/>
      <w:bCs/>
      <w:kern w:val="44"/>
      <w:sz w:val="21"/>
      <w:szCs w:val="44"/>
    </w:rPr>
  </w:style>
  <w:style w:type="character" w:customStyle="1" w:styleId="78">
    <w:name w:val="标题 4 字符"/>
    <w:link w:val="11"/>
    <w:qFormat/>
    <w:uiPriority w:val="0"/>
    <w:rPr>
      <w:rFonts w:ascii="Arial" w:hAnsi="Arial" w:eastAsia="黑体"/>
      <w:b/>
      <w:bCs/>
      <w:kern w:val="2"/>
      <w:sz w:val="28"/>
      <w:szCs w:val="28"/>
      <w:lang w:val="en-US" w:eastAsia="zh-CN" w:bidi="ar-SA"/>
    </w:rPr>
  </w:style>
  <w:style w:type="character" w:customStyle="1" w:styleId="79">
    <w:name w:val="标题 3 字符"/>
    <w:link w:val="10"/>
    <w:qFormat/>
    <w:uiPriority w:val="9"/>
    <w:rPr>
      <w:rFonts w:ascii="仿宋_GB2312" w:eastAsia="仿宋_GB2312"/>
      <w:b/>
      <w:bCs/>
      <w:kern w:val="2"/>
      <w:sz w:val="30"/>
      <w:lang w:val="en-US" w:eastAsia="zh-CN" w:bidi="ar-SA"/>
    </w:rPr>
  </w:style>
  <w:style w:type="character" w:customStyle="1" w:styleId="80">
    <w:name w:val="标题 2 字符"/>
    <w:link w:val="8"/>
    <w:qFormat/>
    <w:uiPriority w:val="0"/>
    <w:rPr>
      <w:rFonts w:ascii="仿宋_GB2312" w:eastAsia="仿宋_GB2312"/>
      <w:b/>
      <w:sz w:val="36"/>
      <w:lang w:val="en-US" w:eastAsia="zh-CN" w:bidi="ar-SA"/>
    </w:rPr>
  </w:style>
  <w:style w:type="character" w:customStyle="1" w:styleId="81">
    <w:name w:val="正文缩进 字符"/>
    <w:link w:val="20"/>
    <w:qFormat/>
    <w:uiPriority w:val="0"/>
    <w:rPr>
      <w:rFonts w:eastAsia="宋体"/>
      <w:kern w:val="2"/>
      <w:sz w:val="21"/>
      <w:lang w:val="en-US" w:eastAsia="zh-CN" w:bidi="ar-SA"/>
    </w:rPr>
  </w:style>
  <w:style w:type="character" w:customStyle="1" w:styleId="82">
    <w:name w:val="标题 5 字符"/>
    <w:link w:val="12"/>
    <w:qFormat/>
    <w:uiPriority w:val="9"/>
    <w:rPr>
      <w:rFonts w:ascii="Calibri" w:hAnsi="Calibri" w:eastAsia="宋体"/>
      <w:b/>
      <w:bCs/>
      <w:kern w:val="2"/>
      <w:sz w:val="28"/>
      <w:szCs w:val="28"/>
      <w:lang w:val="en-US" w:eastAsia="zh-CN" w:bidi="ar-SA"/>
    </w:rPr>
  </w:style>
  <w:style w:type="character" w:customStyle="1" w:styleId="83">
    <w:name w:val="标题 6 字符"/>
    <w:link w:val="13"/>
    <w:qFormat/>
    <w:uiPriority w:val="0"/>
    <w:rPr>
      <w:rFonts w:ascii="Cambria" w:hAnsi="Cambria" w:eastAsia="宋体"/>
      <w:b/>
      <w:bCs/>
      <w:kern w:val="2"/>
      <w:sz w:val="24"/>
      <w:szCs w:val="24"/>
      <w:lang w:val="en-US" w:eastAsia="zh-CN" w:bidi="ar-SA"/>
    </w:rPr>
  </w:style>
  <w:style w:type="character" w:customStyle="1" w:styleId="84">
    <w:name w:val="标题 7 字符"/>
    <w:link w:val="14"/>
    <w:qFormat/>
    <w:uiPriority w:val="0"/>
    <w:rPr>
      <w:rFonts w:eastAsia="宋体"/>
      <w:b/>
      <w:bCs/>
      <w:kern w:val="2"/>
      <w:sz w:val="24"/>
      <w:szCs w:val="24"/>
      <w:lang w:val="en-US" w:eastAsia="zh-CN" w:bidi="ar-SA"/>
    </w:rPr>
  </w:style>
  <w:style w:type="character" w:customStyle="1" w:styleId="85">
    <w:name w:val="标题 8 字符"/>
    <w:link w:val="15"/>
    <w:qFormat/>
    <w:uiPriority w:val="0"/>
    <w:rPr>
      <w:rFonts w:ascii="Cambria" w:hAnsi="Cambria" w:eastAsia="宋体"/>
      <w:kern w:val="2"/>
      <w:sz w:val="24"/>
      <w:szCs w:val="24"/>
      <w:lang w:val="en-US" w:eastAsia="zh-CN" w:bidi="ar-SA"/>
    </w:rPr>
  </w:style>
  <w:style w:type="character" w:customStyle="1" w:styleId="86">
    <w:name w:val="标题 9 字符"/>
    <w:link w:val="16"/>
    <w:qFormat/>
    <w:uiPriority w:val="0"/>
    <w:rPr>
      <w:rFonts w:ascii="Cambria" w:hAnsi="Cambria" w:eastAsia="宋体"/>
      <w:kern w:val="2"/>
      <w:sz w:val="21"/>
      <w:szCs w:val="24"/>
      <w:lang w:val="en-US" w:eastAsia="zh-CN" w:bidi="ar-SA"/>
    </w:rPr>
  </w:style>
  <w:style w:type="character" w:customStyle="1" w:styleId="87">
    <w:name w:val="纯文本 字符1"/>
    <w:semiHidden/>
    <w:qFormat/>
    <w:uiPriority w:val="99"/>
    <w:rPr>
      <w:rFonts w:ascii="等线" w:hAnsi="Courier New" w:cs="Courier New"/>
      <w:szCs w:val="24"/>
    </w:rPr>
  </w:style>
  <w:style w:type="character" w:customStyle="1" w:styleId="88">
    <w:name w:val="纯文本 Char3"/>
    <w:qFormat/>
    <w:uiPriority w:val="0"/>
    <w:rPr>
      <w:rFonts w:ascii="宋体" w:hAnsi="Courier New" w:eastAsia="宋体"/>
      <w:kern w:val="2"/>
      <w:sz w:val="24"/>
      <w:szCs w:val="24"/>
      <w:lang w:val="en-US" w:eastAsia="zh-CN" w:bidi="ar-SA"/>
    </w:rPr>
  </w:style>
  <w:style w:type="character" w:customStyle="1" w:styleId="89">
    <w:name w:val="正文文本缩进 3 字符"/>
    <w:basedOn w:val="61"/>
    <w:link w:val="47"/>
    <w:qFormat/>
    <w:uiPriority w:val="0"/>
    <w:rPr>
      <w:rFonts w:ascii="仿宋_GB2312" w:hAnsi="宋体" w:eastAsia="仿宋_GB2312"/>
      <w:color w:val="000000"/>
      <w:kern w:val="2"/>
      <w:sz w:val="24"/>
      <w:szCs w:val="24"/>
    </w:rPr>
  </w:style>
  <w:style w:type="character" w:customStyle="1" w:styleId="90">
    <w:name w:val="apple-converted-space"/>
    <w:basedOn w:val="61"/>
    <w:qFormat/>
    <w:uiPriority w:val="0"/>
  </w:style>
  <w:style w:type="character" w:customStyle="1" w:styleId="91">
    <w:name w:val="纯文本 字符"/>
    <w:link w:val="34"/>
    <w:qFormat/>
    <w:uiPriority w:val="0"/>
    <w:rPr>
      <w:rFonts w:ascii="宋体" w:hAnsi="Courier New" w:eastAsia="宋体"/>
      <w:kern w:val="2"/>
      <w:sz w:val="21"/>
      <w:lang w:val="en-US" w:eastAsia="zh-CN" w:bidi="ar-SA"/>
    </w:rPr>
  </w:style>
  <w:style w:type="character" w:customStyle="1" w:styleId="92">
    <w:name w:val="标题 字符"/>
    <w:link w:val="55"/>
    <w:qFormat/>
    <w:uiPriority w:val="0"/>
    <w:rPr>
      <w:rFonts w:ascii="Cambria" w:hAnsi="Cambria" w:eastAsia="宋体"/>
      <w:b/>
      <w:bCs/>
      <w:kern w:val="2"/>
      <w:sz w:val="32"/>
      <w:szCs w:val="32"/>
      <w:lang w:bidi="ar-SA"/>
    </w:rPr>
  </w:style>
  <w:style w:type="character" w:customStyle="1" w:styleId="93">
    <w:name w:val="正文文本首行缩进 字符"/>
    <w:basedOn w:val="94"/>
    <w:link w:val="5"/>
    <w:qFormat/>
    <w:uiPriority w:val="0"/>
    <w:rPr>
      <w:rFonts w:ascii="Calibri" w:hAnsi="Calibri" w:eastAsia="宋体"/>
      <w:kern w:val="2"/>
      <w:sz w:val="21"/>
      <w:szCs w:val="24"/>
      <w:lang w:val="en-US" w:eastAsia="zh-CN" w:bidi="ar-SA"/>
    </w:rPr>
  </w:style>
  <w:style w:type="character" w:customStyle="1" w:styleId="94">
    <w:name w:val="正文文本 字符"/>
    <w:link w:val="4"/>
    <w:qFormat/>
    <w:uiPriority w:val="0"/>
    <w:rPr>
      <w:rFonts w:eastAsia="宋体"/>
      <w:kern w:val="2"/>
      <w:sz w:val="21"/>
      <w:szCs w:val="24"/>
      <w:lang w:val="en-US" w:eastAsia="zh-CN" w:bidi="ar-SA"/>
    </w:rPr>
  </w:style>
  <w:style w:type="character" w:customStyle="1" w:styleId="95">
    <w:name w:val="标题 1 Char Char"/>
    <w:qFormat/>
    <w:uiPriority w:val="0"/>
    <w:rPr>
      <w:rFonts w:eastAsia="宋体"/>
      <w:b/>
      <w:spacing w:val="-2"/>
      <w:sz w:val="24"/>
      <w:lang w:val="en-US" w:eastAsia="zh-CN" w:bidi="ar-SA"/>
    </w:rPr>
  </w:style>
  <w:style w:type="character" w:customStyle="1" w:styleId="96">
    <w:name w:val="标题 2 Char"/>
    <w:qFormat/>
    <w:uiPriority w:val="9"/>
    <w:rPr>
      <w:rFonts w:ascii="仿宋_GB2312" w:eastAsia="仿宋_GB2312"/>
      <w:b/>
      <w:sz w:val="36"/>
      <w:lang w:val="en-US" w:eastAsia="zh-CN" w:bidi="ar-SA"/>
    </w:rPr>
  </w:style>
  <w:style w:type="character" w:customStyle="1" w:styleId="97">
    <w:name w:val="副标题 字符"/>
    <w:basedOn w:val="61"/>
    <w:link w:val="43"/>
    <w:qFormat/>
    <w:uiPriority w:val="0"/>
    <w:rPr>
      <w:rFonts w:ascii="Cambria" w:hAnsi="Cambria"/>
      <w:b/>
      <w:bCs/>
      <w:kern w:val="28"/>
      <w:sz w:val="32"/>
      <w:szCs w:val="32"/>
    </w:rPr>
  </w:style>
  <w:style w:type="character" w:customStyle="1" w:styleId="98">
    <w:name w:val="List Paragraph Char"/>
    <w:link w:val="99"/>
    <w:qFormat/>
    <w:uiPriority w:val="0"/>
    <w:rPr>
      <w:kern w:val="2"/>
      <w:sz w:val="21"/>
      <w:lang w:bidi="ar-SA"/>
    </w:rPr>
  </w:style>
  <w:style w:type="paragraph" w:customStyle="1" w:styleId="99">
    <w:name w:val="列出段落1"/>
    <w:basedOn w:val="1"/>
    <w:link w:val="98"/>
    <w:qFormat/>
    <w:uiPriority w:val="0"/>
    <w:pPr>
      <w:ind w:firstLine="420" w:firstLineChars="200"/>
    </w:pPr>
    <w:rPr>
      <w:szCs w:val="20"/>
    </w:rPr>
  </w:style>
  <w:style w:type="character" w:customStyle="1" w:styleId="100">
    <w:name w:val="列表 字符"/>
    <w:link w:val="44"/>
    <w:qFormat/>
    <w:uiPriority w:val="0"/>
    <w:rPr>
      <w:kern w:val="2"/>
      <w:sz w:val="21"/>
      <w:szCs w:val="24"/>
    </w:rPr>
  </w:style>
  <w:style w:type="character" w:customStyle="1" w:styleId="101">
    <w:name w:val="投标书正文 Char Char"/>
    <w:link w:val="102"/>
    <w:qFormat/>
    <w:uiPriority w:val="0"/>
    <w:rPr>
      <w:rFonts w:eastAsia="Times New Roman"/>
      <w:kern w:val="2"/>
      <w:sz w:val="24"/>
      <w:szCs w:val="24"/>
      <w:lang w:val="en-US" w:eastAsia="zh-CN" w:bidi="ar-SA"/>
    </w:rPr>
  </w:style>
  <w:style w:type="paragraph" w:customStyle="1" w:styleId="102">
    <w:name w:val="投标书正文"/>
    <w:link w:val="101"/>
    <w:qFormat/>
    <w:uiPriority w:val="0"/>
    <w:pPr>
      <w:autoSpaceDE w:val="0"/>
      <w:spacing w:after="160" w:line="360" w:lineRule="auto"/>
      <w:ind w:firstLine="200" w:firstLineChars="200"/>
    </w:pPr>
    <w:rPr>
      <w:rFonts w:ascii="Times New Roman" w:hAnsi="Times New Roman" w:eastAsia="Times New Roman" w:cs="Times New Roman"/>
      <w:kern w:val="2"/>
      <w:sz w:val="24"/>
      <w:szCs w:val="24"/>
      <w:lang w:val="en-US" w:eastAsia="zh-CN" w:bidi="ar-SA"/>
    </w:rPr>
  </w:style>
  <w:style w:type="character" w:customStyle="1" w:styleId="103">
    <w:name w:val="正文文本缩进 字符1"/>
    <w:link w:val="25"/>
    <w:qFormat/>
    <w:uiPriority w:val="0"/>
    <w:rPr>
      <w:rFonts w:ascii="宋体" w:hAnsi="Courier New" w:eastAsia="宋体"/>
      <w:spacing w:val="-4"/>
      <w:kern w:val="2"/>
      <w:sz w:val="18"/>
      <w:lang w:val="en-US" w:eastAsia="zh-CN" w:bidi="ar-SA"/>
    </w:rPr>
  </w:style>
  <w:style w:type="character" w:customStyle="1" w:styleId="104">
    <w:name w:val="批注框文本 字符1"/>
    <w:link w:val="38"/>
    <w:qFormat/>
    <w:uiPriority w:val="99"/>
    <w:rPr>
      <w:rFonts w:eastAsia="宋体"/>
      <w:kern w:val="2"/>
      <w:sz w:val="18"/>
      <w:szCs w:val="18"/>
      <w:lang w:val="en-US" w:eastAsia="zh-CN" w:bidi="ar-SA"/>
    </w:rPr>
  </w:style>
  <w:style w:type="character" w:customStyle="1" w:styleId="105">
    <w:name w:val="正文文本 3 字符"/>
    <w:basedOn w:val="61"/>
    <w:link w:val="24"/>
    <w:qFormat/>
    <w:uiPriority w:val="99"/>
    <w:rPr>
      <w:kern w:val="2"/>
      <w:sz w:val="16"/>
      <w:szCs w:val="16"/>
    </w:rPr>
  </w:style>
  <w:style w:type="character" w:customStyle="1" w:styleId="106">
    <w:name w:val="htd0"/>
    <w:basedOn w:val="61"/>
    <w:qFormat/>
    <w:uiPriority w:val="0"/>
  </w:style>
  <w:style w:type="character" w:customStyle="1" w:styleId="107">
    <w:name w:val="日期 字符"/>
    <w:link w:val="36"/>
    <w:qFormat/>
    <w:uiPriority w:val="0"/>
    <w:rPr>
      <w:rFonts w:eastAsia="楷体_GB2312"/>
      <w:kern w:val="2"/>
      <w:sz w:val="32"/>
    </w:rPr>
  </w:style>
  <w:style w:type="character" w:customStyle="1" w:styleId="108">
    <w:name w:val="页脚 字符1"/>
    <w:link w:val="39"/>
    <w:qFormat/>
    <w:uiPriority w:val="0"/>
    <w:rPr>
      <w:rFonts w:eastAsia="宋体"/>
      <w:kern w:val="2"/>
      <w:sz w:val="18"/>
      <w:szCs w:val="18"/>
      <w:lang w:val="en-US" w:eastAsia="zh-CN" w:bidi="ar-SA"/>
    </w:rPr>
  </w:style>
  <w:style w:type="character" w:customStyle="1" w:styleId="109">
    <w:name w:val="投标书正文无序编号 Char Char"/>
    <w:link w:val="110"/>
    <w:qFormat/>
    <w:uiPriority w:val="0"/>
    <w:rPr>
      <w:kern w:val="2"/>
      <w:sz w:val="24"/>
      <w:szCs w:val="24"/>
    </w:rPr>
  </w:style>
  <w:style w:type="paragraph" w:customStyle="1" w:styleId="110">
    <w:name w:val="投标书正文无序编号"/>
    <w:basedOn w:val="102"/>
    <w:link w:val="109"/>
    <w:qFormat/>
    <w:uiPriority w:val="0"/>
    <w:pPr>
      <w:tabs>
        <w:tab w:val="left" w:pos="780"/>
        <w:tab w:val="left" w:pos="902"/>
      </w:tabs>
      <w:adjustRightInd w:val="0"/>
      <w:ind w:left="780" w:hanging="360" w:firstLineChars="0"/>
    </w:pPr>
    <w:rPr>
      <w:rFonts w:eastAsia="宋体"/>
    </w:rPr>
  </w:style>
  <w:style w:type="character" w:customStyle="1" w:styleId="111">
    <w:name w:val="页眉 字符"/>
    <w:link w:val="40"/>
    <w:qFormat/>
    <w:uiPriority w:val="0"/>
    <w:rPr>
      <w:rFonts w:eastAsia="宋体"/>
      <w:kern w:val="2"/>
      <w:sz w:val="18"/>
      <w:szCs w:val="18"/>
      <w:lang w:val="en-US" w:eastAsia="zh-CN" w:bidi="ar-SA"/>
    </w:rPr>
  </w:style>
  <w:style w:type="character" w:customStyle="1" w:styleId="112">
    <w:name w:val="表格正文 Char"/>
    <w:basedOn w:val="61"/>
    <w:link w:val="113"/>
    <w:qFormat/>
    <w:uiPriority w:val="0"/>
    <w:rPr>
      <w:kern w:val="2"/>
      <w:sz w:val="21"/>
      <w:szCs w:val="24"/>
    </w:rPr>
  </w:style>
  <w:style w:type="paragraph" w:customStyle="1" w:styleId="113">
    <w:name w:val="表格正文"/>
    <w:basedOn w:val="1"/>
    <w:link w:val="112"/>
    <w:qFormat/>
    <w:uiPriority w:val="0"/>
  </w:style>
  <w:style w:type="character" w:customStyle="1" w:styleId="114">
    <w:name w:val="纯文本 Char1"/>
    <w:link w:val="115"/>
    <w:qFormat/>
    <w:uiPriority w:val="99"/>
    <w:rPr>
      <w:rFonts w:ascii="宋体" w:hAnsi="Courier New" w:eastAsia="宋体"/>
      <w:kern w:val="2"/>
      <w:sz w:val="24"/>
      <w:lang w:bidi="ar-SA"/>
    </w:rPr>
  </w:style>
  <w:style w:type="paragraph" w:customStyle="1" w:styleId="115">
    <w:name w:val="纯文本1"/>
    <w:basedOn w:val="1"/>
    <w:link w:val="114"/>
    <w:qFormat/>
    <w:uiPriority w:val="99"/>
    <w:pPr>
      <w:spacing w:afterLines="50"/>
    </w:pPr>
    <w:rPr>
      <w:rFonts w:ascii="宋体" w:hAnsi="Courier New"/>
      <w:sz w:val="24"/>
      <w:szCs w:val="20"/>
    </w:rPr>
  </w:style>
  <w:style w:type="character" w:customStyle="1" w:styleId="116">
    <w:name w:val="HIK 段分 2 Char"/>
    <w:basedOn w:val="96"/>
    <w:link w:val="117"/>
    <w:qFormat/>
    <w:uiPriority w:val="0"/>
    <w:rPr>
      <w:rFonts w:ascii="宋体" w:hAnsi="等线 Light" w:eastAsia="仿宋_GB2312"/>
      <w:bCs/>
      <w:kern w:val="2"/>
      <w:sz w:val="32"/>
      <w:szCs w:val="32"/>
      <w:lang w:val="en-US" w:eastAsia="zh-CN" w:bidi="ar-SA"/>
    </w:rPr>
  </w:style>
  <w:style w:type="paragraph" w:customStyle="1" w:styleId="117">
    <w:name w:val="HIK 段分 2"/>
    <w:basedOn w:val="8"/>
    <w:next w:val="1"/>
    <w:link w:val="116"/>
    <w:qFormat/>
    <w:uiPriority w:val="0"/>
    <w:pPr>
      <w:pageBreakBefore/>
      <w:adjustRightInd/>
      <w:snapToGrid/>
      <w:spacing w:before="100" w:after="100"/>
      <w:ind w:left="576" w:hanging="576"/>
      <w:jc w:val="left"/>
      <w:textAlignment w:val="auto"/>
    </w:pPr>
    <w:rPr>
      <w:rFonts w:ascii="宋体" w:hAnsi="等线 Light" w:eastAsia="宋体"/>
      <w:bCs/>
      <w:kern w:val="2"/>
      <w:sz w:val="32"/>
      <w:szCs w:val="32"/>
    </w:rPr>
  </w:style>
  <w:style w:type="character" w:customStyle="1" w:styleId="118">
    <w:name w:val="Char Char7"/>
    <w:qFormat/>
    <w:uiPriority w:val="0"/>
    <w:rPr>
      <w:rFonts w:ascii="Times New Roman" w:hAnsi="Times New Roman" w:eastAsia="宋体" w:cs="Times New Roman"/>
      <w:szCs w:val="24"/>
    </w:rPr>
  </w:style>
  <w:style w:type="character" w:customStyle="1" w:styleId="119">
    <w:name w:val="批注文字 字符"/>
    <w:link w:val="23"/>
    <w:qFormat/>
    <w:uiPriority w:val="99"/>
    <w:rPr>
      <w:rFonts w:eastAsia="宋体"/>
      <w:kern w:val="2"/>
      <w:sz w:val="21"/>
      <w:szCs w:val="24"/>
      <w:lang w:val="en-US" w:eastAsia="zh-CN" w:bidi="ar-SA"/>
    </w:rPr>
  </w:style>
  <w:style w:type="character" w:customStyle="1" w:styleId="120">
    <w:name w:val="方案正文-样式 小四 行距: 1.5 倍行距 Char Char"/>
    <w:link w:val="121"/>
    <w:qFormat/>
    <w:uiPriority w:val="0"/>
    <w:rPr>
      <w:kern w:val="2"/>
      <w:sz w:val="24"/>
      <w:lang w:bidi="ar-SA"/>
    </w:rPr>
  </w:style>
  <w:style w:type="paragraph" w:customStyle="1" w:styleId="121">
    <w:name w:val="方案正文-样式 小四 行距: 1.5 倍行距"/>
    <w:basedOn w:val="1"/>
    <w:link w:val="120"/>
    <w:qFormat/>
    <w:uiPriority w:val="0"/>
    <w:pPr>
      <w:spacing w:line="360" w:lineRule="auto"/>
      <w:ind w:firstLine="480" w:firstLineChars="200"/>
    </w:pPr>
    <w:rPr>
      <w:sz w:val="24"/>
      <w:szCs w:val="20"/>
    </w:rPr>
  </w:style>
  <w:style w:type="character" w:customStyle="1" w:styleId="122">
    <w:name w:val="批注主题 Char1"/>
    <w:qFormat/>
    <w:uiPriority w:val="0"/>
    <w:rPr>
      <w:b/>
      <w:bCs/>
      <w:kern w:val="2"/>
      <w:sz w:val="21"/>
      <w:szCs w:val="24"/>
    </w:rPr>
  </w:style>
  <w:style w:type="character" w:customStyle="1" w:styleId="123">
    <w:name w:val="正文缩进 Char"/>
    <w:qFormat/>
    <w:uiPriority w:val="0"/>
    <w:rPr>
      <w:kern w:val="2"/>
      <w:sz w:val="21"/>
    </w:rPr>
  </w:style>
  <w:style w:type="character" w:customStyle="1" w:styleId="124">
    <w:name w:val="正文文本缩进 Char"/>
    <w:qFormat/>
    <w:uiPriority w:val="99"/>
    <w:rPr>
      <w:rFonts w:ascii="宋体" w:hAnsi="Courier New"/>
      <w:spacing w:val="-4"/>
      <w:kern w:val="2"/>
      <w:sz w:val="18"/>
    </w:rPr>
  </w:style>
  <w:style w:type="character" w:customStyle="1" w:styleId="125">
    <w:name w:val="文档结构图 字符"/>
    <w:link w:val="22"/>
    <w:qFormat/>
    <w:uiPriority w:val="0"/>
    <w:rPr>
      <w:rFonts w:eastAsia="宋体"/>
      <w:kern w:val="2"/>
      <w:sz w:val="21"/>
      <w:szCs w:val="24"/>
      <w:lang w:val="en-US" w:eastAsia="zh-CN" w:bidi="ar-SA"/>
    </w:rPr>
  </w:style>
  <w:style w:type="character" w:customStyle="1" w:styleId="126">
    <w:name w:val="正文文本缩进 字符"/>
    <w:qFormat/>
    <w:uiPriority w:val="0"/>
    <w:rPr>
      <w:rFonts w:ascii="宋体" w:hAnsi="Courier New" w:eastAsia="宋体"/>
      <w:spacing w:val="-4"/>
      <w:kern w:val="2"/>
      <w:sz w:val="18"/>
      <w:lang w:val="en-US" w:eastAsia="zh-CN" w:bidi="ar-SA"/>
    </w:rPr>
  </w:style>
  <w:style w:type="character" w:customStyle="1" w:styleId="127">
    <w:name w:val="批注框文本 字符"/>
    <w:semiHidden/>
    <w:qFormat/>
    <w:uiPriority w:val="99"/>
    <w:rPr>
      <w:rFonts w:ascii="Times New Roman" w:hAnsi="Times New Roman" w:eastAsia="宋体"/>
      <w:kern w:val="2"/>
      <w:sz w:val="18"/>
      <w:szCs w:val="18"/>
    </w:rPr>
  </w:style>
  <w:style w:type="character" w:customStyle="1" w:styleId="128">
    <w:name w:val="列表段落 字符"/>
    <w:basedOn w:val="61"/>
    <w:link w:val="129"/>
    <w:qFormat/>
    <w:uiPriority w:val="99"/>
    <w:rPr>
      <w:rFonts w:ascii="Calibri" w:hAnsi="Calibri" w:cs="Calibri"/>
      <w:kern w:val="2"/>
      <w:sz w:val="21"/>
      <w:szCs w:val="21"/>
    </w:rPr>
  </w:style>
  <w:style w:type="paragraph" w:styleId="129">
    <w:name w:val="List Paragraph"/>
    <w:basedOn w:val="1"/>
    <w:link w:val="128"/>
    <w:qFormat/>
    <w:uiPriority w:val="99"/>
    <w:pPr>
      <w:ind w:firstLine="420" w:firstLineChars="200"/>
    </w:pPr>
    <w:rPr>
      <w:rFonts w:ascii="Calibri" w:hAnsi="Calibri" w:cs="Calibri"/>
      <w:szCs w:val="21"/>
    </w:rPr>
  </w:style>
  <w:style w:type="character" w:customStyle="1" w:styleId="130">
    <w:name w:val="正文文本缩进 2 字符"/>
    <w:basedOn w:val="61"/>
    <w:link w:val="37"/>
    <w:qFormat/>
    <w:uiPriority w:val="0"/>
    <w:rPr>
      <w:rFonts w:ascii="仿宋_GB2312" w:hAnsi="宋体" w:cs="Arial"/>
      <w:b/>
      <w:bCs/>
      <w:color w:val="000000"/>
      <w:kern w:val="2"/>
      <w:sz w:val="24"/>
      <w:szCs w:val="24"/>
    </w:rPr>
  </w:style>
  <w:style w:type="character" w:customStyle="1" w:styleId="131">
    <w:name w:val="HTML 预设格式 Char"/>
    <w:basedOn w:val="61"/>
    <w:qFormat/>
    <w:uiPriority w:val="0"/>
    <w:rPr>
      <w:rFonts w:ascii="Courier New" w:hAnsi="Courier New" w:cs="Courier New"/>
      <w:kern w:val="2"/>
    </w:rPr>
  </w:style>
  <w:style w:type="character" w:customStyle="1" w:styleId="132">
    <w:name w:val="HTML 预设格式 字符"/>
    <w:basedOn w:val="61"/>
    <w:link w:val="52"/>
    <w:qFormat/>
    <w:locked/>
    <w:uiPriority w:val="0"/>
    <w:rPr>
      <w:rFonts w:ascii="宋体" w:hAnsi="宋体" w:cs="宋体"/>
      <w:kern w:val="2"/>
      <w:sz w:val="24"/>
      <w:szCs w:val="24"/>
    </w:rPr>
  </w:style>
  <w:style w:type="character" w:customStyle="1" w:styleId="133">
    <w:name w:val="HIK 段分 4 Char"/>
    <w:basedOn w:val="78"/>
    <w:link w:val="134"/>
    <w:qFormat/>
    <w:uiPriority w:val="0"/>
    <w:rPr>
      <w:rFonts w:ascii="宋体" w:hAnsi="等线 Light" w:eastAsia="黑体"/>
      <w:kern w:val="2"/>
      <w:sz w:val="28"/>
      <w:szCs w:val="28"/>
      <w:lang w:val="en-US" w:eastAsia="zh-CN" w:bidi="ar-SA"/>
    </w:rPr>
  </w:style>
  <w:style w:type="paragraph" w:customStyle="1" w:styleId="134">
    <w:name w:val="HIK 段分 4"/>
    <w:basedOn w:val="11"/>
    <w:next w:val="1"/>
    <w:link w:val="133"/>
    <w:qFormat/>
    <w:uiPriority w:val="0"/>
    <w:pPr>
      <w:keepLines w:val="0"/>
      <w:pageBreakBefore/>
      <w:spacing w:before="60" w:after="60" w:line="360" w:lineRule="auto"/>
      <w:ind w:left="864" w:hanging="864"/>
      <w:jc w:val="left"/>
    </w:pPr>
    <w:rPr>
      <w:rFonts w:ascii="宋体" w:hAnsi="等线 Light" w:eastAsia="宋体"/>
    </w:rPr>
  </w:style>
  <w:style w:type="character" w:customStyle="1" w:styleId="135">
    <w:name w:val="副标题 Char1"/>
    <w:basedOn w:val="61"/>
    <w:qFormat/>
    <w:uiPriority w:val="11"/>
    <w:rPr>
      <w:rFonts w:ascii="Cambria" w:hAnsi="Cambria" w:cs="Times New Roman"/>
      <w:b/>
      <w:bCs/>
      <w:kern w:val="28"/>
      <w:sz w:val="32"/>
      <w:szCs w:val="32"/>
      <w:lang w:eastAsia="en-US"/>
    </w:rPr>
  </w:style>
  <w:style w:type="character" w:customStyle="1" w:styleId="136">
    <w:name w:val="批注文字 Char1"/>
    <w:qFormat/>
    <w:uiPriority w:val="0"/>
    <w:rPr>
      <w:kern w:val="2"/>
      <w:sz w:val="21"/>
      <w:szCs w:val="24"/>
    </w:rPr>
  </w:style>
  <w:style w:type="character" w:customStyle="1" w:styleId="137">
    <w:name w:val="页眉 Char"/>
    <w:qFormat/>
    <w:uiPriority w:val="99"/>
    <w:rPr>
      <w:kern w:val="2"/>
      <w:sz w:val="18"/>
      <w:szCs w:val="18"/>
    </w:rPr>
  </w:style>
  <w:style w:type="character" w:customStyle="1" w:styleId="138">
    <w:name w:val="unnamed1"/>
    <w:basedOn w:val="61"/>
    <w:qFormat/>
    <w:uiPriority w:val="0"/>
  </w:style>
  <w:style w:type="character" w:customStyle="1" w:styleId="139">
    <w:name w:val="HIK 段分 3 Char"/>
    <w:basedOn w:val="79"/>
    <w:link w:val="140"/>
    <w:qFormat/>
    <w:uiPriority w:val="0"/>
    <w:rPr>
      <w:rFonts w:ascii="宋体" w:hAnsi="等线" w:eastAsia="仿宋_GB2312"/>
      <w:kern w:val="2"/>
      <w:sz w:val="30"/>
      <w:szCs w:val="32"/>
      <w:lang w:val="en-US" w:eastAsia="zh-CN" w:bidi="ar-SA"/>
    </w:rPr>
  </w:style>
  <w:style w:type="paragraph" w:customStyle="1" w:styleId="140">
    <w:name w:val="HIK 段分 3"/>
    <w:basedOn w:val="10"/>
    <w:next w:val="1"/>
    <w:link w:val="139"/>
    <w:qFormat/>
    <w:uiPriority w:val="0"/>
    <w:pPr>
      <w:keepLines w:val="0"/>
      <w:pageBreakBefore/>
      <w:spacing w:before="80" w:after="80"/>
      <w:ind w:left="720" w:hanging="720" w:firstLineChars="0"/>
      <w:jc w:val="left"/>
    </w:pPr>
    <w:rPr>
      <w:rFonts w:ascii="宋体" w:hAnsi="等线" w:eastAsia="宋体"/>
      <w:szCs w:val="32"/>
    </w:rPr>
  </w:style>
  <w:style w:type="character" w:customStyle="1" w:styleId="141">
    <w:name w:val="批注主题 字符"/>
    <w:link w:val="56"/>
    <w:qFormat/>
    <w:uiPriority w:val="0"/>
    <w:rPr>
      <w:rFonts w:eastAsia="宋体"/>
      <w:b/>
      <w:bCs/>
      <w:kern w:val="2"/>
      <w:sz w:val="21"/>
      <w:szCs w:val="24"/>
      <w:lang w:val="en-US" w:eastAsia="zh-CN" w:bidi="ar-SA"/>
    </w:rPr>
  </w:style>
  <w:style w:type="character" w:customStyle="1" w:styleId="142">
    <w:name w:val="普通文字 Char Char2"/>
    <w:qFormat/>
    <w:uiPriority w:val="0"/>
    <w:rPr>
      <w:rFonts w:ascii="宋体" w:hAnsi="Courier New" w:eastAsia="宋体"/>
      <w:kern w:val="2"/>
      <w:sz w:val="21"/>
      <w:lang w:val="en-US" w:eastAsia="zh-CN" w:bidi="ar-SA"/>
    </w:rPr>
  </w:style>
  <w:style w:type="character" w:customStyle="1" w:styleId="143">
    <w:name w:val="正文文本 2 字符"/>
    <w:basedOn w:val="61"/>
    <w:link w:val="51"/>
    <w:qFormat/>
    <w:uiPriority w:val="0"/>
    <w:rPr>
      <w:kern w:val="2"/>
      <w:sz w:val="21"/>
      <w:szCs w:val="24"/>
    </w:rPr>
  </w:style>
  <w:style w:type="character" w:customStyle="1" w:styleId="144">
    <w:name w:val="HIK 段分 5 Char"/>
    <w:basedOn w:val="82"/>
    <w:link w:val="145"/>
    <w:qFormat/>
    <w:uiPriority w:val="0"/>
    <w:rPr>
      <w:rFonts w:ascii="宋体" w:hAnsi="等线" w:eastAsia="宋体"/>
      <w:kern w:val="2"/>
      <w:sz w:val="24"/>
      <w:szCs w:val="28"/>
      <w:lang w:val="en-US" w:eastAsia="zh-CN" w:bidi="ar-SA"/>
    </w:rPr>
  </w:style>
  <w:style w:type="paragraph" w:customStyle="1" w:styleId="145">
    <w:name w:val="HIK 段分 5"/>
    <w:basedOn w:val="12"/>
    <w:next w:val="1"/>
    <w:link w:val="144"/>
    <w:qFormat/>
    <w:uiPriority w:val="0"/>
    <w:pPr>
      <w:keepLines w:val="0"/>
      <w:pageBreakBefore/>
      <w:spacing w:before="60" w:after="60" w:line="360" w:lineRule="auto"/>
      <w:ind w:left="1008" w:hanging="1008"/>
      <w:jc w:val="left"/>
    </w:pPr>
    <w:rPr>
      <w:rFonts w:ascii="宋体" w:hAnsi="等线"/>
      <w:sz w:val="24"/>
    </w:rPr>
  </w:style>
  <w:style w:type="character" w:customStyle="1" w:styleId="146">
    <w:name w:val="标准正文格式 Char Char"/>
    <w:link w:val="147"/>
    <w:qFormat/>
    <w:uiPriority w:val="0"/>
    <w:rPr>
      <w:rFonts w:ascii="宋体" w:eastAsia="仿宋_GB2312" w:cs="宋体"/>
      <w:color w:val="000000"/>
      <w:sz w:val="24"/>
    </w:rPr>
  </w:style>
  <w:style w:type="paragraph" w:customStyle="1" w:styleId="147">
    <w:name w:val="标准正文格式"/>
    <w:basedOn w:val="1"/>
    <w:link w:val="146"/>
    <w:qFormat/>
    <w:uiPriority w:val="0"/>
    <w:pPr>
      <w:widowControl/>
      <w:adjustRightInd w:val="0"/>
      <w:spacing w:before="60" w:after="120" w:line="360" w:lineRule="auto"/>
      <w:ind w:firstLine="200" w:firstLineChars="200"/>
      <w:textAlignment w:val="baseline"/>
    </w:pPr>
    <w:rPr>
      <w:rFonts w:ascii="宋体" w:eastAsia="仿宋_GB2312"/>
      <w:color w:val="000000"/>
      <w:kern w:val="0"/>
      <w:sz w:val="24"/>
      <w:szCs w:val="20"/>
    </w:rPr>
  </w:style>
  <w:style w:type="character" w:customStyle="1" w:styleId="148">
    <w:name w:val="无间隔 字符"/>
    <w:basedOn w:val="61"/>
    <w:link w:val="149"/>
    <w:qFormat/>
    <w:uiPriority w:val="1"/>
    <w:rPr>
      <w:kern w:val="2"/>
      <w:sz w:val="21"/>
      <w:szCs w:val="22"/>
      <w:lang w:val="en-US" w:eastAsia="zh-CN" w:bidi="ar-SA"/>
    </w:rPr>
  </w:style>
  <w:style w:type="paragraph" w:styleId="149">
    <w:name w:val="No Spacing"/>
    <w:link w:val="148"/>
    <w:qFormat/>
    <w:uiPriority w:val="1"/>
    <w:pPr>
      <w:widowControl w:val="0"/>
      <w:spacing w:after="160" w:line="259" w:lineRule="auto"/>
    </w:pPr>
    <w:rPr>
      <w:rFonts w:ascii="Times New Roman" w:hAnsi="Times New Roman" w:eastAsia="宋体" w:cs="Times New Roman"/>
      <w:kern w:val="2"/>
      <w:sz w:val="21"/>
      <w:szCs w:val="22"/>
      <w:lang w:val="en-US" w:eastAsia="zh-CN" w:bidi="ar-SA"/>
    </w:rPr>
  </w:style>
  <w:style w:type="character" w:customStyle="1" w:styleId="150">
    <w:name w:val="正文缩进 字符1"/>
    <w:qFormat/>
    <w:uiPriority w:val="0"/>
    <w:rPr>
      <w:rFonts w:eastAsia="宋体"/>
      <w:kern w:val="2"/>
      <w:sz w:val="21"/>
      <w:lang w:val="en-US" w:eastAsia="zh-CN" w:bidi="ar-SA"/>
    </w:rPr>
  </w:style>
  <w:style w:type="paragraph" w:customStyle="1" w:styleId="151">
    <w:name w:val="xl8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52">
    <w:name w:val="TOC 标题1"/>
    <w:basedOn w:val="6"/>
    <w:next w:val="1"/>
    <w:qFormat/>
    <w:uiPriority w:val="0"/>
    <w:pPr>
      <w:widowControl/>
      <w:spacing w:before="480" w:line="276" w:lineRule="auto"/>
      <w:outlineLvl w:val="9"/>
    </w:pPr>
    <w:rPr>
      <w:rFonts w:ascii="Cambria" w:hAnsi="Cambria"/>
      <w:color w:val="365F91"/>
      <w:kern w:val="0"/>
      <w:sz w:val="28"/>
      <w:szCs w:val="28"/>
    </w:rPr>
  </w:style>
  <w:style w:type="paragraph" w:customStyle="1" w:styleId="153">
    <w:name w:val="Default"/>
    <w:qFormat/>
    <w:uiPriority w:val="0"/>
    <w:pPr>
      <w:widowControl w:val="0"/>
      <w:autoSpaceDE w:val="0"/>
      <w:autoSpaceDN w:val="0"/>
      <w:adjustRightInd w:val="0"/>
      <w:spacing w:before="120" w:after="120" w:line="259" w:lineRule="auto"/>
    </w:pPr>
    <w:rPr>
      <w:rFonts w:ascii="宋体" w:hAnsi="Times New Roman" w:eastAsia="宋体" w:cs="宋体"/>
      <w:color w:val="000000"/>
      <w:sz w:val="24"/>
      <w:szCs w:val="24"/>
      <w:lang w:val="en-US" w:eastAsia="zh-CN" w:bidi="ar-SA"/>
    </w:rPr>
  </w:style>
  <w:style w:type="paragraph" w:customStyle="1" w:styleId="154">
    <w:name w:val="正文 New"/>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155">
    <w:name w:val="纯文本11"/>
    <w:basedOn w:val="1"/>
    <w:qFormat/>
    <w:uiPriority w:val="0"/>
    <w:pPr>
      <w:adjustRightInd w:val="0"/>
      <w:textAlignment w:val="baseline"/>
    </w:pPr>
    <w:rPr>
      <w:rFonts w:ascii="宋体" w:hAnsi="Courier New" w:eastAsia="楷体_GB2312"/>
      <w:sz w:val="26"/>
      <w:szCs w:val="20"/>
    </w:rPr>
  </w:style>
  <w:style w:type="paragraph" w:customStyle="1" w:styleId="156">
    <w:name w:val="TOC 标题11"/>
    <w:basedOn w:val="6"/>
    <w:next w:val="1"/>
    <w:qFormat/>
    <w:uiPriority w:val="39"/>
    <w:pPr>
      <w:widowControl/>
      <w:spacing w:before="480" w:line="276" w:lineRule="auto"/>
      <w:outlineLvl w:val="9"/>
    </w:pPr>
    <w:rPr>
      <w:rFonts w:ascii="Cambria" w:hAnsi="Cambria"/>
      <w:color w:val="365F91"/>
      <w:kern w:val="0"/>
      <w:sz w:val="28"/>
      <w:szCs w:val="28"/>
    </w:rPr>
  </w:style>
  <w:style w:type="paragraph" w:customStyle="1" w:styleId="157">
    <w:name w:val="xl80"/>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58">
    <w:name w:val="Char"/>
    <w:basedOn w:val="1"/>
    <w:qFormat/>
    <w:uiPriority w:val="0"/>
    <w:pPr>
      <w:tabs>
        <w:tab w:val="left" w:pos="360"/>
      </w:tabs>
    </w:pPr>
    <w:rPr>
      <w:sz w:val="24"/>
    </w:rPr>
  </w:style>
  <w:style w:type="paragraph" w:customStyle="1" w:styleId="159">
    <w:name w:val="正文段"/>
    <w:basedOn w:val="1"/>
    <w:qFormat/>
    <w:uiPriority w:val="0"/>
    <w:pPr>
      <w:widowControl/>
      <w:snapToGrid w:val="0"/>
      <w:spacing w:afterLines="50"/>
      <w:ind w:firstLine="200" w:firstLineChars="200"/>
    </w:pPr>
    <w:rPr>
      <w:kern w:val="0"/>
      <w:sz w:val="24"/>
      <w:szCs w:val="20"/>
    </w:rPr>
  </w:style>
  <w:style w:type="paragraph" w:customStyle="1" w:styleId="160">
    <w:name w:val="font6"/>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161">
    <w:name w:val="xl7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62">
    <w:name w:val="p17"/>
    <w:basedOn w:val="1"/>
    <w:qFormat/>
    <w:uiPriority w:val="0"/>
    <w:pPr>
      <w:widowControl/>
    </w:pPr>
    <w:rPr>
      <w:kern w:val="0"/>
      <w:szCs w:val="21"/>
    </w:rPr>
  </w:style>
  <w:style w:type="paragraph" w:customStyle="1" w:styleId="16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6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18"/>
      <w:szCs w:val="18"/>
    </w:rPr>
  </w:style>
  <w:style w:type="paragraph" w:customStyle="1" w:styleId="165">
    <w:name w:val="Char Char1 Char"/>
    <w:basedOn w:val="1"/>
    <w:qFormat/>
    <w:uiPriority w:val="0"/>
    <w:pPr>
      <w:tabs>
        <w:tab w:val="left" w:pos="360"/>
      </w:tabs>
    </w:pPr>
    <w:rPr>
      <w:sz w:val="24"/>
    </w:rPr>
  </w:style>
  <w:style w:type="paragraph" w:customStyle="1" w:styleId="166">
    <w:name w:val="默认段落字体 Para Char Char Char Char Char Char Char Char Char1 Char Char Char Char"/>
    <w:basedOn w:val="1"/>
    <w:qFormat/>
    <w:uiPriority w:val="0"/>
    <w:rPr>
      <w:rFonts w:ascii="Tahoma" w:hAnsi="Tahoma"/>
      <w:sz w:val="24"/>
      <w:szCs w:val="20"/>
    </w:rPr>
  </w:style>
  <w:style w:type="paragraph" w:customStyle="1" w:styleId="167">
    <w:name w:val="xl7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68">
    <w:name w:val="正文1"/>
    <w:qFormat/>
    <w:uiPriority w:val="0"/>
    <w:pPr>
      <w:widowControl w:val="0"/>
      <w:spacing w:after="160" w:line="259" w:lineRule="auto"/>
      <w:jc w:val="both"/>
    </w:pPr>
    <w:rPr>
      <w:rFonts w:hint="eastAsia" w:ascii="Times New Roman" w:hAnsi="Times New Roman" w:eastAsia="宋体" w:cs="Times New Roman"/>
      <w:kern w:val="2"/>
      <w:sz w:val="21"/>
      <w:lang w:val="en-US" w:eastAsia="zh-CN" w:bidi="ar-SA"/>
    </w:rPr>
  </w:style>
  <w:style w:type="paragraph" w:customStyle="1" w:styleId="169">
    <w:name w:val="1 Char Char Char Char"/>
    <w:basedOn w:val="1"/>
    <w:qFormat/>
    <w:uiPriority w:val="0"/>
    <w:rPr>
      <w:rFonts w:ascii="Tahoma" w:hAnsi="Tahoma"/>
      <w:sz w:val="24"/>
      <w:szCs w:val="20"/>
    </w:rPr>
  </w:style>
  <w:style w:type="paragraph" w:customStyle="1" w:styleId="170">
    <w:name w:val="正文 New New New New"/>
    <w:qFormat/>
    <w:uiPriority w:val="0"/>
    <w:pPr>
      <w:widowControl w:val="0"/>
      <w:spacing w:after="160" w:line="259" w:lineRule="auto"/>
      <w:jc w:val="both"/>
    </w:pPr>
    <w:rPr>
      <w:rFonts w:ascii="Times New Roman" w:hAnsi="Times New Roman" w:eastAsia="Arial Unicode MS" w:cs="Arial Unicode MS"/>
      <w:color w:val="000000"/>
      <w:u w:color="000000"/>
      <w:lang w:val="en-US" w:eastAsia="zh-CN" w:bidi="ar-SA"/>
    </w:rPr>
  </w:style>
  <w:style w:type="paragraph" w:customStyle="1" w:styleId="17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2">
    <w:name w:val="GTA正文-2"/>
    <w:basedOn w:val="1"/>
    <w:qFormat/>
    <w:uiPriority w:val="0"/>
    <w:pPr>
      <w:snapToGrid w:val="0"/>
      <w:spacing w:beforeLines="50" w:after="156" w:line="480" w:lineRule="atLeast"/>
      <w:ind w:firstLine="480" w:firstLineChars="200"/>
      <w:jc w:val="left"/>
    </w:pPr>
    <w:rPr>
      <w:rFonts w:ascii="微软雅黑" w:hAnsi="微软雅黑" w:eastAsia="微软雅黑" w:cs="Arial"/>
      <w:kern w:val="0"/>
      <w:sz w:val="24"/>
      <w:lang w:eastAsia="en-US"/>
    </w:rPr>
  </w:style>
  <w:style w:type="paragraph" w:customStyle="1" w:styleId="17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174">
    <w:name w:val="正文－恩普"/>
    <w:basedOn w:val="20"/>
    <w:qFormat/>
    <w:uiPriority w:val="0"/>
    <w:pPr>
      <w:widowControl/>
      <w:spacing w:line="360" w:lineRule="auto"/>
      <w:ind w:firstLine="480" w:firstLineChars="200"/>
      <w:jc w:val="left"/>
    </w:pPr>
    <w:rPr>
      <w:kern w:val="0"/>
      <w:sz w:val="24"/>
    </w:rPr>
  </w:style>
  <w:style w:type="paragraph" w:customStyle="1" w:styleId="175">
    <w:name w:val="表内文字"/>
    <w:basedOn w:val="1"/>
    <w:qFormat/>
    <w:uiPriority w:val="0"/>
    <w:pPr>
      <w:jc w:val="center"/>
    </w:pPr>
    <w:rPr>
      <w:rFonts w:ascii="仿宋_GB2312" w:eastAsia="仿宋_GB2312"/>
      <w:sz w:val="24"/>
    </w:rPr>
  </w:style>
  <w:style w:type="paragraph" w:customStyle="1" w:styleId="176">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77">
    <w:name w:val="正文 New New New New New New"/>
    <w:qFormat/>
    <w:uiPriority w:val="0"/>
    <w:pPr>
      <w:widowControl w:val="0"/>
      <w:spacing w:after="160" w:line="259" w:lineRule="auto"/>
      <w:jc w:val="both"/>
    </w:pPr>
    <w:rPr>
      <w:rFonts w:ascii="Times New Roman" w:hAnsi="Times New Roman" w:eastAsia="宋体" w:cs="Times New Roman"/>
      <w:kern w:val="2"/>
      <w:sz w:val="21"/>
      <w:lang w:val="en-US" w:eastAsia="zh-CN" w:bidi="ar-SA"/>
    </w:rPr>
  </w:style>
  <w:style w:type="paragraph" w:customStyle="1" w:styleId="178">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79">
    <w:name w:val="xl71"/>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8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8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18"/>
      <w:szCs w:val="18"/>
    </w:rPr>
  </w:style>
  <w:style w:type="paragraph" w:customStyle="1" w:styleId="182">
    <w:name w:val="font9"/>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183">
    <w:name w:val="Char1"/>
    <w:basedOn w:val="1"/>
    <w:qFormat/>
    <w:uiPriority w:val="0"/>
    <w:rPr>
      <w:rFonts w:ascii="仿宋_GB2312" w:eastAsia="仿宋_GB2312"/>
      <w:b/>
      <w:sz w:val="32"/>
      <w:szCs w:val="32"/>
    </w:rPr>
  </w:style>
  <w:style w:type="paragraph" w:customStyle="1" w:styleId="184">
    <w:name w:val="纯文本12"/>
    <w:basedOn w:val="1"/>
    <w:qFormat/>
    <w:uiPriority w:val="0"/>
    <w:pPr>
      <w:spacing w:afterLines="50"/>
    </w:pPr>
    <w:rPr>
      <w:rFonts w:ascii="宋体" w:hAnsi="Courier New"/>
      <w:sz w:val="24"/>
      <w:szCs w:val="20"/>
    </w:rPr>
  </w:style>
  <w:style w:type="paragraph" w:customStyle="1" w:styleId="185">
    <w:name w:val="Char Char Char Char Char Char Char"/>
    <w:basedOn w:val="1"/>
    <w:qFormat/>
    <w:uiPriority w:val="0"/>
    <w:rPr>
      <w:szCs w:val="21"/>
    </w:rPr>
  </w:style>
  <w:style w:type="paragraph" w:customStyle="1" w:styleId="186">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187">
    <w:name w:val="p16"/>
    <w:basedOn w:val="1"/>
    <w:qFormat/>
    <w:uiPriority w:val="0"/>
    <w:pPr>
      <w:widowControl/>
    </w:pPr>
    <w:rPr>
      <w:kern w:val="0"/>
      <w:szCs w:val="21"/>
    </w:rPr>
  </w:style>
  <w:style w:type="paragraph" w:customStyle="1" w:styleId="188">
    <w:name w:val="xl7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89">
    <w:name w:val="HIK图文"/>
    <w:qFormat/>
    <w:uiPriority w:val="0"/>
    <w:pPr>
      <w:spacing w:after="160" w:line="360" w:lineRule="auto"/>
      <w:jc w:val="center"/>
    </w:pPr>
    <w:rPr>
      <w:rFonts w:ascii="宋体" w:hAnsi="等线" w:eastAsia="宋体" w:cs="Times New Roman"/>
      <w:kern w:val="2"/>
      <w:sz w:val="24"/>
      <w:szCs w:val="22"/>
      <w:lang w:val="en-US" w:eastAsia="zh-CN" w:bidi="ar-SA"/>
    </w:rPr>
  </w:style>
  <w:style w:type="paragraph" w:customStyle="1" w:styleId="190">
    <w:name w:val="HIK项目标号"/>
    <w:basedOn w:val="1"/>
    <w:next w:val="1"/>
    <w:qFormat/>
    <w:uiPriority w:val="0"/>
    <w:pPr>
      <w:spacing w:line="360" w:lineRule="auto"/>
      <w:ind w:left="420" w:firstLine="200" w:firstLineChars="200"/>
      <w:jc w:val="left"/>
    </w:pPr>
    <w:rPr>
      <w:rFonts w:ascii="Arial" w:hAnsi="Arial" w:cs="宋体"/>
      <w:sz w:val="24"/>
      <w:szCs w:val="20"/>
    </w:rPr>
  </w:style>
  <w:style w:type="paragraph" w:customStyle="1" w:styleId="191">
    <w:name w:val="Char Char Char Char Char Char"/>
    <w:basedOn w:val="1"/>
    <w:qFormat/>
    <w:uiPriority w:val="0"/>
    <w:pPr>
      <w:ind w:firstLine="200" w:firstLineChars="200"/>
    </w:pPr>
  </w:style>
  <w:style w:type="paragraph" w:customStyle="1" w:styleId="192">
    <w:name w:val="默认段落字体 Para Char Char Char Char"/>
    <w:basedOn w:val="1"/>
    <w:qFormat/>
    <w:uiPriority w:val="0"/>
  </w:style>
  <w:style w:type="paragraph" w:customStyle="1" w:styleId="193">
    <w:name w:val="font10"/>
    <w:basedOn w:val="1"/>
    <w:qFormat/>
    <w:uiPriority w:val="0"/>
    <w:pPr>
      <w:widowControl/>
      <w:spacing w:before="100" w:beforeAutospacing="1" w:after="100" w:afterAutospacing="1"/>
      <w:jc w:val="left"/>
    </w:pPr>
    <w:rPr>
      <w:rFonts w:ascii="宋体" w:hAnsi="宋体" w:cs="宋体"/>
      <w:color w:val="FF0000"/>
      <w:kern w:val="0"/>
      <w:sz w:val="18"/>
      <w:szCs w:val="18"/>
    </w:rPr>
  </w:style>
  <w:style w:type="paragraph" w:customStyle="1" w:styleId="194">
    <w:name w:val="正文2"/>
    <w:link w:val="541"/>
    <w:qFormat/>
    <w:uiPriority w:val="0"/>
    <w:pPr>
      <w:widowControl w:val="0"/>
      <w:spacing w:after="160" w:line="259" w:lineRule="auto"/>
      <w:jc w:val="both"/>
    </w:pPr>
    <w:rPr>
      <w:rFonts w:hint="eastAsia" w:ascii="Times New Roman" w:hAnsi="Times New Roman" w:eastAsia="宋体" w:cs="Times New Roman"/>
      <w:kern w:val="2"/>
      <w:sz w:val="21"/>
      <w:lang w:val="en-US" w:eastAsia="zh-CN" w:bidi="ar-SA"/>
    </w:rPr>
  </w:style>
  <w:style w:type="table" w:customStyle="1" w:styleId="195">
    <w:name w:val="Table Normal"/>
    <w:unhideWhenUsed/>
    <w:qFormat/>
    <w:uiPriority w:val="2"/>
    <w:pPr>
      <w:widowControl w:val="0"/>
    </w:pPr>
    <w:rPr>
      <w:sz w:val="22"/>
      <w:szCs w:val="22"/>
      <w:lang w:eastAsia="en-US"/>
    </w:rPr>
    <w:tblPr>
      <w:tblCellMar>
        <w:top w:w="0" w:type="dxa"/>
        <w:left w:w="0" w:type="dxa"/>
        <w:bottom w:w="0" w:type="dxa"/>
        <w:right w:w="0" w:type="dxa"/>
      </w:tblCellMar>
    </w:tblPr>
  </w:style>
  <w:style w:type="paragraph" w:customStyle="1" w:styleId="196">
    <w:name w:val="1"/>
    <w:basedOn w:val="6"/>
    <w:qFormat/>
    <w:uiPriority w:val="0"/>
    <w:pPr>
      <w:adjustRightInd w:val="0"/>
      <w:snapToGrid w:val="0"/>
      <w:spacing w:before="240" w:after="240" w:line="348" w:lineRule="auto"/>
    </w:pPr>
    <w:rPr>
      <w:rFonts w:ascii="Calibri" w:hAnsi="Calibri" w:eastAsia="宋体" w:cs="宋体"/>
    </w:rPr>
  </w:style>
  <w:style w:type="character" w:customStyle="1" w:styleId="197">
    <w:name w:val="bookmark-item"/>
    <w:basedOn w:val="61"/>
    <w:qFormat/>
    <w:uiPriority w:val="0"/>
  </w:style>
  <w:style w:type="character" w:customStyle="1" w:styleId="198">
    <w:name w:val="sub"/>
    <w:basedOn w:val="61"/>
    <w:qFormat/>
    <w:uiPriority w:val="0"/>
  </w:style>
  <w:style w:type="paragraph" w:customStyle="1" w:styleId="199">
    <w:name w:val="样式 段 + 四号 首行缩进:  2 字符 行距: 1.5 倍行距"/>
    <w:basedOn w:val="1"/>
    <w:qFormat/>
    <w:uiPriority w:val="0"/>
    <w:pPr>
      <w:widowControl/>
      <w:autoSpaceDE w:val="0"/>
      <w:autoSpaceDN w:val="0"/>
      <w:ind w:firstLine="560" w:firstLineChars="200"/>
    </w:pPr>
    <w:rPr>
      <w:rFonts w:ascii="宋体" w:cs="宋体"/>
      <w:kern w:val="0"/>
      <w:szCs w:val="22"/>
    </w:rPr>
  </w:style>
  <w:style w:type="paragraph" w:customStyle="1" w:styleId="200">
    <w:name w:val="正文_0"/>
    <w:qFormat/>
    <w:uiPriority w:val="0"/>
    <w:pPr>
      <w:widowControl w:val="0"/>
      <w:spacing w:after="160" w:line="259" w:lineRule="auto"/>
      <w:jc w:val="both"/>
    </w:pPr>
    <w:rPr>
      <w:rFonts w:ascii="Calibri" w:hAnsi="Calibri" w:eastAsia="宋体" w:cs="Times New Roman"/>
      <w:kern w:val="2"/>
      <w:sz w:val="21"/>
      <w:szCs w:val="22"/>
      <w:lang w:val="en-US" w:eastAsia="zh-CN" w:bidi="ar-SA"/>
    </w:rPr>
  </w:style>
  <w:style w:type="character" w:customStyle="1" w:styleId="201">
    <w:name w:val="font01"/>
    <w:qFormat/>
    <w:uiPriority w:val="0"/>
    <w:rPr>
      <w:rFonts w:hint="default" w:ascii="Times New Roman" w:hAnsi="Times New Roman" w:cs="Times New Roman"/>
      <w:color w:val="000000"/>
      <w:sz w:val="21"/>
      <w:szCs w:val="21"/>
      <w:u w:val="none"/>
    </w:rPr>
  </w:style>
  <w:style w:type="character" w:customStyle="1" w:styleId="202">
    <w:name w:val="脚注文本 字符"/>
    <w:basedOn w:val="61"/>
    <w:link w:val="45"/>
    <w:qFormat/>
    <w:uiPriority w:val="0"/>
    <w:rPr>
      <w:rFonts w:ascii="Calibri" w:hAnsi="Calibri"/>
      <w:kern w:val="2"/>
      <w:sz w:val="18"/>
      <w:szCs w:val="24"/>
    </w:rPr>
  </w:style>
  <w:style w:type="paragraph" w:customStyle="1" w:styleId="203">
    <w:name w:val="CM11"/>
    <w:basedOn w:val="153"/>
    <w:next w:val="153"/>
    <w:unhideWhenUsed/>
    <w:qFormat/>
    <w:uiPriority w:val="99"/>
    <w:pPr>
      <w:spacing w:before="0" w:after="0" w:line="520" w:lineRule="atLeast"/>
    </w:pPr>
    <w:rPr>
      <w:rFonts w:hint="eastAsia" w:ascii="仿宋" w:eastAsia="仿宋" w:cs="Times New Roman"/>
      <w:szCs w:val="20"/>
    </w:rPr>
  </w:style>
  <w:style w:type="paragraph" w:customStyle="1" w:styleId="204">
    <w:name w:val="列出段落2"/>
    <w:basedOn w:val="1"/>
    <w:qFormat/>
    <w:uiPriority w:val="0"/>
    <w:pPr>
      <w:spacing w:after="0" w:line="240" w:lineRule="auto"/>
      <w:ind w:firstLine="420" w:firstLineChars="200"/>
    </w:pPr>
  </w:style>
  <w:style w:type="character" w:customStyle="1" w:styleId="205">
    <w:name w:val="正文文本首行缩进 2 字符"/>
    <w:basedOn w:val="103"/>
    <w:link w:val="57"/>
    <w:qFormat/>
    <w:uiPriority w:val="0"/>
    <w:rPr>
      <w:rFonts w:ascii="宋体" w:hAnsi="Courier New" w:eastAsia="宋体"/>
      <w:spacing w:val="-4"/>
      <w:kern w:val="2"/>
      <w:sz w:val="24"/>
      <w:lang w:val="en-US" w:eastAsia="zh-CN" w:bidi="ar-SA"/>
    </w:rPr>
  </w:style>
  <w:style w:type="character" w:customStyle="1" w:styleId="206">
    <w:name w:val="列出段落 Char2"/>
    <w:qFormat/>
    <w:uiPriority w:val="34"/>
    <w:rPr>
      <w:kern w:val="2"/>
      <w:sz w:val="21"/>
      <w:szCs w:val="22"/>
    </w:rPr>
  </w:style>
  <w:style w:type="paragraph" w:customStyle="1" w:styleId="207">
    <w:name w:val="字元 字元"/>
    <w:basedOn w:val="1"/>
    <w:qFormat/>
    <w:uiPriority w:val="0"/>
    <w:pPr>
      <w:widowControl/>
      <w:spacing w:line="240" w:lineRule="exact"/>
      <w:jc w:val="left"/>
    </w:pPr>
    <w:rPr>
      <w:rFonts w:ascii="Verdana" w:hAnsi="Verdana"/>
      <w:kern w:val="0"/>
      <w:sz w:val="20"/>
      <w:szCs w:val="20"/>
      <w:lang w:eastAsia="en-US"/>
    </w:rPr>
  </w:style>
  <w:style w:type="character" w:customStyle="1" w:styleId="208">
    <w:name w:val="样式 标题 5 + (西文) 黑体 三号 Char Char Char Char Char Char Char"/>
    <w:qFormat/>
    <w:uiPriority w:val="0"/>
    <w:rPr>
      <w:rFonts w:ascii="黑体" w:hAnsi="黑体" w:eastAsia="宋体"/>
      <w:bCs/>
      <w:kern w:val="2"/>
      <w:sz w:val="24"/>
      <w:szCs w:val="28"/>
      <w:lang w:val="en-US" w:eastAsia="zh-CN" w:bidi="ar-SA"/>
    </w:rPr>
  </w:style>
  <w:style w:type="paragraph" w:customStyle="1" w:styleId="209">
    <w:name w:val="列出段落3"/>
    <w:basedOn w:val="1"/>
    <w:qFormat/>
    <w:uiPriority w:val="0"/>
    <w:pPr>
      <w:spacing w:after="0" w:line="240" w:lineRule="auto"/>
      <w:ind w:firstLine="420" w:firstLineChars="200"/>
    </w:pPr>
    <w:rPr>
      <w:rFonts w:ascii="Calibri" w:hAnsi="Calibri"/>
      <w:szCs w:val="22"/>
    </w:rPr>
  </w:style>
  <w:style w:type="paragraph" w:customStyle="1" w:styleId="210">
    <w:name w:val="字元 字元11"/>
    <w:basedOn w:val="1"/>
    <w:qFormat/>
    <w:uiPriority w:val="0"/>
    <w:pPr>
      <w:widowControl/>
      <w:spacing w:line="240" w:lineRule="exact"/>
      <w:jc w:val="left"/>
    </w:pPr>
    <w:rPr>
      <w:sz w:val="28"/>
      <w:szCs w:val="20"/>
    </w:rPr>
  </w:style>
  <w:style w:type="paragraph" w:customStyle="1" w:styleId="211">
    <w:name w:val="TOC 标题2"/>
    <w:basedOn w:val="6"/>
    <w:next w:val="1"/>
    <w:qFormat/>
    <w:uiPriority w:val="39"/>
    <w:pPr>
      <w:widowControl/>
      <w:spacing w:before="480" w:after="0" w:line="276" w:lineRule="auto"/>
      <w:outlineLvl w:val="9"/>
    </w:pPr>
    <w:rPr>
      <w:rFonts w:ascii="Cambria" w:hAnsi="Cambria" w:eastAsia="宋体"/>
      <w:color w:val="365F91"/>
      <w:kern w:val="0"/>
      <w:sz w:val="28"/>
      <w:szCs w:val="28"/>
    </w:rPr>
  </w:style>
  <w:style w:type="paragraph" w:customStyle="1" w:styleId="212">
    <w:name w:val="封面第一行"/>
    <w:basedOn w:val="1"/>
    <w:qFormat/>
    <w:uiPriority w:val="0"/>
    <w:pPr>
      <w:spacing w:after="0" w:line="360" w:lineRule="auto"/>
      <w:jc w:val="center"/>
    </w:pPr>
    <w:rPr>
      <w:rFonts w:ascii="黑体" w:hAnsi="宋体" w:eastAsia="黑体" w:cs="宋体"/>
      <w:sz w:val="56"/>
      <w:szCs w:val="20"/>
    </w:rPr>
  </w:style>
  <w:style w:type="paragraph" w:customStyle="1" w:styleId="213">
    <w:name w:val="字元 字元1"/>
    <w:basedOn w:val="1"/>
    <w:qFormat/>
    <w:uiPriority w:val="0"/>
    <w:pPr>
      <w:widowControl/>
      <w:spacing w:line="240" w:lineRule="exact"/>
      <w:jc w:val="left"/>
    </w:pPr>
    <w:rPr>
      <w:sz w:val="28"/>
      <w:szCs w:val="20"/>
    </w:rPr>
  </w:style>
  <w:style w:type="character" w:customStyle="1" w:styleId="214">
    <w:name w:val="普通文字 Char Char1"/>
    <w:qFormat/>
    <w:uiPriority w:val="0"/>
    <w:rPr>
      <w:rFonts w:ascii="宋体" w:hAnsi="Courier New" w:eastAsia="宋体"/>
      <w:kern w:val="2"/>
      <w:sz w:val="24"/>
      <w:szCs w:val="24"/>
      <w:lang w:val="en-US" w:eastAsia="zh-CN" w:bidi="ar-SA"/>
    </w:rPr>
  </w:style>
  <w:style w:type="character" w:customStyle="1" w:styleId="215">
    <w:name w:val="Heading 0 Char"/>
    <w:qFormat/>
    <w:uiPriority w:val="0"/>
    <w:rPr>
      <w:rFonts w:eastAsia="宋体"/>
      <w:b/>
      <w:bCs/>
      <w:kern w:val="44"/>
      <w:sz w:val="32"/>
      <w:szCs w:val="44"/>
      <w:lang w:val="en-US" w:eastAsia="zh-CN" w:bidi="ar-SA"/>
    </w:rPr>
  </w:style>
  <w:style w:type="character" w:customStyle="1" w:styleId="216">
    <w:name w:val="Heading 2 Hidden Char"/>
    <w:qFormat/>
    <w:uiPriority w:val="0"/>
    <w:rPr>
      <w:rFonts w:ascii="Arial" w:hAnsi="Arial" w:eastAsia="黑体"/>
      <w:b/>
      <w:bCs/>
      <w:kern w:val="2"/>
      <w:sz w:val="32"/>
      <w:szCs w:val="32"/>
      <w:lang w:val="en-US" w:eastAsia="zh-CN" w:bidi="ar-SA"/>
    </w:rPr>
  </w:style>
  <w:style w:type="character" w:customStyle="1" w:styleId="217">
    <w:name w:val="h4 Char1"/>
    <w:qFormat/>
    <w:uiPriority w:val="0"/>
    <w:rPr>
      <w:rFonts w:ascii="Cambria" w:hAnsi="Cambria" w:eastAsia="宋体" w:cs="Times New Roman"/>
      <w:b/>
      <w:bCs/>
      <w:kern w:val="2"/>
      <w:sz w:val="28"/>
      <w:szCs w:val="28"/>
    </w:rPr>
  </w:style>
  <w:style w:type="character" w:customStyle="1" w:styleId="218">
    <w:name w:val="h5 Char"/>
    <w:qFormat/>
    <w:uiPriority w:val="0"/>
    <w:rPr>
      <w:rFonts w:eastAsia="宋体"/>
      <w:b/>
      <w:bCs/>
      <w:kern w:val="2"/>
      <w:sz w:val="28"/>
      <w:szCs w:val="28"/>
      <w:lang w:val="en-US" w:eastAsia="zh-CN" w:bidi="ar-SA"/>
    </w:rPr>
  </w:style>
  <w:style w:type="character" w:customStyle="1" w:styleId="219">
    <w:name w:val="表正文 Char"/>
    <w:qFormat/>
    <w:uiPriority w:val="0"/>
    <w:rPr>
      <w:rFonts w:eastAsia="宋体"/>
      <w:kern w:val="2"/>
      <w:sz w:val="21"/>
      <w:lang w:val="en-US" w:eastAsia="zh-CN" w:bidi="ar-SA"/>
    </w:rPr>
  </w:style>
  <w:style w:type="character" w:customStyle="1" w:styleId="220">
    <w:name w:val="Char Char20"/>
    <w:qFormat/>
    <w:uiPriority w:val="0"/>
    <w:rPr>
      <w:rFonts w:ascii="仿宋_GB2312" w:hAnsi="宋体" w:eastAsia="仿宋_GB2312"/>
      <w:color w:val="000000"/>
      <w:kern w:val="2"/>
      <w:sz w:val="24"/>
      <w:szCs w:val="24"/>
    </w:rPr>
  </w:style>
  <w:style w:type="character" w:customStyle="1" w:styleId="221">
    <w:name w:val="Char Char19"/>
    <w:qFormat/>
    <w:locked/>
    <w:uiPriority w:val="0"/>
    <w:rPr>
      <w:rFonts w:eastAsia="黑体"/>
      <w:snapToGrid w:val="0"/>
      <w:sz w:val="18"/>
      <w:szCs w:val="18"/>
    </w:rPr>
  </w:style>
  <w:style w:type="character" w:customStyle="1" w:styleId="222">
    <w:name w:val="Char Char18"/>
    <w:qFormat/>
    <w:locked/>
    <w:uiPriority w:val="0"/>
    <w:rPr>
      <w:kern w:val="2"/>
      <w:sz w:val="18"/>
      <w:szCs w:val="18"/>
    </w:rPr>
  </w:style>
  <w:style w:type="character" w:customStyle="1" w:styleId="223">
    <w:name w:val="Char Char16"/>
    <w:qFormat/>
    <w:uiPriority w:val="0"/>
    <w:rPr>
      <w:rFonts w:eastAsia="楷体_GB2312"/>
      <w:kern w:val="2"/>
      <w:sz w:val="32"/>
    </w:rPr>
  </w:style>
  <w:style w:type="character" w:customStyle="1" w:styleId="224">
    <w:name w:val="正文文字首行缩进 Char"/>
    <w:qFormat/>
    <w:uiPriority w:val="0"/>
    <w:rPr>
      <w:rFonts w:ascii="宋体" w:hAnsi="Courier New"/>
      <w:spacing w:val="-4"/>
      <w:kern w:val="2"/>
      <w:sz w:val="18"/>
    </w:rPr>
  </w:style>
  <w:style w:type="paragraph" w:customStyle="1" w:styleId="225">
    <w:name w:val="Char21"/>
    <w:basedOn w:val="6"/>
    <w:qFormat/>
    <w:uiPriority w:val="0"/>
    <w:pPr>
      <w:adjustRightInd w:val="0"/>
      <w:snapToGrid w:val="0"/>
      <w:spacing w:before="240" w:after="240" w:line="348" w:lineRule="auto"/>
    </w:pPr>
    <w:rPr>
      <w:rFonts w:eastAsia="宋体"/>
    </w:rPr>
  </w:style>
  <w:style w:type="paragraph" w:customStyle="1" w:styleId="226">
    <w:name w:val="f1"/>
    <w:basedOn w:val="1"/>
    <w:qFormat/>
    <w:uiPriority w:val="0"/>
    <w:pPr>
      <w:widowControl/>
      <w:spacing w:before="100" w:beforeAutospacing="1" w:after="100" w:afterAutospacing="1" w:line="240" w:lineRule="auto"/>
      <w:jc w:val="center"/>
    </w:pPr>
    <w:rPr>
      <w:rFonts w:ascii="Helvetica" w:hAnsi="Helvetica" w:cs="Helvetica"/>
      <w:b/>
      <w:bCs/>
      <w:color w:val="FF8080"/>
      <w:spacing w:val="160"/>
      <w:kern w:val="0"/>
      <w:sz w:val="80"/>
      <w:szCs w:val="80"/>
    </w:rPr>
  </w:style>
  <w:style w:type="paragraph" w:customStyle="1" w:styleId="227">
    <w:name w:val="Char Char Char Char Char Char1"/>
    <w:basedOn w:val="1"/>
    <w:qFormat/>
    <w:uiPriority w:val="0"/>
    <w:pPr>
      <w:widowControl/>
      <w:spacing w:line="240" w:lineRule="exact"/>
      <w:jc w:val="left"/>
    </w:pPr>
    <w:rPr>
      <w:kern w:val="0"/>
      <w:szCs w:val="20"/>
    </w:rPr>
  </w:style>
  <w:style w:type="paragraph" w:customStyle="1" w:styleId="228">
    <w:name w:val="Plain Text1"/>
    <w:basedOn w:val="1"/>
    <w:qFormat/>
    <w:uiPriority w:val="0"/>
    <w:pPr>
      <w:adjustRightInd w:val="0"/>
      <w:spacing w:after="0" w:line="240" w:lineRule="auto"/>
      <w:textAlignment w:val="baseline"/>
    </w:pPr>
    <w:rPr>
      <w:rFonts w:ascii="宋体" w:hAnsi="Courier New" w:eastAsia="楷体_GB2312"/>
      <w:sz w:val="26"/>
      <w:szCs w:val="20"/>
    </w:rPr>
  </w:style>
  <w:style w:type="character" w:customStyle="1" w:styleId="229">
    <w:name w:val="Char Char"/>
    <w:qFormat/>
    <w:uiPriority w:val="0"/>
    <w:rPr>
      <w:rFonts w:ascii="宋体" w:hAnsi="Courier New" w:eastAsia="楷体_GB2312"/>
      <w:kern w:val="2"/>
      <w:sz w:val="26"/>
      <w:lang w:val="en-US" w:eastAsia="zh-CN" w:bidi="ar-SA"/>
    </w:rPr>
  </w:style>
  <w:style w:type="paragraph" w:customStyle="1" w:styleId="230">
    <w:name w:val="Char Char12"/>
    <w:basedOn w:val="1"/>
    <w:qFormat/>
    <w:uiPriority w:val="0"/>
    <w:pPr>
      <w:spacing w:after="0" w:line="240" w:lineRule="auto"/>
    </w:pPr>
    <w:rPr>
      <w:szCs w:val="21"/>
    </w:rPr>
  </w:style>
  <w:style w:type="paragraph" w:customStyle="1" w:styleId="231">
    <w:name w:val="Char Char Char Char Char Char Char1"/>
    <w:basedOn w:val="1"/>
    <w:qFormat/>
    <w:uiPriority w:val="0"/>
    <w:pPr>
      <w:spacing w:after="0" w:line="240" w:lineRule="auto"/>
    </w:pPr>
    <w:rPr>
      <w:szCs w:val="21"/>
    </w:rPr>
  </w:style>
  <w:style w:type="paragraph" w:customStyle="1" w:styleId="232">
    <w:name w:val="_Style 213"/>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character" w:customStyle="1" w:styleId="233">
    <w:name w:val="Char Char11"/>
    <w:qFormat/>
    <w:uiPriority w:val="0"/>
    <w:rPr>
      <w:rFonts w:ascii="Cambria" w:hAnsi="Cambria" w:cs="Times New Roman"/>
      <w:b/>
      <w:bCs/>
      <w:kern w:val="2"/>
      <w:sz w:val="32"/>
      <w:szCs w:val="32"/>
    </w:rPr>
  </w:style>
  <w:style w:type="paragraph" w:customStyle="1" w:styleId="234">
    <w:name w:val="Normal1"/>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235">
    <w:name w:val="标准正文格式 Char"/>
    <w:qFormat/>
    <w:uiPriority w:val="0"/>
    <w:rPr>
      <w:rFonts w:ascii="宋体" w:hAnsi="Times New Roman" w:eastAsia="仿宋" w:cs="Times New Roman"/>
      <w:color w:val="000000"/>
      <w:kern w:val="0"/>
      <w:sz w:val="24"/>
      <w:szCs w:val="20"/>
    </w:rPr>
  </w:style>
  <w:style w:type="paragraph" w:customStyle="1" w:styleId="236">
    <w:name w:val="List Paragraph2"/>
    <w:basedOn w:val="1"/>
    <w:qFormat/>
    <w:uiPriority w:val="0"/>
    <w:pPr>
      <w:autoSpaceDE w:val="0"/>
      <w:autoSpaceDN w:val="0"/>
      <w:adjustRightInd w:val="0"/>
      <w:spacing w:after="0" w:line="240" w:lineRule="auto"/>
      <w:ind w:firstLine="420" w:firstLineChars="200"/>
    </w:pPr>
    <w:rPr>
      <w:color w:val="000000"/>
      <w:kern w:val="0"/>
      <w:szCs w:val="21"/>
    </w:rPr>
  </w:style>
  <w:style w:type="character" w:customStyle="1" w:styleId="237">
    <w:name w:val="Char Char10"/>
    <w:qFormat/>
    <w:uiPriority w:val="0"/>
    <w:rPr>
      <w:kern w:val="2"/>
      <w:sz w:val="21"/>
      <w:szCs w:val="24"/>
    </w:rPr>
  </w:style>
  <w:style w:type="character" w:customStyle="1" w:styleId="238">
    <w:name w:val="H3 Char"/>
    <w:qFormat/>
    <w:uiPriority w:val="0"/>
    <w:rPr>
      <w:rFonts w:ascii="Times New Roman" w:hAnsi="Times New Roman" w:eastAsia="宋体" w:cs="Times New Roman"/>
      <w:b/>
      <w:bCs/>
      <w:sz w:val="24"/>
      <w:szCs w:val="32"/>
    </w:rPr>
  </w:style>
  <w:style w:type="character" w:customStyle="1" w:styleId="239">
    <w:name w:val="h4 Char"/>
    <w:qFormat/>
    <w:uiPriority w:val="0"/>
    <w:rPr>
      <w:rFonts w:ascii="Arial" w:hAnsi="Arial" w:eastAsia="黑体" w:cs="Times New Roman"/>
      <w:b/>
      <w:bCs/>
      <w:sz w:val="28"/>
      <w:szCs w:val="28"/>
    </w:rPr>
  </w:style>
  <w:style w:type="paragraph" w:customStyle="1" w:styleId="240">
    <w:name w:val="Title1"/>
    <w:basedOn w:val="6"/>
    <w:next w:val="241"/>
    <w:qFormat/>
    <w:uiPriority w:val="0"/>
    <w:pPr>
      <w:numPr>
        <w:ilvl w:val="0"/>
        <w:numId w:val="1"/>
      </w:numPr>
      <w:spacing w:before="240" w:after="240"/>
      <w:jc w:val="both"/>
    </w:pPr>
    <w:rPr>
      <w:rFonts w:eastAsia="仿宋"/>
      <w:sz w:val="36"/>
    </w:rPr>
  </w:style>
  <w:style w:type="paragraph" w:customStyle="1" w:styleId="241">
    <w:name w:val="Title2"/>
    <w:basedOn w:val="8"/>
    <w:next w:val="34"/>
    <w:qFormat/>
    <w:uiPriority w:val="0"/>
    <w:pPr>
      <w:keepLines/>
      <w:numPr>
        <w:ilvl w:val="1"/>
        <w:numId w:val="1"/>
      </w:numPr>
      <w:adjustRightInd/>
      <w:snapToGrid/>
      <w:spacing w:before="200" w:after="200"/>
      <w:jc w:val="both"/>
      <w:textAlignment w:val="auto"/>
    </w:pPr>
    <w:rPr>
      <w:rFonts w:ascii="Times New Roman" w:eastAsia="仿宋"/>
      <w:bCs/>
      <w:sz w:val="32"/>
      <w:szCs w:val="32"/>
    </w:rPr>
  </w:style>
  <w:style w:type="paragraph" w:customStyle="1" w:styleId="242">
    <w:name w:val="Title3"/>
    <w:basedOn w:val="10"/>
    <w:next w:val="34"/>
    <w:qFormat/>
    <w:uiPriority w:val="0"/>
    <w:pPr>
      <w:numPr>
        <w:ilvl w:val="2"/>
        <w:numId w:val="1"/>
      </w:numPr>
      <w:spacing w:before="160" w:after="160"/>
      <w:ind w:firstLine="0" w:firstLineChars="0"/>
    </w:pPr>
    <w:rPr>
      <w:rFonts w:ascii="Calibri" w:hAnsi="Calibri" w:eastAsia="仿宋"/>
      <w:szCs w:val="32"/>
    </w:rPr>
  </w:style>
  <w:style w:type="paragraph" w:customStyle="1" w:styleId="243">
    <w:name w:val="Title4"/>
    <w:basedOn w:val="11"/>
    <w:next w:val="34"/>
    <w:qFormat/>
    <w:uiPriority w:val="0"/>
    <w:pPr>
      <w:numPr>
        <w:ilvl w:val="3"/>
        <w:numId w:val="1"/>
      </w:numPr>
      <w:spacing w:before="160" w:after="160" w:line="360" w:lineRule="auto"/>
    </w:pPr>
    <w:rPr>
      <w:rFonts w:ascii="Times New Roman" w:hAnsi="Times New Roman" w:eastAsia="仿宋"/>
      <w:kern w:val="0"/>
    </w:rPr>
  </w:style>
  <w:style w:type="paragraph" w:customStyle="1" w:styleId="244">
    <w:name w:val="Title5"/>
    <w:basedOn w:val="12"/>
    <w:next w:val="34"/>
    <w:qFormat/>
    <w:uiPriority w:val="0"/>
    <w:pPr>
      <w:numPr>
        <w:ilvl w:val="4"/>
        <w:numId w:val="1"/>
      </w:numPr>
      <w:spacing w:before="120" w:after="120" w:line="360" w:lineRule="auto"/>
    </w:pPr>
    <w:rPr>
      <w:rFonts w:ascii="Times New Roman" w:hAnsi="Times New Roman" w:eastAsia="仿宋"/>
      <w:kern w:val="0"/>
    </w:rPr>
  </w:style>
  <w:style w:type="paragraph" w:customStyle="1" w:styleId="245">
    <w:name w:val="Image"/>
    <w:basedOn w:val="209"/>
    <w:qFormat/>
    <w:uiPriority w:val="0"/>
    <w:pPr>
      <w:ind w:firstLine="0" w:firstLineChars="0"/>
      <w:jc w:val="center"/>
    </w:pPr>
    <w:rPr>
      <w:rFonts w:ascii="Times New Roman" w:hAnsi="Times New Roman"/>
      <w:szCs w:val="21"/>
    </w:rPr>
  </w:style>
  <w:style w:type="paragraph" w:customStyle="1" w:styleId="246">
    <w:name w:val="Image-T"/>
    <w:basedOn w:val="245"/>
    <w:next w:val="245"/>
    <w:qFormat/>
    <w:uiPriority w:val="0"/>
    <w:pPr>
      <w:numPr>
        <w:ilvl w:val="6"/>
        <w:numId w:val="1"/>
      </w:numPr>
      <w:spacing w:afterLines="50"/>
      <w:ind w:left="896"/>
    </w:pPr>
    <w:rPr>
      <w:rFonts w:eastAsia="仿宋"/>
    </w:rPr>
  </w:style>
  <w:style w:type="paragraph" w:customStyle="1" w:styleId="247">
    <w:name w:val="Table-T"/>
    <w:basedOn w:val="246"/>
    <w:next w:val="1"/>
    <w:qFormat/>
    <w:uiPriority w:val="0"/>
    <w:pPr>
      <w:numPr>
        <w:ilvl w:val="5"/>
      </w:numPr>
      <w:spacing w:beforeLines="50" w:afterLines="0"/>
    </w:pPr>
  </w:style>
  <w:style w:type="paragraph" w:customStyle="1" w:styleId="248">
    <w:name w:val="Text 1"/>
    <w:basedOn w:val="34"/>
    <w:qFormat/>
    <w:uiPriority w:val="0"/>
    <w:pPr>
      <w:numPr>
        <w:ilvl w:val="0"/>
        <w:numId w:val="2"/>
      </w:numPr>
      <w:spacing w:after="0" w:line="360" w:lineRule="auto"/>
      <w:ind w:left="839" w:hanging="357"/>
      <w:jc w:val="left"/>
    </w:pPr>
    <w:rPr>
      <w:rFonts w:ascii="Times New Roman" w:hAnsi="Times New Roman" w:eastAsia="仿宋"/>
      <w:kern w:val="0"/>
      <w:sz w:val="24"/>
      <w:szCs w:val="21"/>
    </w:rPr>
  </w:style>
  <w:style w:type="paragraph" w:customStyle="1" w:styleId="249">
    <w:name w:val="Text3"/>
    <w:basedOn w:val="248"/>
    <w:next w:val="34"/>
    <w:qFormat/>
    <w:uiPriority w:val="0"/>
    <w:pPr>
      <w:numPr>
        <w:numId w:val="3"/>
      </w:numPr>
    </w:pPr>
    <w:rPr>
      <w:b/>
    </w:rPr>
  </w:style>
  <w:style w:type="paragraph" w:customStyle="1" w:styleId="250">
    <w:name w:val="Table"/>
    <w:basedOn w:val="245"/>
    <w:qFormat/>
    <w:uiPriority w:val="0"/>
    <w:rPr>
      <w:rFonts w:eastAsia="仿宋"/>
    </w:rPr>
  </w:style>
  <w:style w:type="character" w:customStyle="1" w:styleId="251">
    <w:name w:val="h Char"/>
    <w:qFormat/>
    <w:uiPriority w:val="0"/>
    <w:rPr>
      <w:rFonts w:eastAsia="仿宋_GB2312"/>
      <w:kern w:val="2"/>
      <w:sz w:val="18"/>
    </w:rPr>
  </w:style>
  <w:style w:type="paragraph" w:customStyle="1" w:styleId="252">
    <w:name w:val="无间隔1"/>
    <w:link w:val="253"/>
    <w:qFormat/>
    <w:uiPriority w:val="0"/>
    <w:rPr>
      <w:rFonts w:ascii="Calibri" w:hAnsi="Calibri" w:eastAsia="宋体" w:cs="Times New Roman"/>
      <w:sz w:val="22"/>
      <w:szCs w:val="22"/>
      <w:lang w:val="en-US" w:eastAsia="zh-CN" w:bidi="ar-SA"/>
    </w:rPr>
  </w:style>
  <w:style w:type="character" w:customStyle="1" w:styleId="253">
    <w:name w:val="No Spacing Char"/>
    <w:link w:val="252"/>
    <w:qFormat/>
    <w:uiPriority w:val="0"/>
    <w:rPr>
      <w:rFonts w:ascii="Calibri" w:hAnsi="Calibri"/>
      <w:sz w:val="22"/>
      <w:szCs w:val="22"/>
    </w:rPr>
  </w:style>
  <w:style w:type="paragraph" w:customStyle="1" w:styleId="254">
    <w:name w:val="标题1"/>
    <w:basedOn w:val="55"/>
    <w:qFormat/>
    <w:uiPriority w:val="0"/>
    <w:pPr>
      <w:spacing w:before="480" w:line="240" w:lineRule="auto"/>
    </w:pPr>
    <w:rPr>
      <w:rFonts w:ascii="Times New Roman" w:hAnsi="Times New Roman"/>
      <w:kern w:val="0"/>
      <w:sz w:val="44"/>
    </w:rPr>
  </w:style>
  <w:style w:type="paragraph" w:customStyle="1" w:styleId="255">
    <w:name w:val="页眉1"/>
    <w:basedOn w:val="40"/>
    <w:qFormat/>
    <w:uiPriority w:val="0"/>
    <w:pPr>
      <w:spacing w:after="0" w:line="240" w:lineRule="auto"/>
      <w:jc w:val="left"/>
    </w:pPr>
    <w:rPr>
      <w:kern w:val="0"/>
    </w:rPr>
  </w:style>
  <w:style w:type="character" w:customStyle="1" w:styleId="256">
    <w:name w:val="书籍标题1"/>
    <w:qFormat/>
    <w:uiPriority w:val="0"/>
    <w:rPr>
      <w:b/>
      <w:bCs/>
      <w:i/>
      <w:iCs/>
      <w:spacing w:val="5"/>
    </w:rPr>
  </w:style>
  <w:style w:type="character" w:customStyle="1" w:styleId="257">
    <w:name w:val="明显参考1"/>
    <w:qFormat/>
    <w:uiPriority w:val="0"/>
    <w:rPr>
      <w:b/>
      <w:bCs/>
      <w:smallCaps/>
      <w:color w:val="4F81BD"/>
      <w:spacing w:val="5"/>
    </w:rPr>
  </w:style>
  <w:style w:type="character" w:customStyle="1" w:styleId="258">
    <w:name w:val="明显强调1"/>
    <w:qFormat/>
    <w:uiPriority w:val="0"/>
    <w:rPr>
      <w:i/>
      <w:iCs/>
      <w:color w:val="4F81BD"/>
    </w:rPr>
  </w:style>
  <w:style w:type="paragraph" w:customStyle="1" w:styleId="259">
    <w:name w:val="明显引用1"/>
    <w:basedOn w:val="1"/>
    <w:next w:val="1"/>
    <w:link w:val="260"/>
    <w:qFormat/>
    <w:uiPriority w:val="0"/>
    <w:pPr>
      <w:pBdr>
        <w:top w:val="single" w:color="4F81BD" w:sz="4" w:space="10"/>
        <w:bottom w:val="single" w:color="4F81BD" w:sz="4" w:space="10"/>
      </w:pBdr>
      <w:spacing w:before="360" w:after="360" w:line="240" w:lineRule="auto"/>
      <w:ind w:left="864" w:right="864"/>
      <w:jc w:val="center"/>
    </w:pPr>
    <w:rPr>
      <w:rFonts w:ascii="Calibri" w:hAnsi="Calibri"/>
      <w:i/>
      <w:iCs/>
      <w:color w:val="4F81BD"/>
      <w:szCs w:val="21"/>
    </w:rPr>
  </w:style>
  <w:style w:type="character" w:customStyle="1" w:styleId="260">
    <w:name w:val="Intense Quote Char"/>
    <w:link w:val="259"/>
    <w:qFormat/>
    <w:uiPriority w:val="0"/>
    <w:rPr>
      <w:rFonts w:ascii="Calibri" w:hAnsi="Calibri"/>
      <w:i/>
      <w:iCs/>
      <w:color w:val="4F81BD"/>
      <w:kern w:val="2"/>
      <w:sz w:val="21"/>
      <w:szCs w:val="21"/>
    </w:rPr>
  </w:style>
  <w:style w:type="character" w:customStyle="1" w:styleId="261">
    <w:name w:val="不明显参考1"/>
    <w:qFormat/>
    <w:uiPriority w:val="0"/>
    <w:rPr>
      <w:smallCaps/>
      <w:color w:val="5A5A5A"/>
    </w:rPr>
  </w:style>
  <w:style w:type="paragraph" w:customStyle="1" w:styleId="262">
    <w:name w:val="样式 Table text + 段前: 0.5 行"/>
    <w:basedOn w:val="247"/>
    <w:qFormat/>
    <w:uiPriority w:val="0"/>
    <w:pPr>
      <w:numPr>
        <w:ilvl w:val="0"/>
        <w:numId w:val="0"/>
      </w:numPr>
      <w:tabs>
        <w:tab w:val="left" w:pos="2942"/>
      </w:tabs>
      <w:ind w:left="2942" w:hanging="420"/>
    </w:pPr>
    <w:rPr>
      <w:rFonts w:cs="宋体"/>
      <w:szCs w:val="20"/>
    </w:rPr>
  </w:style>
  <w:style w:type="character" w:customStyle="1" w:styleId="263">
    <w:name w:val="题注 字符"/>
    <w:link w:val="21"/>
    <w:qFormat/>
    <w:uiPriority w:val="0"/>
    <w:rPr>
      <w:rFonts w:ascii="Arial" w:hAnsi="Arial" w:eastAsia="黑体" w:cs="Arial"/>
      <w:kern w:val="2"/>
    </w:rPr>
  </w:style>
  <w:style w:type="paragraph" w:customStyle="1" w:styleId="264">
    <w:name w:val="1样式-正文"/>
    <w:basedOn w:val="1"/>
    <w:link w:val="265"/>
    <w:qFormat/>
    <w:uiPriority w:val="0"/>
    <w:pPr>
      <w:spacing w:after="0" w:line="360" w:lineRule="auto"/>
      <w:ind w:firstLine="482"/>
      <w:jc w:val="left"/>
    </w:pPr>
    <w:rPr>
      <w:rFonts w:ascii="Calibri" w:hAnsi="Calibri"/>
      <w:bCs/>
      <w:szCs w:val="21"/>
      <w:lang w:val="zh-CN"/>
    </w:rPr>
  </w:style>
  <w:style w:type="character" w:customStyle="1" w:styleId="265">
    <w:name w:val="1样式-正文 Char"/>
    <w:link w:val="264"/>
    <w:qFormat/>
    <w:uiPriority w:val="0"/>
    <w:rPr>
      <w:rFonts w:ascii="Calibri" w:hAnsi="Calibri"/>
      <w:bCs/>
      <w:kern w:val="2"/>
      <w:sz w:val="21"/>
      <w:szCs w:val="21"/>
      <w:lang w:val="zh-CN"/>
    </w:rPr>
  </w:style>
  <w:style w:type="character" w:customStyle="1" w:styleId="266">
    <w:name w:val="Char Char13"/>
    <w:qFormat/>
    <w:uiPriority w:val="0"/>
    <w:rPr>
      <w:rFonts w:eastAsia="宋体"/>
      <w:b/>
      <w:bCs/>
      <w:kern w:val="44"/>
      <w:sz w:val="36"/>
      <w:szCs w:val="44"/>
      <w:lang w:val="en-US" w:eastAsia="zh-CN" w:bidi="ar-SA"/>
    </w:rPr>
  </w:style>
  <w:style w:type="character" w:customStyle="1" w:styleId="267">
    <w:name w:val="content1"/>
    <w:qFormat/>
    <w:uiPriority w:val="0"/>
    <w:rPr>
      <w:sz w:val="18"/>
      <w:szCs w:val="18"/>
    </w:rPr>
  </w:style>
  <w:style w:type="character" w:customStyle="1" w:styleId="268">
    <w:name w:val="point_normal1"/>
    <w:semiHidden/>
    <w:qFormat/>
    <w:uiPriority w:val="0"/>
    <w:rPr>
      <w:rFonts w:hint="default" w:ascii="Arial" w:hAnsi="Arial" w:cs="Arial"/>
      <w:sz w:val="18"/>
      <w:szCs w:val="18"/>
    </w:rPr>
  </w:style>
  <w:style w:type="character" w:customStyle="1" w:styleId="269">
    <w:name w:val="para1"/>
    <w:semiHidden/>
    <w:qFormat/>
    <w:uiPriority w:val="0"/>
    <w:rPr>
      <w:rFonts w:hint="default" w:ascii="Arial" w:hAnsi="Arial" w:cs="Arial"/>
      <w:sz w:val="18"/>
      <w:szCs w:val="18"/>
    </w:rPr>
  </w:style>
  <w:style w:type="paragraph" w:customStyle="1" w:styleId="270">
    <w:name w:val="xl38"/>
    <w:basedOn w:val="1"/>
    <w:semiHidden/>
    <w:qFormat/>
    <w:uiPriority w:val="0"/>
    <w:pPr>
      <w:widowControl/>
      <w:pBdr>
        <w:left w:val="single" w:color="auto" w:sz="4" w:space="0"/>
        <w:bottom w:val="single" w:color="auto" w:sz="4" w:space="0"/>
        <w:right w:val="single" w:color="auto" w:sz="8" w:space="0"/>
      </w:pBdr>
      <w:spacing w:before="100" w:beforeAutospacing="1" w:after="100" w:afterAutospacing="1" w:line="360" w:lineRule="auto"/>
      <w:jc w:val="center"/>
      <w:textAlignment w:val="top"/>
    </w:pPr>
    <w:rPr>
      <w:kern w:val="0"/>
      <w:sz w:val="20"/>
      <w:szCs w:val="20"/>
    </w:rPr>
  </w:style>
  <w:style w:type="character" w:customStyle="1" w:styleId="271">
    <w:name w:val="point_small1"/>
    <w:semiHidden/>
    <w:qFormat/>
    <w:uiPriority w:val="0"/>
    <w:rPr>
      <w:rFonts w:hint="default" w:ascii="Arial" w:hAnsi="Arial" w:cs="Arial"/>
      <w:sz w:val="18"/>
      <w:szCs w:val="18"/>
    </w:rPr>
  </w:style>
  <w:style w:type="character" w:customStyle="1" w:styleId="272">
    <w:name w:val="tcontent1"/>
    <w:qFormat/>
    <w:uiPriority w:val="0"/>
    <w:rPr>
      <w:color w:val="333333"/>
      <w:sz w:val="18"/>
      <w:szCs w:val="18"/>
    </w:rPr>
  </w:style>
  <w:style w:type="character" w:customStyle="1" w:styleId="273">
    <w:name w:val="para"/>
    <w:basedOn w:val="61"/>
    <w:qFormat/>
    <w:uiPriority w:val="0"/>
  </w:style>
  <w:style w:type="character" w:customStyle="1" w:styleId="274">
    <w:name w:val="titlestylelight1"/>
    <w:qFormat/>
    <w:uiPriority w:val="0"/>
    <w:rPr>
      <w:rFonts w:hint="default" w:ascii="Arial" w:hAnsi="Arial" w:cs="Arial"/>
      <w:b/>
      <w:bCs/>
      <w:color w:val="666666"/>
      <w:sz w:val="18"/>
      <w:szCs w:val="18"/>
    </w:rPr>
  </w:style>
  <w:style w:type="paragraph" w:customStyle="1" w:styleId="275">
    <w:name w:val="默认段落字体 Para Char"/>
    <w:basedOn w:val="1"/>
    <w:qFormat/>
    <w:uiPriority w:val="0"/>
    <w:pPr>
      <w:adjustRightInd w:val="0"/>
      <w:spacing w:after="0" w:line="360" w:lineRule="auto"/>
    </w:pPr>
    <w:rPr>
      <w:kern w:val="0"/>
      <w:sz w:val="24"/>
      <w:szCs w:val="20"/>
    </w:rPr>
  </w:style>
  <w:style w:type="character" w:customStyle="1" w:styleId="276">
    <w:name w:val="apple-style-span"/>
    <w:basedOn w:val="61"/>
    <w:qFormat/>
    <w:uiPriority w:val="0"/>
  </w:style>
  <w:style w:type="paragraph" w:customStyle="1" w:styleId="277">
    <w:name w:val="Char1 Char Char Char"/>
    <w:basedOn w:val="1"/>
    <w:qFormat/>
    <w:uiPriority w:val="0"/>
    <w:pPr>
      <w:spacing w:after="0" w:line="360" w:lineRule="auto"/>
    </w:pPr>
    <w:rPr>
      <w:rFonts w:eastAsia="仿宋_GB2312"/>
      <w:sz w:val="28"/>
    </w:rPr>
  </w:style>
  <w:style w:type="paragraph" w:customStyle="1" w:styleId="278">
    <w:name w:val="msolistparagraph"/>
    <w:basedOn w:val="1"/>
    <w:qFormat/>
    <w:uiPriority w:val="0"/>
    <w:pPr>
      <w:spacing w:after="0" w:line="360" w:lineRule="auto"/>
      <w:ind w:firstLine="420" w:firstLineChars="200"/>
    </w:pPr>
    <w:rPr>
      <w:rFonts w:ascii="Calibri" w:hAnsi="Calibri"/>
      <w:szCs w:val="21"/>
    </w:rPr>
  </w:style>
  <w:style w:type="paragraph" w:customStyle="1" w:styleId="279">
    <w:name w:val="Tabletext"/>
    <w:qFormat/>
    <w:uiPriority w:val="0"/>
    <w:pPr>
      <w:numPr>
        <w:ilvl w:val="0"/>
        <w:numId w:val="4"/>
      </w:numPr>
      <w:suppressLineNumbers/>
      <w:tabs>
        <w:tab w:val="clear" w:pos="1843"/>
      </w:tabs>
      <w:spacing w:before="30" w:after="20"/>
      <w:ind w:left="0" w:firstLine="0"/>
    </w:pPr>
    <w:rPr>
      <w:rFonts w:ascii="Arial" w:hAnsi="Arial" w:eastAsia="宋体" w:cs="Times New Roman"/>
      <w:sz w:val="16"/>
      <w:lang w:val="en-US" w:eastAsia="en-US" w:bidi="ar-SA"/>
    </w:rPr>
  </w:style>
  <w:style w:type="paragraph" w:customStyle="1" w:styleId="280">
    <w:name w:val="正文样式"/>
    <w:basedOn w:val="1"/>
    <w:qFormat/>
    <w:uiPriority w:val="0"/>
    <w:pPr>
      <w:spacing w:beforeLines="50" w:after="0" w:line="312" w:lineRule="auto"/>
      <w:ind w:firstLine="200" w:firstLineChars="200"/>
    </w:pPr>
    <w:rPr>
      <w:sz w:val="24"/>
    </w:rPr>
  </w:style>
  <w:style w:type="paragraph" w:customStyle="1" w:styleId="281">
    <w:name w:val="正文文本 21"/>
    <w:basedOn w:val="1"/>
    <w:qFormat/>
    <w:uiPriority w:val="0"/>
    <w:pPr>
      <w:spacing w:after="120" w:line="480" w:lineRule="auto"/>
    </w:pPr>
    <w:rPr>
      <w:rFonts w:ascii="Calibri" w:hAnsi="Calibri"/>
      <w:kern w:val="0"/>
      <w:sz w:val="20"/>
    </w:rPr>
  </w:style>
  <w:style w:type="paragraph" w:customStyle="1" w:styleId="282">
    <w:name w:val="Char Char Char Char"/>
    <w:basedOn w:val="1"/>
    <w:qFormat/>
    <w:uiPriority w:val="99"/>
    <w:pPr>
      <w:spacing w:after="0" w:line="360" w:lineRule="auto"/>
    </w:pPr>
    <w:rPr>
      <w:szCs w:val="20"/>
    </w:rPr>
  </w:style>
  <w:style w:type="character" w:customStyle="1" w:styleId="283">
    <w:name w:val="不明显强调1"/>
    <w:qFormat/>
    <w:uiPriority w:val="0"/>
    <w:rPr>
      <w:i/>
      <w:iCs/>
      <w:color w:val="808080"/>
    </w:rPr>
  </w:style>
  <w:style w:type="character" w:customStyle="1" w:styleId="284">
    <w:name w:val="正文对齐 Char1"/>
    <w:qFormat/>
    <w:uiPriority w:val="0"/>
    <w:rPr>
      <w:rFonts w:ascii="Times New Roman" w:hAnsi="Times New Roman" w:eastAsia="楷体_GB2312" w:cs="Times New Roman"/>
      <w:sz w:val="24"/>
      <w:szCs w:val="20"/>
    </w:rPr>
  </w:style>
  <w:style w:type="character" w:customStyle="1" w:styleId="285">
    <w:name w:val="Char Char14"/>
    <w:qFormat/>
    <w:uiPriority w:val="0"/>
    <w:rPr>
      <w:rFonts w:hAnsi="宋体" w:eastAsia="仿宋_GB2312"/>
      <w:b/>
      <w:bCs/>
      <w:kern w:val="2"/>
      <w:sz w:val="24"/>
    </w:rPr>
  </w:style>
  <w:style w:type="paragraph" w:customStyle="1" w:styleId="286">
    <w:name w:val="xl25"/>
    <w:basedOn w:val="1"/>
    <w:qFormat/>
    <w:uiPriority w:val="0"/>
    <w:pPr>
      <w:widowControl/>
      <w:numPr>
        <w:ilvl w:val="0"/>
        <w:numId w:val="5"/>
      </w:numPr>
      <w:tabs>
        <w:tab w:val="clear" w:pos="1145"/>
      </w:tabs>
      <w:spacing w:before="100" w:beforeAutospacing="1" w:after="100" w:afterAutospacing="1" w:line="360" w:lineRule="auto"/>
      <w:ind w:left="0" w:firstLine="0"/>
      <w:jc w:val="center"/>
    </w:pPr>
    <w:rPr>
      <w:rFonts w:ascii="宋体" w:hAnsi="宋体"/>
      <w:kern w:val="0"/>
      <w:sz w:val="24"/>
    </w:rPr>
  </w:style>
  <w:style w:type="paragraph" w:customStyle="1" w:styleId="287">
    <w:name w:val="DB Body"/>
    <w:qFormat/>
    <w:uiPriority w:val="0"/>
    <w:pPr>
      <w:tabs>
        <w:tab w:val="left" w:pos="4536"/>
        <w:tab w:val="left" w:pos="8505"/>
      </w:tabs>
      <w:spacing w:before="120" w:after="80" w:line="360" w:lineRule="auto"/>
    </w:pPr>
    <w:rPr>
      <w:rFonts w:ascii="Trebuchet MS" w:hAnsi="Trebuchet MS" w:eastAsia="宋体" w:cs="Times New Roman"/>
      <w:sz w:val="21"/>
      <w:szCs w:val="24"/>
      <w:lang w:val="en-GB" w:eastAsia="en-US" w:bidi="ar-SA"/>
    </w:rPr>
  </w:style>
  <w:style w:type="paragraph" w:customStyle="1" w:styleId="288">
    <w:name w:val="DB Bullet 1"/>
    <w:qFormat/>
    <w:uiPriority w:val="0"/>
    <w:pPr>
      <w:numPr>
        <w:ilvl w:val="0"/>
        <w:numId w:val="6"/>
      </w:numPr>
      <w:tabs>
        <w:tab w:val="left" w:pos="567"/>
      </w:tabs>
      <w:spacing w:before="80" w:after="60" w:line="360" w:lineRule="auto"/>
    </w:pPr>
    <w:rPr>
      <w:rFonts w:ascii="Trebuchet MS" w:hAnsi="Trebuchet MS" w:eastAsia="宋体" w:cs="Times New Roman"/>
      <w:sz w:val="21"/>
      <w:szCs w:val="24"/>
      <w:lang w:val="en-GB" w:eastAsia="en-US" w:bidi="ar-SA"/>
    </w:rPr>
  </w:style>
  <w:style w:type="paragraph" w:customStyle="1" w:styleId="289">
    <w:name w:val="DH Heading A1 (with #)"/>
    <w:next w:val="1"/>
    <w:qFormat/>
    <w:uiPriority w:val="0"/>
    <w:pPr>
      <w:keepNext/>
      <w:pageBreakBefore/>
      <w:numPr>
        <w:ilvl w:val="6"/>
        <w:numId w:val="7"/>
      </w:numPr>
      <w:snapToGrid w:val="0"/>
      <w:spacing w:before="240" w:after="240" w:line="360" w:lineRule="auto"/>
      <w:outlineLvl w:val="0"/>
    </w:pPr>
    <w:rPr>
      <w:rFonts w:ascii="Trebuchet MS" w:hAnsi="Trebuchet MS" w:eastAsia="宋体" w:cs="Times New Roman"/>
      <w:b/>
      <w:bCs/>
      <w:color w:val="0085C3"/>
      <w:sz w:val="36"/>
      <w:szCs w:val="36"/>
      <w:lang w:val="en-GB" w:eastAsia="en-US" w:bidi="ar-SA"/>
    </w:rPr>
  </w:style>
  <w:style w:type="paragraph" w:customStyle="1" w:styleId="290">
    <w:name w:val="DH Heading A2 (with #)"/>
    <w:next w:val="287"/>
    <w:qFormat/>
    <w:uiPriority w:val="0"/>
    <w:pPr>
      <w:keepNext/>
      <w:numPr>
        <w:ilvl w:val="7"/>
        <w:numId w:val="7"/>
      </w:numPr>
      <w:snapToGrid w:val="0"/>
      <w:spacing w:before="240" w:after="120" w:line="360" w:lineRule="auto"/>
      <w:outlineLvl w:val="1"/>
    </w:pPr>
    <w:rPr>
      <w:rFonts w:ascii="Trebuchet MS" w:hAnsi="Trebuchet MS" w:eastAsia="宋体" w:cs="Times New Roman"/>
      <w:b/>
      <w:color w:val="0085C3"/>
      <w:sz w:val="32"/>
      <w:szCs w:val="30"/>
      <w:lang w:val="en-GB" w:eastAsia="en-US" w:bidi="ar-SA"/>
    </w:rPr>
  </w:style>
  <w:style w:type="paragraph" w:customStyle="1" w:styleId="291">
    <w:name w:val="DH Heading A3 (with #)"/>
    <w:next w:val="287"/>
    <w:qFormat/>
    <w:uiPriority w:val="0"/>
    <w:pPr>
      <w:keepNext/>
      <w:numPr>
        <w:ilvl w:val="8"/>
        <w:numId w:val="7"/>
      </w:numPr>
      <w:snapToGrid w:val="0"/>
      <w:spacing w:before="120" w:after="120" w:line="360" w:lineRule="auto"/>
      <w:outlineLvl w:val="2"/>
    </w:pPr>
    <w:rPr>
      <w:rFonts w:ascii="Trebuchet MS" w:hAnsi="Trebuchet MS" w:eastAsia="宋体" w:cs="Times New Roman"/>
      <w:b/>
      <w:iCs/>
      <w:color w:val="0085C3"/>
      <w:sz w:val="28"/>
      <w:szCs w:val="24"/>
      <w:lang w:val="en-GB" w:eastAsia="en-US" w:bidi="ar-SA"/>
    </w:rPr>
  </w:style>
  <w:style w:type="paragraph" w:customStyle="1" w:styleId="292">
    <w:name w:val="DH Heading 1"/>
    <w:basedOn w:val="1"/>
    <w:next w:val="287"/>
    <w:qFormat/>
    <w:uiPriority w:val="0"/>
    <w:pPr>
      <w:keepNext/>
      <w:pageBreakBefore/>
      <w:widowControl/>
      <w:numPr>
        <w:ilvl w:val="0"/>
        <w:numId w:val="7"/>
      </w:numPr>
      <w:snapToGrid w:val="0"/>
      <w:spacing w:before="240" w:after="240" w:line="360" w:lineRule="auto"/>
      <w:jc w:val="center"/>
      <w:outlineLvl w:val="0"/>
    </w:pPr>
    <w:rPr>
      <w:rFonts w:ascii="Trebuchet MS" w:hAnsi="Trebuchet MS" w:cs="Arial"/>
      <w:b/>
      <w:bCs/>
      <w:color w:val="0085C3"/>
      <w:kern w:val="32"/>
      <w:sz w:val="40"/>
      <w:szCs w:val="36"/>
    </w:rPr>
  </w:style>
  <w:style w:type="paragraph" w:customStyle="1" w:styleId="293">
    <w:name w:val="DH Heading 3"/>
    <w:basedOn w:val="1"/>
    <w:next w:val="287"/>
    <w:qFormat/>
    <w:uiPriority w:val="0"/>
    <w:pPr>
      <w:keepNext/>
      <w:widowControl/>
      <w:numPr>
        <w:ilvl w:val="2"/>
        <w:numId w:val="7"/>
      </w:numPr>
      <w:suppressAutoHyphens/>
      <w:adjustRightInd w:val="0"/>
      <w:snapToGrid w:val="0"/>
      <w:spacing w:before="120" w:after="120" w:line="360" w:lineRule="auto"/>
      <w:jc w:val="left"/>
      <w:outlineLvl w:val="2"/>
    </w:pPr>
    <w:rPr>
      <w:rFonts w:ascii="Trebuchet MS" w:hAnsi="Trebuchet MS" w:cs="Arial"/>
      <w:b/>
      <w:bCs/>
      <w:iCs/>
      <w:color w:val="0085C3"/>
      <w:kern w:val="0"/>
      <w:sz w:val="32"/>
      <w:szCs w:val="30"/>
    </w:rPr>
  </w:style>
  <w:style w:type="paragraph" w:customStyle="1" w:styleId="294">
    <w:name w:val="DH Heading 4"/>
    <w:next w:val="287"/>
    <w:qFormat/>
    <w:uiPriority w:val="0"/>
    <w:pPr>
      <w:keepNext/>
      <w:numPr>
        <w:ilvl w:val="3"/>
        <w:numId w:val="7"/>
      </w:numPr>
      <w:suppressAutoHyphens/>
      <w:adjustRightInd w:val="0"/>
      <w:snapToGrid w:val="0"/>
      <w:spacing w:before="120" w:after="120" w:line="360" w:lineRule="auto"/>
      <w:outlineLvl w:val="3"/>
    </w:pPr>
    <w:rPr>
      <w:rFonts w:ascii="Trebuchet MS" w:hAnsi="Trebuchet MS" w:eastAsia="宋体" w:cs="Arial"/>
      <w:b/>
      <w:bCs/>
      <w:color w:val="0085C3"/>
      <w:sz w:val="28"/>
      <w:szCs w:val="24"/>
      <w:lang w:val="en-GB" w:eastAsia="en-US" w:bidi="ar-SA"/>
    </w:rPr>
  </w:style>
  <w:style w:type="paragraph" w:customStyle="1" w:styleId="295">
    <w:name w:val="DH Heading 5"/>
    <w:next w:val="287"/>
    <w:qFormat/>
    <w:uiPriority w:val="0"/>
    <w:pPr>
      <w:keepNext/>
      <w:numPr>
        <w:ilvl w:val="4"/>
        <w:numId w:val="7"/>
      </w:numPr>
      <w:snapToGrid w:val="0"/>
      <w:spacing w:before="120" w:after="120" w:line="360" w:lineRule="auto"/>
      <w:outlineLvl w:val="4"/>
    </w:pPr>
    <w:rPr>
      <w:rFonts w:ascii="Trebuchet MS" w:hAnsi="Trebuchet MS" w:eastAsia="宋体" w:cs="Times New Roman"/>
      <w:b/>
      <w:bCs/>
      <w:color w:val="0085C3"/>
      <w:sz w:val="25"/>
      <w:szCs w:val="21"/>
      <w:lang w:val="en-GB" w:eastAsia="en-US" w:bidi="ar-SA"/>
    </w:rPr>
  </w:style>
  <w:style w:type="paragraph" w:customStyle="1" w:styleId="296">
    <w:name w:val="DH Heading 6"/>
    <w:next w:val="287"/>
    <w:qFormat/>
    <w:uiPriority w:val="0"/>
    <w:pPr>
      <w:keepNext/>
      <w:numPr>
        <w:ilvl w:val="5"/>
        <w:numId w:val="7"/>
      </w:numPr>
      <w:suppressAutoHyphens/>
      <w:adjustRightInd w:val="0"/>
      <w:snapToGrid w:val="0"/>
      <w:spacing w:before="120" w:after="80" w:line="360" w:lineRule="auto"/>
      <w:outlineLvl w:val="5"/>
    </w:pPr>
    <w:rPr>
      <w:rFonts w:ascii="Trebuchet MS" w:hAnsi="Trebuchet MS" w:eastAsia="宋体" w:cs="Times New Roman"/>
      <w:b/>
      <w:bCs/>
      <w:iCs/>
      <w:color w:val="0085C3"/>
      <w:sz w:val="22"/>
      <w:szCs w:val="21"/>
      <w:lang w:val="en-GB" w:eastAsia="en-US" w:bidi="ar-SA"/>
    </w:rPr>
  </w:style>
  <w:style w:type="paragraph" w:customStyle="1" w:styleId="297">
    <w:name w:val="DH Heading 2"/>
    <w:next w:val="287"/>
    <w:qFormat/>
    <w:uiPriority w:val="0"/>
    <w:pPr>
      <w:keepNext/>
      <w:numPr>
        <w:ilvl w:val="1"/>
        <w:numId w:val="7"/>
      </w:numPr>
      <w:suppressAutoHyphens/>
      <w:adjustRightInd w:val="0"/>
      <w:snapToGrid w:val="0"/>
      <w:spacing w:before="240" w:after="120" w:line="360" w:lineRule="auto"/>
      <w:outlineLvl w:val="1"/>
    </w:pPr>
    <w:rPr>
      <w:rFonts w:ascii="Trebuchet MS" w:hAnsi="Trebuchet MS" w:eastAsia="宋体" w:cs="Arial"/>
      <w:b/>
      <w:bCs/>
      <w:color w:val="0085C3"/>
      <w:kern w:val="32"/>
      <w:sz w:val="36"/>
      <w:szCs w:val="36"/>
      <w:lang w:val="en-GB" w:eastAsia="en-US" w:bidi="ar-SA"/>
    </w:rPr>
  </w:style>
  <w:style w:type="character" w:customStyle="1" w:styleId="298">
    <w:name w:val="tpc_content1"/>
    <w:qFormat/>
    <w:uiPriority w:val="0"/>
    <w:rPr>
      <w:sz w:val="20"/>
      <w:szCs w:val="20"/>
    </w:rPr>
  </w:style>
  <w:style w:type="character" w:customStyle="1" w:styleId="299">
    <w:name w:val="样式 黑体 二号"/>
    <w:qFormat/>
    <w:uiPriority w:val="0"/>
    <w:rPr>
      <w:rFonts w:hint="default" w:ascii="Arial" w:hAnsi="Arial" w:eastAsia="黑体" w:cs="Arial"/>
      <w:sz w:val="44"/>
    </w:rPr>
  </w:style>
  <w:style w:type="character" w:customStyle="1" w:styleId="300">
    <w:name w:val="style6"/>
    <w:qFormat/>
    <w:uiPriority w:val="0"/>
    <w:rPr>
      <w:sz w:val="18"/>
    </w:rPr>
  </w:style>
  <w:style w:type="character" w:customStyle="1" w:styleId="301">
    <w:name w:val="样式 标题 3 + 加粗 Char"/>
    <w:qFormat/>
    <w:uiPriority w:val="0"/>
    <w:rPr>
      <w:rFonts w:ascii="Arial" w:hAnsi="Arial" w:eastAsia="黑体"/>
      <w:b/>
      <w:bCs/>
      <w:spacing w:val="14"/>
      <w:kern w:val="24"/>
      <w:sz w:val="24"/>
      <w:szCs w:val="28"/>
      <w:lang w:val="en-US" w:eastAsia="zh-CN" w:bidi="ar-SA"/>
    </w:rPr>
  </w:style>
  <w:style w:type="character" w:customStyle="1" w:styleId="302">
    <w:name w:val="Char Char Char Char Char"/>
    <w:qFormat/>
    <w:uiPriority w:val="0"/>
    <w:rPr>
      <w:rFonts w:eastAsia="宋体"/>
      <w:kern w:val="2"/>
      <w:sz w:val="21"/>
      <w:szCs w:val="24"/>
      <w:lang w:val="en-US" w:eastAsia="zh-CN" w:bidi="ar-SA"/>
    </w:rPr>
  </w:style>
  <w:style w:type="character" w:customStyle="1" w:styleId="303">
    <w:name w:val="Char Char2"/>
    <w:qFormat/>
    <w:uiPriority w:val="0"/>
    <w:rPr>
      <w:rFonts w:eastAsia="宋体"/>
      <w:b/>
      <w:kern w:val="2"/>
      <w:sz w:val="28"/>
      <w:lang w:val="en-US" w:eastAsia="zh-CN" w:bidi="ar-SA"/>
    </w:rPr>
  </w:style>
  <w:style w:type="character" w:customStyle="1" w:styleId="304">
    <w:name w:val="正文（缩进） Char"/>
    <w:qFormat/>
    <w:uiPriority w:val="0"/>
    <w:rPr>
      <w:rFonts w:eastAsia="宋体"/>
      <w:kern w:val="2"/>
      <w:sz w:val="24"/>
      <w:szCs w:val="24"/>
      <w:lang w:val="en-US" w:eastAsia="zh-CN" w:bidi="ar-SA"/>
    </w:rPr>
  </w:style>
  <w:style w:type="character" w:customStyle="1" w:styleId="305">
    <w:name w:val="h Char Char"/>
    <w:qFormat/>
    <w:uiPriority w:val="0"/>
    <w:rPr>
      <w:rFonts w:eastAsia="宋体"/>
      <w:kern w:val="2"/>
      <w:sz w:val="18"/>
      <w:szCs w:val="18"/>
      <w:lang w:val="en-US" w:eastAsia="zh-CN" w:bidi="ar-SA"/>
    </w:rPr>
  </w:style>
  <w:style w:type="character" w:customStyle="1" w:styleId="306">
    <w:name w:val="正文（缩进） Char Char"/>
    <w:qFormat/>
    <w:uiPriority w:val="0"/>
    <w:rPr>
      <w:rFonts w:eastAsia="宋体"/>
      <w:kern w:val="2"/>
      <w:sz w:val="24"/>
      <w:szCs w:val="24"/>
      <w:lang w:val="en-US" w:eastAsia="zh-CN" w:bidi="ar-SA"/>
    </w:rPr>
  </w:style>
  <w:style w:type="character" w:customStyle="1" w:styleId="307">
    <w:name w:val="at_0"/>
    <w:qFormat/>
    <w:uiPriority w:val="0"/>
  </w:style>
  <w:style w:type="character" w:customStyle="1" w:styleId="308">
    <w:name w:val="textcontents"/>
    <w:qFormat/>
    <w:uiPriority w:val="0"/>
  </w:style>
  <w:style w:type="character" w:customStyle="1" w:styleId="309">
    <w:name w:val="wj1"/>
    <w:qFormat/>
    <w:uiPriority w:val="0"/>
    <w:rPr>
      <w:color w:val="000000"/>
      <w:sz w:val="18"/>
      <w:szCs w:val="18"/>
      <w:u w:val="none"/>
    </w:rPr>
  </w:style>
  <w:style w:type="character" w:customStyle="1" w:styleId="310">
    <w:name w:val="zbggmain style9"/>
    <w:qFormat/>
    <w:uiPriority w:val="0"/>
  </w:style>
  <w:style w:type="character" w:customStyle="1" w:styleId="311">
    <w:name w:val="表格 Char Char"/>
    <w:qFormat/>
    <w:uiPriority w:val="0"/>
    <w:rPr>
      <w:rFonts w:ascii="宋体" w:hAnsi="宋体" w:eastAsia="宋体"/>
      <w:lang w:val="en-US" w:eastAsia="zh-CN" w:bidi="ar-SA"/>
    </w:rPr>
  </w:style>
  <w:style w:type="character" w:customStyle="1" w:styleId="312">
    <w:name w:val="批注框文本 Char1"/>
    <w:qFormat/>
    <w:uiPriority w:val="0"/>
    <w:rPr>
      <w:kern w:val="2"/>
      <w:sz w:val="18"/>
      <w:szCs w:val="18"/>
    </w:rPr>
  </w:style>
  <w:style w:type="character" w:customStyle="1" w:styleId="313">
    <w:name w:val="Char Char1"/>
    <w:qFormat/>
    <w:uiPriority w:val="0"/>
    <w:rPr>
      <w:rFonts w:eastAsia="宋体"/>
      <w:kern w:val="2"/>
      <w:sz w:val="18"/>
      <w:szCs w:val="18"/>
      <w:lang w:val="en-US" w:eastAsia="zh-CN" w:bidi="ar-SA"/>
    </w:rPr>
  </w:style>
  <w:style w:type="character" w:customStyle="1" w:styleId="314">
    <w:name w:val="product_detail_name"/>
    <w:qFormat/>
    <w:uiPriority w:val="0"/>
  </w:style>
  <w:style w:type="character" w:customStyle="1" w:styleId="315">
    <w:name w:val="blue"/>
    <w:qFormat/>
    <w:uiPriority w:val="0"/>
  </w:style>
  <w:style w:type="character" w:customStyle="1" w:styleId="316">
    <w:name w:val="标题 Char1"/>
    <w:qFormat/>
    <w:uiPriority w:val="0"/>
    <w:rPr>
      <w:rFonts w:ascii="Cambria" w:hAnsi="Cambria" w:eastAsia="宋体" w:cs="Times New Roman"/>
      <w:b/>
      <w:bCs/>
      <w:sz w:val="32"/>
      <w:szCs w:val="32"/>
    </w:rPr>
  </w:style>
  <w:style w:type="paragraph" w:customStyle="1" w:styleId="317">
    <w:name w:val="标题三级"/>
    <w:basedOn w:val="1"/>
    <w:next w:val="1"/>
    <w:qFormat/>
    <w:uiPriority w:val="0"/>
    <w:pPr>
      <w:tabs>
        <w:tab w:val="left" w:pos="720"/>
      </w:tabs>
      <w:topLinePunct/>
      <w:autoSpaceDE w:val="0"/>
      <w:autoSpaceDN w:val="0"/>
      <w:spacing w:after="0" w:line="360" w:lineRule="auto"/>
      <w:outlineLvl w:val="2"/>
    </w:pPr>
    <w:rPr>
      <w:rFonts w:ascii="宋体" w:hAnsi="宋体"/>
      <w:b/>
      <w:szCs w:val="21"/>
    </w:rPr>
  </w:style>
  <w:style w:type="paragraph" w:customStyle="1" w:styleId="318">
    <w:name w:val="Table Text Char"/>
    <w:qFormat/>
    <w:uiPriority w:val="0"/>
    <w:pPr>
      <w:snapToGrid w:val="0"/>
      <w:spacing w:before="80" w:after="80"/>
    </w:pPr>
    <w:rPr>
      <w:rFonts w:ascii="Arial" w:hAnsi="Arial" w:eastAsia="宋体" w:cs="Times New Roman"/>
      <w:sz w:val="18"/>
      <w:lang w:val="en-US" w:eastAsia="zh-CN" w:bidi="ar-SA"/>
    </w:rPr>
  </w:style>
  <w:style w:type="paragraph" w:customStyle="1" w:styleId="319">
    <w:name w:val="文档正文"/>
    <w:basedOn w:val="1"/>
    <w:qFormat/>
    <w:uiPriority w:val="0"/>
    <w:pPr>
      <w:adjustRightInd w:val="0"/>
      <w:spacing w:after="0" w:line="312" w:lineRule="atLeast"/>
      <w:ind w:firstLine="567"/>
      <w:textAlignment w:val="baseline"/>
    </w:pPr>
    <w:rPr>
      <w:rFonts w:ascii="长城仿宋" w:eastAsia="长城仿宋" w:cs="长城仿宋"/>
      <w:kern w:val="0"/>
      <w:sz w:val="28"/>
      <w:szCs w:val="28"/>
    </w:rPr>
  </w:style>
  <w:style w:type="character" w:customStyle="1" w:styleId="320">
    <w:name w:val="正文文本 2 Char1"/>
    <w:qFormat/>
    <w:uiPriority w:val="0"/>
    <w:rPr>
      <w:rFonts w:ascii="宋体" w:hAnsi="宋体" w:eastAsia="宋体"/>
      <w:color w:val="000000"/>
      <w:kern w:val="2"/>
      <w:sz w:val="24"/>
      <w:szCs w:val="24"/>
      <w:lang w:bidi="ar-SA"/>
    </w:rPr>
  </w:style>
  <w:style w:type="paragraph" w:customStyle="1" w:styleId="321">
    <w:name w:val="tabletext"/>
    <w:basedOn w:val="1"/>
    <w:qFormat/>
    <w:uiPriority w:val="0"/>
    <w:pPr>
      <w:widowControl/>
      <w:spacing w:before="100" w:beforeAutospacing="1" w:after="100" w:afterAutospacing="1" w:line="360" w:lineRule="auto"/>
      <w:jc w:val="left"/>
    </w:pPr>
    <w:rPr>
      <w:rFonts w:ascii="宋体" w:hAnsi="宋体" w:cs="宋体"/>
      <w:kern w:val="0"/>
      <w:sz w:val="24"/>
    </w:rPr>
  </w:style>
  <w:style w:type="paragraph" w:customStyle="1" w:styleId="322">
    <w:name w:val="部分1"/>
    <w:basedOn w:val="1"/>
    <w:qFormat/>
    <w:uiPriority w:val="0"/>
    <w:pPr>
      <w:keepNext/>
      <w:pageBreakBefore/>
      <w:tabs>
        <w:tab w:val="left" w:pos="720"/>
      </w:tabs>
      <w:spacing w:after="0" w:line="360" w:lineRule="auto"/>
      <w:jc w:val="center"/>
      <w:outlineLvl w:val="0"/>
    </w:pPr>
    <w:rPr>
      <w:rFonts w:eastAsia="黑体"/>
      <w:b/>
      <w:kern w:val="44"/>
      <w:sz w:val="36"/>
      <w:szCs w:val="20"/>
    </w:rPr>
  </w:style>
  <w:style w:type="paragraph" w:customStyle="1" w:styleId="323">
    <w:name w:val="tableheading"/>
    <w:basedOn w:val="1"/>
    <w:qFormat/>
    <w:uiPriority w:val="0"/>
    <w:pPr>
      <w:widowControl/>
      <w:spacing w:before="100" w:beforeAutospacing="1" w:after="100" w:afterAutospacing="1" w:line="360" w:lineRule="auto"/>
      <w:jc w:val="left"/>
    </w:pPr>
    <w:rPr>
      <w:rFonts w:ascii="宋体" w:hAnsi="宋体" w:cs="宋体"/>
      <w:kern w:val="0"/>
      <w:sz w:val="24"/>
    </w:rPr>
  </w:style>
  <w:style w:type="paragraph" w:customStyle="1" w:styleId="324">
    <w:name w:val="hea"/>
    <w:basedOn w:val="1"/>
    <w:next w:val="1"/>
    <w:qFormat/>
    <w:uiPriority w:val="0"/>
    <w:pPr>
      <w:keepNext/>
      <w:keepLines/>
      <w:tabs>
        <w:tab w:val="left" w:pos="360"/>
        <w:tab w:val="left" w:pos="420"/>
      </w:tabs>
      <w:spacing w:before="340" w:after="330" w:line="576" w:lineRule="auto"/>
      <w:ind w:left="360" w:hanging="360"/>
      <w:outlineLvl w:val="0"/>
    </w:pPr>
    <w:rPr>
      <w:b/>
      <w:bCs/>
      <w:kern w:val="44"/>
      <w:sz w:val="44"/>
      <w:szCs w:val="44"/>
    </w:rPr>
  </w:style>
  <w:style w:type="paragraph" w:customStyle="1" w:styleId="325">
    <w:name w:val="Char1 Char Char Char Char Char Char"/>
    <w:basedOn w:val="1"/>
    <w:qFormat/>
    <w:uiPriority w:val="0"/>
    <w:pPr>
      <w:spacing w:after="0" w:line="360" w:lineRule="auto"/>
    </w:pPr>
    <w:rPr>
      <w:rFonts w:ascii="Tahoma" w:hAnsi="Tahoma"/>
      <w:sz w:val="24"/>
      <w:szCs w:val="20"/>
    </w:rPr>
  </w:style>
  <w:style w:type="paragraph" w:customStyle="1" w:styleId="326">
    <w:name w:val="??"/>
    <w:qFormat/>
    <w:uiPriority w:val="0"/>
    <w:pPr>
      <w:widowControl w:val="0"/>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32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28">
    <w:name w:val="WPS Plain"/>
    <w:qFormat/>
    <w:uiPriority w:val="0"/>
    <w:rPr>
      <w:rFonts w:ascii="Times New Roman" w:hAnsi="Times New Roman" w:eastAsia="宋体" w:cs="Times New Roman"/>
      <w:lang w:val="en-US" w:eastAsia="zh-CN" w:bidi="ar-SA"/>
    </w:rPr>
  </w:style>
  <w:style w:type="paragraph" w:customStyle="1" w:styleId="329">
    <w:name w:val="文章"/>
    <w:basedOn w:val="1"/>
    <w:qFormat/>
    <w:uiPriority w:val="0"/>
    <w:pPr>
      <w:widowControl/>
      <w:spacing w:after="0" w:line="360" w:lineRule="auto"/>
      <w:ind w:firstLine="200" w:firstLineChars="200"/>
      <w:jc w:val="left"/>
    </w:pPr>
    <w:rPr>
      <w:kern w:val="0"/>
      <w:sz w:val="24"/>
      <w:szCs w:val="20"/>
    </w:rPr>
  </w:style>
  <w:style w:type="paragraph" w:customStyle="1" w:styleId="330">
    <w:name w:val="文章正文格式"/>
    <w:basedOn w:val="1"/>
    <w:qFormat/>
    <w:uiPriority w:val="0"/>
    <w:pPr>
      <w:snapToGrid w:val="0"/>
      <w:spacing w:after="0" w:line="540" w:lineRule="atLeast"/>
      <w:ind w:firstLine="578"/>
    </w:pPr>
    <w:rPr>
      <w:rFonts w:ascii="宋体"/>
      <w:spacing w:val="8"/>
      <w:sz w:val="28"/>
      <w:szCs w:val="20"/>
    </w:rPr>
  </w:style>
  <w:style w:type="paragraph" w:customStyle="1" w:styleId="331">
    <w:name w:val="pbullet2cmt"/>
    <w:basedOn w:val="1"/>
    <w:qFormat/>
    <w:uiPriority w:val="0"/>
    <w:pPr>
      <w:widowControl/>
      <w:spacing w:before="100" w:beforeAutospacing="1" w:after="100" w:afterAutospacing="1" w:line="360" w:lineRule="auto"/>
      <w:jc w:val="left"/>
    </w:pPr>
    <w:rPr>
      <w:rFonts w:ascii="宋体" w:hAnsi="宋体" w:cs="宋体"/>
      <w:kern w:val="0"/>
      <w:sz w:val="24"/>
    </w:rPr>
  </w:style>
  <w:style w:type="paragraph" w:customStyle="1" w:styleId="33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33">
    <w:name w:val="CM12"/>
    <w:basedOn w:val="153"/>
    <w:next w:val="153"/>
    <w:qFormat/>
    <w:uiPriority w:val="0"/>
    <w:pPr>
      <w:spacing w:before="0" w:after="0" w:line="468" w:lineRule="atLeast"/>
    </w:pPr>
    <w:rPr>
      <w:rFonts w:cs="Times New Roman"/>
      <w:color w:val="auto"/>
    </w:rPr>
  </w:style>
  <w:style w:type="paragraph" w:customStyle="1" w:styleId="33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5">
    <w:name w:val="标准段落"/>
    <w:basedOn w:val="1"/>
    <w:qFormat/>
    <w:uiPriority w:val="0"/>
    <w:pPr>
      <w:topLinePunct/>
      <w:autoSpaceDE w:val="0"/>
      <w:autoSpaceDN w:val="0"/>
      <w:spacing w:after="0" w:line="360" w:lineRule="auto"/>
      <w:ind w:firstLine="480" w:firstLineChars="200"/>
    </w:pPr>
    <w:rPr>
      <w:rFonts w:ascii="宋体" w:hAnsi="宋体"/>
      <w:sz w:val="24"/>
      <w:lang w:bidi="th-TH"/>
    </w:rPr>
  </w:style>
  <w:style w:type="paragraph" w:customStyle="1" w:styleId="336">
    <w:name w:val="SS正文首行缩进 +"/>
    <w:basedOn w:val="5"/>
    <w:qFormat/>
    <w:uiPriority w:val="0"/>
    <w:pPr>
      <w:spacing w:beforeLines="50" w:afterLines="50" w:line="360" w:lineRule="auto"/>
      <w:ind w:firstLine="480" w:firstLineChars="200"/>
    </w:pPr>
    <w:rPr>
      <w:rFonts w:ascii="Times New Roman" w:hAnsi="Times New Roman"/>
      <w:sz w:val="24"/>
      <w:szCs w:val="20"/>
    </w:rPr>
  </w:style>
  <w:style w:type="paragraph" w:customStyle="1" w:styleId="337">
    <w:name w:val="二级条标题"/>
    <w:basedOn w:val="1"/>
    <w:next w:val="334"/>
    <w:qFormat/>
    <w:uiPriority w:val="0"/>
    <w:pPr>
      <w:widowControl/>
      <w:spacing w:after="0" w:line="360" w:lineRule="auto"/>
      <w:ind w:left="851"/>
      <w:jc w:val="left"/>
      <w:outlineLvl w:val="3"/>
    </w:pPr>
    <w:rPr>
      <w:rFonts w:eastAsia="黑体"/>
      <w:kern w:val="0"/>
      <w:szCs w:val="20"/>
    </w:rPr>
  </w:style>
  <w:style w:type="paragraph" w:customStyle="1" w:styleId="338">
    <w:name w:val="Char Char Char"/>
    <w:basedOn w:val="1"/>
    <w:qFormat/>
    <w:uiPriority w:val="0"/>
    <w:pPr>
      <w:spacing w:after="0" w:line="360" w:lineRule="auto"/>
    </w:pPr>
    <w:rPr>
      <w:rFonts w:ascii="Tahoma" w:hAnsi="Tahoma"/>
      <w:sz w:val="24"/>
      <w:szCs w:val="20"/>
    </w:rPr>
  </w:style>
  <w:style w:type="paragraph" w:customStyle="1" w:styleId="339">
    <w:name w:val="表格"/>
    <w:basedOn w:val="1"/>
    <w:qFormat/>
    <w:uiPriority w:val="0"/>
    <w:pPr>
      <w:snapToGrid w:val="0"/>
      <w:spacing w:after="0" w:line="360" w:lineRule="auto"/>
      <w:ind w:firstLine="42" w:firstLineChars="21"/>
    </w:pPr>
    <w:rPr>
      <w:rFonts w:ascii="宋体" w:hAnsi="宋体"/>
      <w:kern w:val="0"/>
      <w:sz w:val="20"/>
      <w:szCs w:val="20"/>
    </w:rPr>
  </w:style>
  <w:style w:type="paragraph" w:customStyle="1" w:styleId="340">
    <w:name w:val="样式 楷体_GB2312 小四 Char Char Char Char Char Char Char Char Char Char Char Char"/>
    <w:basedOn w:val="1"/>
    <w:next w:val="1"/>
    <w:qFormat/>
    <w:uiPriority w:val="0"/>
    <w:pPr>
      <w:spacing w:after="0" w:line="360" w:lineRule="auto"/>
    </w:pPr>
    <w:rPr>
      <w:rFonts w:ascii="楷体_GB2312" w:eastAsia="楷体_GB2312"/>
      <w:sz w:val="24"/>
    </w:rPr>
  </w:style>
  <w:style w:type="paragraph" w:customStyle="1" w:styleId="341">
    <w:name w:val="a"/>
    <w:basedOn w:val="1"/>
    <w:qFormat/>
    <w:uiPriority w:val="0"/>
    <w:pPr>
      <w:widowControl/>
      <w:spacing w:before="100" w:beforeAutospacing="1" w:after="100" w:afterAutospacing="1" w:line="360" w:lineRule="auto"/>
      <w:jc w:val="left"/>
    </w:pPr>
    <w:rPr>
      <w:rFonts w:ascii="宋体" w:hAnsi="宋体" w:cs="宋体"/>
      <w:kern w:val="0"/>
      <w:sz w:val="24"/>
    </w:rPr>
  </w:style>
  <w:style w:type="paragraph" w:customStyle="1" w:styleId="342">
    <w:name w:val="正文（缩进）"/>
    <w:basedOn w:val="1"/>
    <w:qFormat/>
    <w:uiPriority w:val="0"/>
    <w:pPr>
      <w:spacing w:beforeLines="50" w:afterLines="50" w:line="360" w:lineRule="auto"/>
      <w:ind w:firstLine="480" w:firstLineChars="200"/>
    </w:pPr>
    <w:rPr>
      <w:sz w:val="24"/>
    </w:rPr>
  </w:style>
  <w:style w:type="paragraph" w:customStyle="1" w:styleId="343">
    <w:name w:val="正文（绿盟科技）"/>
    <w:qFormat/>
    <w:uiPriority w:val="0"/>
    <w:pPr>
      <w:spacing w:line="300" w:lineRule="auto"/>
    </w:pPr>
    <w:rPr>
      <w:rFonts w:ascii="Arial" w:hAnsi="Arial" w:eastAsia="宋体" w:cs="Arial"/>
      <w:sz w:val="21"/>
      <w:szCs w:val="21"/>
      <w:lang w:val="en-US" w:eastAsia="zh-CN" w:bidi="ar-SA"/>
    </w:rPr>
  </w:style>
  <w:style w:type="paragraph" w:customStyle="1" w:styleId="344">
    <w:name w:val="样式 (西文) 仿宋_GB2312 (中文) 仿宋_GB2312 (符号) 宋体 小四 行距: 1.5 倍行距 首行缩..."/>
    <w:basedOn w:val="1"/>
    <w:qFormat/>
    <w:uiPriority w:val="0"/>
    <w:pPr>
      <w:spacing w:after="0" w:line="360" w:lineRule="auto"/>
      <w:ind w:firstLine="150" w:firstLineChars="150"/>
    </w:pPr>
    <w:rPr>
      <w:rFonts w:ascii="宋体" w:cs="宋体"/>
      <w:sz w:val="24"/>
    </w:rPr>
  </w:style>
  <w:style w:type="paragraph" w:customStyle="1" w:styleId="345">
    <w:name w:val="0正文"/>
    <w:basedOn w:val="1"/>
    <w:qFormat/>
    <w:uiPriority w:val="0"/>
    <w:pPr>
      <w:adjustRightInd w:val="0"/>
      <w:spacing w:after="0" w:line="360" w:lineRule="auto"/>
      <w:ind w:left="50" w:leftChars="50" w:right="50" w:rightChars="50" w:firstLine="200" w:firstLineChars="200"/>
      <w:textAlignment w:val="baseline"/>
    </w:pPr>
    <w:rPr>
      <w:rFonts w:ascii="Verdana" w:hAnsi="Verdana" w:cs="Verdana"/>
      <w:color w:val="000080"/>
      <w:szCs w:val="21"/>
    </w:rPr>
  </w:style>
  <w:style w:type="paragraph" w:customStyle="1" w:styleId="346">
    <w:name w:val="注释标题2"/>
    <w:basedOn w:val="1"/>
    <w:next w:val="1"/>
    <w:qFormat/>
    <w:uiPriority w:val="0"/>
    <w:pPr>
      <w:spacing w:after="0" w:line="360" w:lineRule="auto"/>
      <w:jc w:val="center"/>
    </w:pPr>
    <w:rPr>
      <w:rFonts w:ascii="DFKai-SB" w:hAnsi="DFKai-SB" w:eastAsia="DFKai-SB"/>
      <w:sz w:val="24"/>
      <w:szCs w:val="20"/>
    </w:rPr>
  </w:style>
  <w:style w:type="paragraph" w:customStyle="1" w:styleId="347">
    <w:name w:val="正文文本缩进1"/>
    <w:basedOn w:val="1"/>
    <w:qFormat/>
    <w:uiPriority w:val="0"/>
    <w:pPr>
      <w:spacing w:after="0" w:line="360" w:lineRule="auto"/>
      <w:ind w:firstLine="630"/>
    </w:pPr>
    <w:rPr>
      <w:rFonts w:ascii="楷体_GB2312" w:eastAsia="楷体_GB2312" w:cs="楷体_GB2312"/>
      <w:kern w:val="0"/>
      <w:sz w:val="32"/>
      <w:szCs w:val="32"/>
    </w:rPr>
  </w:style>
  <w:style w:type="paragraph" w:customStyle="1" w:styleId="348">
    <w:name w:val="样式4"/>
    <w:basedOn w:val="1"/>
    <w:qFormat/>
    <w:uiPriority w:val="0"/>
    <w:pPr>
      <w:tabs>
        <w:tab w:val="left" w:pos="0"/>
        <w:tab w:val="left" w:pos="1260"/>
      </w:tabs>
      <w:spacing w:after="0" w:line="360" w:lineRule="auto"/>
      <w:ind w:left="1260"/>
    </w:pPr>
    <w:rPr>
      <w:sz w:val="24"/>
    </w:rPr>
  </w:style>
  <w:style w:type="paragraph" w:customStyle="1" w:styleId="349">
    <w:name w:val="此正文"/>
    <w:basedOn w:val="1"/>
    <w:qFormat/>
    <w:uiPriority w:val="0"/>
    <w:pPr>
      <w:tabs>
        <w:tab w:val="left" w:pos="425"/>
      </w:tabs>
      <w:spacing w:after="0" w:line="360" w:lineRule="auto"/>
      <w:ind w:left="425" w:firstLine="200" w:firstLineChars="200"/>
    </w:pPr>
    <w:rPr>
      <w:sz w:val="24"/>
    </w:rPr>
  </w:style>
  <w:style w:type="paragraph" w:customStyle="1" w:styleId="350">
    <w:name w:val="注释标题1"/>
    <w:basedOn w:val="1"/>
    <w:next w:val="1"/>
    <w:qFormat/>
    <w:uiPriority w:val="0"/>
    <w:pPr>
      <w:spacing w:after="0" w:line="360" w:lineRule="auto"/>
      <w:jc w:val="center"/>
    </w:pPr>
    <w:rPr>
      <w:rFonts w:ascii="DFKai-SB" w:hAnsi="DFKai-SB" w:eastAsia="DFKai-SB"/>
      <w:sz w:val="24"/>
      <w:szCs w:val="20"/>
    </w:rPr>
  </w:style>
  <w:style w:type="paragraph" w:customStyle="1" w:styleId="351">
    <w:name w:val="Char Char2 Char Char Char Char Char Char Char Char Char Char"/>
    <w:basedOn w:val="1"/>
    <w:qFormat/>
    <w:uiPriority w:val="0"/>
    <w:pPr>
      <w:spacing w:after="0" w:line="360" w:lineRule="auto"/>
    </w:pPr>
    <w:rPr>
      <w:sz w:val="24"/>
    </w:rPr>
  </w:style>
  <w:style w:type="paragraph" w:customStyle="1" w:styleId="352">
    <w:name w:val="p0"/>
    <w:basedOn w:val="1"/>
    <w:qFormat/>
    <w:uiPriority w:val="0"/>
    <w:pPr>
      <w:widowControl/>
      <w:spacing w:after="0" w:line="360" w:lineRule="auto"/>
    </w:pPr>
    <w:rPr>
      <w:kern w:val="0"/>
      <w:szCs w:val="21"/>
    </w:rPr>
  </w:style>
  <w:style w:type="character" w:customStyle="1" w:styleId="353">
    <w:name w:val="HTML 地址 Char"/>
    <w:qFormat/>
    <w:uiPriority w:val="0"/>
    <w:rPr>
      <w:rFonts w:ascii="宋体" w:hAnsi="宋体"/>
      <w:i/>
      <w:iCs/>
      <w:szCs w:val="24"/>
    </w:rPr>
  </w:style>
  <w:style w:type="character" w:customStyle="1" w:styleId="354">
    <w:name w:val="big14"/>
    <w:qFormat/>
    <w:uiPriority w:val="0"/>
  </w:style>
  <w:style w:type="character" w:customStyle="1" w:styleId="355">
    <w:name w:val="注释标题 Char"/>
    <w:qFormat/>
    <w:uiPriority w:val="0"/>
    <w:rPr>
      <w:rFonts w:ascii="DFKai-SB" w:hAnsi="DFKai-SB" w:eastAsia="DFKai-SB"/>
    </w:rPr>
  </w:style>
  <w:style w:type="character" w:customStyle="1" w:styleId="356">
    <w:name w:val="页脚 Char Char"/>
    <w:qFormat/>
    <w:uiPriority w:val="0"/>
    <w:rPr>
      <w:rFonts w:ascii="宋体" w:hAnsi="宋体" w:eastAsia="宋体" w:cs="Times New Roman"/>
      <w:sz w:val="18"/>
      <w:szCs w:val="20"/>
    </w:rPr>
  </w:style>
  <w:style w:type="character" w:customStyle="1" w:styleId="357">
    <w:name w:val="arial111"/>
    <w:qFormat/>
    <w:uiPriority w:val="0"/>
    <w:rPr>
      <w:rFonts w:hint="default" w:ascii="Arial" w:hAnsi="Arial" w:cs="Arial"/>
      <w:sz w:val="17"/>
      <w:szCs w:val="17"/>
    </w:rPr>
  </w:style>
  <w:style w:type="character" w:customStyle="1" w:styleId="358">
    <w:name w:val="五级条标题 Char Char"/>
    <w:link w:val="359"/>
    <w:qFormat/>
    <w:uiPriority w:val="0"/>
    <w:rPr>
      <w:rFonts w:ascii="黑体" w:hAnsi="宋体" w:eastAsia="黑体"/>
      <w:szCs w:val="24"/>
    </w:rPr>
  </w:style>
  <w:style w:type="paragraph" w:customStyle="1" w:styleId="359">
    <w:name w:val="五级条标题"/>
    <w:basedOn w:val="360"/>
    <w:next w:val="1"/>
    <w:link w:val="358"/>
    <w:qFormat/>
    <w:uiPriority w:val="0"/>
    <w:pPr>
      <w:outlineLvl w:val="6"/>
    </w:pPr>
  </w:style>
  <w:style w:type="paragraph" w:customStyle="1" w:styleId="360">
    <w:name w:val="四级条标题"/>
    <w:basedOn w:val="361"/>
    <w:next w:val="1"/>
    <w:link w:val="363"/>
    <w:qFormat/>
    <w:uiPriority w:val="0"/>
    <w:pPr>
      <w:ind w:left="0"/>
      <w:outlineLvl w:val="5"/>
    </w:pPr>
  </w:style>
  <w:style w:type="paragraph" w:customStyle="1" w:styleId="361">
    <w:name w:val="三级条标题"/>
    <w:basedOn w:val="362"/>
    <w:next w:val="1"/>
    <w:link w:val="364"/>
    <w:qFormat/>
    <w:uiPriority w:val="0"/>
    <w:pPr>
      <w:ind w:left="735"/>
      <w:outlineLvl w:val="4"/>
    </w:pPr>
  </w:style>
  <w:style w:type="paragraph" w:customStyle="1" w:styleId="362">
    <w:name w:val="二级条标题 Char"/>
    <w:next w:val="1"/>
    <w:link w:val="365"/>
    <w:qFormat/>
    <w:uiPriority w:val="0"/>
    <w:pPr>
      <w:ind w:left="420"/>
      <w:outlineLvl w:val="3"/>
    </w:pPr>
    <w:rPr>
      <w:rFonts w:ascii="黑体" w:hAnsi="宋体" w:eastAsia="黑体" w:cs="Times New Roman"/>
      <w:szCs w:val="24"/>
      <w:lang w:val="en-US" w:eastAsia="zh-CN" w:bidi="ar-SA"/>
    </w:rPr>
  </w:style>
  <w:style w:type="character" w:customStyle="1" w:styleId="363">
    <w:name w:val="四级条标题 Char Char"/>
    <w:link w:val="360"/>
    <w:qFormat/>
    <w:uiPriority w:val="0"/>
    <w:rPr>
      <w:rFonts w:ascii="黑体" w:hAnsi="宋体" w:eastAsia="黑体"/>
      <w:szCs w:val="24"/>
    </w:rPr>
  </w:style>
  <w:style w:type="character" w:customStyle="1" w:styleId="364">
    <w:name w:val="三级条标题 Char Char"/>
    <w:link w:val="361"/>
    <w:qFormat/>
    <w:uiPriority w:val="0"/>
    <w:rPr>
      <w:rFonts w:ascii="黑体" w:hAnsi="宋体" w:eastAsia="黑体"/>
      <w:szCs w:val="24"/>
    </w:rPr>
  </w:style>
  <w:style w:type="character" w:customStyle="1" w:styleId="365">
    <w:name w:val="二级条标题 Char Char Char"/>
    <w:link w:val="362"/>
    <w:qFormat/>
    <w:uiPriority w:val="0"/>
    <w:rPr>
      <w:rFonts w:ascii="黑体" w:hAnsi="宋体" w:eastAsia="黑体"/>
      <w:szCs w:val="24"/>
    </w:rPr>
  </w:style>
  <w:style w:type="character" w:customStyle="1" w:styleId="366">
    <w:name w:val="一级条标题 Char Char Char Char"/>
    <w:qFormat/>
    <w:uiPriority w:val="0"/>
  </w:style>
  <w:style w:type="character" w:customStyle="1" w:styleId="367">
    <w:name w:val="章标题 Char Char Char Char"/>
    <w:link w:val="368"/>
    <w:qFormat/>
    <w:uiPriority w:val="0"/>
    <w:rPr>
      <w:rFonts w:ascii="黑体" w:hAnsi="宋体" w:eastAsia="黑体"/>
      <w:szCs w:val="24"/>
    </w:rPr>
  </w:style>
  <w:style w:type="paragraph" w:customStyle="1" w:styleId="368">
    <w:name w:val="章标题 Char Char"/>
    <w:next w:val="1"/>
    <w:link w:val="367"/>
    <w:qFormat/>
    <w:uiPriority w:val="0"/>
    <w:pPr>
      <w:spacing w:beforeLines="50" w:afterLines="50"/>
      <w:ind w:left="840" w:hanging="420"/>
      <w:jc w:val="both"/>
      <w:outlineLvl w:val="1"/>
    </w:pPr>
    <w:rPr>
      <w:rFonts w:ascii="黑体" w:hAnsi="宋体" w:eastAsia="黑体" w:cs="Times New Roman"/>
      <w:szCs w:val="24"/>
      <w:lang w:val="en-US" w:eastAsia="zh-CN" w:bidi="ar-SA"/>
    </w:rPr>
  </w:style>
  <w:style w:type="character" w:customStyle="1" w:styleId="369">
    <w:name w:val="t91"/>
    <w:qFormat/>
    <w:uiPriority w:val="0"/>
  </w:style>
  <w:style w:type="character" w:customStyle="1" w:styleId="370">
    <w:name w:val="正文文本 Char Char"/>
    <w:qFormat/>
    <w:uiPriority w:val="0"/>
    <w:rPr>
      <w:rFonts w:ascii="宋体" w:hAnsi="宋体" w:eastAsia="宋体" w:cs="Times New Roman"/>
      <w:sz w:val="24"/>
      <w:szCs w:val="24"/>
    </w:rPr>
  </w:style>
  <w:style w:type="character" w:customStyle="1" w:styleId="371">
    <w:name w:val="个人撰写风格"/>
    <w:qFormat/>
    <w:uiPriority w:val="0"/>
    <w:rPr>
      <w:rFonts w:ascii="Arial" w:hAnsi="Arial" w:eastAsia="宋体" w:cs="Arial"/>
      <w:color w:val="auto"/>
      <w:sz w:val="20"/>
    </w:rPr>
  </w:style>
  <w:style w:type="character" w:customStyle="1" w:styleId="372">
    <w:name w:val="正文表标题 Char Char"/>
    <w:link w:val="373"/>
    <w:qFormat/>
    <w:uiPriority w:val="0"/>
    <w:rPr>
      <w:rFonts w:ascii="黑体" w:hAnsi="宋体" w:eastAsia="黑体"/>
      <w:szCs w:val="24"/>
    </w:rPr>
  </w:style>
  <w:style w:type="paragraph" w:customStyle="1" w:styleId="373">
    <w:name w:val="正文表标题"/>
    <w:next w:val="334"/>
    <w:link w:val="372"/>
    <w:qFormat/>
    <w:uiPriority w:val="0"/>
    <w:pPr>
      <w:tabs>
        <w:tab w:val="left" w:pos="360"/>
      </w:tabs>
      <w:ind w:left="3780"/>
      <w:jc w:val="center"/>
    </w:pPr>
    <w:rPr>
      <w:rFonts w:ascii="黑体" w:hAnsi="宋体" w:eastAsia="黑体" w:cs="Times New Roman"/>
      <w:szCs w:val="24"/>
      <w:lang w:val="en-US" w:eastAsia="zh-CN" w:bidi="ar-SA"/>
    </w:rPr>
  </w:style>
  <w:style w:type="character" w:customStyle="1" w:styleId="374">
    <w:name w:val="页眉 Char Char"/>
    <w:qFormat/>
    <w:uiPriority w:val="0"/>
    <w:rPr>
      <w:rFonts w:ascii="宋体" w:hAnsi="宋体" w:eastAsia="宋体" w:cs="Times New Roman"/>
      <w:sz w:val="18"/>
      <w:szCs w:val="20"/>
    </w:rPr>
  </w:style>
  <w:style w:type="character" w:customStyle="1" w:styleId="375">
    <w:name w:val="style60"/>
    <w:qFormat/>
    <w:uiPriority w:val="0"/>
  </w:style>
  <w:style w:type="character" w:customStyle="1" w:styleId="376">
    <w:name w:val="章标题 Char Char Char Char Char"/>
    <w:qFormat/>
    <w:uiPriority w:val="0"/>
    <w:rPr>
      <w:rFonts w:ascii="黑体" w:hAnsi="宋体" w:eastAsia="黑体"/>
      <w:szCs w:val="24"/>
    </w:rPr>
  </w:style>
  <w:style w:type="character" w:customStyle="1" w:styleId="377">
    <w:name w:val="newsitemtitle1"/>
    <w:qFormat/>
    <w:uiPriority w:val="0"/>
    <w:rPr>
      <w:b/>
      <w:bCs/>
      <w:color w:val="0000CD"/>
      <w:sz w:val="28"/>
      <w:szCs w:val="28"/>
    </w:rPr>
  </w:style>
  <w:style w:type="character" w:customStyle="1" w:styleId="378">
    <w:name w:val="发布"/>
    <w:qFormat/>
    <w:uiPriority w:val="0"/>
    <w:rPr>
      <w:rFonts w:ascii="黑体" w:eastAsia="黑体"/>
      <w:spacing w:val="22"/>
      <w:w w:val="100"/>
      <w:position w:val="3"/>
      <w:sz w:val="28"/>
    </w:rPr>
  </w:style>
  <w:style w:type="character" w:customStyle="1" w:styleId="379">
    <w:name w:val="一级无标题条 Char Char"/>
    <w:link w:val="380"/>
    <w:qFormat/>
    <w:uiPriority w:val="0"/>
    <w:rPr>
      <w:rFonts w:ascii="宋体" w:hAnsi="宋体"/>
      <w:szCs w:val="24"/>
    </w:rPr>
  </w:style>
  <w:style w:type="paragraph" w:customStyle="1" w:styleId="380">
    <w:name w:val="一级无标题条"/>
    <w:basedOn w:val="1"/>
    <w:link w:val="379"/>
    <w:qFormat/>
    <w:uiPriority w:val="0"/>
    <w:pPr>
      <w:spacing w:after="0" w:line="360" w:lineRule="auto"/>
    </w:pPr>
    <w:rPr>
      <w:rFonts w:ascii="宋体" w:hAnsi="宋体"/>
      <w:kern w:val="0"/>
      <w:sz w:val="20"/>
    </w:rPr>
  </w:style>
  <w:style w:type="character" w:customStyle="1" w:styleId="381">
    <w:name w:val="个人答复风格"/>
    <w:qFormat/>
    <w:uiPriority w:val="0"/>
    <w:rPr>
      <w:rFonts w:ascii="Arial" w:hAnsi="Arial" w:eastAsia="宋体" w:cs="Arial"/>
      <w:color w:val="auto"/>
      <w:sz w:val="20"/>
    </w:rPr>
  </w:style>
  <w:style w:type="character" w:customStyle="1" w:styleId="382">
    <w:name w:val="脚注文本 Char1"/>
    <w:qFormat/>
    <w:uiPriority w:val="0"/>
    <w:rPr>
      <w:kern w:val="2"/>
      <w:sz w:val="18"/>
      <w:szCs w:val="18"/>
    </w:rPr>
  </w:style>
  <w:style w:type="paragraph" w:customStyle="1" w:styleId="383">
    <w:name w:val="标准书眉_偶数页"/>
    <w:basedOn w:val="384"/>
    <w:next w:val="1"/>
    <w:qFormat/>
    <w:uiPriority w:val="0"/>
    <w:pPr>
      <w:tabs>
        <w:tab w:val="center" w:pos="4154"/>
        <w:tab w:val="right" w:pos="8306"/>
      </w:tabs>
      <w:jc w:val="left"/>
    </w:pPr>
  </w:style>
  <w:style w:type="paragraph" w:customStyle="1" w:styleId="384">
    <w:name w:val="标准书眉_奇数页"/>
    <w:next w:val="1"/>
    <w:qFormat/>
    <w:uiPriority w:val="0"/>
    <w:pPr>
      <w:tabs>
        <w:tab w:val="center" w:pos="4154"/>
        <w:tab w:val="right" w:pos="8306"/>
      </w:tabs>
      <w:spacing w:after="120"/>
      <w:jc w:val="right"/>
    </w:pPr>
    <w:rPr>
      <w:rFonts w:ascii="宋体" w:hAnsi="宋体" w:eastAsia="宋体" w:cs="Times New Roman"/>
      <w:kern w:val="2"/>
      <w:sz w:val="21"/>
      <w:szCs w:val="24"/>
      <w:lang w:val="en-US" w:eastAsia="zh-CN" w:bidi="ar-SA"/>
    </w:rPr>
  </w:style>
  <w:style w:type="paragraph" w:customStyle="1" w:styleId="385">
    <w:name w:val="字母编号列项（一级）"/>
    <w:qFormat/>
    <w:uiPriority w:val="0"/>
    <w:pPr>
      <w:ind w:left="840" w:leftChars="200" w:hanging="420" w:hangingChars="200"/>
      <w:jc w:val="both"/>
    </w:pPr>
    <w:rPr>
      <w:rFonts w:ascii="宋体" w:hAnsi="宋体" w:eastAsia="宋体" w:cs="Times New Roman"/>
      <w:kern w:val="2"/>
      <w:sz w:val="21"/>
      <w:szCs w:val="24"/>
      <w:lang w:val="en-US" w:eastAsia="zh-CN" w:bidi="ar-SA"/>
    </w:rPr>
  </w:style>
  <w:style w:type="paragraph" w:customStyle="1" w:styleId="386">
    <w:name w:val="style3"/>
    <w:basedOn w:val="1"/>
    <w:qFormat/>
    <w:uiPriority w:val="0"/>
    <w:pPr>
      <w:widowControl/>
      <w:spacing w:before="100" w:beforeAutospacing="1" w:after="100" w:afterAutospacing="1" w:line="360" w:lineRule="auto"/>
      <w:jc w:val="left"/>
    </w:pPr>
    <w:rPr>
      <w:rFonts w:ascii="宋体" w:hAnsi="宋体"/>
      <w:color w:val="666666"/>
      <w:kern w:val="0"/>
      <w:sz w:val="24"/>
    </w:rPr>
  </w:style>
  <w:style w:type="character" w:customStyle="1" w:styleId="387">
    <w:name w:val="HTML 地址 字符"/>
    <w:basedOn w:val="61"/>
    <w:link w:val="31"/>
    <w:qFormat/>
    <w:uiPriority w:val="0"/>
    <w:rPr>
      <w:i/>
      <w:iCs/>
      <w:kern w:val="2"/>
      <w:sz w:val="21"/>
      <w:szCs w:val="24"/>
    </w:rPr>
  </w:style>
  <w:style w:type="paragraph" w:customStyle="1" w:styleId="388">
    <w:name w:val="注释标题3"/>
    <w:basedOn w:val="1"/>
    <w:next w:val="1"/>
    <w:qFormat/>
    <w:uiPriority w:val="0"/>
    <w:pPr>
      <w:spacing w:after="0" w:line="360" w:lineRule="auto"/>
      <w:jc w:val="center"/>
    </w:pPr>
    <w:rPr>
      <w:rFonts w:ascii="DFKai-SB" w:hAnsi="DFKai-SB" w:eastAsia="DFKai-SB"/>
      <w:sz w:val="20"/>
      <w:szCs w:val="20"/>
    </w:rPr>
  </w:style>
  <w:style w:type="character" w:customStyle="1" w:styleId="389">
    <w:name w:val="注释标题 字符"/>
    <w:basedOn w:val="61"/>
    <w:link w:val="18"/>
    <w:qFormat/>
    <w:uiPriority w:val="0"/>
    <w:rPr>
      <w:kern w:val="2"/>
      <w:sz w:val="21"/>
      <w:szCs w:val="24"/>
    </w:rPr>
  </w:style>
  <w:style w:type="paragraph" w:customStyle="1" w:styleId="390">
    <w:name w:val="附录五级条标题"/>
    <w:basedOn w:val="391"/>
    <w:next w:val="334"/>
    <w:qFormat/>
    <w:uiPriority w:val="0"/>
    <w:pPr>
      <w:tabs>
        <w:tab w:val="left" w:pos="360"/>
      </w:tabs>
      <w:outlineLvl w:val="6"/>
    </w:pPr>
  </w:style>
  <w:style w:type="paragraph" w:customStyle="1" w:styleId="391">
    <w:name w:val="附录四级条标题"/>
    <w:basedOn w:val="392"/>
    <w:next w:val="334"/>
    <w:qFormat/>
    <w:uiPriority w:val="0"/>
    <w:pPr>
      <w:tabs>
        <w:tab w:val="left" w:pos="360"/>
      </w:tabs>
      <w:outlineLvl w:val="5"/>
    </w:pPr>
  </w:style>
  <w:style w:type="paragraph" w:customStyle="1" w:styleId="392">
    <w:name w:val="附录三级条标题"/>
    <w:basedOn w:val="393"/>
    <w:next w:val="334"/>
    <w:qFormat/>
    <w:uiPriority w:val="0"/>
    <w:pPr>
      <w:tabs>
        <w:tab w:val="left" w:pos="360"/>
      </w:tabs>
      <w:outlineLvl w:val="4"/>
    </w:pPr>
  </w:style>
  <w:style w:type="paragraph" w:customStyle="1" w:styleId="393">
    <w:name w:val="附录二级条标题"/>
    <w:basedOn w:val="394"/>
    <w:next w:val="334"/>
    <w:qFormat/>
    <w:uiPriority w:val="0"/>
    <w:pPr>
      <w:tabs>
        <w:tab w:val="left" w:pos="360"/>
      </w:tabs>
      <w:outlineLvl w:val="3"/>
    </w:pPr>
  </w:style>
  <w:style w:type="paragraph" w:customStyle="1" w:styleId="394">
    <w:name w:val="附录一级条标题"/>
    <w:basedOn w:val="395"/>
    <w:next w:val="334"/>
    <w:qFormat/>
    <w:uiPriority w:val="0"/>
    <w:pPr>
      <w:tabs>
        <w:tab w:val="left" w:pos="360"/>
      </w:tabs>
      <w:autoSpaceDN w:val="0"/>
      <w:spacing w:beforeLines="0" w:afterLines="0"/>
      <w:ind w:left="0"/>
      <w:outlineLvl w:val="2"/>
    </w:pPr>
  </w:style>
  <w:style w:type="paragraph" w:customStyle="1" w:styleId="395">
    <w:name w:val="附录章标题"/>
    <w:next w:val="334"/>
    <w:qFormat/>
    <w:uiPriority w:val="0"/>
    <w:pPr>
      <w:tabs>
        <w:tab w:val="left" w:pos="360"/>
      </w:tabs>
      <w:wordWrap w:val="0"/>
      <w:overflowPunct w:val="0"/>
      <w:autoSpaceDE w:val="0"/>
      <w:spacing w:beforeLines="50" w:afterLines="50"/>
      <w:ind w:left="420"/>
      <w:jc w:val="both"/>
      <w:textAlignment w:val="baseline"/>
      <w:outlineLvl w:val="1"/>
    </w:pPr>
    <w:rPr>
      <w:rFonts w:ascii="黑体" w:hAnsi="宋体" w:eastAsia="黑体" w:cs="Times New Roman"/>
      <w:kern w:val="21"/>
      <w:sz w:val="21"/>
      <w:szCs w:val="24"/>
      <w:lang w:val="en-US" w:eastAsia="zh-CN" w:bidi="ar-SA"/>
    </w:rPr>
  </w:style>
  <w:style w:type="paragraph" w:customStyle="1" w:styleId="396">
    <w:name w:val="Char Char4"/>
    <w:basedOn w:val="1"/>
    <w:qFormat/>
    <w:uiPriority w:val="0"/>
    <w:pPr>
      <w:spacing w:after="0" w:line="360" w:lineRule="auto"/>
    </w:pPr>
  </w:style>
  <w:style w:type="paragraph" w:customStyle="1" w:styleId="397">
    <w:name w:val="Char Char Char Char1"/>
    <w:basedOn w:val="1"/>
    <w:qFormat/>
    <w:uiPriority w:val="0"/>
    <w:pPr>
      <w:spacing w:after="0" w:line="360" w:lineRule="auto"/>
      <w:ind w:firstLine="200" w:firstLineChars="200"/>
    </w:pPr>
    <w:rPr>
      <w:rFonts w:ascii="Tahoma" w:hAnsi="Tahoma"/>
      <w:sz w:val="24"/>
    </w:rPr>
  </w:style>
  <w:style w:type="paragraph" w:customStyle="1" w:styleId="398">
    <w:name w:val="Note Heading1"/>
    <w:basedOn w:val="1"/>
    <w:next w:val="1"/>
    <w:qFormat/>
    <w:uiPriority w:val="0"/>
    <w:pPr>
      <w:spacing w:after="0" w:line="360" w:lineRule="auto"/>
      <w:jc w:val="center"/>
    </w:pPr>
    <w:rPr>
      <w:rFonts w:ascii="DFKai-SB" w:hAnsi="DFKai-SB" w:eastAsia="DFKai-SB"/>
      <w:sz w:val="20"/>
      <w:szCs w:val="20"/>
    </w:rPr>
  </w:style>
  <w:style w:type="paragraph" w:customStyle="1" w:styleId="399">
    <w:name w:val="列表内容"/>
    <w:basedOn w:val="1"/>
    <w:next w:val="1"/>
    <w:qFormat/>
    <w:uiPriority w:val="0"/>
    <w:pPr>
      <w:widowControl/>
      <w:tabs>
        <w:tab w:val="left" w:pos="840"/>
      </w:tabs>
      <w:spacing w:after="0" w:line="360" w:lineRule="auto"/>
      <w:ind w:left="425" w:hanging="137"/>
      <w:jc w:val="left"/>
    </w:pPr>
    <w:rPr>
      <w:kern w:val="0"/>
      <w:sz w:val="18"/>
    </w:rPr>
  </w:style>
  <w:style w:type="character" w:customStyle="1" w:styleId="400">
    <w:name w:val="正文首行缩进 2 Char1"/>
    <w:qFormat/>
    <w:uiPriority w:val="0"/>
    <w:rPr>
      <w:rFonts w:ascii="宋体" w:hAnsi="Courier New"/>
      <w:spacing w:val="-4"/>
      <w:kern w:val="2"/>
      <w:sz w:val="21"/>
      <w:szCs w:val="24"/>
    </w:rPr>
  </w:style>
  <w:style w:type="character" w:customStyle="1" w:styleId="401">
    <w:name w:val="正文文本缩进 Char2"/>
    <w:qFormat/>
    <w:uiPriority w:val="0"/>
    <w:rPr>
      <w:kern w:val="2"/>
      <w:sz w:val="21"/>
      <w:szCs w:val="24"/>
    </w:rPr>
  </w:style>
  <w:style w:type="paragraph" w:customStyle="1" w:styleId="402">
    <w:name w:val="图表脚注"/>
    <w:next w:val="334"/>
    <w:qFormat/>
    <w:uiPriority w:val="0"/>
    <w:pPr>
      <w:ind w:left="300" w:leftChars="200" w:hanging="100" w:hangingChars="100"/>
      <w:jc w:val="both"/>
    </w:pPr>
    <w:rPr>
      <w:rFonts w:ascii="宋体" w:hAnsi="宋体" w:eastAsia="宋体" w:cs="Times New Roman"/>
      <w:kern w:val="2"/>
      <w:sz w:val="18"/>
      <w:szCs w:val="24"/>
      <w:lang w:val="en-US" w:eastAsia="zh-CN" w:bidi="ar-SA"/>
    </w:rPr>
  </w:style>
  <w:style w:type="paragraph" w:customStyle="1" w:styleId="403">
    <w:name w:val="潘"/>
    <w:basedOn w:val="1"/>
    <w:qFormat/>
    <w:uiPriority w:val="0"/>
    <w:pPr>
      <w:snapToGrid w:val="0"/>
      <w:spacing w:after="0" w:line="240" w:lineRule="atLeast"/>
    </w:pPr>
    <w:rPr>
      <w:rFonts w:ascii="Arial" w:hAnsi="Arial" w:eastAsia="楷体_GB2312"/>
      <w:b/>
      <w:bCs/>
    </w:rPr>
  </w:style>
  <w:style w:type="paragraph" w:customStyle="1" w:styleId="404">
    <w:name w:val="其他标准称谓"/>
    <w:qFormat/>
    <w:uiPriority w:val="0"/>
    <w:pPr>
      <w:spacing w:line="0" w:lineRule="atLeast"/>
      <w:jc w:val="distribute"/>
    </w:pPr>
    <w:rPr>
      <w:rFonts w:ascii="黑体" w:hAnsi="宋体" w:eastAsia="黑体" w:cs="Times New Roman"/>
      <w:kern w:val="2"/>
      <w:sz w:val="52"/>
      <w:szCs w:val="24"/>
      <w:lang w:val="en-US" w:eastAsia="zh-CN" w:bidi="ar-SA"/>
    </w:rPr>
  </w:style>
  <w:style w:type="paragraph" w:customStyle="1" w:styleId="405">
    <w:name w:val="数字编号列项（二级）"/>
    <w:qFormat/>
    <w:uiPriority w:val="0"/>
    <w:pPr>
      <w:ind w:left="1260" w:leftChars="400" w:hanging="420" w:hangingChars="200"/>
      <w:jc w:val="both"/>
    </w:pPr>
    <w:rPr>
      <w:rFonts w:ascii="宋体" w:hAnsi="宋体" w:eastAsia="宋体" w:cs="Times New Roman"/>
      <w:kern w:val="2"/>
      <w:sz w:val="21"/>
      <w:szCs w:val="24"/>
      <w:lang w:val="en-US" w:eastAsia="zh-CN" w:bidi="ar-SA"/>
    </w:rPr>
  </w:style>
  <w:style w:type="paragraph" w:customStyle="1" w:styleId="406">
    <w:name w:val="样式 标题 3标题 3 CharH3h33rd level3Level 3 Headlevel_3PIM 3s..."/>
    <w:basedOn w:val="10"/>
    <w:qFormat/>
    <w:uiPriority w:val="0"/>
    <w:pPr>
      <w:tabs>
        <w:tab w:val="left" w:pos="425"/>
      </w:tabs>
      <w:spacing w:afterLines="50" w:line="416" w:lineRule="auto"/>
      <w:ind w:firstLine="0" w:firstLineChars="0"/>
    </w:pPr>
    <w:rPr>
      <w:rFonts w:ascii="宋体" w:hAnsi="宋体" w:eastAsia="宋体" w:cs="宋体"/>
      <w:sz w:val="28"/>
    </w:rPr>
  </w:style>
  <w:style w:type="paragraph" w:customStyle="1" w:styleId="407">
    <w:name w:val="注×："/>
    <w:qFormat/>
    <w:uiPriority w:val="0"/>
    <w:pPr>
      <w:widowControl w:val="0"/>
      <w:tabs>
        <w:tab w:val="left" w:pos="360"/>
        <w:tab w:val="left" w:pos="630"/>
      </w:tabs>
      <w:autoSpaceDE w:val="0"/>
      <w:autoSpaceDN w:val="0"/>
      <w:jc w:val="both"/>
    </w:pPr>
    <w:rPr>
      <w:rFonts w:ascii="宋体" w:hAnsi="宋体" w:eastAsia="宋体" w:cs="Times New Roman"/>
      <w:kern w:val="2"/>
      <w:sz w:val="18"/>
      <w:szCs w:val="24"/>
      <w:lang w:val="en-US" w:eastAsia="zh-CN" w:bidi="ar-SA"/>
    </w:rPr>
  </w:style>
  <w:style w:type="paragraph" w:customStyle="1" w:styleId="408">
    <w:name w:val="二级无标题条"/>
    <w:basedOn w:val="1"/>
    <w:qFormat/>
    <w:uiPriority w:val="0"/>
    <w:pPr>
      <w:spacing w:after="0" w:line="360" w:lineRule="auto"/>
    </w:pPr>
    <w:rPr>
      <w:rFonts w:ascii="宋体" w:hAnsi="宋体"/>
    </w:rPr>
  </w:style>
  <w:style w:type="paragraph" w:customStyle="1" w:styleId="409">
    <w:name w:val="字母编号列项"/>
    <w:qFormat/>
    <w:uiPriority w:val="0"/>
    <w:pPr>
      <w:ind w:left="840" w:leftChars="200" w:hanging="420" w:hangingChars="200"/>
      <w:jc w:val="both"/>
    </w:pPr>
    <w:rPr>
      <w:rFonts w:ascii="宋体" w:hAnsi="宋体" w:eastAsia="宋体" w:cs="Times New Roman"/>
      <w:kern w:val="2"/>
      <w:sz w:val="21"/>
      <w:szCs w:val="24"/>
      <w:lang w:val="en-US" w:eastAsia="zh-CN" w:bidi="ar-SA"/>
    </w:rPr>
  </w:style>
  <w:style w:type="paragraph" w:customStyle="1" w:styleId="410">
    <w:name w:val="封面正文"/>
    <w:qFormat/>
    <w:uiPriority w:val="0"/>
    <w:pPr>
      <w:jc w:val="both"/>
    </w:pPr>
    <w:rPr>
      <w:rFonts w:ascii="宋体" w:hAnsi="宋体" w:eastAsia="宋体" w:cs="Times New Roman"/>
      <w:kern w:val="2"/>
      <w:sz w:val="24"/>
      <w:szCs w:val="24"/>
      <w:lang w:val="en-US" w:eastAsia="zh-CN" w:bidi="ar-SA"/>
    </w:rPr>
  </w:style>
  <w:style w:type="paragraph" w:customStyle="1" w:styleId="411">
    <w:name w:val="列项·"/>
    <w:qFormat/>
    <w:uiPriority w:val="0"/>
    <w:pPr>
      <w:tabs>
        <w:tab w:val="left" w:pos="360"/>
        <w:tab w:val="left" w:pos="840"/>
      </w:tabs>
      <w:jc w:val="both"/>
    </w:pPr>
    <w:rPr>
      <w:rFonts w:ascii="宋体" w:hAnsi="宋体" w:eastAsia="宋体" w:cs="Times New Roman"/>
      <w:kern w:val="2"/>
      <w:sz w:val="21"/>
      <w:szCs w:val="24"/>
      <w:lang w:val="en-US" w:eastAsia="zh-CN" w:bidi="ar-SA"/>
    </w:rPr>
  </w:style>
  <w:style w:type="paragraph" w:customStyle="1" w:styleId="412">
    <w:name w:val="一级条标题"/>
    <w:basedOn w:val="1"/>
    <w:next w:val="1"/>
    <w:qFormat/>
    <w:uiPriority w:val="0"/>
    <w:pPr>
      <w:widowControl/>
      <w:spacing w:after="0" w:line="360" w:lineRule="auto"/>
      <w:outlineLvl w:val="2"/>
    </w:pPr>
    <w:rPr>
      <w:rFonts w:ascii="黑体" w:hAnsi="宋体" w:eastAsia="黑体"/>
      <w:kern w:val="0"/>
      <w:szCs w:val="20"/>
    </w:rPr>
  </w:style>
  <w:style w:type="paragraph" w:customStyle="1" w:styleId="413">
    <w:name w:val="样式 标题 4H4sect 1.2.3.4Ref Heading 1rh1Heading sqlh4h41h42..."/>
    <w:basedOn w:val="11"/>
    <w:qFormat/>
    <w:uiPriority w:val="0"/>
    <w:pPr>
      <w:numPr>
        <w:ilvl w:val="3"/>
        <w:numId w:val="8"/>
      </w:numPr>
      <w:tabs>
        <w:tab w:val="left" w:pos="425"/>
        <w:tab w:val="left" w:pos="1680"/>
      </w:tabs>
      <w:spacing w:before="0" w:afterLines="50" w:line="360" w:lineRule="auto"/>
      <w:ind w:left="1680"/>
    </w:pPr>
    <w:rPr>
      <w:rFonts w:ascii="Times New Roman" w:hAnsi="宋体" w:eastAsia="宋体" w:cs="宋体"/>
      <w:kern w:val="0"/>
      <w:sz w:val="24"/>
      <w:szCs w:val="20"/>
    </w:rPr>
  </w:style>
  <w:style w:type="paragraph" w:customStyle="1" w:styleId="414">
    <w:name w:val="参考文献、索引标题"/>
    <w:basedOn w:val="415"/>
    <w:next w:val="1"/>
    <w:qFormat/>
    <w:uiPriority w:val="0"/>
    <w:pPr>
      <w:spacing w:after="200"/>
      <w:ind w:left="0" w:firstLine="0"/>
    </w:pPr>
    <w:rPr>
      <w:sz w:val="21"/>
    </w:rPr>
  </w:style>
  <w:style w:type="paragraph" w:customStyle="1" w:styleId="415">
    <w:name w:val="前言、引言标题"/>
    <w:next w:val="1"/>
    <w:qFormat/>
    <w:uiPriority w:val="0"/>
    <w:pPr>
      <w:shd w:val="clear" w:color="FFFFFF" w:fill="FFFFFF"/>
      <w:spacing w:before="640" w:after="560"/>
      <w:ind w:left="420" w:hanging="420"/>
      <w:jc w:val="center"/>
      <w:outlineLvl w:val="0"/>
    </w:pPr>
    <w:rPr>
      <w:rFonts w:ascii="黑体" w:hAnsi="宋体" w:eastAsia="黑体" w:cs="Times New Roman"/>
      <w:kern w:val="2"/>
      <w:sz w:val="32"/>
      <w:szCs w:val="24"/>
      <w:lang w:val="en-US" w:eastAsia="zh-CN" w:bidi="ar-SA"/>
    </w:rPr>
  </w:style>
  <w:style w:type="paragraph" w:customStyle="1" w:styleId="416">
    <w:name w:val="列项——"/>
    <w:qFormat/>
    <w:uiPriority w:val="0"/>
    <w:pPr>
      <w:widowControl w:val="0"/>
      <w:tabs>
        <w:tab w:val="left" w:pos="360"/>
      </w:tabs>
      <w:jc w:val="both"/>
    </w:pPr>
    <w:rPr>
      <w:rFonts w:ascii="宋体" w:hAnsi="宋体" w:eastAsia="宋体" w:cs="Times New Roman"/>
      <w:kern w:val="2"/>
      <w:sz w:val="21"/>
      <w:szCs w:val="24"/>
      <w:lang w:val="en-US" w:eastAsia="zh-CN" w:bidi="ar-SA"/>
    </w:rPr>
  </w:style>
  <w:style w:type="paragraph" w:customStyle="1" w:styleId="417">
    <w:name w:val="注："/>
    <w:next w:val="334"/>
    <w:qFormat/>
    <w:uiPriority w:val="0"/>
    <w:pPr>
      <w:widowControl w:val="0"/>
      <w:tabs>
        <w:tab w:val="left" w:pos="360"/>
      </w:tabs>
      <w:autoSpaceDE w:val="0"/>
      <w:autoSpaceDN w:val="0"/>
      <w:jc w:val="both"/>
    </w:pPr>
    <w:rPr>
      <w:rFonts w:ascii="宋体" w:hAnsi="宋体" w:eastAsia="宋体" w:cs="Times New Roman"/>
      <w:kern w:val="2"/>
      <w:sz w:val="18"/>
      <w:szCs w:val="24"/>
      <w:lang w:val="en-US" w:eastAsia="zh-CN" w:bidi="ar-SA"/>
    </w:rPr>
  </w:style>
  <w:style w:type="paragraph" w:customStyle="1" w:styleId="418">
    <w:name w:val="四级无标题条"/>
    <w:basedOn w:val="1"/>
    <w:qFormat/>
    <w:uiPriority w:val="0"/>
    <w:pPr>
      <w:spacing w:after="0" w:line="360" w:lineRule="auto"/>
    </w:pPr>
    <w:rPr>
      <w:rFonts w:ascii="宋体" w:hAnsi="宋体"/>
    </w:rPr>
  </w:style>
  <w:style w:type="paragraph" w:customStyle="1" w:styleId="419">
    <w:name w:val="封面标准文稿编辑信息"/>
    <w:qFormat/>
    <w:uiPriority w:val="0"/>
    <w:pPr>
      <w:spacing w:before="180" w:line="180" w:lineRule="exact"/>
      <w:jc w:val="center"/>
    </w:pPr>
    <w:rPr>
      <w:rFonts w:ascii="宋体" w:hAnsi="宋体" w:eastAsia="宋体" w:cs="Times New Roman"/>
      <w:kern w:val="2"/>
      <w:sz w:val="21"/>
      <w:szCs w:val="24"/>
      <w:lang w:val="en-US" w:eastAsia="zh-CN" w:bidi="ar-SA"/>
    </w:rPr>
  </w:style>
  <w:style w:type="paragraph" w:customStyle="1" w:styleId="420">
    <w:name w:val="封面一致性程度标识"/>
    <w:qFormat/>
    <w:uiPriority w:val="0"/>
    <w:pPr>
      <w:spacing w:before="440" w:line="400" w:lineRule="exact"/>
      <w:jc w:val="center"/>
    </w:pPr>
    <w:rPr>
      <w:rFonts w:ascii="宋体" w:hAnsi="宋体" w:eastAsia="宋体" w:cs="Times New Roman"/>
      <w:kern w:val="2"/>
      <w:sz w:val="28"/>
      <w:szCs w:val="24"/>
      <w:lang w:val="en-US" w:eastAsia="zh-CN" w:bidi="ar-SA"/>
    </w:rPr>
  </w:style>
  <w:style w:type="paragraph" w:customStyle="1" w:styleId="421">
    <w:name w:val="发布日期"/>
    <w:qFormat/>
    <w:uiPriority w:val="0"/>
    <w:rPr>
      <w:rFonts w:ascii="宋体" w:hAnsi="宋体" w:eastAsia="黑体" w:cs="Times New Roman"/>
      <w:kern w:val="2"/>
      <w:sz w:val="28"/>
      <w:szCs w:val="24"/>
      <w:lang w:val="en-US" w:eastAsia="zh-CN" w:bidi="ar-SA"/>
    </w:rPr>
  </w:style>
  <w:style w:type="paragraph" w:customStyle="1" w:styleId="422">
    <w:name w:val="Char1 Char Char Char Char Char Char Char Char1 Char Char"/>
    <w:basedOn w:val="1"/>
    <w:qFormat/>
    <w:uiPriority w:val="0"/>
    <w:pPr>
      <w:spacing w:after="0" w:line="360" w:lineRule="auto"/>
    </w:pPr>
    <w:rPr>
      <w:b/>
      <w:bCs/>
      <w:sz w:val="36"/>
      <w:szCs w:val="32"/>
    </w:rPr>
  </w:style>
  <w:style w:type="paragraph" w:customStyle="1" w:styleId="423">
    <w:name w:val="实施日期"/>
    <w:basedOn w:val="421"/>
    <w:qFormat/>
    <w:uiPriority w:val="0"/>
    <w:pPr>
      <w:jc w:val="right"/>
    </w:pPr>
  </w:style>
  <w:style w:type="paragraph" w:customStyle="1" w:styleId="424">
    <w:name w:val="文献分类号"/>
    <w:qFormat/>
    <w:uiPriority w:val="0"/>
    <w:pPr>
      <w:widowControl w:val="0"/>
      <w:textAlignment w:val="center"/>
    </w:pPr>
    <w:rPr>
      <w:rFonts w:ascii="宋体" w:hAnsi="宋体" w:eastAsia="黑体" w:cs="Times New Roman"/>
      <w:kern w:val="2"/>
      <w:sz w:val="21"/>
      <w:szCs w:val="24"/>
      <w:lang w:val="en-US" w:eastAsia="zh-CN" w:bidi="ar-SA"/>
    </w:rPr>
  </w:style>
  <w:style w:type="paragraph" w:customStyle="1" w:styleId="425">
    <w:name w:val="封面标准名称"/>
    <w:qFormat/>
    <w:uiPriority w:val="0"/>
    <w:pPr>
      <w:widowControl w:val="0"/>
      <w:spacing w:line="680" w:lineRule="exact"/>
      <w:jc w:val="center"/>
      <w:textAlignment w:val="center"/>
    </w:pPr>
    <w:rPr>
      <w:rFonts w:ascii="黑体" w:hAnsi="宋体" w:eastAsia="黑体" w:cs="Times New Roman"/>
      <w:kern w:val="2"/>
      <w:sz w:val="52"/>
      <w:szCs w:val="24"/>
      <w:lang w:val="en-US" w:eastAsia="zh-CN" w:bidi="ar-SA"/>
    </w:rPr>
  </w:style>
  <w:style w:type="paragraph" w:customStyle="1" w:styleId="426">
    <w:name w:val="封面标准英文名称"/>
    <w:qFormat/>
    <w:uiPriority w:val="0"/>
    <w:pPr>
      <w:widowControl w:val="0"/>
      <w:spacing w:before="370" w:line="400" w:lineRule="exact"/>
      <w:jc w:val="center"/>
    </w:pPr>
    <w:rPr>
      <w:rFonts w:ascii="宋体" w:hAnsi="宋体" w:eastAsia="宋体" w:cs="Times New Roman"/>
      <w:kern w:val="2"/>
      <w:sz w:val="28"/>
      <w:szCs w:val="24"/>
      <w:lang w:val="en-US" w:eastAsia="zh-CN" w:bidi="ar-SA"/>
    </w:rPr>
  </w:style>
  <w:style w:type="paragraph" w:customStyle="1" w:styleId="427">
    <w:name w:val="Proposals body"/>
    <w:basedOn w:val="1"/>
    <w:next w:val="1"/>
    <w:qFormat/>
    <w:uiPriority w:val="0"/>
    <w:pPr>
      <w:widowControl/>
      <w:spacing w:after="0" w:line="360" w:lineRule="auto"/>
      <w:jc w:val="left"/>
    </w:pPr>
    <w:rPr>
      <w:rFonts w:ascii="宋体" w:hAnsi="宋体"/>
      <w:snapToGrid w:val="0"/>
      <w:color w:val="000000"/>
      <w:kern w:val="0"/>
      <w:sz w:val="24"/>
      <w:szCs w:val="20"/>
    </w:rPr>
  </w:style>
  <w:style w:type="paragraph" w:customStyle="1" w:styleId="428">
    <w:name w:val="Char2"/>
    <w:basedOn w:val="1"/>
    <w:qFormat/>
    <w:uiPriority w:val="0"/>
    <w:pPr>
      <w:widowControl/>
      <w:spacing w:after="0" w:line="400" w:lineRule="exact"/>
      <w:jc w:val="center"/>
    </w:pPr>
    <w:rPr>
      <w:rFonts w:ascii="Verdana" w:hAnsi="Verdana" w:cs="Verdana"/>
      <w:kern w:val="0"/>
      <w:szCs w:val="21"/>
      <w:lang w:eastAsia="en-US"/>
    </w:rPr>
  </w:style>
  <w:style w:type="paragraph" w:customStyle="1" w:styleId="429">
    <w:name w:val="表文字"/>
    <w:basedOn w:val="20"/>
    <w:qFormat/>
    <w:uiPriority w:val="0"/>
    <w:pPr>
      <w:widowControl/>
      <w:overflowPunct w:val="0"/>
      <w:autoSpaceDE w:val="0"/>
      <w:autoSpaceDN w:val="0"/>
      <w:adjustRightInd w:val="0"/>
      <w:snapToGrid w:val="0"/>
      <w:spacing w:after="0" w:line="360" w:lineRule="auto"/>
      <w:ind w:firstLine="0"/>
    </w:pPr>
    <w:rPr>
      <w:rFonts w:ascii="宋体" w:hAnsi="宋体" w:eastAsia="幼圆"/>
      <w:snapToGrid w:val="0"/>
      <w:color w:val="000000"/>
      <w:kern w:val="28"/>
      <w:sz w:val="28"/>
    </w:rPr>
  </w:style>
  <w:style w:type="paragraph" w:customStyle="1" w:styleId="430">
    <w:name w:val="示例"/>
    <w:next w:val="334"/>
    <w:qFormat/>
    <w:uiPriority w:val="0"/>
    <w:pPr>
      <w:tabs>
        <w:tab w:val="left" w:pos="360"/>
      </w:tabs>
      <w:jc w:val="both"/>
    </w:pPr>
    <w:rPr>
      <w:rFonts w:ascii="宋体" w:hAnsi="宋体" w:eastAsia="宋体" w:cs="Times New Roman"/>
      <w:kern w:val="2"/>
      <w:sz w:val="18"/>
      <w:szCs w:val="24"/>
      <w:lang w:val="en-US" w:eastAsia="zh-CN" w:bidi="ar-SA"/>
    </w:rPr>
  </w:style>
  <w:style w:type="paragraph" w:customStyle="1" w:styleId="431">
    <w:name w:val="c封面发布日期"/>
    <w:basedOn w:val="1"/>
    <w:qFormat/>
    <w:uiPriority w:val="0"/>
    <w:pPr>
      <w:adjustRightInd w:val="0"/>
      <w:spacing w:after="0" w:line="360" w:lineRule="auto"/>
    </w:pPr>
    <w:rPr>
      <w:rFonts w:ascii="宋体" w:hAnsi="宋体" w:eastAsia="黑体"/>
      <w:kern w:val="0"/>
      <w:sz w:val="28"/>
      <w:szCs w:val="20"/>
    </w:rPr>
  </w:style>
  <w:style w:type="paragraph" w:customStyle="1" w:styleId="432">
    <w:name w:val="Char Char Char Char Char Char Char Char Char Char"/>
    <w:basedOn w:val="1"/>
    <w:qFormat/>
    <w:uiPriority w:val="0"/>
    <w:pPr>
      <w:adjustRightInd w:val="0"/>
      <w:spacing w:after="0" w:line="360" w:lineRule="auto"/>
    </w:pPr>
    <w:rPr>
      <w:rFonts w:ascii="宋体" w:hAnsi="宋体"/>
      <w:kern w:val="0"/>
      <w:sz w:val="24"/>
      <w:szCs w:val="20"/>
    </w:rPr>
  </w:style>
  <w:style w:type="paragraph" w:customStyle="1" w:styleId="433">
    <w:name w:val="Char2 Char Char Char Char Char Char Char Char Char Char Char Char"/>
    <w:basedOn w:val="1"/>
    <w:qFormat/>
    <w:uiPriority w:val="0"/>
    <w:pPr>
      <w:spacing w:after="0" w:line="360" w:lineRule="auto"/>
      <w:ind w:firstLine="200" w:firstLineChars="200"/>
    </w:pPr>
    <w:rPr>
      <w:rFonts w:ascii="Tahoma" w:hAnsi="Tahoma"/>
      <w:sz w:val="24"/>
    </w:rPr>
  </w:style>
  <w:style w:type="paragraph" w:customStyle="1" w:styleId="434">
    <w:name w:val="附录表标题"/>
    <w:next w:val="334"/>
    <w:qFormat/>
    <w:uiPriority w:val="0"/>
    <w:pPr>
      <w:jc w:val="center"/>
      <w:textAlignment w:val="baseline"/>
    </w:pPr>
    <w:rPr>
      <w:rFonts w:ascii="黑体" w:hAnsi="宋体" w:eastAsia="黑体" w:cs="Times New Roman"/>
      <w:kern w:val="21"/>
      <w:sz w:val="21"/>
      <w:szCs w:val="24"/>
      <w:lang w:val="en-US" w:eastAsia="zh-CN" w:bidi="ar-SA"/>
    </w:rPr>
  </w:style>
  <w:style w:type="paragraph" w:customStyle="1" w:styleId="435">
    <w:name w:val="Char Char 字元 字元 字元 Char Char Char Char"/>
    <w:basedOn w:val="1"/>
    <w:qFormat/>
    <w:uiPriority w:val="0"/>
    <w:pPr>
      <w:adjustRightInd w:val="0"/>
      <w:spacing w:after="0" w:line="360" w:lineRule="auto"/>
    </w:pPr>
    <w:rPr>
      <w:rFonts w:ascii="宋体" w:hAnsi="宋体"/>
      <w:kern w:val="0"/>
      <w:sz w:val="20"/>
      <w:szCs w:val="20"/>
    </w:rPr>
  </w:style>
  <w:style w:type="paragraph" w:customStyle="1" w:styleId="436">
    <w:name w:val="附录标识"/>
    <w:basedOn w:val="415"/>
    <w:qFormat/>
    <w:uiPriority w:val="0"/>
    <w:pPr>
      <w:tabs>
        <w:tab w:val="left" w:pos="360"/>
        <w:tab w:val="left" w:pos="6405"/>
      </w:tabs>
      <w:spacing w:after="200"/>
      <w:ind w:left="0" w:firstLine="0"/>
    </w:pPr>
    <w:rPr>
      <w:sz w:val="21"/>
    </w:rPr>
  </w:style>
  <w:style w:type="paragraph" w:customStyle="1" w:styleId="437">
    <w:name w:val="目次、索引正文"/>
    <w:qFormat/>
    <w:uiPriority w:val="0"/>
    <w:pPr>
      <w:spacing w:line="320" w:lineRule="exact"/>
      <w:jc w:val="both"/>
    </w:pPr>
    <w:rPr>
      <w:rFonts w:ascii="宋体" w:hAnsi="宋体" w:eastAsia="宋体" w:cs="Times New Roman"/>
      <w:kern w:val="2"/>
      <w:sz w:val="21"/>
      <w:szCs w:val="24"/>
      <w:lang w:val="en-US" w:eastAsia="zh-CN" w:bidi="ar-SA"/>
    </w:rPr>
  </w:style>
  <w:style w:type="paragraph" w:customStyle="1" w:styleId="438">
    <w:name w:val="标准书脚_奇数页"/>
    <w:qFormat/>
    <w:uiPriority w:val="0"/>
    <w:pPr>
      <w:spacing w:before="120"/>
      <w:jc w:val="right"/>
    </w:pPr>
    <w:rPr>
      <w:rFonts w:ascii="宋体" w:hAnsi="宋体" w:eastAsia="宋体" w:cs="Times New Roman"/>
      <w:kern w:val="2"/>
      <w:sz w:val="18"/>
      <w:szCs w:val="24"/>
      <w:lang w:val="en-US" w:eastAsia="zh-CN" w:bidi="ar-SA"/>
    </w:rPr>
  </w:style>
  <w:style w:type="paragraph" w:customStyle="1" w:styleId="439">
    <w:name w:val="标准书眉一"/>
    <w:qFormat/>
    <w:uiPriority w:val="0"/>
    <w:pPr>
      <w:jc w:val="both"/>
    </w:pPr>
    <w:rPr>
      <w:rFonts w:ascii="宋体" w:hAnsi="宋体" w:eastAsia="宋体" w:cs="Times New Roman"/>
      <w:kern w:val="2"/>
      <w:sz w:val="24"/>
      <w:szCs w:val="24"/>
      <w:lang w:val="en-US" w:eastAsia="zh-CN" w:bidi="ar-SA"/>
    </w:rPr>
  </w:style>
  <w:style w:type="paragraph" w:customStyle="1" w:styleId="440">
    <w:name w:val="其他发布部门"/>
    <w:basedOn w:val="441"/>
    <w:qFormat/>
    <w:uiPriority w:val="0"/>
    <w:pPr>
      <w:spacing w:line="0" w:lineRule="atLeast"/>
    </w:pPr>
    <w:rPr>
      <w:rFonts w:ascii="黑体" w:eastAsia="黑体"/>
      <w:b w:val="0"/>
    </w:rPr>
  </w:style>
  <w:style w:type="paragraph" w:customStyle="1" w:styleId="441">
    <w:name w:val="发布部门"/>
    <w:next w:val="334"/>
    <w:qFormat/>
    <w:uiPriority w:val="0"/>
    <w:pPr>
      <w:jc w:val="center"/>
    </w:pPr>
    <w:rPr>
      <w:rFonts w:ascii="宋体" w:hAnsi="宋体" w:eastAsia="宋体" w:cs="Times New Roman"/>
      <w:b/>
      <w:spacing w:val="20"/>
      <w:w w:val="135"/>
      <w:kern w:val="2"/>
      <w:sz w:val="36"/>
      <w:szCs w:val="24"/>
      <w:lang w:val="en-US" w:eastAsia="zh-CN" w:bidi="ar-SA"/>
    </w:rPr>
  </w:style>
  <w:style w:type="paragraph" w:customStyle="1" w:styleId="442">
    <w:name w:val="附录性质"/>
    <w:basedOn w:val="1"/>
    <w:qFormat/>
    <w:uiPriority w:val="0"/>
    <w:pPr>
      <w:spacing w:after="0" w:line="360" w:lineRule="auto"/>
      <w:jc w:val="center"/>
    </w:pPr>
    <w:rPr>
      <w:rFonts w:ascii="黑体" w:hAnsi="宋体" w:eastAsia="黑体"/>
    </w:rPr>
  </w:style>
  <w:style w:type="paragraph" w:customStyle="1" w:styleId="443">
    <w:name w:val="条文脚注"/>
    <w:basedOn w:val="45"/>
    <w:qFormat/>
    <w:uiPriority w:val="0"/>
    <w:pPr>
      <w:spacing w:after="0" w:line="360" w:lineRule="auto"/>
      <w:ind w:left="780" w:leftChars="200" w:hanging="360" w:hangingChars="200"/>
      <w:jc w:val="both"/>
    </w:pPr>
    <w:rPr>
      <w:rFonts w:hint="default" w:ascii="宋体" w:hAnsi="宋体"/>
      <w:kern w:val="0"/>
      <w:szCs w:val="18"/>
    </w:rPr>
  </w:style>
  <w:style w:type="paragraph" w:customStyle="1" w:styleId="444">
    <w:name w:val="五级无标题条"/>
    <w:basedOn w:val="1"/>
    <w:qFormat/>
    <w:uiPriority w:val="0"/>
    <w:pPr>
      <w:spacing w:after="0" w:line="360" w:lineRule="auto"/>
    </w:pPr>
    <w:rPr>
      <w:rFonts w:ascii="宋体" w:hAnsi="宋体"/>
    </w:rPr>
  </w:style>
  <w:style w:type="paragraph" w:customStyle="1" w:styleId="445">
    <w:name w:val="Note Heading2"/>
    <w:basedOn w:val="1"/>
    <w:next w:val="1"/>
    <w:qFormat/>
    <w:uiPriority w:val="0"/>
    <w:pPr>
      <w:spacing w:after="0" w:line="360" w:lineRule="auto"/>
      <w:jc w:val="center"/>
    </w:pPr>
    <w:rPr>
      <w:rFonts w:ascii="DFKai-SB" w:hAnsi="DFKai-SB" w:eastAsia="DFKai-SB"/>
      <w:sz w:val="20"/>
      <w:szCs w:val="20"/>
    </w:rPr>
  </w:style>
  <w:style w:type="paragraph" w:customStyle="1" w:styleId="446">
    <w:name w:val="目次、标准名称标题"/>
    <w:basedOn w:val="415"/>
    <w:next w:val="1"/>
    <w:qFormat/>
    <w:uiPriority w:val="0"/>
    <w:pPr>
      <w:spacing w:line="460" w:lineRule="exact"/>
      <w:ind w:left="0" w:firstLine="0"/>
    </w:pPr>
  </w:style>
  <w:style w:type="paragraph" w:customStyle="1" w:styleId="447">
    <w:name w:val="无标题条"/>
    <w:next w:val="334"/>
    <w:qFormat/>
    <w:uiPriority w:val="0"/>
    <w:pPr>
      <w:jc w:val="both"/>
    </w:pPr>
    <w:rPr>
      <w:rFonts w:ascii="宋体" w:hAnsi="宋体" w:eastAsia="宋体" w:cs="Times New Roman"/>
      <w:kern w:val="2"/>
      <w:sz w:val="21"/>
      <w:szCs w:val="24"/>
      <w:lang w:val="en-US" w:eastAsia="zh-CN" w:bidi="ar-SA"/>
    </w:rPr>
  </w:style>
  <w:style w:type="paragraph" w:customStyle="1" w:styleId="448">
    <w:name w:val="三级无标题条"/>
    <w:basedOn w:val="1"/>
    <w:qFormat/>
    <w:uiPriority w:val="0"/>
    <w:pPr>
      <w:spacing w:after="0" w:line="360" w:lineRule="auto"/>
    </w:pPr>
    <w:rPr>
      <w:rFonts w:ascii="宋体" w:hAnsi="宋体"/>
    </w:rPr>
  </w:style>
  <w:style w:type="paragraph" w:customStyle="1" w:styleId="449">
    <w:name w:val="正文图标题"/>
    <w:next w:val="334"/>
    <w:qFormat/>
    <w:uiPriority w:val="0"/>
    <w:pPr>
      <w:tabs>
        <w:tab w:val="left" w:pos="360"/>
      </w:tabs>
      <w:jc w:val="center"/>
    </w:pPr>
    <w:rPr>
      <w:rFonts w:ascii="黑体" w:hAnsi="宋体" w:eastAsia="黑体" w:cs="Times New Roman"/>
      <w:kern w:val="2"/>
      <w:sz w:val="21"/>
      <w:szCs w:val="24"/>
      <w:lang w:val="en-US" w:eastAsia="zh-CN" w:bidi="ar-SA"/>
    </w:rPr>
  </w:style>
  <w:style w:type="paragraph" w:customStyle="1" w:styleId="450">
    <w:name w:val="Char3"/>
    <w:basedOn w:val="1"/>
    <w:qFormat/>
    <w:uiPriority w:val="0"/>
    <w:pPr>
      <w:spacing w:after="0" w:line="360" w:lineRule="auto"/>
    </w:pPr>
    <w:rPr>
      <w:rFonts w:ascii="Tahoma" w:hAnsi="Tahoma"/>
      <w:sz w:val="24"/>
      <w:szCs w:val="20"/>
    </w:rPr>
  </w:style>
  <w:style w:type="paragraph" w:customStyle="1" w:styleId="451">
    <w:name w:val="标准称谓"/>
    <w:next w:val="1"/>
    <w:qFormat/>
    <w:uiPriority w:val="0"/>
    <w:pPr>
      <w:widowControl w:val="0"/>
      <w:kinsoku w:val="0"/>
      <w:overflowPunct w:val="0"/>
      <w:autoSpaceDE w:val="0"/>
      <w:autoSpaceDN w:val="0"/>
      <w:spacing w:line="0" w:lineRule="atLeast"/>
      <w:jc w:val="distribute"/>
    </w:pPr>
    <w:rPr>
      <w:rFonts w:ascii="宋体" w:hAnsi="宋体" w:eastAsia="宋体" w:cs="Times New Roman"/>
      <w:b/>
      <w:bCs/>
      <w:spacing w:val="20"/>
      <w:w w:val="148"/>
      <w:kern w:val="2"/>
      <w:sz w:val="52"/>
      <w:szCs w:val="24"/>
      <w:lang w:val="en-US" w:eastAsia="zh-CN" w:bidi="ar-SA"/>
    </w:rPr>
  </w:style>
  <w:style w:type="paragraph" w:customStyle="1" w:styleId="452">
    <w:name w:val="哈哈正文"/>
    <w:basedOn w:val="1"/>
    <w:qFormat/>
    <w:uiPriority w:val="0"/>
    <w:pPr>
      <w:spacing w:after="0" w:line="360" w:lineRule="auto"/>
      <w:ind w:firstLine="200" w:firstLineChars="200"/>
    </w:pPr>
    <w:rPr>
      <w:rFonts w:ascii="宋体" w:hAnsi="宋体" w:cs="宋体"/>
      <w:sz w:val="24"/>
    </w:rPr>
  </w:style>
  <w:style w:type="paragraph" w:customStyle="1" w:styleId="453">
    <w:name w:val="标3"/>
    <w:basedOn w:val="1"/>
    <w:qFormat/>
    <w:uiPriority w:val="0"/>
    <w:pPr>
      <w:tabs>
        <w:tab w:val="left" w:pos="1740"/>
      </w:tabs>
      <w:adjustRightInd w:val="0"/>
      <w:snapToGrid w:val="0"/>
      <w:spacing w:before="50" w:after="0" w:line="360" w:lineRule="auto"/>
      <w:ind w:left="1740" w:hanging="420"/>
      <w:outlineLvl w:val="2"/>
    </w:pPr>
    <w:rPr>
      <w:rFonts w:ascii="Arial Narrow" w:hAnsi="Arial Narrow" w:eastAsia="仿宋_GB2312"/>
      <w:sz w:val="28"/>
      <w:szCs w:val="20"/>
    </w:rPr>
  </w:style>
  <w:style w:type="paragraph" w:customStyle="1" w:styleId="454">
    <w:name w:val="Char Char6 Char Char"/>
    <w:basedOn w:val="1"/>
    <w:qFormat/>
    <w:uiPriority w:val="0"/>
    <w:pPr>
      <w:tabs>
        <w:tab w:val="right" w:pos="-2120"/>
      </w:tabs>
      <w:snapToGrid w:val="0"/>
      <w:spacing w:after="0" w:line="360" w:lineRule="auto"/>
    </w:pPr>
    <w:rPr>
      <w:rFonts w:ascii="Tahoma" w:hAnsi="Tahoma"/>
      <w:spacing w:val="6"/>
      <w:sz w:val="24"/>
      <w:szCs w:val="20"/>
    </w:rPr>
  </w:style>
  <w:style w:type="paragraph" w:customStyle="1" w:styleId="455">
    <w:name w:val="封面标准文稿类别"/>
    <w:qFormat/>
    <w:uiPriority w:val="0"/>
    <w:pPr>
      <w:spacing w:before="440" w:line="400" w:lineRule="exact"/>
      <w:jc w:val="center"/>
    </w:pPr>
    <w:rPr>
      <w:rFonts w:ascii="宋体" w:hAnsi="宋体" w:eastAsia="宋体" w:cs="Times New Roman"/>
      <w:kern w:val="2"/>
      <w:sz w:val="24"/>
      <w:szCs w:val="24"/>
      <w:lang w:val="en-US" w:eastAsia="zh-CN" w:bidi="ar-SA"/>
    </w:rPr>
  </w:style>
  <w:style w:type="paragraph" w:customStyle="1" w:styleId="456">
    <w:name w:val="Char1 Char Char Char Char Char Char Char Char1 Char Char1"/>
    <w:basedOn w:val="1"/>
    <w:qFormat/>
    <w:uiPriority w:val="0"/>
    <w:pPr>
      <w:spacing w:after="0" w:line="360" w:lineRule="auto"/>
    </w:pPr>
    <w:rPr>
      <w:b/>
      <w:bCs/>
      <w:sz w:val="36"/>
      <w:szCs w:val="32"/>
    </w:rPr>
  </w:style>
  <w:style w:type="paragraph" w:customStyle="1" w:styleId="457">
    <w:name w:val="标准标志"/>
    <w:next w:val="1"/>
    <w:qFormat/>
    <w:uiPriority w:val="0"/>
    <w:pPr>
      <w:shd w:val="solid" w:color="FFFFFF" w:fill="FFFFFF"/>
      <w:spacing w:line="0" w:lineRule="atLeast"/>
      <w:jc w:val="right"/>
    </w:pPr>
    <w:rPr>
      <w:rFonts w:ascii="宋体" w:hAnsi="宋体" w:eastAsia="宋体" w:cs="Times New Roman"/>
      <w:b/>
      <w:w w:val="130"/>
      <w:kern w:val="2"/>
      <w:sz w:val="96"/>
      <w:szCs w:val="24"/>
      <w:lang w:val="en-US" w:eastAsia="zh-CN" w:bidi="ar-SA"/>
    </w:rPr>
  </w:style>
  <w:style w:type="paragraph" w:customStyle="1" w:styleId="458">
    <w:name w:val="Char Char Char Char Char Char Char Char Char Char Char Char"/>
    <w:basedOn w:val="1"/>
    <w:qFormat/>
    <w:uiPriority w:val="0"/>
    <w:pPr>
      <w:spacing w:after="0" w:line="360" w:lineRule="auto"/>
    </w:pPr>
    <w:rPr>
      <w:rFonts w:ascii="宋体" w:hAnsi="宋体"/>
      <w:szCs w:val="20"/>
    </w:rPr>
  </w:style>
  <w:style w:type="paragraph" w:customStyle="1" w:styleId="459">
    <w:name w:val="List Paragraph1"/>
    <w:basedOn w:val="1"/>
    <w:qFormat/>
    <w:uiPriority w:val="0"/>
    <w:pPr>
      <w:spacing w:after="0" w:line="360" w:lineRule="auto"/>
      <w:ind w:firstLine="420" w:firstLineChars="200"/>
    </w:pPr>
    <w:rPr>
      <w:rFonts w:ascii="Calibri" w:hAnsi="Calibri"/>
      <w:szCs w:val="21"/>
    </w:rPr>
  </w:style>
  <w:style w:type="paragraph" w:customStyle="1" w:styleId="460">
    <w:name w:val="附录图标题"/>
    <w:next w:val="334"/>
    <w:qFormat/>
    <w:uiPriority w:val="0"/>
    <w:pPr>
      <w:jc w:val="center"/>
    </w:pPr>
    <w:rPr>
      <w:rFonts w:ascii="黑体" w:hAnsi="宋体" w:eastAsia="黑体" w:cs="Times New Roman"/>
      <w:kern w:val="2"/>
      <w:sz w:val="21"/>
      <w:szCs w:val="24"/>
      <w:lang w:val="en-US" w:eastAsia="zh-CN" w:bidi="ar-SA"/>
    </w:rPr>
  </w:style>
  <w:style w:type="paragraph" w:customStyle="1" w:styleId="461">
    <w:name w:val="标准书脚_偶数页"/>
    <w:qFormat/>
    <w:uiPriority w:val="0"/>
    <w:pPr>
      <w:spacing w:before="120"/>
    </w:pPr>
    <w:rPr>
      <w:rFonts w:ascii="宋体" w:hAnsi="宋体" w:eastAsia="宋体" w:cs="Times New Roman"/>
      <w:kern w:val="2"/>
      <w:sz w:val="18"/>
      <w:szCs w:val="24"/>
      <w:lang w:val="en-US" w:eastAsia="zh-CN" w:bidi="ar-SA"/>
    </w:rPr>
  </w:style>
  <w:style w:type="paragraph" w:customStyle="1" w:styleId="462">
    <w:name w:val="封面标准号1"/>
    <w:qFormat/>
    <w:uiPriority w:val="0"/>
    <w:pPr>
      <w:widowControl w:val="0"/>
      <w:kinsoku w:val="0"/>
      <w:overflowPunct w:val="0"/>
      <w:autoSpaceDE w:val="0"/>
      <w:autoSpaceDN w:val="0"/>
      <w:spacing w:before="308"/>
      <w:jc w:val="right"/>
      <w:textAlignment w:val="center"/>
    </w:pPr>
    <w:rPr>
      <w:rFonts w:ascii="宋体" w:hAnsi="宋体" w:eastAsia="宋体" w:cs="Times New Roman"/>
      <w:kern w:val="2"/>
      <w:sz w:val="28"/>
      <w:szCs w:val="24"/>
      <w:lang w:val="en-US" w:eastAsia="zh-CN" w:bidi="ar-SA"/>
    </w:rPr>
  </w:style>
  <w:style w:type="paragraph" w:customStyle="1" w:styleId="463">
    <w:name w:val="默认段落字体 Para Char Char Char Char Char Char Char"/>
    <w:basedOn w:val="1"/>
    <w:qFormat/>
    <w:uiPriority w:val="0"/>
    <w:pPr>
      <w:spacing w:after="0" w:line="360" w:lineRule="auto"/>
      <w:ind w:firstLine="200" w:firstLineChars="200"/>
    </w:pPr>
    <w:rPr>
      <w:rFonts w:ascii="Tahoma" w:hAnsi="Tahoma"/>
      <w:sz w:val="24"/>
    </w:rPr>
  </w:style>
  <w:style w:type="paragraph" w:customStyle="1" w:styleId="464">
    <w:name w:val="封面标准号2"/>
    <w:basedOn w:val="462"/>
    <w:qFormat/>
    <w:uiPriority w:val="0"/>
    <w:pPr>
      <w:adjustRightInd w:val="0"/>
      <w:spacing w:before="357" w:line="280" w:lineRule="exact"/>
    </w:pPr>
  </w:style>
  <w:style w:type="paragraph" w:customStyle="1" w:styleId="465">
    <w:name w:val="封面标准代替信息"/>
    <w:basedOn w:val="464"/>
    <w:qFormat/>
    <w:uiPriority w:val="0"/>
    <w:pPr>
      <w:spacing w:before="57"/>
    </w:pPr>
    <w:rPr>
      <w:sz w:val="21"/>
    </w:rPr>
  </w:style>
  <w:style w:type="paragraph" w:customStyle="1" w:styleId="466">
    <w:name w:val="MY括弧编号"/>
    <w:basedOn w:val="1"/>
    <w:link w:val="467"/>
    <w:qFormat/>
    <w:uiPriority w:val="0"/>
    <w:pPr>
      <w:spacing w:after="0" w:line="360" w:lineRule="auto"/>
    </w:pPr>
    <w:rPr>
      <w:rFonts w:ascii="Arial" w:hAnsi="Arial"/>
      <w:szCs w:val="21"/>
    </w:rPr>
  </w:style>
  <w:style w:type="character" w:customStyle="1" w:styleId="467">
    <w:name w:val="MY括弧编号 Char"/>
    <w:link w:val="466"/>
    <w:qFormat/>
    <w:uiPriority w:val="0"/>
    <w:rPr>
      <w:rFonts w:ascii="Arial" w:hAnsi="Arial"/>
      <w:kern w:val="2"/>
      <w:sz w:val="21"/>
      <w:szCs w:val="21"/>
    </w:rPr>
  </w:style>
  <w:style w:type="paragraph" w:customStyle="1" w:styleId="468">
    <w:name w:val="MY段内正文"/>
    <w:basedOn w:val="1"/>
    <w:link w:val="469"/>
    <w:qFormat/>
    <w:uiPriority w:val="0"/>
    <w:pPr>
      <w:spacing w:after="0" w:line="360" w:lineRule="auto"/>
      <w:ind w:left="283" w:leftChars="135" w:firstLine="424" w:firstLineChars="202"/>
    </w:pPr>
    <w:rPr>
      <w:rFonts w:ascii="Arial" w:hAnsi="Arial"/>
      <w:szCs w:val="21"/>
    </w:rPr>
  </w:style>
  <w:style w:type="character" w:customStyle="1" w:styleId="469">
    <w:name w:val="MY段内正文 Char"/>
    <w:link w:val="468"/>
    <w:qFormat/>
    <w:uiPriority w:val="0"/>
    <w:rPr>
      <w:rFonts w:ascii="Arial" w:hAnsi="Arial"/>
      <w:kern w:val="2"/>
      <w:sz w:val="21"/>
      <w:szCs w:val="21"/>
    </w:rPr>
  </w:style>
  <w:style w:type="paragraph" w:customStyle="1" w:styleId="470">
    <w:name w:val="3.(1)in"/>
    <w:basedOn w:val="1"/>
    <w:link w:val="471"/>
    <w:qFormat/>
    <w:uiPriority w:val="0"/>
    <w:pPr>
      <w:adjustRightInd w:val="0"/>
      <w:snapToGrid w:val="0"/>
      <w:spacing w:beforeLines="20" w:afterLines="20" w:line="300" w:lineRule="auto"/>
      <w:ind w:left="1695"/>
      <w:jc w:val="left"/>
    </w:pPr>
    <w:rPr>
      <w:rFonts w:ascii="Calibri" w:hAnsi="Calibri" w:eastAsia="DFKai-SB"/>
      <w:sz w:val="28"/>
      <w:szCs w:val="28"/>
      <w:lang w:eastAsia="zh-TW"/>
    </w:rPr>
  </w:style>
  <w:style w:type="character" w:customStyle="1" w:styleId="471">
    <w:name w:val="3.(1)in 字元"/>
    <w:link w:val="470"/>
    <w:qFormat/>
    <w:uiPriority w:val="0"/>
    <w:rPr>
      <w:rFonts w:ascii="Calibri" w:hAnsi="Calibri" w:eastAsia="DFKai-SB"/>
      <w:kern w:val="2"/>
      <w:sz w:val="28"/>
      <w:szCs w:val="28"/>
      <w:lang w:eastAsia="zh-TW"/>
    </w:rPr>
  </w:style>
  <w:style w:type="paragraph" w:customStyle="1" w:styleId="472">
    <w:name w:val="3.(a)in"/>
    <w:basedOn w:val="1"/>
    <w:qFormat/>
    <w:uiPriority w:val="0"/>
    <w:pPr>
      <w:adjustRightInd w:val="0"/>
      <w:snapToGrid w:val="0"/>
      <w:spacing w:beforeLines="20" w:afterLines="20" w:line="300" w:lineRule="auto"/>
      <w:ind w:left="2172"/>
      <w:jc w:val="left"/>
    </w:pPr>
    <w:rPr>
      <w:rFonts w:eastAsia="DFKai-SB"/>
      <w:sz w:val="28"/>
      <w:szCs w:val="28"/>
      <w:lang w:eastAsia="zh-TW"/>
    </w:rPr>
  </w:style>
  <w:style w:type="paragraph" w:customStyle="1" w:styleId="473">
    <w:name w:val="正文黑点编号"/>
    <w:basedOn w:val="1"/>
    <w:qFormat/>
    <w:uiPriority w:val="0"/>
    <w:pPr>
      <w:numPr>
        <w:ilvl w:val="1"/>
        <w:numId w:val="9"/>
      </w:numPr>
      <w:spacing w:after="0" w:line="360" w:lineRule="auto"/>
      <w:ind w:left="257" w:leftChars="257" w:hanging="300"/>
    </w:pPr>
    <w:rPr>
      <w:rFonts w:ascii="Arial" w:hAnsi="Arial"/>
      <w:szCs w:val="21"/>
    </w:rPr>
  </w:style>
  <w:style w:type="paragraph" w:customStyle="1" w:styleId="474">
    <w:name w:val="MY一项目"/>
    <w:basedOn w:val="473"/>
    <w:link w:val="475"/>
    <w:qFormat/>
    <w:uiPriority w:val="0"/>
    <w:pPr>
      <w:numPr>
        <w:ilvl w:val="0"/>
      </w:numPr>
    </w:pPr>
  </w:style>
  <w:style w:type="character" w:customStyle="1" w:styleId="475">
    <w:name w:val="MY一项目 Char"/>
    <w:link w:val="474"/>
    <w:qFormat/>
    <w:uiPriority w:val="0"/>
    <w:rPr>
      <w:rFonts w:ascii="Arial" w:hAnsi="Arial"/>
      <w:kern w:val="2"/>
      <w:sz w:val="21"/>
      <w:szCs w:val="21"/>
    </w:rPr>
  </w:style>
  <w:style w:type="paragraph" w:customStyle="1" w:styleId="476">
    <w:name w:val="MY段首正文"/>
    <w:basedOn w:val="1"/>
    <w:link w:val="477"/>
    <w:qFormat/>
    <w:uiPriority w:val="0"/>
    <w:pPr>
      <w:spacing w:after="0" w:line="360" w:lineRule="auto"/>
      <w:ind w:firstLine="420" w:firstLineChars="200"/>
    </w:pPr>
    <w:rPr>
      <w:rFonts w:ascii="Calibri" w:hAnsi="Calibri"/>
    </w:rPr>
  </w:style>
  <w:style w:type="character" w:customStyle="1" w:styleId="477">
    <w:name w:val="MY段首正文 Char"/>
    <w:link w:val="476"/>
    <w:qFormat/>
    <w:uiPriority w:val="0"/>
    <w:rPr>
      <w:rFonts w:ascii="Calibri" w:hAnsi="Calibri"/>
      <w:kern w:val="2"/>
      <w:sz w:val="21"/>
      <w:szCs w:val="24"/>
    </w:rPr>
  </w:style>
  <w:style w:type="paragraph" w:customStyle="1" w:styleId="478">
    <w:name w:val="4.a."/>
    <w:basedOn w:val="1"/>
    <w:qFormat/>
    <w:uiPriority w:val="0"/>
    <w:pPr>
      <w:adjustRightInd w:val="0"/>
      <w:snapToGrid w:val="0"/>
      <w:spacing w:beforeLines="20" w:afterLines="20" w:line="300" w:lineRule="auto"/>
      <w:ind w:left="2898" w:leftChars="1114" w:hanging="224" w:hangingChars="80"/>
      <w:jc w:val="left"/>
    </w:pPr>
    <w:rPr>
      <w:rFonts w:eastAsia="DFKai-SB"/>
      <w:sz w:val="28"/>
      <w:szCs w:val="28"/>
      <w:lang w:eastAsia="zh-TW"/>
    </w:rPr>
  </w:style>
  <w:style w:type="paragraph" w:customStyle="1" w:styleId="479">
    <w:name w:val="4.(1)"/>
    <w:basedOn w:val="1"/>
    <w:link w:val="480"/>
    <w:qFormat/>
    <w:uiPriority w:val="0"/>
    <w:pPr>
      <w:adjustRightInd w:val="0"/>
      <w:snapToGrid w:val="0"/>
      <w:spacing w:beforeLines="20" w:afterLines="20" w:line="300" w:lineRule="auto"/>
      <w:ind w:left="2631" w:leftChars="962" w:hanging="322" w:hangingChars="115"/>
      <w:jc w:val="left"/>
    </w:pPr>
    <w:rPr>
      <w:rFonts w:ascii="Calibri" w:hAnsi="Calibri" w:eastAsia="DFKai-SB"/>
      <w:sz w:val="28"/>
      <w:szCs w:val="28"/>
      <w:lang w:eastAsia="zh-TW"/>
    </w:rPr>
  </w:style>
  <w:style w:type="character" w:customStyle="1" w:styleId="480">
    <w:name w:val="4.(1) 字元"/>
    <w:link w:val="479"/>
    <w:qFormat/>
    <w:uiPriority w:val="0"/>
    <w:rPr>
      <w:rFonts w:ascii="Calibri" w:hAnsi="Calibri" w:eastAsia="DFKai-SB"/>
      <w:kern w:val="2"/>
      <w:sz w:val="28"/>
      <w:szCs w:val="28"/>
      <w:lang w:eastAsia="zh-TW"/>
    </w:rPr>
  </w:style>
  <w:style w:type="paragraph" w:customStyle="1" w:styleId="481">
    <w:name w:val="4.(1)in"/>
    <w:basedOn w:val="1"/>
    <w:link w:val="482"/>
    <w:qFormat/>
    <w:uiPriority w:val="0"/>
    <w:pPr>
      <w:adjustRightInd w:val="0"/>
      <w:snapToGrid w:val="0"/>
      <w:spacing w:beforeLines="20" w:afterLines="20" w:line="300" w:lineRule="auto"/>
      <w:ind w:left="2660"/>
      <w:jc w:val="left"/>
    </w:pPr>
    <w:rPr>
      <w:rFonts w:ascii="Calibri" w:hAnsi="Calibri" w:eastAsia="DFKai-SB"/>
      <w:sz w:val="28"/>
      <w:szCs w:val="20"/>
      <w:lang w:eastAsia="zh-TW"/>
    </w:rPr>
  </w:style>
  <w:style w:type="character" w:customStyle="1" w:styleId="482">
    <w:name w:val="4.(1)in 字元"/>
    <w:link w:val="481"/>
    <w:qFormat/>
    <w:uiPriority w:val="0"/>
    <w:rPr>
      <w:rFonts w:ascii="Calibri" w:hAnsi="Calibri" w:eastAsia="DFKai-SB"/>
      <w:kern w:val="2"/>
      <w:sz w:val="28"/>
      <w:lang w:eastAsia="zh-TW"/>
    </w:rPr>
  </w:style>
  <w:style w:type="paragraph" w:customStyle="1" w:styleId="483">
    <w:name w:val="4.in"/>
    <w:basedOn w:val="1"/>
    <w:qFormat/>
    <w:uiPriority w:val="0"/>
    <w:pPr>
      <w:adjustRightInd w:val="0"/>
      <w:snapToGrid w:val="0"/>
      <w:spacing w:beforeLines="20" w:afterLines="20" w:line="300" w:lineRule="auto"/>
      <w:ind w:left="2366"/>
      <w:jc w:val="left"/>
    </w:pPr>
    <w:rPr>
      <w:rFonts w:eastAsia="DFKai-SB"/>
      <w:sz w:val="28"/>
      <w:szCs w:val="28"/>
      <w:lang w:eastAsia="zh-TW"/>
    </w:rPr>
  </w:style>
  <w:style w:type="paragraph" w:customStyle="1" w:styleId="484">
    <w:name w:val="4.(a)"/>
    <w:basedOn w:val="1"/>
    <w:qFormat/>
    <w:uiPriority w:val="0"/>
    <w:pPr>
      <w:adjustRightInd w:val="0"/>
      <w:snapToGrid w:val="0"/>
      <w:spacing w:beforeLines="20" w:afterLines="20" w:line="300" w:lineRule="auto"/>
      <w:ind w:left="3162" w:leftChars="1201" w:hanging="280" w:hangingChars="100"/>
      <w:jc w:val="left"/>
    </w:pPr>
    <w:rPr>
      <w:rFonts w:ascii="Calibri" w:hAnsi="Calibri" w:eastAsia="DFKai-SB"/>
      <w:kern w:val="0"/>
      <w:sz w:val="28"/>
      <w:szCs w:val="28"/>
      <w:lang w:eastAsia="zh-TW"/>
    </w:rPr>
  </w:style>
  <w:style w:type="paragraph" w:customStyle="1" w:styleId="485">
    <w:name w:val="2(1)in"/>
    <w:basedOn w:val="1"/>
    <w:link w:val="486"/>
    <w:qFormat/>
    <w:uiPriority w:val="0"/>
    <w:pPr>
      <w:snapToGrid w:val="0"/>
      <w:spacing w:beforeLines="20" w:afterLines="20" w:line="300" w:lineRule="auto"/>
      <w:ind w:left="330" w:leftChars="330"/>
    </w:pPr>
    <w:rPr>
      <w:rFonts w:ascii="Calibri" w:hAnsi="Calibri" w:eastAsia="PMingLiU"/>
      <w:sz w:val="24"/>
      <w:lang w:eastAsia="zh-TW"/>
    </w:rPr>
  </w:style>
  <w:style w:type="character" w:customStyle="1" w:styleId="486">
    <w:name w:val="2(1)in 字元"/>
    <w:link w:val="485"/>
    <w:qFormat/>
    <w:uiPriority w:val="0"/>
    <w:rPr>
      <w:rFonts w:ascii="Calibri" w:hAnsi="Calibri" w:eastAsia="PMingLiU"/>
      <w:kern w:val="2"/>
      <w:sz w:val="24"/>
      <w:szCs w:val="24"/>
      <w:lang w:eastAsia="zh-TW"/>
    </w:rPr>
  </w:style>
  <w:style w:type="paragraph" w:customStyle="1" w:styleId="487">
    <w:name w:val="2(1)"/>
    <w:basedOn w:val="1"/>
    <w:qFormat/>
    <w:uiPriority w:val="0"/>
    <w:pPr>
      <w:snapToGrid w:val="0"/>
      <w:spacing w:beforeLines="20" w:afterLines="20" w:line="300" w:lineRule="auto"/>
      <w:ind w:left="340" w:leftChars="220" w:hanging="120" w:hangingChars="120"/>
    </w:pPr>
    <w:rPr>
      <w:rFonts w:eastAsia="PMingLiU" w:cs="PMingLiU"/>
      <w:sz w:val="24"/>
      <w:szCs w:val="20"/>
      <w:lang w:eastAsia="zh-TW"/>
    </w:rPr>
  </w:style>
  <w:style w:type="paragraph" w:customStyle="1" w:styleId="488">
    <w:name w:val="My正文"/>
    <w:basedOn w:val="1"/>
    <w:qFormat/>
    <w:uiPriority w:val="0"/>
    <w:pPr>
      <w:adjustRightInd w:val="0"/>
      <w:spacing w:before="120" w:after="0" w:line="360" w:lineRule="auto"/>
      <w:ind w:firstLine="567"/>
      <w:textAlignment w:val="baseline"/>
    </w:pPr>
    <w:rPr>
      <w:rFonts w:ascii="Arial" w:hAnsi="Arial"/>
      <w:kern w:val="0"/>
      <w:sz w:val="24"/>
      <w:szCs w:val="20"/>
    </w:rPr>
  </w:style>
  <w:style w:type="paragraph" w:customStyle="1" w:styleId="489">
    <w:name w:val="框內1."/>
    <w:basedOn w:val="1"/>
    <w:qFormat/>
    <w:uiPriority w:val="0"/>
    <w:pPr>
      <w:spacing w:after="0" w:line="360" w:lineRule="auto"/>
      <w:ind w:left="539" w:right="57" w:hanging="482"/>
    </w:pPr>
    <w:rPr>
      <w:rFonts w:eastAsia="DFKai-SB"/>
      <w:sz w:val="28"/>
      <w:szCs w:val="28"/>
      <w:lang w:eastAsia="zh-TW"/>
    </w:rPr>
  </w:style>
  <w:style w:type="paragraph" w:customStyle="1" w:styleId="490">
    <w:name w:val="标题3"/>
    <w:basedOn w:val="10"/>
    <w:link w:val="491"/>
    <w:qFormat/>
    <w:uiPriority w:val="0"/>
    <w:pPr>
      <w:numPr>
        <w:ilvl w:val="0"/>
        <w:numId w:val="10"/>
      </w:numPr>
      <w:spacing w:line="416" w:lineRule="auto"/>
      <w:ind w:firstLine="0" w:firstLineChars="0"/>
    </w:pPr>
    <w:rPr>
      <w:rFonts w:ascii="宋体" w:hAnsi="宋体" w:eastAsia="宋体"/>
      <w:bCs w:val="0"/>
      <w:sz w:val="24"/>
      <w:szCs w:val="24"/>
    </w:rPr>
  </w:style>
  <w:style w:type="character" w:customStyle="1" w:styleId="491">
    <w:name w:val="标题3 Char"/>
    <w:link w:val="490"/>
    <w:qFormat/>
    <w:uiPriority w:val="0"/>
    <w:rPr>
      <w:rFonts w:ascii="宋体" w:hAnsi="宋体"/>
      <w:b/>
      <w:kern w:val="2"/>
      <w:sz w:val="24"/>
      <w:szCs w:val="24"/>
    </w:rPr>
  </w:style>
  <w:style w:type="paragraph" w:customStyle="1" w:styleId="492">
    <w:name w:val="MY二项目"/>
    <w:basedOn w:val="474"/>
    <w:link w:val="493"/>
    <w:qFormat/>
    <w:uiPriority w:val="0"/>
    <w:pPr>
      <w:numPr>
        <w:numId w:val="11"/>
      </w:numPr>
    </w:pPr>
  </w:style>
  <w:style w:type="character" w:customStyle="1" w:styleId="493">
    <w:name w:val="MY二项目 Char"/>
    <w:link w:val="492"/>
    <w:qFormat/>
    <w:uiPriority w:val="0"/>
    <w:rPr>
      <w:rFonts w:ascii="Arial" w:hAnsi="Arial"/>
      <w:kern w:val="2"/>
      <w:sz w:val="21"/>
      <w:szCs w:val="21"/>
    </w:rPr>
  </w:style>
  <w:style w:type="paragraph" w:customStyle="1" w:styleId="494">
    <w:name w:val="4.a.in"/>
    <w:basedOn w:val="1"/>
    <w:qFormat/>
    <w:uiPriority w:val="0"/>
    <w:pPr>
      <w:adjustRightInd w:val="0"/>
      <w:snapToGrid w:val="0"/>
      <w:spacing w:beforeLines="20" w:afterLines="20" w:line="300" w:lineRule="auto"/>
      <w:ind w:left="2880"/>
      <w:jc w:val="left"/>
    </w:pPr>
    <w:rPr>
      <w:rFonts w:eastAsia="DFKai-SB"/>
      <w:sz w:val="28"/>
      <w:szCs w:val="28"/>
      <w:lang w:eastAsia="zh-TW"/>
    </w:rPr>
  </w:style>
  <w:style w:type="paragraph" w:customStyle="1" w:styleId="495">
    <w:name w:val="圈数字"/>
    <w:basedOn w:val="20"/>
    <w:qFormat/>
    <w:uiPriority w:val="0"/>
    <w:pPr>
      <w:numPr>
        <w:ilvl w:val="2"/>
        <w:numId w:val="12"/>
      </w:numPr>
      <w:tabs>
        <w:tab w:val="left" w:pos="540"/>
        <w:tab w:val="clear" w:pos="1200"/>
      </w:tabs>
      <w:spacing w:before="62" w:after="62" w:line="360" w:lineRule="auto"/>
      <w:ind w:left="540" w:hanging="540"/>
    </w:pPr>
    <w:rPr>
      <w:rFonts w:ascii="Arial" w:hAnsi="宋体" w:cs="Arial"/>
      <w:kern w:val="0"/>
      <w:sz w:val="20"/>
      <w:szCs w:val="28"/>
    </w:rPr>
  </w:style>
  <w:style w:type="paragraph" w:customStyle="1" w:styleId="496">
    <w:name w:val="N4"/>
    <w:basedOn w:val="11"/>
    <w:link w:val="497"/>
    <w:qFormat/>
    <w:uiPriority w:val="0"/>
    <w:pPr>
      <w:keepLines w:val="0"/>
      <w:spacing w:before="0" w:after="0" w:line="360" w:lineRule="auto"/>
      <w:ind w:left="864" w:hanging="864"/>
      <w:jc w:val="left"/>
      <w:outlineLvl w:val="9"/>
    </w:pPr>
    <w:rPr>
      <w:rFonts w:eastAsia="宋体"/>
      <w:bCs w:val="0"/>
      <w:kern w:val="0"/>
      <w:sz w:val="21"/>
      <w:szCs w:val="24"/>
    </w:rPr>
  </w:style>
  <w:style w:type="character" w:customStyle="1" w:styleId="497">
    <w:name w:val="N4 Char"/>
    <w:link w:val="496"/>
    <w:qFormat/>
    <w:uiPriority w:val="0"/>
    <w:rPr>
      <w:rFonts w:ascii="Arial" w:hAnsi="Arial"/>
      <w:b/>
      <w:sz w:val="21"/>
      <w:szCs w:val="24"/>
    </w:rPr>
  </w:style>
  <w:style w:type="paragraph" w:customStyle="1" w:styleId="498">
    <w:name w:val="正文项目符号"/>
    <w:basedOn w:val="1"/>
    <w:qFormat/>
    <w:uiPriority w:val="0"/>
    <w:pPr>
      <w:numPr>
        <w:ilvl w:val="0"/>
        <w:numId w:val="13"/>
      </w:numPr>
      <w:spacing w:after="0" w:line="360" w:lineRule="auto"/>
      <w:ind w:right="100" w:rightChars="100"/>
    </w:pPr>
    <w:rPr>
      <w:rFonts w:ascii="Calibri" w:hAnsi="Calibri"/>
      <w:sz w:val="24"/>
      <w:szCs w:val="21"/>
    </w:rPr>
  </w:style>
  <w:style w:type="paragraph" w:customStyle="1" w:styleId="499">
    <w:name w:val="N2"/>
    <w:basedOn w:val="8"/>
    <w:link w:val="500"/>
    <w:qFormat/>
    <w:uiPriority w:val="0"/>
    <w:pPr>
      <w:keepLines/>
      <w:adjustRightInd/>
      <w:snapToGrid/>
      <w:spacing w:before="480" w:after="0"/>
      <w:ind w:left="576" w:hanging="576"/>
      <w:jc w:val="left"/>
      <w:textAlignment w:val="auto"/>
    </w:pPr>
    <w:rPr>
      <w:rFonts w:ascii="Arial" w:hAnsi="Arial" w:eastAsia="宋体"/>
      <w:sz w:val="21"/>
      <w:szCs w:val="21"/>
    </w:rPr>
  </w:style>
  <w:style w:type="character" w:customStyle="1" w:styleId="500">
    <w:name w:val="N2 Char"/>
    <w:link w:val="499"/>
    <w:qFormat/>
    <w:uiPriority w:val="0"/>
    <w:rPr>
      <w:rFonts w:ascii="Arial" w:hAnsi="Arial"/>
      <w:b/>
      <w:sz w:val="21"/>
      <w:szCs w:val="21"/>
    </w:rPr>
  </w:style>
  <w:style w:type="paragraph" w:customStyle="1" w:styleId="501">
    <w:name w:val="3.(1)"/>
    <w:basedOn w:val="1"/>
    <w:link w:val="502"/>
    <w:qFormat/>
    <w:uiPriority w:val="0"/>
    <w:pPr>
      <w:adjustRightInd w:val="0"/>
      <w:snapToGrid w:val="0"/>
      <w:spacing w:beforeLines="20" w:afterLines="20" w:line="300" w:lineRule="auto"/>
      <w:ind w:left="686" w:leftChars="571" w:hanging="115" w:hangingChars="115"/>
      <w:jc w:val="left"/>
    </w:pPr>
    <w:rPr>
      <w:rFonts w:ascii="Calibri" w:hAnsi="Calibri" w:eastAsia="DFKai-SB"/>
      <w:sz w:val="28"/>
      <w:szCs w:val="28"/>
      <w:lang w:eastAsia="zh-TW"/>
    </w:rPr>
  </w:style>
  <w:style w:type="character" w:customStyle="1" w:styleId="502">
    <w:name w:val="3.(1) 字元"/>
    <w:link w:val="501"/>
    <w:qFormat/>
    <w:uiPriority w:val="0"/>
    <w:rPr>
      <w:rFonts w:ascii="Calibri" w:hAnsi="Calibri" w:eastAsia="DFKai-SB"/>
      <w:kern w:val="2"/>
      <w:sz w:val="28"/>
      <w:szCs w:val="28"/>
      <w:lang w:eastAsia="zh-TW"/>
    </w:rPr>
  </w:style>
  <w:style w:type="paragraph" w:customStyle="1" w:styleId="503">
    <w:name w:val="样式 正文文本缩进 + 左  0 字符"/>
    <w:basedOn w:val="25"/>
    <w:qFormat/>
    <w:uiPriority w:val="0"/>
    <w:pPr>
      <w:spacing w:after="0" w:line="360" w:lineRule="auto"/>
      <w:ind w:firstLine="250" w:firstLineChars="250"/>
    </w:pPr>
    <w:rPr>
      <w:rFonts w:ascii="Times New Roman" w:hAnsi="Times New Roman" w:cs="宋体"/>
      <w:spacing w:val="0"/>
      <w:sz w:val="24"/>
    </w:rPr>
  </w:style>
  <w:style w:type="character" w:customStyle="1" w:styleId="504">
    <w:name w:val="标题 1 Char1"/>
    <w:qFormat/>
    <w:uiPriority w:val="0"/>
    <w:rPr>
      <w:b/>
      <w:bCs/>
      <w:kern w:val="44"/>
      <w:sz w:val="44"/>
      <w:szCs w:val="44"/>
    </w:rPr>
  </w:style>
  <w:style w:type="character" w:customStyle="1" w:styleId="505">
    <w:name w:val="标题 6 Char1"/>
    <w:semiHidden/>
    <w:qFormat/>
    <w:uiPriority w:val="0"/>
    <w:rPr>
      <w:rFonts w:ascii="Calibri Light" w:hAnsi="Calibri Light" w:eastAsia="宋体" w:cs="Times New Roman"/>
      <w:b/>
      <w:bCs/>
      <w:kern w:val="2"/>
      <w:sz w:val="24"/>
      <w:szCs w:val="24"/>
    </w:rPr>
  </w:style>
  <w:style w:type="character" w:customStyle="1" w:styleId="506">
    <w:name w:val="标题 8 Char1"/>
    <w:semiHidden/>
    <w:qFormat/>
    <w:uiPriority w:val="0"/>
    <w:rPr>
      <w:rFonts w:ascii="Calibri Light" w:hAnsi="Calibri Light" w:eastAsia="宋体" w:cs="Times New Roman"/>
      <w:kern w:val="2"/>
      <w:sz w:val="24"/>
      <w:szCs w:val="24"/>
    </w:rPr>
  </w:style>
  <w:style w:type="character" w:customStyle="1" w:styleId="507">
    <w:name w:val="标题 9 Char1"/>
    <w:semiHidden/>
    <w:qFormat/>
    <w:uiPriority w:val="0"/>
    <w:rPr>
      <w:rFonts w:ascii="Calibri Light" w:hAnsi="Calibri Light" w:eastAsia="宋体" w:cs="Times New Roman"/>
      <w:kern w:val="2"/>
      <w:sz w:val="21"/>
      <w:szCs w:val="21"/>
    </w:rPr>
  </w:style>
  <w:style w:type="paragraph" w:customStyle="1" w:styleId="508">
    <w:name w:val="標題內文"/>
    <w:basedOn w:val="1"/>
    <w:qFormat/>
    <w:uiPriority w:val="0"/>
    <w:pPr>
      <w:spacing w:after="0" w:line="500" w:lineRule="exact"/>
      <w:ind w:left="100" w:leftChars="100"/>
    </w:pPr>
    <w:rPr>
      <w:rFonts w:eastAsia="PMingLiU"/>
      <w:color w:val="333333"/>
      <w:kern w:val="0"/>
      <w:sz w:val="24"/>
      <w:lang w:eastAsia="zh-TW"/>
    </w:rPr>
  </w:style>
  <w:style w:type="character" w:customStyle="1" w:styleId="509">
    <w:name w:val="title_span"/>
    <w:qFormat/>
    <w:uiPriority w:val="0"/>
  </w:style>
  <w:style w:type="paragraph" w:customStyle="1" w:styleId="510">
    <w:name w:val="daijia_p"/>
    <w:basedOn w:val="1"/>
    <w:qFormat/>
    <w:uiPriority w:val="0"/>
    <w:pPr>
      <w:widowControl/>
      <w:spacing w:before="100" w:beforeAutospacing="1" w:after="100" w:afterAutospacing="1" w:line="360" w:lineRule="auto"/>
      <w:jc w:val="left"/>
    </w:pPr>
    <w:rPr>
      <w:rFonts w:ascii="宋体" w:hAnsi="宋体" w:cs="宋体"/>
      <w:kern w:val="0"/>
      <w:sz w:val="24"/>
    </w:rPr>
  </w:style>
  <w:style w:type="paragraph" w:customStyle="1" w:styleId="511">
    <w:name w:val="case_dian"/>
    <w:basedOn w:val="1"/>
    <w:qFormat/>
    <w:uiPriority w:val="0"/>
    <w:pPr>
      <w:widowControl/>
      <w:spacing w:before="100" w:beforeAutospacing="1" w:after="100" w:afterAutospacing="1" w:line="360" w:lineRule="auto"/>
      <w:jc w:val="left"/>
    </w:pPr>
    <w:rPr>
      <w:rFonts w:ascii="宋体" w:hAnsi="宋体" w:cs="宋体"/>
      <w:kern w:val="0"/>
      <w:sz w:val="24"/>
    </w:rPr>
  </w:style>
  <w:style w:type="paragraph" w:customStyle="1" w:styleId="512">
    <w:name w:val="1.1.1样式"/>
    <w:basedOn w:val="1"/>
    <w:link w:val="513"/>
    <w:qFormat/>
    <w:uiPriority w:val="0"/>
    <w:pPr>
      <w:tabs>
        <w:tab w:val="left" w:pos="720"/>
      </w:tabs>
      <w:spacing w:after="0" w:line="360" w:lineRule="auto"/>
      <w:ind w:left="720" w:hanging="720"/>
    </w:pPr>
    <w:rPr>
      <w:rFonts w:ascii="宋体" w:hAnsi="宋体"/>
      <w:sz w:val="24"/>
    </w:rPr>
  </w:style>
  <w:style w:type="character" w:customStyle="1" w:styleId="513">
    <w:name w:val="1.1.1样式 Char"/>
    <w:link w:val="512"/>
    <w:qFormat/>
    <w:uiPriority w:val="0"/>
    <w:rPr>
      <w:rFonts w:ascii="宋体" w:hAnsi="宋体"/>
      <w:kern w:val="2"/>
      <w:sz w:val="24"/>
      <w:szCs w:val="24"/>
    </w:rPr>
  </w:style>
  <w:style w:type="paragraph" w:customStyle="1" w:styleId="514">
    <w:name w:val="xl50"/>
    <w:basedOn w:val="1"/>
    <w:qFormat/>
    <w:uiPriority w:val="0"/>
    <w:pPr>
      <w:widowControl/>
      <w:pBdr>
        <w:bottom w:val="single" w:color="auto" w:sz="4" w:space="0"/>
      </w:pBdr>
      <w:spacing w:before="100" w:beforeAutospacing="1" w:after="100" w:afterAutospacing="1" w:line="360" w:lineRule="auto"/>
      <w:jc w:val="center"/>
      <w:textAlignment w:val="center"/>
    </w:pPr>
    <w:rPr>
      <w:rFonts w:ascii="宋体" w:hAnsi="宋体"/>
      <w:kern w:val="0"/>
      <w:sz w:val="24"/>
    </w:rPr>
  </w:style>
  <w:style w:type="character" w:customStyle="1" w:styleId="515">
    <w:name w:val="标题 4 Char Char"/>
    <w:qFormat/>
    <w:uiPriority w:val="0"/>
    <w:rPr>
      <w:rFonts w:ascii="Arial" w:hAnsi="Arial" w:eastAsia="黑体"/>
      <w:b/>
      <w:bCs/>
      <w:kern w:val="2"/>
      <w:sz w:val="28"/>
      <w:szCs w:val="28"/>
      <w:lang w:val="en-US" w:eastAsia="zh-CN" w:bidi="ar-SA"/>
    </w:rPr>
  </w:style>
  <w:style w:type="paragraph" w:customStyle="1" w:styleId="516">
    <w:name w:val="IBM 正文"/>
    <w:basedOn w:val="1"/>
    <w:qFormat/>
    <w:uiPriority w:val="0"/>
    <w:pPr>
      <w:spacing w:after="0" w:line="360" w:lineRule="exact"/>
    </w:pPr>
    <w:rPr>
      <w:sz w:val="24"/>
      <w:szCs w:val="20"/>
    </w:rPr>
  </w:style>
  <w:style w:type="paragraph" w:customStyle="1" w:styleId="517">
    <w:name w:val="缺省文本"/>
    <w:basedOn w:val="1"/>
    <w:qFormat/>
    <w:uiPriority w:val="0"/>
    <w:pPr>
      <w:autoSpaceDE w:val="0"/>
      <w:autoSpaceDN w:val="0"/>
      <w:adjustRightInd w:val="0"/>
      <w:spacing w:after="0" w:line="360" w:lineRule="auto"/>
      <w:jc w:val="left"/>
    </w:pPr>
    <w:rPr>
      <w:rFonts w:eastAsia="Times New Roman"/>
      <w:kern w:val="0"/>
      <w:sz w:val="24"/>
      <w:lang w:eastAsia="en-US"/>
    </w:rPr>
  </w:style>
  <w:style w:type="paragraph" w:customStyle="1" w:styleId="518">
    <w:name w:val="1.1样式"/>
    <w:basedOn w:val="1"/>
    <w:link w:val="519"/>
    <w:qFormat/>
    <w:uiPriority w:val="0"/>
    <w:pPr>
      <w:tabs>
        <w:tab w:val="left" w:pos="567"/>
      </w:tabs>
      <w:spacing w:before="240" w:after="0" w:line="480" w:lineRule="auto"/>
      <w:ind w:left="567" w:hanging="567"/>
    </w:pPr>
    <w:rPr>
      <w:rFonts w:ascii="Calibri" w:hAnsi="Calibri"/>
      <w:b/>
      <w:sz w:val="28"/>
      <w:szCs w:val="28"/>
    </w:rPr>
  </w:style>
  <w:style w:type="character" w:customStyle="1" w:styleId="519">
    <w:name w:val="1.1样式 Char"/>
    <w:link w:val="518"/>
    <w:qFormat/>
    <w:uiPriority w:val="0"/>
    <w:rPr>
      <w:rFonts w:ascii="Calibri" w:hAnsi="Calibri"/>
      <w:b/>
      <w:kern w:val="2"/>
      <w:sz w:val="28"/>
      <w:szCs w:val="28"/>
    </w:rPr>
  </w:style>
  <w:style w:type="paragraph" w:customStyle="1" w:styleId="520">
    <w:name w:val="1.1.1.1样式"/>
    <w:basedOn w:val="1"/>
    <w:link w:val="521"/>
    <w:qFormat/>
    <w:uiPriority w:val="0"/>
    <w:pPr>
      <w:numPr>
        <w:ilvl w:val="3"/>
        <w:numId w:val="14"/>
      </w:numPr>
      <w:spacing w:after="0" w:line="360" w:lineRule="auto"/>
    </w:pPr>
    <w:rPr>
      <w:rFonts w:ascii="Calibri" w:hAnsi="Calibri"/>
      <w:bCs/>
      <w:szCs w:val="21"/>
      <w:lang w:val="zh-CN"/>
    </w:rPr>
  </w:style>
  <w:style w:type="character" w:customStyle="1" w:styleId="521">
    <w:name w:val="1.1.1.1样式 Char"/>
    <w:link w:val="520"/>
    <w:qFormat/>
    <w:uiPriority w:val="0"/>
    <w:rPr>
      <w:rFonts w:ascii="Calibri" w:hAnsi="Calibri"/>
      <w:bCs/>
      <w:kern w:val="2"/>
      <w:sz w:val="21"/>
      <w:szCs w:val="21"/>
      <w:lang w:val="zh-CN"/>
    </w:rPr>
  </w:style>
  <w:style w:type="character" w:customStyle="1" w:styleId="522">
    <w:name w:val="1(1) 字元1"/>
    <w:qFormat/>
    <w:uiPriority w:val="0"/>
    <w:rPr>
      <w:rFonts w:hint="eastAsia" w:ascii="PMingLiU" w:hAnsi="PMingLiU" w:eastAsia="PMingLiU" w:cs="PMingLiU"/>
      <w:kern w:val="2"/>
      <w:sz w:val="24"/>
      <w:szCs w:val="24"/>
      <w:lang w:val="en-US" w:eastAsia="zh-TW" w:bidi="ar-SA"/>
    </w:rPr>
  </w:style>
  <w:style w:type="paragraph" w:customStyle="1" w:styleId="523">
    <w:name w:val="样式 正文部分 + 首行缩进:  2 字符 段前: 0.5 行"/>
    <w:basedOn w:val="1"/>
    <w:qFormat/>
    <w:uiPriority w:val="0"/>
    <w:pPr>
      <w:spacing w:after="0" w:line="360" w:lineRule="exact"/>
      <w:ind w:firstLine="200" w:firstLineChars="200"/>
    </w:pPr>
    <w:rPr>
      <w:rFonts w:cs="宋体"/>
      <w:szCs w:val="20"/>
    </w:rPr>
  </w:style>
  <w:style w:type="character" w:customStyle="1" w:styleId="524">
    <w:name w:val="样式 宋体"/>
    <w:qFormat/>
    <w:uiPriority w:val="0"/>
    <w:rPr>
      <w:rFonts w:ascii="宋体" w:hAnsi="宋体" w:eastAsia="宋体"/>
      <w:sz w:val="24"/>
      <w:szCs w:val="24"/>
    </w:rPr>
  </w:style>
  <w:style w:type="character" w:customStyle="1" w:styleId="525">
    <w:name w:val="xdtextbox1"/>
    <w:qFormat/>
    <w:uiPriority w:val="0"/>
    <w:rPr>
      <w:color w:val="auto"/>
      <w:bdr w:val="single" w:color="DCDCDC" w:sz="8" w:space="0"/>
      <w:shd w:val="clear" w:color="auto" w:fill="FFFFFF"/>
    </w:rPr>
  </w:style>
  <w:style w:type="paragraph" w:customStyle="1" w:styleId="526">
    <w:name w:val="Basic body"/>
    <w:qFormat/>
    <w:uiPriority w:val="0"/>
    <w:rPr>
      <w:rFonts w:ascii="Times New Roman" w:hAnsi="Times New Roman" w:eastAsia="宋体" w:cs="Times New Roman"/>
      <w:lang w:val="en-US" w:eastAsia="zh-CN" w:bidi="ar-SA"/>
    </w:rPr>
  </w:style>
  <w:style w:type="paragraph" w:customStyle="1" w:styleId="527">
    <w:name w:val="论文正文格式"/>
    <w:basedOn w:val="1"/>
    <w:qFormat/>
    <w:uiPriority w:val="0"/>
    <w:pPr>
      <w:spacing w:after="0" w:line="360" w:lineRule="auto"/>
      <w:ind w:firstLine="480" w:firstLineChars="200"/>
    </w:pPr>
    <w:rPr>
      <w:sz w:val="24"/>
      <w:szCs w:val="18"/>
    </w:rPr>
  </w:style>
  <w:style w:type="paragraph" w:customStyle="1" w:styleId="528">
    <w:name w:val="样式 表格正文 + 五号 两端对齐 行距: 单倍行距"/>
    <w:basedOn w:val="113"/>
    <w:qFormat/>
    <w:uiPriority w:val="0"/>
    <w:pPr>
      <w:keepNext/>
      <w:adjustRightInd w:val="0"/>
      <w:snapToGrid w:val="0"/>
      <w:spacing w:before="60" w:after="0" w:line="360" w:lineRule="auto"/>
      <w:ind w:left="840" w:hanging="840"/>
    </w:pPr>
    <w:rPr>
      <w:snapToGrid w:val="0"/>
      <w:kern w:val="0"/>
      <w:szCs w:val="20"/>
    </w:rPr>
  </w:style>
  <w:style w:type="paragraph" w:customStyle="1" w:styleId="529">
    <w:name w:val="表格标题"/>
    <w:qFormat/>
    <w:uiPriority w:val="0"/>
    <w:pPr>
      <w:keepNext/>
      <w:widowControl w:val="0"/>
      <w:adjustRightInd w:val="0"/>
      <w:snapToGrid w:val="0"/>
      <w:spacing w:before="60" w:line="300" w:lineRule="auto"/>
      <w:jc w:val="center"/>
    </w:pPr>
    <w:rPr>
      <w:rFonts w:ascii="Times New Roman" w:hAnsi="Times New Roman" w:eastAsia="宋体" w:cs="Times New Roman"/>
      <w:b/>
      <w:kern w:val="2"/>
      <w:sz w:val="24"/>
      <w:szCs w:val="24"/>
      <w:lang w:val="en-US" w:eastAsia="zh-CN" w:bidi="ar-SA"/>
    </w:rPr>
  </w:style>
  <w:style w:type="paragraph" w:customStyle="1" w:styleId="530">
    <w:name w:val="Char Char Char1 Char Char Char Char"/>
    <w:basedOn w:val="1"/>
    <w:qFormat/>
    <w:uiPriority w:val="0"/>
    <w:pPr>
      <w:spacing w:after="0" w:line="360" w:lineRule="auto"/>
    </w:pPr>
    <w:rPr>
      <w:rFonts w:ascii="Tahoma" w:hAnsi="Tahoma"/>
      <w:sz w:val="24"/>
      <w:szCs w:val="20"/>
    </w:rPr>
  </w:style>
  <w:style w:type="paragraph" w:customStyle="1" w:styleId="531">
    <w:name w:val="列出段落31"/>
    <w:basedOn w:val="1"/>
    <w:qFormat/>
    <w:uiPriority w:val="0"/>
    <w:pPr>
      <w:spacing w:after="0" w:line="360" w:lineRule="auto"/>
      <w:ind w:firstLine="420" w:firstLineChars="200"/>
    </w:pPr>
    <w:rPr>
      <w:rFonts w:ascii="Calibri" w:hAnsi="Calibri"/>
      <w:szCs w:val="21"/>
    </w:rPr>
  </w:style>
  <w:style w:type="character" w:customStyle="1" w:styleId="532">
    <w:name w:val="description"/>
    <w:basedOn w:val="61"/>
    <w:qFormat/>
    <w:uiPriority w:val="0"/>
  </w:style>
  <w:style w:type="paragraph" w:customStyle="1" w:styleId="533">
    <w:name w:val="主标题"/>
    <w:basedOn w:val="1"/>
    <w:qFormat/>
    <w:uiPriority w:val="0"/>
    <w:pPr>
      <w:numPr>
        <w:ilvl w:val="0"/>
        <w:numId w:val="15"/>
      </w:numPr>
      <w:spacing w:after="0" w:line="240" w:lineRule="auto"/>
    </w:pPr>
    <w:rPr>
      <w:szCs w:val="20"/>
    </w:rPr>
  </w:style>
  <w:style w:type="paragraph" w:customStyle="1" w:styleId="534">
    <w:name w:val="Note"/>
    <w:basedOn w:val="34"/>
    <w:qFormat/>
    <w:uiPriority w:val="0"/>
    <w:pPr>
      <w:spacing w:beforeLines="50" w:after="0" w:line="288" w:lineRule="auto"/>
    </w:pPr>
    <w:rPr>
      <w:rFonts w:ascii="Times New Roman" w:hAnsi="Times New Roman" w:eastAsia="仿宋"/>
      <w:kern w:val="0"/>
      <w:szCs w:val="21"/>
    </w:rPr>
  </w:style>
  <w:style w:type="paragraph" w:customStyle="1" w:styleId="535">
    <w:name w:val="Note1"/>
    <w:basedOn w:val="534"/>
    <w:qFormat/>
    <w:uiPriority w:val="0"/>
    <w:pPr>
      <w:numPr>
        <w:ilvl w:val="0"/>
        <w:numId w:val="16"/>
      </w:numPr>
      <w:spacing w:beforeLines="0" w:line="240" w:lineRule="auto"/>
      <w:ind w:left="891"/>
    </w:pPr>
    <w:rPr>
      <w:spacing w:val="-2"/>
    </w:rPr>
  </w:style>
  <w:style w:type="paragraph" w:customStyle="1" w:styleId="536">
    <w:name w:val="Note2"/>
    <w:basedOn w:val="534"/>
    <w:qFormat/>
    <w:uiPriority w:val="0"/>
    <w:pPr>
      <w:numPr>
        <w:ilvl w:val="0"/>
        <w:numId w:val="17"/>
      </w:numPr>
      <w:spacing w:beforeLines="0"/>
      <w:ind w:left="0" w:hanging="200" w:hangingChars="200"/>
    </w:pPr>
    <w:rPr>
      <w:b/>
    </w:rPr>
  </w:style>
  <w:style w:type="paragraph" w:customStyle="1" w:styleId="537">
    <w:name w:val="Note3"/>
    <w:basedOn w:val="536"/>
    <w:qFormat/>
    <w:uiPriority w:val="0"/>
    <w:pPr>
      <w:numPr>
        <w:numId w:val="0"/>
      </w:numPr>
      <w:ind w:firstLine="200" w:firstLineChars="200"/>
    </w:pPr>
    <w:rPr>
      <w:b w:val="0"/>
    </w:rPr>
  </w:style>
  <w:style w:type="paragraph" w:customStyle="1" w:styleId="538">
    <w:name w:val="Text2"/>
    <w:basedOn w:val="248"/>
    <w:qFormat/>
    <w:uiPriority w:val="0"/>
    <w:pPr>
      <w:numPr>
        <w:numId w:val="18"/>
      </w:numPr>
      <w:ind w:left="1259"/>
    </w:pPr>
  </w:style>
  <w:style w:type="character" w:customStyle="1" w:styleId="539">
    <w:name w:val="ptb181"/>
    <w:qFormat/>
    <w:uiPriority w:val="0"/>
    <w:rPr>
      <w:rFonts w:hint="default" w:ascii="Verdana" w:hAnsi="Verdana"/>
      <w:b/>
      <w:bCs/>
      <w:color w:val="000000"/>
      <w:sz w:val="27"/>
      <w:szCs w:val="27"/>
    </w:rPr>
  </w:style>
  <w:style w:type="character" w:customStyle="1" w:styleId="540">
    <w:name w:val="headline-content"/>
    <w:qFormat/>
    <w:uiPriority w:val="0"/>
    <w:rPr>
      <w:rFonts w:cs="Times New Roman"/>
    </w:rPr>
  </w:style>
  <w:style w:type="character" w:customStyle="1" w:styleId="541">
    <w:name w:val="正文2 Char"/>
    <w:link w:val="194"/>
    <w:qFormat/>
    <w:locked/>
    <w:uiPriority w:val="0"/>
    <w:rPr>
      <w:kern w:val="2"/>
      <w:sz w:val="21"/>
    </w:rPr>
  </w:style>
  <w:style w:type="character" w:customStyle="1" w:styleId="542">
    <w:name w:val="样式1 Char"/>
    <w:qFormat/>
    <w:locked/>
    <w:uiPriority w:val="0"/>
  </w:style>
  <w:style w:type="paragraph" w:customStyle="1" w:styleId="543">
    <w:name w:val="正文格式"/>
    <w:basedOn w:val="1"/>
    <w:qFormat/>
    <w:uiPriority w:val="0"/>
    <w:pPr>
      <w:widowControl/>
      <w:spacing w:beforeLines="50" w:afterLines="50" w:line="240" w:lineRule="auto"/>
      <w:ind w:firstLine="200" w:firstLineChars="200"/>
      <w:jc w:val="left"/>
    </w:pPr>
    <w:rPr>
      <w:rFonts w:ascii="宋体" w:hAnsi="宋体"/>
      <w:kern w:val="0"/>
      <w:sz w:val="20"/>
      <w:szCs w:val="21"/>
    </w:rPr>
  </w:style>
  <w:style w:type="paragraph" w:customStyle="1" w:styleId="544">
    <w:name w:val="reader-word-layer"/>
    <w:basedOn w:val="1"/>
    <w:qFormat/>
    <w:uiPriority w:val="0"/>
    <w:pPr>
      <w:widowControl/>
      <w:spacing w:before="100" w:beforeAutospacing="1" w:after="100" w:afterAutospacing="1" w:line="240" w:lineRule="auto"/>
      <w:jc w:val="left"/>
    </w:pPr>
    <w:rPr>
      <w:rFonts w:ascii="宋体" w:hAnsi="宋体" w:cs="宋体"/>
      <w:kern w:val="0"/>
      <w:sz w:val="24"/>
    </w:rPr>
  </w:style>
  <w:style w:type="paragraph" w:customStyle="1" w:styleId="545">
    <w:name w:val="列出段落4"/>
    <w:basedOn w:val="1"/>
    <w:qFormat/>
    <w:uiPriority w:val="0"/>
    <w:pPr>
      <w:spacing w:after="0" w:line="240" w:lineRule="auto"/>
      <w:ind w:firstLine="420" w:firstLineChars="200"/>
    </w:pPr>
    <w:rPr>
      <w:szCs w:val="20"/>
    </w:rPr>
  </w:style>
  <w:style w:type="paragraph" w:customStyle="1" w:styleId="546">
    <w:name w:val="文章正文"/>
    <w:basedOn w:val="1"/>
    <w:qFormat/>
    <w:uiPriority w:val="0"/>
    <w:pPr>
      <w:spacing w:after="0" w:line="360" w:lineRule="auto"/>
      <w:ind w:firstLine="420"/>
    </w:pPr>
    <w:rPr>
      <w:sz w:val="24"/>
    </w:rPr>
  </w:style>
  <w:style w:type="character" w:customStyle="1" w:styleId="547">
    <w:name w:val="10"/>
    <w:qFormat/>
    <w:uiPriority w:val="0"/>
    <w:rPr>
      <w:rFonts w:hint="default" w:ascii="等线" w:hAnsi="等线"/>
    </w:rPr>
  </w:style>
  <w:style w:type="character" w:customStyle="1" w:styleId="548">
    <w:name w:val="15"/>
    <w:qFormat/>
    <w:uiPriority w:val="0"/>
    <w:rPr>
      <w:rFonts w:hint="default" w:ascii="等线" w:hAnsi="等线"/>
    </w:rPr>
  </w:style>
  <w:style w:type="character" w:customStyle="1" w:styleId="549">
    <w:name w:val="普通(网站) 字符"/>
    <w:link w:val="53"/>
    <w:qFormat/>
    <w:locked/>
    <w:uiPriority w:val="99"/>
    <w:rPr>
      <w:rFonts w:ascii="宋体" w:hAnsi="宋体" w:cs="宋体"/>
      <w:sz w:val="24"/>
      <w:szCs w:val="24"/>
    </w:rPr>
  </w:style>
  <w:style w:type="character" w:customStyle="1" w:styleId="550">
    <w:name w:val="页脚 字符"/>
    <w:qFormat/>
    <w:uiPriority w:val="99"/>
    <w:rPr>
      <w:rFonts w:eastAsia="黑体"/>
      <w:snapToGrid/>
      <w:sz w:val="18"/>
      <w:szCs w:val="18"/>
    </w:rPr>
  </w:style>
  <w:style w:type="paragraph" w:customStyle="1" w:styleId="551">
    <w:name w:val="纯文本2"/>
    <w:basedOn w:val="1"/>
    <w:qFormat/>
    <w:uiPriority w:val="0"/>
    <w:pPr>
      <w:adjustRightInd w:val="0"/>
      <w:spacing w:after="0" w:line="240" w:lineRule="auto"/>
      <w:textAlignment w:val="baseline"/>
    </w:pPr>
    <w:rPr>
      <w:rFonts w:ascii="宋体" w:hAnsi="Courier New" w:eastAsia="楷体_GB2312"/>
      <w:sz w:val="26"/>
      <w:szCs w:val="20"/>
    </w:rPr>
  </w:style>
  <w:style w:type="paragraph" w:customStyle="1" w:styleId="552">
    <w:name w:val="纯文本3"/>
    <w:basedOn w:val="1"/>
    <w:qFormat/>
    <w:uiPriority w:val="0"/>
    <w:pPr>
      <w:spacing w:afterLines="50" w:line="240" w:lineRule="auto"/>
    </w:pPr>
    <w:rPr>
      <w:rFonts w:ascii="宋体" w:hAnsi="Courier New"/>
      <w:sz w:val="24"/>
      <w:szCs w:val="20"/>
    </w:rPr>
  </w:style>
  <w:style w:type="paragraph" w:customStyle="1" w:styleId="553">
    <w:name w:val="正文 A"/>
    <w:qFormat/>
    <w:uiPriority w:val="0"/>
    <w:pPr>
      <w:widowControl w:val="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554">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555">
    <w:name w:val="标题 Char2"/>
    <w:qFormat/>
    <w:uiPriority w:val="0"/>
    <w:rPr>
      <w:rFonts w:ascii="Calibri Light" w:hAnsi="Calibri Light" w:eastAsia="微软雅黑"/>
      <w:b/>
      <w:bCs/>
      <w:kern w:val="2"/>
      <w:sz w:val="32"/>
      <w:szCs w:val="32"/>
    </w:rPr>
  </w:style>
  <w:style w:type="paragraph" w:customStyle="1" w:styleId="556">
    <w:name w:val="WPSOffice手动目录 1"/>
    <w:qFormat/>
    <w:uiPriority w:val="0"/>
    <w:rPr>
      <w:rFonts w:ascii="Times New Roman" w:hAnsi="Times New Roman" w:eastAsia="宋体" w:cs="Times New Roman"/>
      <w:lang w:val="en-US" w:eastAsia="zh-CN" w:bidi="ar-SA"/>
    </w:rPr>
  </w:style>
  <w:style w:type="character" w:customStyle="1" w:styleId="557">
    <w:name w:val="未处理的提及1"/>
    <w:basedOn w:val="61"/>
    <w:semiHidden/>
    <w:unhideWhenUsed/>
    <w:qFormat/>
    <w:uiPriority w:val="99"/>
    <w:rPr>
      <w:color w:val="605E5C"/>
      <w:shd w:val="clear" w:color="auto" w:fill="E1DFDD"/>
    </w:rPr>
  </w:style>
  <w:style w:type="character" w:customStyle="1" w:styleId="558">
    <w:name w:val="未处理的提及2"/>
    <w:basedOn w:val="61"/>
    <w:semiHidden/>
    <w:unhideWhenUsed/>
    <w:qFormat/>
    <w:uiPriority w:val="99"/>
    <w:rPr>
      <w:color w:val="605E5C"/>
      <w:shd w:val="clear" w:color="auto" w:fill="E1DFDD"/>
    </w:rPr>
  </w:style>
  <w:style w:type="character" w:customStyle="1" w:styleId="559">
    <w:name w:val="未处理的提及3"/>
    <w:basedOn w:val="61"/>
    <w:semiHidden/>
    <w:unhideWhenUsed/>
    <w:qFormat/>
    <w:uiPriority w:val="99"/>
    <w:rPr>
      <w:color w:val="605E5C"/>
      <w:shd w:val="clear" w:color="auto" w:fill="E1DFDD"/>
    </w:rPr>
  </w:style>
  <w:style w:type="character" w:customStyle="1" w:styleId="560">
    <w:name w:val="未处理的提及4"/>
    <w:basedOn w:val="61"/>
    <w:semiHidden/>
    <w:unhideWhenUsed/>
    <w:qFormat/>
    <w:uiPriority w:val="99"/>
    <w:rPr>
      <w:color w:val="605E5C"/>
      <w:shd w:val="clear" w:color="auto" w:fill="E1DFDD"/>
    </w:rPr>
  </w:style>
  <w:style w:type="character" w:customStyle="1" w:styleId="561">
    <w:name w:val="纯文本 Char"/>
    <w:qFormat/>
    <w:uiPriority w:val="0"/>
    <w:rPr>
      <w:rFonts w:ascii="宋体" w:hAnsi="Courier New" w:eastAsia="宋体"/>
      <w:kern w:val="2"/>
      <w:sz w:val="24"/>
      <w:szCs w:val="24"/>
      <w:lang w:val="en-US" w:eastAsia="zh-CN" w:bidi="ar-SA"/>
    </w:rPr>
  </w:style>
  <w:style w:type="character" w:customStyle="1" w:styleId="562">
    <w:name w:val="未处理的提及5"/>
    <w:basedOn w:val="61"/>
    <w:semiHidden/>
    <w:unhideWhenUsed/>
    <w:qFormat/>
    <w:uiPriority w:val="99"/>
    <w:rPr>
      <w:color w:val="605E5C"/>
      <w:shd w:val="clear" w:color="auto" w:fill="E1DFDD"/>
    </w:rPr>
  </w:style>
  <w:style w:type="character" w:customStyle="1" w:styleId="563">
    <w:name w:val="Unresolved Mention"/>
    <w:basedOn w:val="61"/>
    <w:semiHidden/>
    <w:unhideWhenUsed/>
    <w:qFormat/>
    <w:uiPriority w:val="99"/>
    <w:rPr>
      <w:color w:val="605E5C"/>
      <w:shd w:val="clear" w:color="auto" w:fill="E1DFDD"/>
    </w:rPr>
  </w:style>
  <w:style w:type="paragraph" w:customStyle="1" w:styleId="564">
    <w:name w:val="WPSOffice手动目录 2"/>
    <w:qFormat/>
    <w:uiPriority w:val="0"/>
    <w:pPr>
      <w:ind w:left="200" w:leftChars="200"/>
    </w:pPr>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2.jpe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4098"/>
    <customShpInfo spid="_x0000_s4099"/>
    <customShpInfo spid="_x0000_s4097"/>
    <customShpInfo spid="_x0000_s1026"/>
    <customShpInfo spid="_x0000_s4101"/>
    <customShpInfo spid="_x0000_s4102"/>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9167DB-0FFB-4928-ABF3-392DB2B0F8BB}">
  <ds:schemaRefs/>
</ds:datastoreItem>
</file>

<file path=docProps/app.xml><?xml version="1.0" encoding="utf-8"?>
<Properties xmlns="http://schemas.openxmlformats.org/officeDocument/2006/extended-properties" xmlns:vt="http://schemas.openxmlformats.org/officeDocument/2006/docPropsVTypes">
  <Template>Normal</Template>
  <Company>MicroWin10.com</Company>
  <Pages>51</Pages>
  <Words>23726</Words>
  <Characters>25843</Characters>
  <Lines>235</Lines>
  <Paragraphs>66</Paragraphs>
  <TotalTime>5</TotalTime>
  <ScaleCrop>false</ScaleCrop>
  <LinksUpToDate>false</LinksUpToDate>
  <CharactersWithSpaces>26802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2022-02-22T08:12:00Z</dcterms:created>
  <dc:creator>Administrator</dc:creator>
  <cp:lastModifiedBy>你是一条猪儿虫</cp:lastModifiedBy>
  <cp:lastPrinted>2022-03-10T04:50:00Z</cp:lastPrinted>
  <dcterms:modified xsi:type="dcterms:W3CDTF">2023-04-04T07:19:21Z</dcterms:modified>
  <cp:revision>175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7C64A76636FE4E9B89B7D7B8DB73F4D0</vt:lpwstr>
  </property>
</Properties>
</file>