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34"/>
        </w:tabs>
        <w:jc w:val="left"/>
        <w:rPr>
          <w:rFonts w:hint="eastAsia" w:ascii="仿宋" w:hAnsi="仿宋" w:eastAsia="仿宋" w:cs="仿宋"/>
          <w:color w:val="auto"/>
          <w:lang w:eastAsia="zh-CN"/>
        </w:rPr>
      </w:pPr>
      <w:r>
        <w:rPr>
          <w:rFonts w:hint="eastAsia" w:ascii="仿宋" w:hAnsi="仿宋" w:eastAsia="仿宋" w:cs="仿宋"/>
          <w:color w:val="auto"/>
          <w:lang w:eastAsia="zh-CN"/>
        </w:rPr>
        <w:tab/>
      </w:r>
    </w:p>
    <w:p>
      <w:pPr>
        <w:widowControl/>
        <w:ind w:right="-2"/>
        <w:jc w:val="center"/>
        <w:rPr>
          <w:rFonts w:hint="eastAsia" w:ascii="仿宋" w:hAnsi="仿宋" w:eastAsia="仿宋" w:cs="仿宋"/>
          <w:b/>
          <w:color w:val="auto"/>
          <w:sz w:val="24"/>
        </w:rPr>
      </w:pPr>
    </w:p>
    <w:p>
      <w:pPr>
        <w:pStyle w:val="45"/>
        <w:jc w:val="center"/>
        <w:rPr>
          <w:rFonts w:hint="eastAsia" w:ascii="仿宋" w:hAnsi="仿宋" w:eastAsia="仿宋" w:cs="仿宋"/>
          <w:b/>
          <w:bCs/>
          <w:color w:val="auto"/>
          <w:sz w:val="72"/>
          <w:szCs w:val="72"/>
          <w:lang w:val="en-US" w:eastAsia="zh-CN"/>
        </w:rPr>
      </w:pPr>
    </w:p>
    <w:p>
      <w:pPr>
        <w:pStyle w:val="45"/>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政府采购项目招标文件</w:t>
      </w:r>
    </w:p>
    <w:p>
      <w:pPr>
        <w:jc w:val="center"/>
        <w:rPr>
          <w:rFonts w:hint="eastAsia" w:ascii="仿宋" w:hAnsi="仿宋" w:eastAsia="仿宋" w:cs="仿宋"/>
          <w:b/>
          <w:bCs/>
          <w:color w:val="auto"/>
          <w:sz w:val="72"/>
          <w:szCs w:val="72"/>
          <w:lang w:val="en-US" w:eastAsia="zh-CN"/>
        </w:rPr>
      </w:pPr>
      <w:r>
        <w:rPr>
          <w:rFonts w:hint="eastAsia" w:ascii="仿宋" w:hAnsi="仿宋" w:eastAsia="仿宋" w:cs="仿宋"/>
          <w:b/>
          <w:bCs/>
          <w:color w:val="auto"/>
          <w:sz w:val="72"/>
          <w:szCs w:val="72"/>
          <w:lang w:val="en-US" w:eastAsia="zh-CN"/>
        </w:rPr>
        <w:t>（电子招投标）</w:t>
      </w:r>
    </w:p>
    <w:p>
      <w:pPr>
        <w:rPr>
          <w:rFonts w:hint="eastAsia" w:ascii="仿宋" w:hAnsi="仿宋" w:eastAsia="仿宋" w:cs="仿宋"/>
          <w:b/>
          <w:color w:val="auto"/>
          <w:sz w:val="24"/>
        </w:rPr>
      </w:pPr>
    </w:p>
    <w:p>
      <w:pPr>
        <w:pStyle w:val="45"/>
        <w:rPr>
          <w:rFonts w:hint="eastAsia" w:ascii="仿宋" w:hAnsi="仿宋" w:eastAsia="仿宋" w:cs="仿宋"/>
          <w:b/>
          <w:color w:val="auto"/>
          <w:sz w:val="24"/>
        </w:rPr>
      </w:pPr>
    </w:p>
    <w:p>
      <w:pPr>
        <w:rPr>
          <w:rFonts w:hint="eastAsia" w:ascii="仿宋" w:hAnsi="仿宋" w:eastAsia="仿宋" w:cs="仿宋"/>
          <w:b/>
          <w:color w:val="auto"/>
          <w:sz w:val="24"/>
        </w:rPr>
      </w:pPr>
    </w:p>
    <w:p>
      <w:pPr>
        <w:pStyle w:val="4"/>
        <w:rPr>
          <w:rFonts w:hint="eastAsia" w:ascii="仿宋" w:hAnsi="仿宋" w:eastAsia="仿宋" w:cs="仿宋"/>
          <w:b/>
          <w:color w:val="auto"/>
          <w:sz w:val="24"/>
        </w:rPr>
      </w:pPr>
    </w:p>
    <w:p>
      <w:pPr>
        <w:rPr>
          <w:rFonts w:hint="eastAsia" w:ascii="仿宋" w:hAnsi="仿宋" w:eastAsia="仿宋" w:cs="仿宋"/>
          <w:b/>
          <w:color w:val="auto"/>
          <w:sz w:val="24"/>
        </w:rPr>
      </w:pPr>
    </w:p>
    <w:p>
      <w:pPr>
        <w:pStyle w:val="4"/>
        <w:rPr>
          <w:rFonts w:hint="eastAsia" w:ascii="仿宋" w:hAnsi="仿宋" w:eastAsia="仿宋" w:cs="仿宋"/>
          <w:b/>
          <w:color w:val="auto"/>
          <w:sz w:val="24"/>
        </w:rPr>
      </w:pPr>
    </w:p>
    <w:p>
      <w:pPr>
        <w:rPr>
          <w:rFonts w:hint="eastAsia" w:ascii="仿宋" w:hAnsi="仿宋" w:eastAsia="仿宋" w:cs="仿宋"/>
          <w:b/>
          <w:color w:val="auto"/>
          <w:sz w:val="24"/>
        </w:rPr>
      </w:pPr>
    </w:p>
    <w:p>
      <w:pPr>
        <w:pStyle w:val="4"/>
        <w:rPr>
          <w:rFonts w:hint="eastAsia" w:ascii="仿宋" w:hAnsi="仿宋" w:eastAsia="仿宋" w:cs="仿宋"/>
          <w:color w:val="auto"/>
        </w:rPr>
      </w:pPr>
    </w:p>
    <w:p>
      <w:pPr>
        <w:pStyle w:val="45"/>
        <w:rPr>
          <w:rFonts w:hint="eastAsia" w:ascii="仿宋" w:hAnsi="仿宋" w:eastAsia="仿宋" w:cs="仿宋"/>
          <w:b/>
          <w:color w:val="auto"/>
          <w:sz w:val="24"/>
        </w:rPr>
      </w:pPr>
    </w:p>
    <w:p>
      <w:pPr>
        <w:rPr>
          <w:rFonts w:hint="eastAsia" w:ascii="仿宋" w:hAnsi="仿宋" w:eastAsia="仿宋" w:cs="仿宋"/>
          <w:color w:val="auto"/>
        </w:rPr>
      </w:pPr>
    </w:p>
    <w:p>
      <w:pPr>
        <w:rPr>
          <w:rFonts w:hint="eastAsia" w:ascii="仿宋" w:hAnsi="仿宋" w:eastAsia="仿宋" w:cs="仿宋"/>
          <w:color w:val="auto"/>
        </w:rPr>
      </w:pPr>
    </w:p>
    <w:tbl>
      <w:tblPr>
        <w:tblStyle w:val="64"/>
        <w:tblW w:w="8789"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项目名称：</w:t>
            </w:r>
          </w:p>
        </w:tc>
        <w:tc>
          <w:tcPr>
            <w:tcW w:w="70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7" w:leftChars="-4" w:hanging="1"/>
              <w:textAlignment w:val="auto"/>
              <w:rPr>
                <w:rFonts w:hint="eastAsia" w:ascii="仿宋" w:hAnsi="仿宋" w:eastAsia="仿宋" w:cs="仿宋"/>
                <w:bCs/>
                <w:color w:val="auto"/>
                <w:kern w:val="0"/>
                <w:sz w:val="28"/>
                <w:szCs w:val="28"/>
                <w:u w:val="none"/>
                <w:lang w:val="en-US" w:eastAsia="zh-CN"/>
              </w:rPr>
            </w:pPr>
            <w:r>
              <w:rPr>
                <w:rFonts w:hint="eastAsia" w:ascii="仿宋" w:hAnsi="仿宋" w:eastAsia="仿宋" w:cs="仿宋"/>
                <w:color w:val="auto"/>
                <w:kern w:val="0"/>
                <w:sz w:val="28"/>
                <w:szCs w:val="28"/>
                <w:lang w:val="en-US" w:eastAsia="zh-CN"/>
              </w:rPr>
              <w:t>王江泾镇综合执法队“大综合一体化”基础设施提升项目智能化采购项目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项目编号：</w:t>
            </w:r>
          </w:p>
        </w:tc>
        <w:tc>
          <w:tcPr>
            <w:tcW w:w="70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7" w:leftChars="-4" w:hanging="1"/>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rPr>
              <w:t>ZJJYZFCG-2024-004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采购方式：</w:t>
            </w:r>
          </w:p>
        </w:tc>
        <w:tc>
          <w:tcPr>
            <w:tcW w:w="70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7" w:leftChars="-4" w:hanging="1"/>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公开招标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交易方式：</w:t>
            </w:r>
          </w:p>
        </w:tc>
        <w:tc>
          <w:tcPr>
            <w:tcW w:w="70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7" w:leftChars="-4" w:hanging="1"/>
              <w:textAlignment w:val="auto"/>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电子交易（政府采购云平台）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采 购 人：</w:t>
            </w:r>
          </w:p>
        </w:tc>
        <w:tc>
          <w:tcPr>
            <w:tcW w:w="70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7" w:leftChars="-4" w:hanging="1"/>
              <w:jc w:val="left"/>
              <w:textAlignment w:val="auto"/>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highlight w:val="none"/>
                <w:lang w:val="en-US" w:eastAsia="zh-CN"/>
              </w:rPr>
              <w:t>嘉兴市秀洲区王江泾镇人民政府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代理机构：</w:t>
            </w:r>
          </w:p>
        </w:tc>
        <w:tc>
          <w:tcPr>
            <w:tcW w:w="70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7" w:leftChars="-4" w:hanging="1"/>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浙江槿阳建设管理有限公司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jc w:val="righ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日    期：</w:t>
            </w:r>
          </w:p>
        </w:tc>
        <w:tc>
          <w:tcPr>
            <w:tcW w:w="708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40" w:lineRule="auto"/>
              <w:ind w:left="-7" w:leftChars="-4" w:hanging="1"/>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二○二</w:t>
            </w:r>
            <w:r>
              <w:rPr>
                <w:rFonts w:hint="eastAsia" w:ascii="仿宋" w:hAnsi="仿宋" w:eastAsia="仿宋" w:cs="仿宋"/>
                <w:color w:val="auto"/>
                <w:kern w:val="0"/>
                <w:sz w:val="28"/>
                <w:szCs w:val="28"/>
                <w:lang w:val="en-US" w:eastAsia="zh-CN"/>
              </w:rPr>
              <w:t>四</w:t>
            </w:r>
            <w:r>
              <w:rPr>
                <w:rFonts w:hint="eastAsia" w:ascii="仿宋" w:hAnsi="仿宋" w:eastAsia="仿宋" w:cs="仿宋"/>
                <w:color w:val="auto"/>
                <w:kern w:val="0"/>
                <w:sz w:val="28"/>
                <w:szCs w:val="28"/>
              </w:rPr>
              <w:t>年</w:t>
            </w:r>
            <w:r>
              <w:rPr>
                <w:rFonts w:hint="eastAsia" w:ascii="仿宋" w:hAnsi="仿宋" w:eastAsia="仿宋" w:cs="仿宋"/>
                <w:color w:val="auto"/>
                <w:kern w:val="0"/>
                <w:sz w:val="28"/>
                <w:szCs w:val="28"/>
                <w:lang w:val="en-US" w:eastAsia="zh-CN"/>
              </w:rPr>
              <w:t>四</w:t>
            </w:r>
            <w:r>
              <w:rPr>
                <w:rFonts w:hint="eastAsia" w:ascii="仿宋" w:hAnsi="仿宋" w:eastAsia="仿宋" w:cs="仿宋"/>
                <w:color w:val="auto"/>
                <w:kern w:val="0"/>
                <w:sz w:val="28"/>
                <w:szCs w:val="28"/>
              </w:rPr>
              <w:t>月</w:t>
            </w:r>
          </w:p>
        </w:tc>
      </w:tr>
    </w:tbl>
    <w:p>
      <w:pPr>
        <w:snapToGrid w:val="0"/>
        <w:spacing w:line="360" w:lineRule="auto"/>
        <w:jc w:val="center"/>
        <w:rPr>
          <w:rFonts w:hint="eastAsia" w:ascii="仿宋" w:hAnsi="仿宋" w:eastAsia="仿宋" w:cs="仿宋"/>
          <w:color w:val="auto"/>
          <w:sz w:val="30"/>
          <w:highlight w:val="none"/>
        </w:rPr>
      </w:pP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07423"/>
      <w:bookmarkEnd w:id="4"/>
      <w:bookmarkStart w:id="5" w:name="_Hlt74728647"/>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仿宋" w:hAnsi="仿宋" w:eastAsia="仿宋" w:cs="仿宋"/>
          <w:b/>
          <w:color w:val="auto"/>
          <w:sz w:val="36"/>
          <w:szCs w:val="36"/>
          <w:highlight w:val="none"/>
        </w:rPr>
        <w:t>第一部分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项目概况</w:t>
      </w:r>
    </w:p>
    <w:p>
      <w:pPr>
        <w:pBdr>
          <w:top w:val="single" w:color="auto" w:sz="4" w:space="1"/>
          <w:left w:val="single" w:color="auto" w:sz="4" w:space="4"/>
          <w:bottom w:val="single" w:color="auto" w:sz="4" w:space="1"/>
          <w:right w:val="single" w:color="auto" w:sz="4" w:space="4"/>
        </w:pBdr>
        <w:wordWrap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lang w:val="en-US" w:eastAsia="zh-CN"/>
        </w:rPr>
        <w:t>王江泾镇综合执法队“大综合一体化”基础设施提升项目智能化采购项目</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"https://www.zcygov.cn/）获取（下载）招标文件，并于2022年%20月%20日%20点%20分00秒" </w:instrText>
      </w:r>
      <w:r>
        <w:rPr>
          <w:rFonts w:hint="eastAsia" w:ascii="仿宋" w:hAnsi="仿宋" w:eastAsia="仿宋" w:cs="仿宋"/>
          <w:color w:val="auto"/>
          <w:highlight w:val="none"/>
        </w:rPr>
        <w:fldChar w:fldCharType="separate"/>
      </w:r>
      <w:r>
        <w:rPr>
          <w:rStyle w:val="75"/>
          <w:rFonts w:hint="eastAsia" w:ascii="仿宋" w:hAnsi="仿宋" w:eastAsia="仿宋" w:cs="仿宋"/>
          <w:snapToGrid/>
          <w:color w:val="auto"/>
          <w:kern w:val="2"/>
          <w:sz w:val="21"/>
          <w:szCs w:val="21"/>
          <w:highlight w:val="none"/>
        </w:rPr>
        <w:t>https://www.zcygov.cn/）获取（下载）招标文件</w:t>
      </w:r>
      <w:r>
        <w:rPr>
          <w:rStyle w:val="75"/>
          <w:rFonts w:hint="eastAsia" w:ascii="仿宋" w:hAnsi="仿宋" w:eastAsia="仿宋" w:cs="仿宋"/>
          <w:snapToGrid/>
          <w:color w:val="auto"/>
          <w:kern w:val="2"/>
          <w:sz w:val="21"/>
          <w:szCs w:val="21"/>
          <w:highlight w:val="none"/>
          <w:u w:val="none"/>
        </w:rPr>
        <w:t>，并于202</w:t>
      </w:r>
      <w:r>
        <w:rPr>
          <w:rStyle w:val="75"/>
          <w:rFonts w:hint="eastAsia" w:ascii="仿宋" w:hAnsi="仿宋" w:eastAsia="仿宋" w:cs="仿宋"/>
          <w:snapToGrid/>
          <w:color w:val="auto"/>
          <w:kern w:val="2"/>
          <w:sz w:val="21"/>
          <w:szCs w:val="21"/>
          <w:highlight w:val="none"/>
          <w:u w:val="none"/>
          <w:lang w:val="en-US" w:eastAsia="zh-CN"/>
        </w:rPr>
        <w:t>4</w:t>
      </w:r>
      <w:r>
        <w:rPr>
          <w:rStyle w:val="75"/>
          <w:rFonts w:hint="eastAsia" w:ascii="仿宋" w:hAnsi="仿宋" w:eastAsia="仿宋" w:cs="仿宋"/>
          <w:snapToGrid/>
          <w:color w:val="auto"/>
          <w:kern w:val="2"/>
          <w:sz w:val="21"/>
          <w:szCs w:val="21"/>
          <w:highlight w:val="none"/>
          <w:u w:val="none"/>
        </w:rPr>
        <w:t>年</w:t>
      </w:r>
      <w:r>
        <w:rPr>
          <w:rStyle w:val="75"/>
          <w:rFonts w:hint="eastAsia" w:ascii="仿宋" w:hAnsi="仿宋" w:eastAsia="仿宋" w:cs="仿宋"/>
          <w:snapToGrid/>
          <w:color w:val="auto"/>
          <w:kern w:val="2"/>
          <w:sz w:val="21"/>
          <w:szCs w:val="21"/>
          <w:highlight w:val="none"/>
          <w:u w:val="none"/>
          <w:lang w:val="en-US" w:eastAsia="zh-CN"/>
        </w:rPr>
        <w:t>04</w:t>
      </w:r>
      <w:r>
        <w:rPr>
          <w:rStyle w:val="75"/>
          <w:rFonts w:hint="eastAsia" w:ascii="仿宋" w:hAnsi="仿宋" w:eastAsia="仿宋" w:cs="仿宋"/>
          <w:snapToGrid/>
          <w:color w:val="auto"/>
          <w:kern w:val="2"/>
          <w:sz w:val="21"/>
          <w:szCs w:val="21"/>
          <w:highlight w:val="none"/>
          <w:u w:val="none"/>
        </w:rPr>
        <w:t>月</w:t>
      </w:r>
      <w:r>
        <w:rPr>
          <w:rStyle w:val="75"/>
          <w:rFonts w:hint="eastAsia" w:ascii="仿宋" w:hAnsi="仿宋" w:eastAsia="仿宋" w:cs="仿宋"/>
          <w:snapToGrid/>
          <w:color w:val="auto"/>
          <w:kern w:val="2"/>
          <w:sz w:val="21"/>
          <w:szCs w:val="21"/>
          <w:highlight w:val="none"/>
          <w:u w:val="none"/>
          <w:lang w:val="en-US" w:eastAsia="zh-CN"/>
        </w:rPr>
        <w:t>23</w:t>
      </w:r>
      <w:r>
        <w:rPr>
          <w:rStyle w:val="75"/>
          <w:rFonts w:hint="eastAsia" w:ascii="仿宋" w:hAnsi="仿宋" w:eastAsia="仿宋" w:cs="仿宋"/>
          <w:snapToGrid/>
          <w:color w:val="auto"/>
          <w:kern w:val="2"/>
          <w:sz w:val="21"/>
          <w:szCs w:val="21"/>
          <w:highlight w:val="none"/>
          <w:u w:val="none"/>
        </w:rPr>
        <w:t>日</w:t>
      </w:r>
      <w:r>
        <w:rPr>
          <w:rStyle w:val="75"/>
          <w:rFonts w:hint="eastAsia" w:ascii="仿宋" w:hAnsi="仿宋" w:eastAsia="仿宋" w:cs="仿宋"/>
          <w:snapToGrid/>
          <w:color w:val="auto"/>
          <w:kern w:val="2"/>
          <w:sz w:val="21"/>
          <w:szCs w:val="21"/>
          <w:highlight w:val="none"/>
          <w:u w:val="none"/>
          <w:lang w:val="en-US" w:eastAsia="zh-CN"/>
        </w:rPr>
        <w:t>14</w:t>
      </w:r>
      <w:r>
        <w:rPr>
          <w:rStyle w:val="75"/>
          <w:rFonts w:hint="eastAsia" w:ascii="仿宋" w:hAnsi="仿宋" w:eastAsia="仿宋" w:cs="仿宋"/>
          <w:snapToGrid/>
          <w:color w:val="auto"/>
          <w:kern w:val="2"/>
          <w:sz w:val="21"/>
          <w:szCs w:val="21"/>
          <w:highlight w:val="none"/>
          <w:u w:val="none"/>
        </w:rPr>
        <w:t>点00分</w:t>
      </w:r>
      <w:r>
        <w:rPr>
          <w:rStyle w:val="75"/>
          <w:rFonts w:hint="eastAsia" w:ascii="仿宋" w:hAnsi="仿宋" w:eastAsia="仿宋" w:cs="仿宋"/>
          <w:bCs/>
          <w:snapToGrid/>
          <w:color w:val="auto"/>
          <w:kern w:val="2"/>
          <w:sz w:val="21"/>
          <w:szCs w:val="21"/>
          <w:highlight w:val="none"/>
          <w:u w:val="none"/>
        </w:rPr>
        <w:t>00秒</w:t>
      </w:r>
      <w:r>
        <w:rPr>
          <w:rStyle w:val="75"/>
          <w:rFonts w:hint="eastAsia" w:ascii="仿宋" w:hAnsi="仿宋" w:eastAsia="仿宋" w:cs="仿宋"/>
          <w:bCs/>
          <w:snapToGrid/>
          <w:color w:val="auto"/>
          <w:kern w:val="2"/>
          <w:sz w:val="21"/>
          <w:szCs w:val="21"/>
          <w:highlight w:val="none"/>
        </w:rPr>
        <w:fldChar w:fldCharType="end"/>
      </w:r>
      <w:r>
        <w:rPr>
          <w:rFonts w:hint="eastAsia" w:ascii="仿宋" w:hAnsi="仿宋" w:eastAsia="仿宋" w:cs="仿宋"/>
          <w:bCs/>
          <w:color w:val="auto"/>
          <w:szCs w:val="21"/>
          <w:highlight w:val="none"/>
        </w:rPr>
        <w:t>（北京时间）前</w:t>
      </w:r>
      <w:r>
        <w:rPr>
          <w:rFonts w:hint="eastAsia" w:ascii="仿宋" w:hAnsi="仿宋" w:eastAsia="仿宋" w:cs="仿宋"/>
          <w:color w:val="auto"/>
          <w:szCs w:val="21"/>
          <w:highlight w:val="none"/>
        </w:rPr>
        <w:t>递交（上传）投标文件。</w:t>
      </w:r>
    </w:p>
    <w:p>
      <w:pPr>
        <w:keepNext w:val="0"/>
        <w:keepLines w:val="0"/>
        <w:pageBreakBefore w:val="0"/>
        <w:widowControl w:val="0"/>
        <w:kinsoku/>
        <w:wordWrap/>
        <w:overflowPunct/>
        <w:topLinePunct w:val="0"/>
        <w:autoSpaceDE/>
        <w:autoSpaceDN/>
        <w:bidi w:val="0"/>
        <w:adjustRightInd w:val="0"/>
        <w:snapToGrid/>
        <w:spacing w:before="240" w:beforeLines="100" w:after="313" w:afterLines="100" w:line="240" w:lineRule="auto"/>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一、项目基本情况</w:t>
      </w:r>
    </w:p>
    <w:p>
      <w:pPr>
        <w:spacing w:line="360"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项目编号：ZJJYZFCG-2024-004</w:t>
      </w:r>
    </w:p>
    <w:p>
      <w:pPr>
        <w:spacing w:line="360" w:lineRule="auto"/>
        <w:ind w:firstLine="420" w:firstLineChars="200"/>
        <w:rPr>
          <w:rFonts w:hint="eastAsia" w:ascii="仿宋" w:hAnsi="仿宋" w:eastAsia="仿宋" w:cs="仿宋"/>
          <w:bCs/>
          <w:color w:val="auto"/>
          <w:szCs w:val="21"/>
          <w:highlight w:val="none"/>
          <w:lang w:eastAsia="zh-CN"/>
        </w:rPr>
      </w:pPr>
      <w:r>
        <w:rPr>
          <w:rFonts w:hint="eastAsia" w:ascii="仿宋" w:hAnsi="仿宋" w:eastAsia="仿宋" w:cs="仿宋"/>
          <w:bCs/>
          <w:color w:val="auto"/>
          <w:szCs w:val="21"/>
          <w:highlight w:val="none"/>
        </w:rPr>
        <w:t>项目名称：</w:t>
      </w:r>
      <w:r>
        <w:rPr>
          <w:rFonts w:hint="eastAsia" w:ascii="仿宋" w:hAnsi="仿宋" w:eastAsia="仿宋" w:cs="仿宋"/>
          <w:bCs/>
          <w:color w:val="auto"/>
          <w:szCs w:val="21"/>
          <w:highlight w:val="none"/>
          <w:u w:val="none"/>
          <w:lang w:eastAsia="zh-CN"/>
        </w:rPr>
        <w:t>王江泾镇综合执法队“大综合一体化”基础设施提升项目智能化采购项目</w:t>
      </w:r>
    </w:p>
    <w:p>
      <w:pPr>
        <w:spacing w:line="360" w:lineRule="auto"/>
        <w:ind w:firstLine="420" w:firstLineChars="200"/>
        <w:rPr>
          <w:rFonts w:hint="default" w:ascii="仿宋" w:hAnsi="仿宋" w:eastAsia="仿宋" w:cs="仿宋"/>
          <w:bCs/>
          <w:color w:val="auto"/>
          <w:szCs w:val="21"/>
          <w:highlight w:val="none"/>
          <w:lang w:val="en-US"/>
        </w:rPr>
      </w:pPr>
      <w:r>
        <w:rPr>
          <w:rFonts w:hint="eastAsia" w:ascii="仿宋" w:hAnsi="仿宋" w:eastAsia="仿宋" w:cs="仿宋"/>
          <w:bCs/>
          <w:color w:val="auto"/>
          <w:szCs w:val="21"/>
          <w:highlight w:val="none"/>
        </w:rPr>
        <w:t>预算金额（元）：</w:t>
      </w:r>
      <w:r>
        <w:rPr>
          <w:rFonts w:hint="eastAsia" w:ascii="仿宋" w:hAnsi="仿宋" w:eastAsia="仿宋" w:cs="仿宋"/>
          <w:bCs/>
          <w:color w:val="auto"/>
          <w:szCs w:val="21"/>
          <w:highlight w:val="none"/>
          <w:u w:val="single"/>
          <w:lang w:val="en-US" w:eastAsia="zh-CN"/>
        </w:rPr>
        <w:t xml:space="preserve">1250218 </w:t>
      </w:r>
    </w:p>
    <w:p>
      <w:pPr>
        <w:spacing w:line="360" w:lineRule="auto"/>
        <w:ind w:firstLine="420" w:firstLineChars="200"/>
        <w:rPr>
          <w:rFonts w:hint="eastAsia" w:ascii="仿宋" w:hAnsi="仿宋" w:eastAsia="仿宋" w:cs="仿宋"/>
          <w:bCs/>
          <w:i w:val="0"/>
          <w:iCs w:val="0"/>
          <w:color w:val="auto"/>
          <w:szCs w:val="21"/>
          <w:highlight w:val="none"/>
          <w:u w:val="single"/>
          <w:lang w:val="en-US" w:eastAsia="zh-CN"/>
        </w:rPr>
      </w:pPr>
      <w:r>
        <w:rPr>
          <w:rFonts w:hint="eastAsia" w:ascii="仿宋" w:hAnsi="仿宋" w:eastAsia="仿宋" w:cs="仿宋"/>
          <w:bCs/>
          <w:i w:val="0"/>
          <w:iCs w:val="0"/>
          <w:color w:val="auto"/>
          <w:szCs w:val="21"/>
          <w:highlight w:val="none"/>
          <w:u w:val="none"/>
        </w:rPr>
        <w:t>最高限价（元）：</w:t>
      </w:r>
      <w:r>
        <w:rPr>
          <w:rFonts w:hint="eastAsia" w:ascii="仿宋" w:hAnsi="仿宋" w:eastAsia="仿宋" w:cs="仿宋"/>
          <w:bCs/>
          <w:i w:val="0"/>
          <w:iCs w:val="0"/>
          <w:color w:val="auto"/>
          <w:szCs w:val="21"/>
          <w:highlight w:val="none"/>
          <w:u w:val="single"/>
          <w:lang w:val="en-US" w:eastAsia="zh-CN"/>
        </w:rPr>
        <w:t xml:space="preserve">1250218 </w:t>
      </w:r>
    </w:p>
    <w:p>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采购需求：</w:t>
      </w:r>
    </w:p>
    <w:p>
      <w:pPr>
        <w:spacing w:line="360" w:lineRule="auto"/>
        <w:ind w:firstLine="420" w:firstLineChars="200"/>
        <w:rPr>
          <w:rFonts w:hint="eastAsia" w:ascii="仿宋" w:hAnsi="仿宋" w:eastAsia="仿宋" w:cs="仿宋"/>
          <w:bCs/>
          <w:color w:val="auto"/>
          <w:szCs w:val="21"/>
          <w:highlight w:val="none"/>
          <w:u w:val="none"/>
          <w:lang w:eastAsia="zh-CN"/>
        </w:rPr>
      </w:pPr>
      <w:r>
        <w:rPr>
          <w:rFonts w:hint="eastAsia" w:ascii="仿宋" w:hAnsi="仿宋" w:eastAsia="仿宋" w:cs="仿宋"/>
          <w:bCs/>
          <w:color w:val="auto"/>
          <w:szCs w:val="21"/>
          <w:highlight w:val="none"/>
        </w:rPr>
        <w:t>标项名称：</w:t>
      </w:r>
      <w:r>
        <w:rPr>
          <w:rFonts w:hint="eastAsia" w:ascii="仿宋" w:hAnsi="仿宋" w:eastAsia="仿宋" w:cs="仿宋"/>
          <w:bCs/>
          <w:color w:val="auto"/>
          <w:szCs w:val="21"/>
          <w:highlight w:val="none"/>
          <w:u w:val="none"/>
          <w:lang w:eastAsia="zh-CN"/>
        </w:rPr>
        <w:t>王江泾镇综合执法队“大综合一体化”基础设施提升项目智能化采购项目</w:t>
      </w:r>
    </w:p>
    <w:p>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数量：</w:t>
      </w:r>
      <w:r>
        <w:rPr>
          <w:rFonts w:hint="eastAsia" w:ascii="仿宋" w:hAnsi="仿宋" w:eastAsia="仿宋" w:cs="仿宋"/>
          <w:bCs/>
          <w:color w:val="auto"/>
          <w:szCs w:val="21"/>
          <w:highlight w:val="none"/>
          <w:u w:val="none"/>
        </w:rPr>
        <w:t>1</w:t>
      </w:r>
    </w:p>
    <w:p>
      <w:pPr>
        <w:spacing w:line="360" w:lineRule="auto"/>
        <w:ind w:firstLine="420" w:firstLineChars="200"/>
        <w:rPr>
          <w:rFonts w:hint="eastAsia" w:ascii="仿宋" w:hAnsi="仿宋" w:eastAsia="仿宋" w:cs="仿宋"/>
          <w:bCs/>
          <w:color w:val="auto"/>
          <w:szCs w:val="21"/>
          <w:highlight w:val="none"/>
          <w:lang w:val="en-US"/>
        </w:rPr>
      </w:pPr>
      <w:r>
        <w:rPr>
          <w:rFonts w:hint="eastAsia" w:ascii="仿宋" w:hAnsi="仿宋" w:eastAsia="仿宋" w:cs="仿宋"/>
          <w:bCs/>
          <w:color w:val="auto"/>
          <w:szCs w:val="21"/>
          <w:highlight w:val="none"/>
        </w:rPr>
        <w:t>预算金额（元）：</w:t>
      </w:r>
      <w:r>
        <w:rPr>
          <w:rFonts w:hint="eastAsia" w:ascii="仿宋" w:hAnsi="仿宋" w:eastAsia="仿宋" w:cs="仿宋"/>
          <w:bCs/>
          <w:i w:val="0"/>
          <w:iCs w:val="0"/>
          <w:color w:val="auto"/>
          <w:szCs w:val="21"/>
          <w:highlight w:val="none"/>
          <w:u w:val="single"/>
          <w:lang w:val="en-US" w:eastAsia="zh-CN"/>
        </w:rPr>
        <w:t xml:space="preserve">1250218 </w:t>
      </w:r>
    </w:p>
    <w:p>
      <w:pPr>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简要规格描述或项目基本概况介绍、用途：具体以招标文件第三部分采购需求为准，供应商可点击本公告下方“浏览采购文件”查看采购需求。</w:t>
      </w:r>
    </w:p>
    <w:p>
      <w:pPr>
        <w:spacing w:line="360" w:lineRule="auto"/>
        <w:ind w:firstLine="420" w:firstLineChars="200"/>
        <w:rPr>
          <w:rFonts w:hint="default"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rPr>
        <w:t>合同履约期限：</w:t>
      </w:r>
      <w:r>
        <w:rPr>
          <w:rFonts w:hint="eastAsia" w:ascii="仿宋" w:hAnsi="仿宋" w:eastAsia="仿宋" w:cs="仿宋"/>
          <w:bCs/>
          <w:color w:val="auto"/>
          <w:szCs w:val="21"/>
          <w:highlight w:val="none"/>
          <w:u w:val="single"/>
          <w:lang w:val="en-US" w:eastAsia="zh-CN"/>
        </w:rPr>
        <w:t>接到采购人进场通知之日起45天内完成。</w:t>
      </w:r>
    </w:p>
    <w:p>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本项目接受联合体投标：</w:t>
      </w:r>
      <w:sdt>
        <w:sdtPr>
          <w:rPr>
            <w:rFonts w:hint="eastAsia" w:ascii="仿宋" w:hAnsi="仿宋" w:eastAsia="仿宋" w:cs="仿宋"/>
            <w:bCs/>
            <w:color w:val="auto"/>
            <w:kern w:val="0"/>
            <w:szCs w:val="21"/>
            <w:highlight w:val="none"/>
          </w:rPr>
          <w:id w:val="2035453831"/>
        </w:sdtPr>
        <w:sdtEndPr>
          <w:rPr>
            <w:rFonts w:hint="eastAsia" w:ascii="仿宋" w:hAnsi="仿宋" w:eastAsia="仿宋" w:cs="仿宋"/>
            <w:bCs/>
            <w:color w:val="auto"/>
            <w:kern w:val="0"/>
            <w:szCs w:val="21"/>
            <w:highlight w:val="none"/>
          </w:rPr>
        </w:sdtEndPr>
        <w:sdtContent>
          <w:r>
            <w:rPr>
              <w:rFonts w:hint="eastAsia" w:ascii="仿宋" w:hAnsi="仿宋" w:eastAsia="仿宋" w:cs="仿宋"/>
              <w:bCs/>
              <w:color w:val="auto"/>
              <w:kern w:val="0"/>
              <w:szCs w:val="21"/>
              <w:highlight w:val="none"/>
            </w:rPr>
            <w:sym w:font="Wingdings" w:char="00A8"/>
          </w:r>
        </w:sdtContent>
      </w:sdt>
      <w:r>
        <w:rPr>
          <w:rFonts w:hint="eastAsia" w:ascii="仿宋" w:hAnsi="仿宋" w:eastAsia="仿宋" w:cs="仿宋"/>
          <w:bCs/>
          <w:color w:val="auto"/>
          <w:szCs w:val="21"/>
          <w:highlight w:val="none"/>
        </w:rPr>
        <w:t>是，</w:t>
      </w:r>
      <w:sdt>
        <w:sdtPr>
          <w:rPr>
            <w:rFonts w:hint="eastAsia" w:ascii="仿宋" w:hAnsi="仿宋" w:eastAsia="仿宋" w:cs="仿宋"/>
            <w:bCs/>
            <w:color w:val="auto"/>
            <w:kern w:val="0"/>
            <w:szCs w:val="21"/>
            <w:highlight w:val="none"/>
          </w:rPr>
          <w:id w:val="-1765526721"/>
        </w:sdtPr>
        <w:sdtEndPr>
          <w:rPr>
            <w:rFonts w:hint="eastAsia" w:ascii="仿宋" w:hAnsi="仿宋" w:eastAsia="仿宋" w:cs="仿宋"/>
            <w:bCs/>
            <w:color w:val="auto"/>
            <w:kern w:val="0"/>
            <w:szCs w:val="21"/>
            <w:highlight w:val="none"/>
          </w:rPr>
        </w:sdtEndPr>
        <w:sdtContent>
          <w:sdt>
            <w:sdtPr>
              <w:rPr>
                <w:rFonts w:hint="eastAsia" w:ascii="仿宋" w:hAnsi="仿宋" w:eastAsia="仿宋" w:cs="仿宋"/>
                <w:bCs/>
                <w:color w:val="auto"/>
                <w:kern w:val="0"/>
                <w:szCs w:val="21"/>
                <w:highlight w:val="none"/>
              </w:rPr>
              <w:id w:val="1928616923"/>
            </w:sdtPr>
            <w:sdtEndPr>
              <w:rPr>
                <w:rFonts w:hint="eastAsia" w:ascii="仿宋" w:hAnsi="仿宋" w:eastAsia="仿宋" w:cs="仿宋"/>
                <w:bCs/>
                <w:color w:val="auto"/>
                <w:kern w:val="0"/>
                <w:szCs w:val="21"/>
                <w:highlight w:val="none"/>
              </w:rPr>
            </w:sdtEndPr>
            <w:sdtContent>
              <w:r>
                <w:rPr>
                  <w:rFonts w:hint="eastAsia" w:ascii="仿宋" w:hAnsi="仿宋" w:eastAsia="仿宋" w:cs="仿宋"/>
                  <w:bCs/>
                  <w:color w:val="auto"/>
                  <w:kern w:val="0"/>
                  <w:szCs w:val="21"/>
                  <w:highlight w:val="none"/>
                </w:rPr>
                <w:sym w:font="Wingdings" w:char="00FE"/>
              </w:r>
            </w:sdtContent>
          </w:sdt>
        </w:sdtContent>
      </w:sdt>
      <w:r>
        <w:rPr>
          <w:rFonts w:hint="eastAsia" w:ascii="仿宋" w:hAnsi="仿宋" w:eastAsia="仿宋" w:cs="仿宋"/>
          <w:bCs/>
          <w:color w:val="auto"/>
          <w:szCs w:val="21"/>
          <w:highlight w:val="none"/>
        </w:rPr>
        <w:t>否</w:t>
      </w:r>
      <w:r>
        <w:rPr>
          <w:rFonts w:hint="eastAsia" w:ascii="仿宋" w:hAnsi="仿宋" w:eastAsia="仿宋" w:cs="仿宋"/>
          <w:bCs/>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二、申请人的资格要求：</w:t>
      </w:r>
    </w:p>
    <w:p>
      <w:pPr>
        <w:wordWrap w:val="0"/>
        <w:spacing w:line="360" w:lineRule="auto"/>
        <w:ind w:firstLine="482"/>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Cs w:val="21"/>
          <w:highlight w:val="none"/>
          <w:lang w:val="en-US" w:eastAsia="zh-CN"/>
        </w:rPr>
      </w:pPr>
      <w:r>
        <w:rPr>
          <w:rFonts w:hint="eastAsia" w:ascii="仿宋" w:hAnsi="仿宋" w:eastAsia="仿宋" w:cs="仿宋"/>
          <w:snapToGrid w:val="0"/>
          <w:color w:val="auto"/>
          <w:kern w:val="28"/>
          <w:szCs w:val="21"/>
          <w:highlight w:val="none"/>
        </w:rPr>
        <w:t xml:space="preserve">    </w:t>
      </w:r>
      <w:r>
        <w:rPr>
          <w:rFonts w:hint="eastAsia" w:ascii="仿宋" w:hAnsi="仿宋" w:eastAsia="仿宋" w:cs="仿宋"/>
          <w:snapToGrid w:val="0"/>
          <w:color w:val="auto"/>
          <w:kern w:val="28"/>
          <w:szCs w:val="21"/>
          <w:highlight w:val="none"/>
          <w:lang w:val="en-US" w:eastAsia="zh-CN"/>
        </w:rPr>
        <w:t>2.以联合体形式投标的，提供联合协议(本项目不接受联合体投标或者投标人不以联合体形式投标的，则不需要提供) ；</w:t>
      </w:r>
    </w:p>
    <w:p>
      <w:pPr>
        <w:spacing w:line="360" w:lineRule="auto"/>
        <w:ind w:firstLine="420" w:firstLineChars="200"/>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lang w:val="en-US" w:eastAsia="zh-CN"/>
        </w:rPr>
        <w:t>3</w:t>
      </w:r>
      <w:r>
        <w:rPr>
          <w:rFonts w:hint="eastAsia" w:ascii="仿宋" w:hAnsi="仿宋" w:eastAsia="仿宋" w:cs="仿宋"/>
          <w:snapToGrid w:val="0"/>
          <w:color w:val="auto"/>
          <w:kern w:val="28"/>
          <w:szCs w:val="21"/>
          <w:highlight w:val="none"/>
        </w:rPr>
        <w:t>.落实政府采购政策需满足的资格要求：</w:t>
      </w:r>
    </w:p>
    <w:sdt>
      <w:sdtPr>
        <w:rPr>
          <w:rFonts w:hint="eastAsia" w:ascii="仿宋" w:hAnsi="仿宋" w:eastAsia="仿宋" w:cs="仿宋"/>
          <w:color w:val="auto"/>
          <w:kern w:val="0"/>
          <w:szCs w:val="21"/>
          <w:highlight w:val="none"/>
        </w:rPr>
        <w:id w:val="-1361431184"/>
      </w:sdtPr>
      <w:sdtEndPr>
        <w:rPr>
          <w:rFonts w:hint="eastAsia" w:ascii="仿宋" w:hAnsi="仿宋" w:eastAsia="仿宋" w:cs="仿宋"/>
          <w:color w:val="auto"/>
          <w:kern w:val="0"/>
          <w:szCs w:val="21"/>
          <w:highlight w:val="none"/>
        </w:rPr>
      </w:sdtEndPr>
      <w:sdtContent>
        <w:p>
          <w:pPr>
            <w:spacing w:line="360" w:lineRule="auto"/>
            <w:ind w:firstLine="420" w:firstLineChars="200"/>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177705770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szCs w:val="21"/>
              <w:highlight w:val="none"/>
            </w:rPr>
            <w:t xml:space="preserve">无； </w:t>
          </w:r>
        </w:p>
        <w:p>
          <w:pPr>
            <w:spacing w:line="360" w:lineRule="auto"/>
            <w:ind w:firstLine="420" w:firstLineChars="200"/>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1024704304"/>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color w:val="auto"/>
              <w:kern w:val="0"/>
              <w:szCs w:val="21"/>
              <w:highlight w:val="none"/>
            </w:rPr>
            <w:t>专</w:t>
          </w:r>
          <w:r>
            <w:rPr>
              <w:rFonts w:hint="eastAsia" w:ascii="仿宋" w:hAnsi="仿宋" w:eastAsia="仿宋" w:cs="仿宋"/>
              <w:color w:val="auto"/>
              <w:szCs w:val="21"/>
              <w:highlight w:val="none"/>
            </w:rPr>
            <w:t>门面向中小企业</w:t>
          </w:r>
        </w:p>
        <w:p>
          <w:pPr>
            <w:spacing w:line="360" w:lineRule="auto"/>
            <w:ind w:firstLine="840" w:firstLineChars="400"/>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333685401"/>
            </w:sdtPr>
            <w:sdtEndPr>
              <w:rPr>
                <w:rFonts w:hint="eastAsia" w:ascii="仿宋" w:hAnsi="仿宋" w:eastAsia="仿宋" w:cs="仿宋"/>
                <w:color w:val="auto"/>
                <w:kern w:val="0"/>
                <w:szCs w:val="21"/>
                <w:highlight w:val="none"/>
              </w:rPr>
            </w:sdtEndPr>
            <w:sdtContent>
              <w:sdt>
                <w:sdtPr>
                  <w:rPr>
                    <w:rFonts w:hint="eastAsia" w:ascii="仿宋" w:hAnsi="仿宋" w:eastAsia="仿宋" w:cs="仿宋"/>
                    <w:color w:val="auto"/>
                    <w:kern w:val="0"/>
                    <w:szCs w:val="21"/>
                    <w:highlight w:val="none"/>
                  </w:rPr>
                  <w:id w:val="-1202788315"/>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r>
                    <w:rPr>
                      <w:rFonts w:hint="eastAsia" w:ascii="仿宋" w:hAnsi="仿宋" w:eastAsia="仿宋" w:cs="仿宋"/>
                      <w:color w:val="auto"/>
                      <w:kern w:val="0"/>
                      <w:szCs w:val="21"/>
                      <w:highlight w:val="none"/>
                    </w:rPr>
                    <w:t>货物全部由符合政策要求的中小企业制造，提供中小企业声明函</w:t>
                  </w:r>
                </w:sdtContent>
              </w:sdt>
            </w:sdtContent>
          </w:sdt>
          <w:r>
            <w:rPr>
              <w:rFonts w:hint="eastAsia" w:ascii="仿宋" w:hAnsi="仿宋" w:eastAsia="仿宋" w:cs="仿宋"/>
              <w:color w:val="auto"/>
              <w:szCs w:val="21"/>
              <w:highlight w:val="none"/>
            </w:rPr>
            <w:t>；</w:t>
          </w:r>
        </w:p>
        <w:p>
          <w:pPr>
            <w:spacing w:line="360" w:lineRule="auto"/>
            <w:ind w:firstLine="840" w:firstLineChars="400"/>
            <w:rPr>
              <w:rFonts w:hint="eastAsia" w:ascii="仿宋" w:hAnsi="仿宋" w:eastAsia="仿宋" w:cs="仿宋"/>
              <w:color w:val="auto"/>
              <w:kern w:val="0"/>
              <w:szCs w:val="21"/>
              <w:highlight w:val="none"/>
            </w:rPr>
          </w:pPr>
          <w:sdt>
            <w:sdtPr>
              <w:rPr>
                <w:rFonts w:hint="eastAsia" w:ascii="仿宋" w:hAnsi="仿宋" w:eastAsia="仿宋" w:cs="仿宋"/>
                <w:color w:val="auto"/>
                <w:kern w:val="0"/>
                <w:szCs w:val="21"/>
                <w:highlight w:val="none"/>
              </w:rPr>
              <w:id w:val="-1299604449"/>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sdt>
            <w:sdtPr>
              <w:rPr>
                <w:rFonts w:hint="eastAsia" w:ascii="仿宋" w:hAnsi="仿宋" w:eastAsia="仿宋" w:cs="仿宋"/>
                <w:color w:val="auto"/>
                <w:kern w:val="0"/>
                <w:szCs w:val="21"/>
                <w:highlight w:val="none"/>
              </w:rPr>
              <w:id w:val="-2141025358"/>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t>货物全部由符合政策要求的小微企业制造，提供中小企业声明函</w:t>
              </w:r>
            </w:sdtContent>
          </w:sdt>
          <w:r>
            <w:rPr>
              <w:rFonts w:hint="eastAsia" w:ascii="仿宋" w:hAnsi="仿宋" w:eastAsia="仿宋" w:cs="仿宋"/>
              <w:color w:val="auto"/>
              <w:szCs w:val="21"/>
              <w:highlight w:val="none"/>
            </w:rPr>
            <w:t>；</w:t>
          </w:r>
        </w:p>
      </w:sdtContent>
    </w:sdt>
    <w:p>
      <w:pPr>
        <w:spacing w:line="360" w:lineRule="auto"/>
        <w:ind w:firstLine="420" w:firstLineChars="200"/>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1252388141"/>
        </w:sdtPr>
        <w:sdtEndPr>
          <w:rPr>
            <w:rFonts w:hint="eastAsia" w:ascii="仿宋" w:hAnsi="仿宋" w:eastAsia="仿宋" w:cs="仿宋"/>
            <w:color w:val="auto"/>
            <w:kern w:val="0"/>
            <w:szCs w:val="21"/>
            <w:highlight w:val="none"/>
          </w:rPr>
        </w:sdtEndPr>
        <w:sdtContent>
          <w:sdt>
            <w:sdtPr>
              <w:rPr>
                <w:rFonts w:hint="eastAsia" w:ascii="仿宋" w:hAnsi="仿宋" w:eastAsia="仿宋" w:cs="仿宋"/>
                <w:color w:val="auto"/>
                <w:kern w:val="0"/>
                <w:szCs w:val="21"/>
                <w:highlight w:val="none"/>
              </w:rPr>
              <w:id w:val="177705770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r>
                <w:rPr>
                  <w:rFonts w:hint="eastAsia" w:ascii="仿宋" w:hAnsi="仿宋" w:eastAsia="仿宋" w:cs="仿宋"/>
                  <w:color w:val="auto"/>
                  <w:kern w:val="0"/>
                  <w:szCs w:val="21"/>
                  <w:highlight w:val="none"/>
                </w:rPr>
                <w:t>要求以联合体形式参加，提供联合协议和中小企业声明函，联合协议中中小企业合同金额应当达到</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%，其中小微企业合同金额应当达到</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kern w:val="0"/>
                  <w:szCs w:val="21"/>
                  <w:highlight w:val="none"/>
                  <w:lang w:eastAsia="zh-CN"/>
                </w:rPr>
                <w:t>；</w:t>
              </w:r>
            </w:sdtContent>
          </w:sdt>
        </w:sdtContent>
      </w:sdt>
    </w:p>
    <w:p>
      <w:pPr>
        <w:spacing w:line="360" w:lineRule="auto"/>
        <w:ind w:firstLine="420" w:firstLineChars="200"/>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1167755400"/>
        </w:sdtPr>
        <w:sdtEndPr>
          <w:rPr>
            <w:rFonts w:hint="eastAsia" w:ascii="仿宋" w:hAnsi="仿宋" w:eastAsia="仿宋" w:cs="仿宋"/>
            <w:color w:val="auto"/>
            <w:kern w:val="0"/>
            <w:szCs w:val="21"/>
            <w:highlight w:val="none"/>
          </w:rPr>
        </w:sdtEndPr>
        <w:sdtContent>
          <w:sdt>
            <w:sdtPr>
              <w:rPr>
                <w:rFonts w:hint="eastAsia" w:ascii="仿宋" w:hAnsi="仿宋" w:eastAsia="仿宋" w:cs="仿宋"/>
                <w:color w:val="auto"/>
                <w:kern w:val="0"/>
                <w:szCs w:val="21"/>
                <w:highlight w:val="none"/>
              </w:rPr>
              <w:id w:val="177705770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r>
                <w:rPr>
                  <w:rFonts w:hint="eastAsia" w:ascii="仿宋" w:hAnsi="仿宋" w:eastAsia="仿宋" w:cs="仿宋"/>
                  <w:color w:val="auto"/>
                  <w:kern w:val="0"/>
                  <w:szCs w:val="21"/>
                  <w:highlight w:val="none"/>
                </w:rPr>
                <w:t>要求合同分包，提供分包意向协议和中小企业声明函，分包意向协议中中小企业合同金额应当达到达到</w:t>
              </w:r>
              <w:r>
                <w:rPr>
                  <w:rFonts w:hint="eastAsia" w:ascii="仿宋" w:hAnsi="仿宋" w:eastAsia="仿宋" w:cs="仿宋"/>
                  <w:color w:val="auto"/>
                  <w:kern w:val="0"/>
                  <w:szCs w:val="21"/>
                  <w:highlight w:val="none"/>
                  <w:u w:val="single"/>
                  <w:lang w:val="en-US" w:eastAsia="zh-CN"/>
                </w:rPr>
                <w:t xml:space="preserve"> / </w:t>
              </w:r>
              <w:r>
                <w:rPr>
                  <w:rFonts w:hint="eastAsia" w:ascii="仿宋" w:hAnsi="仿宋" w:eastAsia="仿宋" w:cs="仿宋"/>
                  <w:color w:val="auto"/>
                  <w:kern w:val="0"/>
                  <w:szCs w:val="21"/>
                  <w:highlight w:val="none"/>
                </w:rPr>
                <w:t>% ，其中小微企业合同金额应当达到</w:t>
              </w:r>
              <w:r>
                <w:rPr>
                  <w:rFonts w:hint="eastAsia" w:ascii="仿宋" w:hAnsi="仿宋" w:eastAsia="仿宋" w:cs="仿宋"/>
                  <w:color w:val="auto"/>
                  <w:kern w:val="0"/>
                  <w:szCs w:val="21"/>
                  <w:highlight w:val="none"/>
                  <w:u w:val="single"/>
                  <w:lang w:val="en-US" w:eastAsia="zh-CN"/>
                </w:rPr>
                <w:t xml:space="preserve"> / </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如果供应商本身提供所有标的均由中小企业制造、承建或承接，并相应达到了前述比例要求，视同符合了资格条件，无需再向中小企业分包，无需提供分包意向协议；</w:t>
              </w:r>
            </w:sdtContent>
          </w:sdt>
        </w:sdtContent>
      </w:sdt>
    </w:p>
    <w:p>
      <w:pPr>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.本项目的特定资格要求：</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三、获取招标文件</w:t>
      </w:r>
    </w:p>
    <w:p>
      <w:pPr>
        <w:wordWrap w:val="0"/>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时间：</w:t>
      </w:r>
      <w:r>
        <w:rPr>
          <w:rFonts w:hint="eastAsia" w:ascii="仿宋" w:hAnsi="仿宋" w:eastAsia="仿宋" w:cs="仿宋"/>
          <w:color w:val="auto"/>
          <w:szCs w:val="21"/>
          <w:highlight w:val="none"/>
          <w:u w:val="none"/>
        </w:rPr>
        <w:t>/至</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04</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23</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rPr>
        <w:t>，每天上午00:00至12:00 ，下午12:00至23:59（北京时间，线上获取法定节假日均可，线下获取文件法定节假日除外）</w:t>
      </w:r>
    </w:p>
    <w:p>
      <w:pPr>
        <w:wordWrap w:val="0"/>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地点（网址）：</w:t>
      </w:r>
      <w:r>
        <w:rPr>
          <w:rFonts w:hint="eastAsia" w:ascii="仿宋" w:hAnsi="仿宋" w:eastAsia="仿宋" w:cs="仿宋"/>
          <w:color w:val="auto"/>
          <w:szCs w:val="21"/>
          <w:highlight w:val="none"/>
        </w:rPr>
        <w:t xml:space="preserve">政采云平台（https://www.zcygov.cn/） </w:t>
      </w:r>
    </w:p>
    <w:p>
      <w:pPr>
        <w:wordWrap w:val="0"/>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方式：</w:t>
      </w:r>
      <w:r>
        <w:rPr>
          <w:rFonts w:hint="eastAsia" w:ascii="仿宋" w:hAnsi="仿宋" w:eastAsia="仿宋" w:cs="仿宋"/>
          <w:color w:val="auto"/>
          <w:szCs w:val="21"/>
          <w:highlight w:val="none"/>
        </w:rPr>
        <w:t>供应商登录政采云平台https://www.zcygov.cn/在线申请获取采购文件（进入“项目采购”应用，在获取采购文件菜单中选择项目，申请获取采购文件）。</w:t>
      </w:r>
    </w:p>
    <w:p>
      <w:pPr>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售价（元）：</w:t>
      </w:r>
      <w:r>
        <w:rPr>
          <w:rFonts w:hint="eastAsia" w:ascii="仿宋" w:hAnsi="仿宋" w:eastAsia="仿宋" w:cs="仿宋"/>
          <w:color w:val="auto"/>
          <w:szCs w:val="21"/>
          <w:highlight w:val="none"/>
        </w:rPr>
        <w:t xml:space="preserve">0 </w:t>
      </w:r>
    </w:p>
    <w:p>
      <w:pPr>
        <w:keepNext w:val="0"/>
        <w:keepLines w:val="0"/>
        <w:pageBreakBefore w:val="0"/>
        <w:widowControl w:val="0"/>
        <w:kinsoku/>
        <w:wordWrap w:val="0"/>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四、提交投标文件截止时间、开标时间和地点</w:t>
      </w:r>
    </w:p>
    <w:p>
      <w:pPr>
        <w:wordWrap w:val="0"/>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提交投标文件截止时间：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04</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23</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u w:val="single"/>
          <w:lang w:val="en-US" w:eastAsia="zh-CN"/>
        </w:rPr>
        <w:t>14</w:t>
      </w:r>
      <w:r>
        <w:rPr>
          <w:rFonts w:hint="eastAsia" w:ascii="仿宋" w:hAnsi="仿宋" w:eastAsia="仿宋" w:cs="仿宋"/>
          <w:color w:val="auto"/>
          <w:szCs w:val="21"/>
          <w:highlight w:val="none"/>
          <w:u w:val="single"/>
        </w:rPr>
        <w:t>点</w:t>
      </w:r>
      <w:r>
        <w:rPr>
          <w:rFonts w:hint="eastAsia" w:ascii="仿宋" w:hAnsi="仿宋" w:eastAsia="仿宋" w:cs="仿宋"/>
          <w:color w:val="auto"/>
          <w:szCs w:val="21"/>
          <w:highlight w:val="none"/>
          <w:u w:val="single"/>
          <w:lang w:val="en-US" w:eastAsia="zh-CN"/>
        </w:rPr>
        <w:t>00</w:t>
      </w:r>
      <w:r>
        <w:rPr>
          <w:rFonts w:hint="eastAsia" w:ascii="仿宋" w:hAnsi="仿宋" w:eastAsia="仿宋" w:cs="仿宋"/>
          <w:color w:val="auto"/>
          <w:szCs w:val="21"/>
          <w:highlight w:val="none"/>
          <w:u w:val="single"/>
        </w:rPr>
        <w:t>分</w:t>
      </w:r>
      <w:r>
        <w:rPr>
          <w:rFonts w:hint="eastAsia" w:ascii="仿宋" w:hAnsi="仿宋" w:eastAsia="仿宋" w:cs="仿宋"/>
          <w:color w:val="auto"/>
          <w:szCs w:val="21"/>
          <w:highlight w:val="none"/>
        </w:rPr>
        <w:t>（北京时间）</w:t>
      </w:r>
    </w:p>
    <w:p>
      <w:pPr>
        <w:wordWrap w:val="0"/>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投标地点（网址）：</w:t>
      </w:r>
      <w:r>
        <w:rPr>
          <w:rFonts w:hint="eastAsia" w:ascii="仿宋" w:hAnsi="仿宋" w:eastAsia="仿宋" w:cs="仿宋"/>
          <w:color w:val="auto"/>
          <w:szCs w:val="21"/>
          <w:highlight w:val="none"/>
        </w:rPr>
        <w:t xml:space="preserve">政采云平台（https://www.zcygov.cn/） </w:t>
      </w:r>
    </w:p>
    <w:p>
      <w:pPr>
        <w:wordWrap w:val="0"/>
        <w:spacing w:line="360" w:lineRule="auto"/>
        <w:ind w:firstLine="422" w:firstLineChars="200"/>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开标时间：</w:t>
      </w:r>
      <w:r>
        <w:rPr>
          <w:rFonts w:hint="eastAsia" w:ascii="仿宋" w:hAnsi="仿宋" w:eastAsia="仿宋" w:cs="仿宋"/>
          <w:color w:val="auto"/>
          <w:szCs w:val="21"/>
          <w:highlight w:val="none"/>
          <w:u w:val="single"/>
        </w:rPr>
        <w:t>202</w:t>
      </w:r>
      <w:r>
        <w:rPr>
          <w:rFonts w:hint="eastAsia" w:ascii="仿宋" w:hAnsi="仿宋" w:eastAsia="仿宋" w:cs="仿宋"/>
          <w:color w:val="auto"/>
          <w:szCs w:val="21"/>
          <w:highlight w:val="none"/>
          <w:u w:val="single"/>
          <w:lang w:val="en-US" w:eastAsia="zh-CN"/>
        </w:rPr>
        <w:t>4</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u w:val="single"/>
          <w:lang w:val="en-US" w:eastAsia="zh-CN"/>
        </w:rPr>
        <w:t>04</w:t>
      </w:r>
      <w:r>
        <w:rPr>
          <w:rFonts w:hint="eastAsia" w:ascii="仿宋" w:hAnsi="仿宋" w:eastAsia="仿宋" w:cs="仿宋"/>
          <w:color w:val="auto"/>
          <w:szCs w:val="21"/>
          <w:highlight w:val="none"/>
          <w:u w:val="single"/>
        </w:rPr>
        <w:t>月</w:t>
      </w:r>
      <w:r>
        <w:rPr>
          <w:rFonts w:hint="eastAsia" w:ascii="仿宋" w:hAnsi="仿宋" w:eastAsia="仿宋" w:cs="仿宋"/>
          <w:color w:val="auto"/>
          <w:szCs w:val="21"/>
          <w:highlight w:val="none"/>
          <w:u w:val="single"/>
          <w:lang w:val="en-US" w:eastAsia="zh-CN"/>
        </w:rPr>
        <w:t>23</w:t>
      </w:r>
      <w:r>
        <w:rPr>
          <w:rFonts w:hint="eastAsia" w:ascii="仿宋" w:hAnsi="仿宋" w:eastAsia="仿宋" w:cs="仿宋"/>
          <w:color w:val="auto"/>
          <w:szCs w:val="21"/>
          <w:highlight w:val="none"/>
          <w:u w:val="single"/>
        </w:rPr>
        <w:t>日</w:t>
      </w:r>
      <w:r>
        <w:rPr>
          <w:rFonts w:hint="eastAsia" w:ascii="仿宋" w:hAnsi="仿宋" w:eastAsia="仿宋" w:cs="仿宋"/>
          <w:color w:val="auto"/>
          <w:szCs w:val="21"/>
          <w:highlight w:val="none"/>
          <w:u w:val="single"/>
          <w:lang w:val="en-US" w:eastAsia="zh-CN"/>
        </w:rPr>
        <w:t>14</w:t>
      </w:r>
      <w:r>
        <w:rPr>
          <w:rFonts w:hint="eastAsia" w:ascii="仿宋" w:hAnsi="仿宋" w:eastAsia="仿宋" w:cs="仿宋"/>
          <w:color w:val="auto"/>
          <w:szCs w:val="21"/>
          <w:highlight w:val="none"/>
          <w:u w:val="single"/>
        </w:rPr>
        <w:t>点</w:t>
      </w:r>
      <w:r>
        <w:rPr>
          <w:rFonts w:hint="eastAsia" w:ascii="仿宋" w:hAnsi="仿宋" w:eastAsia="仿宋" w:cs="仿宋"/>
          <w:color w:val="auto"/>
          <w:szCs w:val="21"/>
          <w:highlight w:val="none"/>
          <w:u w:val="single"/>
          <w:lang w:val="en-US" w:eastAsia="zh-CN"/>
        </w:rPr>
        <w:t>00</w:t>
      </w:r>
      <w:r>
        <w:rPr>
          <w:rFonts w:hint="eastAsia" w:ascii="仿宋" w:hAnsi="仿宋" w:eastAsia="仿宋" w:cs="仿宋"/>
          <w:color w:val="auto"/>
          <w:szCs w:val="21"/>
          <w:highlight w:val="none"/>
          <w:u w:val="single"/>
        </w:rPr>
        <w:t>分</w:t>
      </w:r>
    </w:p>
    <w:p>
      <w:pPr>
        <w:wordWrap w:val="0"/>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开标地点（网址）：</w:t>
      </w:r>
      <w:r>
        <w:rPr>
          <w:rFonts w:hint="eastAsia" w:ascii="仿宋" w:hAnsi="仿宋" w:eastAsia="仿宋" w:cs="仿宋"/>
          <w:color w:val="auto"/>
          <w:szCs w:val="21"/>
          <w:highlight w:val="none"/>
        </w:rPr>
        <w:t>政采云平台（https://www.zcygov.cn/）</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lang w:val="en-US" w:eastAsia="zh-CN"/>
        </w:rPr>
        <w:t>五</w:t>
      </w:r>
      <w:r>
        <w:rPr>
          <w:rFonts w:hint="eastAsia" w:ascii="仿宋" w:hAnsi="仿宋" w:eastAsia="仿宋" w:cs="仿宋"/>
          <w:b/>
          <w:color w:val="auto"/>
          <w:szCs w:val="21"/>
          <w:highlight w:val="none"/>
        </w:rPr>
        <w:t>、采购意向公开</w:t>
      </w:r>
    </w:p>
    <w:p>
      <w:pPr>
        <w:wordWrap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采购意向公开链接：</w:t>
      </w:r>
      <w:r>
        <w:rPr>
          <w:rFonts w:hint="eastAsia" w:ascii="仿宋" w:hAnsi="仿宋" w:eastAsia="仿宋" w:cs="仿宋"/>
          <w:color w:val="auto"/>
          <w:szCs w:val="21"/>
          <w:highlight w:val="none"/>
          <w:u w:val="single"/>
          <w:lang w:val="en-US" w:eastAsia="zh-CN"/>
        </w:rPr>
        <w:t>https://zfcg.czt.zj.gov.cn/site/detail?parentId=600007&amp;articleId=qenQjuZYq7wucSChaQmBWw%3D%3D&amp;utm=site.site-PC-37000.979-pc-websitegroup-zhejiang-secondPage-front.3.bbc48300db6211eebc0e2bbbdd7a1877</w:t>
      </w:r>
      <w:r>
        <w:rPr>
          <w:rFonts w:hint="eastAsia" w:ascii="仿宋" w:hAnsi="仿宋" w:eastAsia="仿宋" w:cs="仿宋"/>
          <w:color w:val="auto"/>
          <w:szCs w:val="21"/>
          <w:highlight w:val="none"/>
          <w:u w:val="none"/>
          <w:lang w:val="en-US" w:eastAsia="zh-CN"/>
        </w:rPr>
        <w:t xml:space="preserve">     </w:t>
      </w:r>
    </w:p>
    <w:p>
      <w:pPr>
        <w:spacing w:line="360" w:lineRule="auto"/>
        <w:ind w:firstLine="420" w:firstLineChars="200"/>
        <w:rPr>
          <w:rFonts w:hint="eastAsia" w:ascii="仿宋" w:hAnsi="仿宋" w:eastAsia="仿宋" w:cs="仿宋"/>
          <w:b/>
          <w:color w:val="auto"/>
          <w:szCs w:val="21"/>
          <w:highlight w:val="none"/>
          <w:lang w:val="en-US" w:eastAsia="zh-CN"/>
        </w:rPr>
      </w:pPr>
      <w:r>
        <w:rPr>
          <w:rFonts w:hint="eastAsia" w:ascii="仿宋" w:hAnsi="仿宋" w:eastAsia="仿宋" w:cs="仿宋"/>
          <w:color w:val="auto"/>
          <w:szCs w:val="21"/>
          <w:highlight w:val="none"/>
          <w:lang w:val="en-US" w:eastAsia="zh-CN"/>
        </w:rPr>
        <w:t>发布时间：</w:t>
      </w:r>
      <w:r>
        <w:rPr>
          <w:rFonts w:hint="eastAsia" w:ascii="仿宋" w:hAnsi="仿宋" w:eastAsia="仿宋" w:cs="仿宋"/>
          <w:color w:val="auto"/>
          <w:szCs w:val="21"/>
          <w:highlight w:val="none"/>
          <w:u w:val="single"/>
          <w:lang w:val="en-US" w:eastAsia="zh-CN"/>
        </w:rPr>
        <w:t>2023年11月21日</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六、公告期限</w:t>
      </w:r>
    </w:p>
    <w:p>
      <w:pPr>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七、其他补充事宜</w:t>
      </w:r>
    </w:p>
    <w:p>
      <w:pPr>
        <w:wordWrap w:val="0"/>
        <w:spacing w:line="360" w:lineRule="auto"/>
        <w:ind w:firstLine="422" w:firstLineChars="200"/>
        <w:rPr>
          <w:rFonts w:hint="eastAsia" w:ascii="仿宋" w:hAnsi="仿宋" w:eastAsia="仿宋" w:cs="仿宋"/>
          <w:color w:val="auto"/>
          <w:szCs w:val="21"/>
          <w:highlight w:val="none"/>
        </w:rPr>
      </w:pPr>
      <w:r>
        <w:rPr>
          <w:rFonts w:hint="eastAsia" w:ascii="仿宋" w:hAnsi="仿宋" w:eastAsia="仿宋" w:cs="仿宋"/>
          <w:b/>
          <w:bCs/>
          <w:color w:val="auto"/>
          <w:szCs w:val="21"/>
          <w:highlight w:val="none"/>
          <w:u w:val="single"/>
        </w:rPr>
        <w:t>1.为支持和促进中小企业发展，进一步发挥政府采购政策功能，鼓励供应商使用保险/保函替代保证金及进行预付款增信，支持供应商基于中标项目进行应收账款融资。中标供应商若想了解或使用相关服务，可通过政采云平台或其他渠道进行咨询。政采云金融热线400-903-9583，也可登录政采云平台查看相应政策文件及各相关服务方案∶https://jinrong.zcygov.cn/finance-service/#/home。</w:t>
      </w:r>
    </w:p>
    <w:p>
      <w:pPr>
        <w:wordWrap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wordWrap w:val="0"/>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5.其他事项：</w:t>
      </w:r>
    </w:p>
    <w:p>
      <w:pPr>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（1）需要落实的政府采购政策：包括节约资源、保护环境、支持创新、促进中小企业发展等。详见招标文件的第二部分总则。</w:t>
      </w:r>
    </w:p>
    <w:p>
      <w:pPr>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（2）电子招投标的说明：</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①电子招投标：本项目以数据电文形式，依托“政府采购云平台（www.zcygov.cn）”进行招投标活动，不接受纸质投标文件；</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③招标文件的获取：使用账号登录或者使用CA登录政采云平台；进入“项目采购”应用，在获取采购文件菜单中选择项目，获取招标文件；</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④投标文件的制作：在“政采云电子交易客户端”中完成“填写基本信息”、“导入投标文件”、“标书关联”、“标书检查”、“电子签名”、“生成电子标书”等操作；</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⑤采购人、采购</w:t>
      </w:r>
      <w:r>
        <w:rPr>
          <w:rFonts w:hint="eastAsia" w:ascii="仿宋" w:hAnsi="仿宋" w:eastAsia="仿宋" w:cs="仿宋"/>
          <w:color w:val="auto"/>
          <w:szCs w:val="21"/>
          <w:highlight w:val="none"/>
          <w:lang w:val="en-US" w:eastAsia="zh-CN"/>
        </w:rPr>
        <w:t>代理</w:t>
      </w:r>
      <w:r>
        <w:rPr>
          <w:rFonts w:hint="eastAsia" w:ascii="仿宋" w:hAnsi="仿宋" w:eastAsia="仿宋" w:cs="仿宋"/>
          <w:color w:val="auto"/>
          <w:szCs w:val="21"/>
          <w:highlight w:val="none"/>
        </w:rPr>
        <w:t>机构将依托政采云平台完成本项目的电子交易活动，平台不接受未按上述方式获取招标文件的供应商进行投标活动；</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⑥对未按上述方式获取招标文件的供应商对该文件提出的质疑，采购人或采购代理机构将不予处理；</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⑦不提供招标文件纸质版；</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⑩具体操作指南：详见政采云平台“服务中心-帮助文档-项目采购-操作流程-电子招投标-政府采购项目电子交易管理操作指南-供应商”。</w:t>
      </w:r>
    </w:p>
    <w:p>
      <w:pPr>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（3）招标文件公告期限与招标公告的公告期限一致。</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color w:val="auto"/>
          <w:szCs w:val="21"/>
          <w:highlight w:val="none"/>
          <w:lang w:val="en-US" w:eastAsia="zh-CN"/>
        </w:rPr>
        <w:t>八、对本次采购提出询问、质疑、投诉，请按以下方式联系</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1.采购人信息</w:t>
      </w:r>
    </w:p>
    <w:p>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val="en-US" w:eastAsia="zh-CN"/>
        </w:rPr>
        <w:t>嘉兴市秀洲区王江泾镇人民政府</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址：嘉兴市秀洲区王江泾镇北虹东路188号</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 /</w:t>
      </w:r>
    </w:p>
    <w:p>
      <w:pPr>
        <w:spacing w:line="360" w:lineRule="auto"/>
        <w:ind w:firstLine="420" w:firstLineChars="200"/>
        <w:rPr>
          <w:rFonts w:hint="default"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rPr>
        <w:t>项目联系人（询</w:t>
      </w:r>
      <w:r>
        <w:rPr>
          <w:rFonts w:hint="eastAsia" w:ascii="仿宋" w:hAnsi="仿宋" w:eastAsia="仿宋" w:cs="仿宋"/>
          <w:color w:val="auto"/>
          <w:szCs w:val="21"/>
          <w:highlight w:val="none"/>
          <w:u w:val="none"/>
        </w:rPr>
        <w:t>问）：</w:t>
      </w:r>
      <w:r>
        <w:rPr>
          <w:rFonts w:hint="eastAsia" w:ascii="仿宋" w:hAnsi="仿宋" w:eastAsia="仿宋" w:cs="仿宋"/>
          <w:color w:val="auto"/>
          <w:szCs w:val="21"/>
          <w:highlight w:val="none"/>
          <w:u w:val="none"/>
          <w:lang w:eastAsia="zh-CN"/>
        </w:rPr>
        <w:t>李卫国</w:t>
      </w:r>
    </w:p>
    <w:p>
      <w:pPr>
        <w:spacing w:line="360" w:lineRule="auto"/>
        <w:ind w:firstLine="420" w:firstLineChars="200"/>
        <w:rPr>
          <w:rFonts w:hint="eastAsia" w:ascii="仿宋" w:hAnsi="仿宋" w:eastAsia="仿宋" w:cs="仿宋"/>
          <w:color w:val="auto"/>
          <w:szCs w:val="21"/>
          <w:highlight w:val="none"/>
          <w:u w:val="none"/>
        </w:rPr>
      </w:pPr>
      <w:r>
        <w:rPr>
          <w:rFonts w:hint="eastAsia" w:ascii="仿宋" w:hAnsi="仿宋" w:eastAsia="仿宋" w:cs="仿宋"/>
          <w:color w:val="auto"/>
          <w:szCs w:val="21"/>
          <w:highlight w:val="none"/>
          <w:u w:val="none"/>
        </w:rPr>
        <w:t>项目联系方式（询问）：0573-</w:t>
      </w:r>
      <w:r>
        <w:rPr>
          <w:rFonts w:hint="eastAsia" w:ascii="仿宋" w:hAnsi="仿宋" w:eastAsia="仿宋" w:cs="仿宋"/>
          <w:color w:val="auto"/>
          <w:szCs w:val="21"/>
          <w:highlight w:val="none"/>
          <w:u w:val="none"/>
          <w:lang w:val="en-US" w:eastAsia="zh-CN"/>
        </w:rPr>
        <w:t>83678567</w:t>
      </w:r>
    </w:p>
    <w:p>
      <w:pPr>
        <w:tabs>
          <w:tab w:val="left" w:pos="3241"/>
        </w:tabs>
        <w:spacing w:line="360" w:lineRule="auto"/>
        <w:ind w:firstLine="420" w:firstLineChars="200"/>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rPr>
        <w:t>质疑联系人：</w:t>
      </w:r>
      <w:r>
        <w:rPr>
          <w:rFonts w:hint="eastAsia" w:ascii="仿宋" w:hAnsi="仿宋" w:eastAsia="仿宋" w:cs="仿宋"/>
          <w:color w:val="auto"/>
          <w:szCs w:val="21"/>
          <w:highlight w:val="none"/>
          <w:u w:val="none"/>
          <w:lang w:eastAsia="zh-CN"/>
        </w:rPr>
        <w:t>陈文韬</w:t>
      </w:r>
      <w:r>
        <w:rPr>
          <w:rFonts w:hint="eastAsia" w:ascii="仿宋" w:hAnsi="仿宋" w:eastAsia="仿宋" w:cs="仿宋"/>
          <w:color w:val="auto"/>
          <w:szCs w:val="21"/>
          <w:highlight w:val="none"/>
          <w:u w:val="none"/>
          <w:lang w:val="en-US" w:eastAsia="zh-CN"/>
        </w:rPr>
        <w:t xml:space="preserve"> </w:t>
      </w:r>
    </w:p>
    <w:p>
      <w:pPr>
        <w:spacing w:line="360" w:lineRule="auto"/>
        <w:ind w:firstLine="420" w:firstLineChars="200"/>
        <w:rPr>
          <w:rFonts w:hint="eastAsia" w:ascii="仿宋" w:hAnsi="仿宋" w:eastAsia="仿宋" w:cs="仿宋"/>
          <w:color w:val="auto"/>
          <w:szCs w:val="21"/>
          <w:highlight w:val="none"/>
          <w:u w:val="none"/>
          <w:lang w:val="en-US" w:eastAsia="zh-CN"/>
        </w:rPr>
      </w:pPr>
      <w:r>
        <w:rPr>
          <w:rFonts w:hint="eastAsia" w:ascii="仿宋" w:hAnsi="仿宋" w:eastAsia="仿宋" w:cs="仿宋"/>
          <w:color w:val="auto"/>
          <w:szCs w:val="21"/>
          <w:highlight w:val="none"/>
          <w:u w:val="none"/>
        </w:rPr>
        <w:t>质疑联系方式：0573-</w:t>
      </w:r>
      <w:r>
        <w:rPr>
          <w:rFonts w:hint="eastAsia" w:ascii="仿宋" w:hAnsi="仿宋" w:eastAsia="仿宋" w:cs="仿宋"/>
          <w:color w:val="auto"/>
          <w:szCs w:val="21"/>
          <w:highlight w:val="none"/>
          <w:u w:val="none"/>
          <w:lang w:val="en-US" w:eastAsia="zh-CN"/>
        </w:rPr>
        <w:t>83682881</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2.采购代理机构信息            </w:t>
      </w:r>
    </w:p>
    <w:p>
      <w:pPr>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名称：</w:t>
      </w:r>
      <w:r>
        <w:rPr>
          <w:rFonts w:hint="eastAsia" w:ascii="仿宋" w:hAnsi="仿宋" w:eastAsia="仿宋" w:cs="仿宋"/>
          <w:color w:val="auto"/>
          <w:szCs w:val="21"/>
          <w:highlight w:val="none"/>
          <w:lang w:eastAsia="zh-CN"/>
        </w:rPr>
        <w:t>浙江槿阳建设管理有限公司</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地址：嘉兴市秀洲区成秀路205号鼎盛大厦4楼</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传    真：/             </w:t>
      </w:r>
    </w:p>
    <w:p>
      <w:pPr>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项目联系人（询问）：</w:t>
      </w:r>
      <w:r>
        <w:rPr>
          <w:rFonts w:hint="eastAsia" w:ascii="仿宋" w:hAnsi="仿宋" w:eastAsia="仿宋" w:cs="仿宋"/>
          <w:color w:val="auto"/>
          <w:szCs w:val="21"/>
          <w:highlight w:val="none"/>
          <w:lang w:val="en-US" w:eastAsia="zh-CN"/>
        </w:rPr>
        <w:t>倪丽菊</w:t>
      </w:r>
    </w:p>
    <w:p>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项目联系方式（询问）：0573-838076</w:t>
      </w:r>
      <w:r>
        <w:rPr>
          <w:rFonts w:hint="eastAsia" w:ascii="仿宋" w:hAnsi="仿宋" w:eastAsia="仿宋" w:cs="仿宋"/>
          <w:color w:val="auto"/>
          <w:szCs w:val="21"/>
          <w:highlight w:val="none"/>
          <w:lang w:val="en-US" w:eastAsia="zh-CN"/>
        </w:rPr>
        <w:t>72</w:t>
      </w:r>
    </w:p>
    <w:p>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质疑联系人：</w:t>
      </w:r>
      <w:r>
        <w:rPr>
          <w:rFonts w:hint="eastAsia" w:ascii="仿宋" w:hAnsi="仿宋" w:eastAsia="仿宋" w:cs="仿宋"/>
          <w:color w:val="auto"/>
          <w:szCs w:val="21"/>
          <w:highlight w:val="none"/>
          <w:lang w:val="en-US" w:eastAsia="zh-CN"/>
        </w:rPr>
        <w:t>薛玉来</w:t>
      </w:r>
    </w:p>
    <w:p>
      <w:pPr>
        <w:spacing w:line="360" w:lineRule="auto"/>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质疑联系方式：0573-838076</w:t>
      </w:r>
      <w:r>
        <w:rPr>
          <w:rFonts w:hint="eastAsia" w:ascii="仿宋" w:hAnsi="仿宋" w:eastAsia="仿宋" w:cs="仿宋"/>
          <w:color w:val="auto"/>
          <w:szCs w:val="21"/>
          <w:highlight w:val="none"/>
          <w:lang w:val="en-US" w:eastAsia="zh-CN"/>
        </w:rPr>
        <w:t>72</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3.同级政府采购监督管理部门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lang w:val="en-US" w:eastAsia="zh-CN"/>
        </w:rPr>
        <w:t>嘉兴市秀洲区财政局</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址：嘉兴市洪兴路1765号</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传    真：/</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联系人 ：</w:t>
      </w:r>
      <w:r>
        <w:rPr>
          <w:rFonts w:hint="eastAsia" w:ascii="仿宋" w:hAnsi="仿宋" w:eastAsia="仿宋" w:cs="仿宋"/>
          <w:color w:val="auto"/>
          <w:szCs w:val="21"/>
          <w:highlight w:val="none"/>
          <w:lang w:val="en-US" w:eastAsia="zh-CN"/>
        </w:rPr>
        <w:t>宋女士</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监督投诉电话：0573-82720086</w:t>
      </w:r>
    </w:p>
    <w:p>
      <w:pPr>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若对项目采购电子交易系统操作有疑问，可登录政采云（https://www.zcygov.cn/），点击右侧咨询小采，获取采小蜜智能服务管家帮助，或拨打政采云服务热线400-881-7190获取热线服务帮助。</w:t>
      </w:r>
    </w:p>
    <w:p>
      <w:pPr>
        <w:wordWrap w:val="0"/>
        <w:spacing w:line="360" w:lineRule="auto"/>
        <w:ind w:firstLine="420" w:firstLineChars="200"/>
        <w:rPr>
          <w:rFonts w:hint="eastAsia" w:ascii="仿宋" w:hAnsi="仿宋" w:eastAsia="仿宋" w:cs="仿宋"/>
          <w:color w:val="auto"/>
          <w:sz w:val="24"/>
          <w:highlight w:val="none"/>
        </w:rPr>
      </w:pPr>
      <w:r>
        <w:rPr>
          <w:rFonts w:hint="eastAsia" w:ascii="仿宋" w:hAnsi="仿宋" w:eastAsia="仿宋" w:cs="仿宋"/>
          <w:color w:val="auto"/>
          <w:szCs w:val="21"/>
          <w:highlight w:val="none"/>
        </w:rPr>
        <w:t>CA问题联系电话（人工）：汇信CA 400-888-4636；天谷CA 400-087-8198。</w:t>
      </w:r>
    </w:p>
    <w:p>
      <w:pPr>
        <w:adjustRightInd/>
        <w:spacing w:before="240" w:beforeLines="100" w:after="240" w:afterLines="100" w:line="360" w:lineRule="auto"/>
        <w:jc w:val="center"/>
        <w:outlineLvl w:val="0"/>
        <w:rPr>
          <w:rFonts w:hint="eastAsia" w:ascii="仿宋" w:hAnsi="仿宋" w:eastAsia="仿宋" w:cs="仿宋"/>
          <w:b/>
          <w:color w:val="auto"/>
          <w:sz w:val="36"/>
          <w:szCs w:val="20"/>
          <w:highlight w:val="none"/>
        </w:rPr>
      </w:pPr>
    </w:p>
    <w:p>
      <w:pPr>
        <w:adjustRightInd/>
        <w:spacing w:before="240" w:beforeLines="100" w:after="240" w:afterLines="100" w:line="360" w:lineRule="auto"/>
        <w:jc w:val="center"/>
        <w:outlineLvl w:val="0"/>
        <w:rPr>
          <w:rFonts w:hint="eastAsia" w:ascii="仿宋" w:hAnsi="仿宋" w:eastAsia="仿宋" w:cs="仿宋"/>
          <w:b/>
          <w:color w:val="auto"/>
          <w:sz w:val="36"/>
          <w:szCs w:val="20"/>
          <w:highlight w:val="none"/>
        </w:rPr>
      </w:pPr>
    </w:p>
    <w:p>
      <w:pPr>
        <w:adjustRightInd/>
        <w:spacing w:before="240" w:beforeLines="100" w:after="240" w:afterLines="100" w:line="360" w:lineRule="auto"/>
        <w:jc w:val="center"/>
        <w:outlineLvl w:val="0"/>
        <w:rPr>
          <w:rFonts w:hint="eastAsia" w:ascii="仿宋" w:hAnsi="仿宋" w:eastAsia="仿宋" w:cs="仿宋"/>
          <w:b/>
          <w:color w:val="auto"/>
          <w:sz w:val="36"/>
          <w:szCs w:val="20"/>
          <w:highlight w:val="none"/>
        </w:rPr>
      </w:pPr>
    </w:p>
    <w:p>
      <w:pPr>
        <w:adjustRightInd/>
        <w:spacing w:before="240" w:beforeLines="100" w:after="240" w:afterLines="100" w:line="360" w:lineRule="auto"/>
        <w:jc w:val="center"/>
        <w:outlineLvl w:val="0"/>
        <w:rPr>
          <w:rFonts w:hint="eastAsia" w:ascii="仿宋" w:hAnsi="仿宋" w:eastAsia="仿宋" w:cs="仿宋"/>
          <w:b/>
          <w:color w:val="auto"/>
          <w:sz w:val="36"/>
          <w:szCs w:val="20"/>
          <w:highlight w:val="none"/>
        </w:rPr>
      </w:pPr>
    </w:p>
    <w:p>
      <w:pPr>
        <w:adjustRightInd/>
        <w:spacing w:before="240" w:beforeLines="100" w:after="240" w:afterLines="100" w:line="360" w:lineRule="auto"/>
        <w:jc w:val="center"/>
        <w:outlineLvl w:val="0"/>
        <w:rPr>
          <w:rFonts w:hint="eastAsia" w:ascii="仿宋" w:hAnsi="仿宋" w:eastAsia="仿宋" w:cs="仿宋"/>
          <w:b/>
          <w:color w:val="auto"/>
          <w:sz w:val="36"/>
          <w:szCs w:val="20"/>
          <w:highlight w:val="none"/>
        </w:rPr>
      </w:pPr>
    </w:p>
    <w:p>
      <w:pPr>
        <w:adjustRightInd/>
        <w:spacing w:before="240" w:beforeLines="100" w:after="240" w:afterLines="100" w:line="360" w:lineRule="auto"/>
        <w:jc w:val="center"/>
        <w:outlineLvl w:val="0"/>
        <w:rPr>
          <w:rFonts w:hint="eastAsia" w:ascii="仿宋" w:hAnsi="仿宋" w:eastAsia="仿宋" w:cs="仿宋"/>
          <w:b/>
          <w:color w:val="auto"/>
          <w:sz w:val="36"/>
          <w:szCs w:val="20"/>
          <w:highlight w:val="none"/>
        </w:rPr>
      </w:pPr>
    </w:p>
    <w:p>
      <w:pPr>
        <w:adjustRightInd/>
        <w:spacing w:before="240" w:beforeLines="100" w:after="240" w:afterLines="100" w:line="360" w:lineRule="auto"/>
        <w:jc w:val="center"/>
        <w:outlineLvl w:val="0"/>
        <w:rPr>
          <w:rFonts w:hint="eastAsia" w:ascii="仿宋" w:hAnsi="仿宋" w:eastAsia="仿宋" w:cs="仿宋"/>
          <w:b/>
          <w:color w:val="auto"/>
          <w:sz w:val="36"/>
          <w:szCs w:val="20"/>
          <w:highlight w:val="none"/>
        </w:rPr>
      </w:pPr>
    </w:p>
    <w:p>
      <w:pPr>
        <w:adjustRightInd/>
        <w:spacing w:before="240" w:beforeLines="100" w:after="240" w:afterLines="100" w:line="360" w:lineRule="auto"/>
        <w:jc w:val="center"/>
        <w:outlineLvl w:val="0"/>
        <w:rPr>
          <w:rFonts w:hint="eastAsia" w:ascii="仿宋" w:hAnsi="仿宋" w:eastAsia="仿宋" w:cs="仿宋"/>
          <w:b/>
          <w:color w:val="auto"/>
          <w:sz w:val="36"/>
          <w:szCs w:val="20"/>
          <w:highlight w:val="none"/>
        </w:rPr>
      </w:pPr>
    </w:p>
    <w:p>
      <w:pPr>
        <w:keepNext w:val="0"/>
        <w:keepLines w:val="0"/>
        <w:pageBreakBefore w:val="0"/>
        <w:widowControl w:val="0"/>
        <w:kinsoku/>
        <w:wordWrap/>
        <w:overflowPunct/>
        <w:topLinePunct w:val="0"/>
        <w:autoSpaceDE/>
        <w:autoSpaceDN/>
        <w:bidi w:val="0"/>
        <w:adjustRightInd/>
        <w:spacing w:before="313" w:beforeLines="100" w:after="313" w:afterLines="100" w:line="240" w:lineRule="auto"/>
        <w:jc w:val="center"/>
        <w:textAlignment w:val="auto"/>
        <w:outlineLvl w:val="0"/>
        <w:rPr>
          <w:rFonts w:hint="eastAsia" w:ascii="仿宋" w:hAnsi="仿宋" w:eastAsia="仿宋" w:cs="仿宋"/>
          <w:b/>
          <w:color w:val="auto"/>
          <w:sz w:val="36"/>
          <w:szCs w:val="20"/>
          <w:highlight w:val="none"/>
        </w:rPr>
      </w:pPr>
    </w:p>
    <w:p>
      <w:pPr>
        <w:keepNext w:val="0"/>
        <w:keepLines w:val="0"/>
        <w:pageBreakBefore w:val="0"/>
        <w:widowControl w:val="0"/>
        <w:kinsoku/>
        <w:wordWrap/>
        <w:overflowPunct/>
        <w:topLinePunct w:val="0"/>
        <w:autoSpaceDE/>
        <w:autoSpaceDN/>
        <w:bidi w:val="0"/>
        <w:adjustRightInd/>
        <w:spacing w:before="313" w:beforeLines="100" w:after="313" w:afterLines="100" w:line="240" w:lineRule="auto"/>
        <w:jc w:val="center"/>
        <w:textAlignment w:val="auto"/>
        <w:outlineLvl w:val="0"/>
        <w:rPr>
          <w:rFonts w:hint="eastAsia" w:ascii="仿宋" w:hAnsi="仿宋" w:eastAsia="仿宋" w:cs="仿宋"/>
          <w:b/>
          <w:color w:val="auto"/>
          <w:sz w:val="36"/>
          <w:szCs w:val="20"/>
          <w:highlight w:val="none"/>
        </w:rPr>
      </w:pPr>
    </w:p>
    <w:p>
      <w:pPr>
        <w:pStyle w:val="16"/>
        <w:rPr>
          <w:rFonts w:hint="eastAsia"/>
          <w:color w:val="auto"/>
        </w:rPr>
      </w:pPr>
    </w:p>
    <w:p>
      <w:pPr>
        <w:keepNext w:val="0"/>
        <w:keepLines w:val="0"/>
        <w:pageBreakBefore w:val="0"/>
        <w:widowControl w:val="0"/>
        <w:kinsoku/>
        <w:wordWrap/>
        <w:overflowPunct/>
        <w:topLinePunct w:val="0"/>
        <w:autoSpaceDE/>
        <w:autoSpaceDN/>
        <w:bidi w:val="0"/>
        <w:adjustRightInd/>
        <w:spacing w:before="313" w:beforeLines="100" w:after="313" w:afterLines="100" w:line="24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keepNext w:val="0"/>
        <w:keepLines w:val="0"/>
        <w:pageBreakBefore w:val="0"/>
        <w:widowControl w:val="0"/>
        <w:kinsoku/>
        <w:wordWrap/>
        <w:overflowPunct/>
        <w:topLinePunct w:val="0"/>
        <w:autoSpaceDE/>
        <w:autoSpaceDN/>
        <w:bidi w:val="0"/>
        <w:snapToGrid w:val="0"/>
        <w:spacing w:before="313" w:beforeLines="100" w:after="313" w:afterLines="100"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729"/>
        <w:gridCol w:w="1907"/>
        <w:gridCol w:w="6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exact"/>
          <w:jc w:val="center"/>
        </w:trPr>
        <w:tc>
          <w:tcPr>
            <w:tcW w:w="729" w:type="dxa"/>
            <w:shd w:val="clear" w:color="auto" w:fill="DCE6F2" w:themeFill="accent1" w:themeFillTint="32"/>
            <w:vAlign w:val="center"/>
          </w:tcPr>
          <w:p>
            <w:pPr>
              <w:snapToGrid w:val="0"/>
              <w:jc w:val="center"/>
              <w:rPr>
                <w:rFonts w:hint="eastAsia" w:ascii="仿宋" w:hAnsi="仿宋" w:eastAsia="仿宋" w:cs="仿宋"/>
                <w:color w:val="auto"/>
                <w:highlight w:val="none"/>
              </w:rPr>
            </w:pPr>
            <w:r>
              <w:rPr>
                <w:rFonts w:hint="eastAsia" w:ascii="仿宋" w:hAnsi="仿宋" w:eastAsia="仿宋" w:cs="仿宋"/>
                <w:b/>
                <w:color w:val="auto"/>
                <w:szCs w:val="21"/>
                <w:highlight w:val="none"/>
              </w:rPr>
              <w:t>序号</w:t>
            </w:r>
          </w:p>
        </w:tc>
        <w:tc>
          <w:tcPr>
            <w:tcW w:w="1907" w:type="dxa"/>
            <w:shd w:val="clear" w:color="auto" w:fill="DCE6F2" w:themeFill="accent1" w:themeFillTint="32"/>
            <w:vAlign w:val="center"/>
          </w:tcPr>
          <w:p>
            <w:pPr>
              <w:snapToGrid w:val="0"/>
              <w:jc w:val="center"/>
              <w:rPr>
                <w:rFonts w:hint="eastAsia" w:ascii="仿宋" w:hAnsi="仿宋" w:eastAsia="仿宋" w:cs="仿宋"/>
                <w:color w:val="auto"/>
                <w:highlight w:val="none"/>
              </w:rPr>
            </w:pPr>
            <w:r>
              <w:rPr>
                <w:rFonts w:hint="eastAsia" w:ascii="仿宋" w:hAnsi="仿宋" w:eastAsia="仿宋" w:cs="仿宋"/>
                <w:b/>
                <w:color w:val="auto"/>
                <w:szCs w:val="21"/>
                <w:highlight w:val="none"/>
              </w:rPr>
              <w:t>事项</w:t>
            </w:r>
          </w:p>
        </w:tc>
        <w:tc>
          <w:tcPr>
            <w:tcW w:w="6366" w:type="dxa"/>
            <w:shd w:val="clear" w:color="auto" w:fill="DCE6F2" w:themeFill="accent1" w:themeFillTint="32"/>
            <w:vAlign w:val="center"/>
          </w:tcPr>
          <w:p>
            <w:pPr>
              <w:snapToGrid w:val="0"/>
              <w:jc w:val="center"/>
              <w:rPr>
                <w:rFonts w:hint="eastAsia" w:ascii="仿宋" w:hAnsi="仿宋" w:eastAsia="仿宋" w:cs="仿宋"/>
                <w:color w:val="auto"/>
                <w:highlight w:val="none"/>
              </w:rPr>
            </w:pPr>
            <w:r>
              <w:rPr>
                <w:rFonts w:hint="eastAsia" w:ascii="仿宋" w:hAnsi="仿宋" w:eastAsia="仿宋" w:cs="仿宋"/>
                <w:b/>
                <w:color w:val="auto"/>
                <w:szCs w:val="21"/>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12" w:hRule="exact"/>
          <w:jc w:val="center"/>
        </w:trPr>
        <w:tc>
          <w:tcPr>
            <w:tcW w:w="729"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w:t>
            </w:r>
          </w:p>
        </w:tc>
        <w:tc>
          <w:tcPr>
            <w:tcW w:w="1907"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项目属性与核心产品</w:t>
            </w:r>
          </w:p>
        </w:tc>
        <w:tc>
          <w:tcPr>
            <w:tcW w:w="636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default" w:ascii="仿宋" w:hAnsi="仿宋" w:eastAsia="仿宋" w:cs="仿宋"/>
                <w:b/>
                <w:color w:val="auto"/>
                <w:kern w:val="0"/>
                <w:szCs w:val="21"/>
                <w:highlight w:val="none"/>
                <w:lang w:val="en-US" w:eastAsia="zh-CN"/>
              </w:rPr>
            </w:pPr>
            <w:r>
              <w:rPr>
                <w:rFonts w:hint="eastAsia" w:ascii="仿宋" w:hAnsi="仿宋" w:eastAsia="仿宋" w:cs="仿宋"/>
                <w:b w:val="0"/>
                <w:bCs/>
                <w:color w:val="auto"/>
                <w:kern w:val="0"/>
                <w:szCs w:val="21"/>
                <w:highlight w:val="none"/>
                <w:lang w:val="en-US" w:eastAsia="zh-CN"/>
              </w:rPr>
              <w:t>货物类，单一产品或核心产品为：</w:t>
            </w:r>
            <w:r>
              <w:rPr>
                <w:rFonts w:hint="eastAsia" w:ascii="仿宋" w:hAnsi="仿宋" w:eastAsia="仿宋" w:cs="仿宋"/>
                <w:b w:val="0"/>
                <w:bCs/>
                <w:color w:val="auto"/>
                <w:kern w:val="0"/>
                <w:szCs w:val="21"/>
                <w:highlight w:val="none"/>
                <w:u w:val="single"/>
                <w:lang w:val="en-US" w:eastAsia="zh-CN"/>
              </w:rPr>
              <w:t>一体化询问桌、案管一体桌、数据网关服务器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87" w:hRule="atLeast"/>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2</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采购标的及其对应的中小企业划分标准所属行业</w:t>
            </w:r>
          </w:p>
        </w:tc>
        <w:tc>
          <w:tcPr>
            <w:tcW w:w="6366" w:type="dxa"/>
            <w:shd w:val="clear" w:color="auto" w:fill="FFFFFF" w:themeFill="background1"/>
            <w:vAlign w:val="center"/>
          </w:tcPr>
          <w:p>
            <w:pPr>
              <w:spacing w:line="400" w:lineRule="exact"/>
              <w:rPr>
                <w:rFonts w:hint="eastAsia" w:ascii="仿宋" w:hAnsi="仿宋" w:eastAsia="仿宋" w:cs="仿宋"/>
                <w:b/>
                <w:color w:val="auto"/>
                <w:kern w:val="0"/>
                <w:szCs w:val="21"/>
                <w:highlight w:val="none"/>
              </w:rPr>
            </w:pPr>
            <w:r>
              <w:rPr>
                <w:rFonts w:hint="eastAsia" w:ascii="仿宋" w:hAnsi="仿宋" w:eastAsia="仿宋" w:cs="仿宋"/>
                <w:b w:val="0"/>
                <w:bCs/>
                <w:color w:val="auto"/>
                <w:kern w:val="0"/>
                <w:szCs w:val="21"/>
                <w:highlight w:val="none"/>
                <w:lang w:val="en-US" w:eastAsia="zh-CN"/>
              </w:rPr>
              <w:t>采购</w:t>
            </w:r>
            <w:r>
              <w:rPr>
                <w:rFonts w:hint="eastAsia" w:ascii="仿宋" w:hAnsi="仿宋" w:eastAsia="仿宋" w:cs="仿宋"/>
                <w:b w:val="0"/>
                <w:bCs/>
                <w:color w:val="auto"/>
                <w:kern w:val="0"/>
                <w:szCs w:val="21"/>
                <w:highlight w:val="none"/>
              </w:rPr>
              <w:t>标的：</w:t>
            </w:r>
            <w:r>
              <w:rPr>
                <w:rFonts w:hint="eastAsia" w:ascii="仿宋" w:hAnsi="仿宋" w:eastAsia="仿宋" w:cs="仿宋"/>
                <w:b w:val="0"/>
                <w:bCs/>
                <w:color w:val="auto"/>
                <w:kern w:val="0"/>
                <w:szCs w:val="21"/>
                <w:highlight w:val="none"/>
                <w:u w:val="single"/>
                <w:lang w:eastAsia="zh-CN"/>
              </w:rPr>
              <w:t>王江泾镇综合执法队“大综合一体化”基础设施提升项目智能化采购项目</w:t>
            </w:r>
            <w:r>
              <w:rPr>
                <w:rFonts w:hint="eastAsia" w:ascii="仿宋" w:hAnsi="仿宋" w:eastAsia="仿宋" w:cs="仿宋"/>
                <w:b w:val="0"/>
                <w:bCs/>
                <w:color w:val="auto"/>
                <w:kern w:val="0"/>
                <w:szCs w:val="21"/>
                <w:highlight w:val="none"/>
              </w:rPr>
              <w:t>，属于</w:t>
            </w:r>
            <w:r>
              <w:rPr>
                <w:rFonts w:hint="eastAsia" w:ascii="仿宋" w:hAnsi="仿宋" w:eastAsia="仿宋" w:cs="仿宋"/>
                <w:b w:val="0"/>
                <w:bCs/>
                <w:color w:val="auto"/>
                <w:kern w:val="0"/>
                <w:szCs w:val="21"/>
                <w:highlight w:val="none"/>
                <w:u w:val="single"/>
                <w:lang w:val="en-US"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是否允许采购进口产品</w:t>
            </w:r>
          </w:p>
        </w:tc>
        <w:tc>
          <w:tcPr>
            <w:tcW w:w="6366" w:type="dxa"/>
            <w:shd w:val="clear" w:color="auto" w:fill="FFFFFF" w:themeFill="background1"/>
            <w:vAlign w:val="center"/>
          </w:tcPr>
          <w:p>
            <w:pPr>
              <w:spacing w:line="400" w:lineRule="exact"/>
              <w:rPr>
                <w:rFonts w:hint="eastAsia" w:ascii="仿宋" w:hAnsi="仿宋" w:eastAsia="仿宋" w:cs="仿宋"/>
                <w:b w:val="0"/>
                <w:bCs/>
                <w:color w:val="auto"/>
                <w:kern w:val="0"/>
                <w:szCs w:val="21"/>
                <w:highlight w:val="none"/>
              </w:rPr>
            </w:pPr>
            <w:sdt>
              <w:sdtPr>
                <w:rPr>
                  <w:rFonts w:hint="eastAsia" w:ascii="仿宋" w:hAnsi="仿宋" w:eastAsia="仿宋" w:cs="仿宋"/>
                  <w:color w:val="auto"/>
                  <w:kern w:val="0"/>
                  <w:szCs w:val="21"/>
                  <w:highlight w:val="none"/>
                </w:rPr>
                <w:id w:val="177705770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b w:val="0"/>
                <w:bCs/>
                <w:color w:val="auto"/>
                <w:kern w:val="0"/>
                <w:szCs w:val="21"/>
                <w:highlight w:val="none"/>
              </w:rPr>
              <w:t>本项目不允许采购进口产品。</w:t>
            </w:r>
          </w:p>
          <w:p>
            <w:pPr>
              <w:spacing w:line="400" w:lineRule="exact"/>
              <w:rPr>
                <w:rFonts w:hint="eastAsia" w:ascii="仿宋" w:hAnsi="仿宋" w:eastAsia="仿宋" w:cs="仿宋"/>
                <w:b/>
                <w:color w:val="auto"/>
                <w:kern w:val="0"/>
                <w:szCs w:val="21"/>
                <w:highlight w:val="none"/>
              </w:rPr>
            </w:pPr>
            <w:sdt>
              <w:sdtPr>
                <w:rPr>
                  <w:rFonts w:hint="eastAsia" w:ascii="仿宋" w:hAnsi="仿宋" w:eastAsia="仿宋" w:cs="仿宋"/>
                  <w:color w:val="auto"/>
                  <w:kern w:val="0"/>
                  <w:szCs w:val="21"/>
                  <w:highlight w:val="none"/>
                </w:rPr>
                <w:id w:val="177705770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b w:val="0"/>
                <w:bCs/>
                <w:color w:val="auto"/>
                <w:kern w:val="0"/>
                <w:szCs w:val="21"/>
                <w:highlight w:val="none"/>
              </w:rPr>
              <w:t>可以就</w:t>
            </w:r>
            <w:r>
              <w:rPr>
                <w:rFonts w:hint="eastAsia" w:ascii="仿宋" w:hAnsi="仿宋" w:eastAsia="仿宋" w:cs="仿宋"/>
                <w:b w:val="0"/>
                <w:bCs/>
                <w:color w:val="auto"/>
                <w:kern w:val="0"/>
                <w:szCs w:val="21"/>
                <w:highlight w:val="none"/>
                <w:u w:val="single"/>
                <w:lang w:val="en-US" w:eastAsia="zh-CN"/>
              </w:rPr>
              <w:t xml:space="preserve">    </w:t>
            </w:r>
            <w:r>
              <w:rPr>
                <w:rFonts w:hint="eastAsia" w:ascii="仿宋" w:hAnsi="仿宋" w:eastAsia="仿宋" w:cs="仿宋"/>
                <w:b w:val="0"/>
                <w:bCs/>
                <w:color w:val="auto"/>
                <w:kern w:val="0"/>
                <w:szCs w:val="21"/>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4</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分包</w:t>
            </w:r>
          </w:p>
        </w:tc>
        <w:tc>
          <w:tcPr>
            <w:tcW w:w="6366" w:type="dxa"/>
            <w:shd w:val="clear" w:color="auto" w:fill="FFFFFF" w:themeFill="background1"/>
            <w:vAlign w:val="center"/>
          </w:tcPr>
          <w:p>
            <w:pPr>
              <w:spacing w:line="400" w:lineRule="exact"/>
              <w:rPr>
                <w:rFonts w:hint="eastAsia" w:ascii="仿宋" w:hAnsi="仿宋" w:eastAsia="仿宋" w:cs="仿宋"/>
                <w:color w:val="auto"/>
                <w:kern w:val="0"/>
                <w:szCs w:val="21"/>
                <w:highlight w:val="none"/>
              </w:rPr>
            </w:pPr>
            <w:sdt>
              <w:sdtPr>
                <w:rPr>
                  <w:rFonts w:hint="eastAsia" w:ascii="仿宋" w:hAnsi="仿宋" w:eastAsia="仿宋" w:cs="仿宋"/>
                  <w:color w:val="auto"/>
                  <w:kern w:val="0"/>
                  <w:szCs w:val="21"/>
                  <w:highlight w:val="none"/>
                </w:rPr>
                <w:id w:val="177705770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kern w:val="0"/>
                <w:szCs w:val="21"/>
                <w:highlight w:val="none"/>
              </w:rPr>
              <w:t>A同意将非主体、非关键性的工作分包。</w:t>
            </w:r>
          </w:p>
          <w:p>
            <w:pPr>
              <w:spacing w:line="400" w:lineRule="exact"/>
              <w:rPr>
                <w:rFonts w:hint="eastAsia" w:ascii="仿宋" w:hAnsi="仿宋" w:eastAsia="仿宋" w:cs="仿宋"/>
                <w:color w:val="auto"/>
                <w:kern w:val="0"/>
                <w:szCs w:val="21"/>
                <w:highlight w:val="none"/>
              </w:rPr>
            </w:pPr>
            <w:sdt>
              <w:sdtPr>
                <w:rPr>
                  <w:rFonts w:hint="eastAsia" w:ascii="仿宋" w:hAnsi="仿宋" w:eastAsia="仿宋" w:cs="仿宋"/>
                  <w:color w:val="auto"/>
                  <w:kern w:val="0"/>
                  <w:szCs w:val="21"/>
                  <w:highlight w:val="none"/>
                </w:rPr>
                <w:id w:val="177705770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color w:val="auto"/>
                <w:kern w:val="0"/>
                <w:szCs w:val="21"/>
                <w:highlight w:val="none"/>
              </w:rPr>
              <w:t>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开标前答疑会或现场考察</w:t>
            </w:r>
          </w:p>
        </w:tc>
        <w:tc>
          <w:tcPr>
            <w:tcW w:w="6366" w:type="dxa"/>
            <w:shd w:val="clear" w:color="auto" w:fill="FFFFFF" w:themeFill="background1"/>
            <w:vAlign w:val="center"/>
          </w:tcPr>
          <w:p>
            <w:pPr>
              <w:spacing w:line="400" w:lineRule="exact"/>
              <w:rPr>
                <w:rFonts w:hint="eastAsia" w:ascii="仿宋" w:hAnsi="仿宋" w:eastAsia="仿宋" w:cs="仿宋"/>
                <w:color w:val="auto"/>
                <w:kern w:val="0"/>
                <w:szCs w:val="21"/>
                <w:highlight w:val="none"/>
              </w:rPr>
            </w:pPr>
            <w:sdt>
              <w:sdtPr>
                <w:rPr>
                  <w:rFonts w:hint="eastAsia" w:ascii="仿宋" w:hAnsi="仿宋" w:eastAsia="仿宋" w:cs="仿宋"/>
                  <w:color w:val="auto"/>
                  <w:kern w:val="0"/>
                  <w:szCs w:val="21"/>
                  <w:highlight w:val="none"/>
                </w:rPr>
                <w:id w:val="177705770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kern w:val="0"/>
                <w:szCs w:val="21"/>
                <w:highlight w:val="none"/>
              </w:rPr>
              <w:t>A不组织。</w:t>
            </w:r>
          </w:p>
          <w:p>
            <w:pPr>
              <w:spacing w:line="400" w:lineRule="exact"/>
              <w:rPr>
                <w:rFonts w:hint="eastAsia" w:ascii="仿宋" w:hAnsi="仿宋" w:eastAsia="仿宋" w:cs="仿宋"/>
                <w:color w:val="auto"/>
                <w:kern w:val="0"/>
                <w:szCs w:val="21"/>
                <w:highlight w:val="none"/>
              </w:rPr>
            </w:pPr>
            <w:sdt>
              <w:sdtPr>
                <w:rPr>
                  <w:rFonts w:hint="eastAsia" w:ascii="仿宋" w:hAnsi="仿宋" w:eastAsia="仿宋" w:cs="仿宋"/>
                  <w:color w:val="auto"/>
                  <w:kern w:val="0"/>
                  <w:szCs w:val="21"/>
                  <w:highlight w:val="none"/>
                </w:rPr>
                <w:id w:val="1777057702"/>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color w:val="auto"/>
                <w:kern w:val="0"/>
                <w:szCs w:val="21"/>
                <w:highlight w:val="none"/>
              </w:rPr>
              <w:t>B组织，时间：</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,地点：</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，联系方式：</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6</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样品提供</w:t>
            </w:r>
          </w:p>
        </w:tc>
        <w:tc>
          <w:tcPr>
            <w:tcW w:w="6366" w:type="dxa"/>
            <w:shd w:val="clear" w:color="auto" w:fill="FFFFFF" w:themeFill="background1"/>
            <w:vAlign w:val="center"/>
          </w:tcPr>
          <w:p>
            <w:pPr>
              <w:wordWrap w:val="0"/>
              <w:spacing w:line="400" w:lineRule="exact"/>
              <w:rPr>
                <w:rFonts w:hint="eastAsia" w:ascii="仿宋" w:hAnsi="仿宋" w:eastAsia="仿宋" w:cs="仿宋"/>
                <w:color w:val="auto"/>
                <w:szCs w:val="21"/>
                <w:highlight w:val="none"/>
              </w:rPr>
            </w:pPr>
            <w:sdt>
              <w:sdtPr>
                <w:rPr>
                  <w:rFonts w:hint="eastAsia" w:ascii="仿宋" w:hAnsi="仿宋" w:eastAsia="仿宋" w:cs="仿宋"/>
                  <w:color w:val="auto"/>
                  <w:kern w:val="0"/>
                  <w:szCs w:val="21"/>
                  <w:highlight w:val="none"/>
                </w:rPr>
                <w:id w:val="-1639946486"/>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kern w:val="0"/>
                <w:szCs w:val="21"/>
                <w:highlight w:val="none"/>
              </w:rPr>
              <w:t>A</w:t>
            </w:r>
            <w:r>
              <w:rPr>
                <w:rFonts w:hint="eastAsia" w:ascii="仿宋" w:hAnsi="仿宋" w:eastAsia="仿宋" w:cs="仿宋"/>
                <w:color w:val="auto"/>
                <w:szCs w:val="21"/>
                <w:highlight w:val="none"/>
              </w:rPr>
              <w:t>不要求提供。</w:t>
            </w:r>
          </w:p>
          <w:p>
            <w:pPr>
              <w:wordWrap w:val="0"/>
              <w:spacing w:line="400" w:lineRule="exact"/>
              <w:rPr>
                <w:rFonts w:hint="eastAsia" w:ascii="仿宋" w:hAnsi="仿宋" w:eastAsia="仿宋" w:cs="仿宋"/>
                <w:color w:val="auto"/>
                <w:kern w:val="0"/>
                <w:szCs w:val="21"/>
                <w:highlight w:val="none"/>
              </w:rPr>
            </w:pPr>
            <w:sdt>
              <w:sdtPr>
                <w:rPr>
                  <w:rFonts w:hint="eastAsia" w:ascii="仿宋" w:hAnsi="仿宋" w:eastAsia="仿宋" w:cs="仿宋"/>
                  <w:color w:val="auto"/>
                  <w:kern w:val="0"/>
                  <w:szCs w:val="21"/>
                  <w:highlight w:val="none"/>
                </w:rPr>
                <w:id w:val="1026831988"/>
              </w:sdtPr>
              <w:sdtEndPr>
                <w:rPr>
                  <w:rFonts w:hint="eastAsia" w:ascii="仿宋" w:hAnsi="仿宋" w:eastAsia="仿宋" w:cs="仿宋"/>
                  <w:color w:val="auto"/>
                  <w:kern w:val="0"/>
                  <w:szCs w:val="21"/>
                  <w:highlight w:val="none"/>
                </w:rPr>
              </w:sdtEndPr>
              <w:sdtContent>
                <w:sdt>
                  <w:sdtPr>
                    <w:rPr>
                      <w:rFonts w:hint="eastAsia" w:ascii="仿宋" w:hAnsi="仿宋" w:eastAsia="仿宋" w:cs="仿宋"/>
                      <w:color w:val="auto"/>
                      <w:kern w:val="0"/>
                      <w:szCs w:val="21"/>
                      <w:highlight w:val="none"/>
                    </w:rPr>
                    <w:id w:val="-1639946486"/>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sdtContent>
            </w:sdt>
            <w:r>
              <w:rPr>
                <w:rFonts w:hint="eastAsia" w:ascii="仿宋" w:hAnsi="仿宋" w:eastAsia="仿宋" w:cs="仿宋"/>
                <w:color w:val="auto"/>
                <w:kern w:val="0"/>
                <w:szCs w:val="21"/>
                <w:highlight w:val="none"/>
              </w:rPr>
              <w:t>B要求提供，</w:t>
            </w:r>
          </w:p>
          <w:p>
            <w:pPr>
              <w:wordWrap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lang w:eastAsia="zh-CN"/>
              </w:rPr>
              <w:t>）</w:t>
            </w:r>
            <w:r>
              <w:rPr>
                <w:rFonts w:hint="eastAsia" w:ascii="仿宋" w:hAnsi="仿宋" w:eastAsia="仿宋" w:cs="仿宋"/>
                <w:snapToGrid w:val="0"/>
                <w:color w:val="auto"/>
                <w:kern w:val="28"/>
                <w:szCs w:val="21"/>
                <w:highlight w:val="none"/>
              </w:rPr>
              <w:t>样品：</w:t>
            </w:r>
            <w:r>
              <w:rPr>
                <w:rFonts w:hint="eastAsia" w:ascii="仿宋" w:hAnsi="仿宋" w:eastAsia="仿宋" w:cs="仿宋"/>
                <w:snapToGrid w:val="0"/>
                <w:color w:val="auto"/>
                <w:kern w:val="28"/>
                <w:szCs w:val="21"/>
                <w:highlight w:val="none"/>
                <w:u w:val="single"/>
                <w:lang w:val="en-US" w:eastAsia="zh-CN"/>
              </w:rPr>
              <w:t xml:space="preserve"> / </w:t>
            </w:r>
            <w:r>
              <w:rPr>
                <w:rFonts w:hint="eastAsia" w:ascii="仿宋" w:hAnsi="仿宋" w:eastAsia="仿宋" w:cs="仿宋"/>
                <w:color w:val="auto"/>
                <w:kern w:val="0"/>
                <w:szCs w:val="21"/>
                <w:highlight w:val="none"/>
              </w:rPr>
              <w:t>；</w:t>
            </w:r>
          </w:p>
          <w:p>
            <w:pPr>
              <w:wordWrap w:val="0"/>
              <w:spacing w:line="400" w:lineRule="exact"/>
              <w:rPr>
                <w:rFonts w:hint="eastAsia" w:ascii="仿宋" w:hAnsi="仿宋" w:eastAsia="仿宋" w:cs="仿宋"/>
                <w:color w:val="auto"/>
                <w:kern w:val="0"/>
                <w:szCs w:val="21"/>
                <w:highlight w:val="none"/>
              </w:rPr>
            </w:pPr>
            <w:r>
              <w:rPr>
                <w:rFonts w:hint="eastAsia" w:ascii="仿宋" w:hAnsi="仿宋" w:eastAsia="仿宋" w:cs="仿宋"/>
                <w:snapToGrid w:val="0"/>
                <w:color w:val="auto"/>
                <w:kern w:val="28"/>
                <w:szCs w:val="21"/>
                <w:highlight w:val="none"/>
                <w:lang w:eastAsia="zh-CN"/>
              </w:rPr>
              <w:t>（</w:t>
            </w:r>
            <w:r>
              <w:rPr>
                <w:rFonts w:hint="eastAsia" w:ascii="仿宋" w:hAnsi="仿宋" w:eastAsia="仿宋" w:cs="仿宋"/>
                <w:snapToGrid w:val="0"/>
                <w:color w:val="auto"/>
                <w:kern w:val="28"/>
                <w:szCs w:val="21"/>
                <w:highlight w:val="none"/>
                <w:lang w:val="en-US" w:eastAsia="zh-CN"/>
              </w:rPr>
              <w:t>2</w:t>
            </w:r>
            <w:r>
              <w:rPr>
                <w:rFonts w:hint="eastAsia" w:ascii="仿宋" w:hAnsi="仿宋" w:eastAsia="仿宋" w:cs="仿宋"/>
                <w:snapToGrid w:val="0"/>
                <w:color w:val="auto"/>
                <w:kern w:val="28"/>
                <w:szCs w:val="21"/>
                <w:highlight w:val="none"/>
                <w:lang w:eastAsia="zh-CN"/>
              </w:rPr>
              <w:t>）</w:t>
            </w:r>
            <w:r>
              <w:rPr>
                <w:rFonts w:hint="eastAsia" w:ascii="仿宋" w:hAnsi="仿宋" w:eastAsia="仿宋" w:cs="仿宋"/>
                <w:snapToGrid w:val="0"/>
                <w:color w:val="auto"/>
                <w:kern w:val="28"/>
                <w:szCs w:val="21"/>
                <w:highlight w:val="none"/>
              </w:rPr>
              <w:t>样品制作的标准和要求：</w:t>
            </w:r>
            <w:r>
              <w:rPr>
                <w:rFonts w:hint="eastAsia" w:ascii="仿宋" w:hAnsi="仿宋" w:eastAsia="仿宋" w:cs="仿宋"/>
                <w:snapToGrid w:val="0"/>
                <w:color w:val="auto"/>
                <w:kern w:val="28"/>
                <w:szCs w:val="21"/>
                <w:highlight w:val="none"/>
                <w:u w:val="single"/>
                <w:lang w:val="en-US" w:eastAsia="zh-CN"/>
              </w:rPr>
              <w:t xml:space="preserve"> / </w:t>
            </w:r>
            <w:r>
              <w:rPr>
                <w:rFonts w:hint="eastAsia" w:ascii="仿宋" w:hAnsi="仿宋" w:eastAsia="仿宋" w:cs="仿宋"/>
                <w:color w:val="auto"/>
                <w:kern w:val="0"/>
                <w:szCs w:val="21"/>
                <w:highlight w:val="none"/>
              </w:rPr>
              <w:t>；</w:t>
            </w:r>
          </w:p>
          <w:p>
            <w:pPr>
              <w:wordWrap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样品的评审方法以及评审标准</w:t>
            </w:r>
            <w:r>
              <w:rPr>
                <w:rFonts w:hint="eastAsia" w:ascii="仿宋" w:hAnsi="仿宋" w:eastAsia="仿宋" w:cs="仿宋"/>
                <w:snapToGrid w:val="0"/>
                <w:color w:val="auto"/>
                <w:kern w:val="28"/>
                <w:szCs w:val="21"/>
                <w:highlight w:val="none"/>
              </w:rPr>
              <w:t>：详见</w:t>
            </w:r>
            <w:r>
              <w:rPr>
                <w:rFonts w:hint="eastAsia" w:ascii="仿宋" w:hAnsi="仿宋" w:eastAsia="仿宋" w:cs="仿宋"/>
                <w:snapToGrid w:val="0"/>
                <w:color w:val="auto"/>
                <w:kern w:val="28"/>
                <w:szCs w:val="21"/>
                <w:highlight w:val="none"/>
                <w:u w:val="single"/>
                <w:lang w:val="en-US" w:eastAsia="zh-CN"/>
              </w:rPr>
              <w:t xml:space="preserve"> / </w:t>
            </w:r>
            <w:r>
              <w:rPr>
                <w:rFonts w:hint="eastAsia" w:ascii="仿宋" w:hAnsi="仿宋" w:eastAsia="仿宋" w:cs="仿宋"/>
                <w:color w:val="auto"/>
                <w:kern w:val="0"/>
                <w:szCs w:val="21"/>
                <w:highlight w:val="none"/>
              </w:rPr>
              <w:t>；</w:t>
            </w:r>
          </w:p>
          <w:p>
            <w:pPr>
              <w:wordWrap w:val="0"/>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是否需要随样品提交检测报告：</w:t>
            </w:r>
            <w:sdt>
              <w:sdtPr>
                <w:rPr>
                  <w:rFonts w:hint="eastAsia" w:ascii="仿宋" w:hAnsi="仿宋" w:eastAsia="仿宋" w:cs="仿宋"/>
                  <w:color w:val="auto"/>
                  <w:kern w:val="0"/>
                  <w:szCs w:val="21"/>
                  <w:highlight w:val="none"/>
                </w:rPr>
                <w:id w:val="1303421454"/>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color w:val="auto"/>
                <w:kern w:val="0"/>
                <w:szCs w:val="21"/>
                <w:highlight w:val="none"/>
              </w:rPr>
              <w:t>否；</w:t>
            </w:r>
            <w:sdt>
              <w:sdtPr>
                <w:rPr>
                  <w:rFonts w:hint="eastAsia" w:ascii="仿宋" w:hAnsi="仿宋" w:eastAsia="仿宋" w:cs="仿宋"/>
                  <w:color w:val="auto"/>
                  <w:kern w:val="0"/>
                  <w:szCs w:val="21"/>
                  <w:highlight w:val="none"/>
                </w:rPr>
                <w:id w:val="1621728433"/>
              </w:sdtPr>
              <w:sdtEndPr>
                <w:rPr>
                  <w:rFonts w:hint="eastAsia" w:ascii="仿宋" w:hAnsi="仿宋" w:eastAsia="仿宋" w:cs="仿宋"/>
                  <w:color w:val="auto"/>
                  <w:kern w:val="0"/>
                  <w:szCs w:val="21"/>
                  <w:highlight w:val="none"/>
                </w:rPr>
              </w:sdtEndPr>
              <w:sdtContent>
                <w:sdt>
                  <w:sdtPr>
                    <w:rPr>
                      <w:rFonts w:hint="eastAsia" w:ascii="仿宋" w:hAnsi="仿宋" w:eastAsia="仿宋" w:cs="仿宋"/>
                      <w:color w:val="auto"/>
                      <w:kern w:val="0"/>
                      <w:szCs w:val="21"/>
                      <w:highlight w:val="none"/>
                    </w:rPr>
                    <w:id w:val="1303421454"/>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sdtContent>
            </w:sdt>
            <w:r>
              <w:rPr>
                <w:rFonts w:hint="eastAsia" w:ascii="仿宋" w:hAnsi="仿宋" w:eastAsia="仿宋" w:cs="仿宋"/>
                <w:color w:val="auto"/>
                <w:kern w:val="0"/>
                <w:szCs w:val="21"/>
                <w:highlight w:val="none"/>
              </w:rPr>
              <w:t>是，检测机构的要求</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lang w:val="en-US" w:eastAsia="zh-CN"/>
              </w:rPr>
              <w:t xml:space="preserve">  /  </w:t>
            </w:r>
            <w:r>
              <w:rPr>
                <w:rFonts w:hint="eastAsia" w:ascii="仿宋" w:hAnsi="仿宋" w:eastAsia="仿宋" w:cs="仿宋"/>
                <w:color w:val="auto"/>
                <w:kern w:val="0"/>
                <w:szCs w:val="21"/>
                <w:highlight w:val="none"/>
              </w:rPr>
              <w:t>；检测内容</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lang w:val="en-US" w:eastAsia="zh-CN"/>
              </w:rPr>
              <w:t xml:space="preserve">  /  </w:t>
            </w:r>
            <w:r>
              <w:rPr>
                <w:rFonts w:hint="eastAsia" w:ascii="仿宋" w:hAnsi="仿宋" w:eastAsia="仿宋" w:cs="仿宋"/>
                <w:color w:val="auto"/>
                <w:kern w:val="0"/>
                <w:szCs w:val="21"/>
                <w:highlight w:val="none"/>
              </w:rPr>
              <w:t>。</w:t>
            </w:r>
          </w:p>
          <w:p>
            <w:pPr>
              <w:wordWrap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提供样品的时间：</w:t>
            </w:r>
            <w:r>
              <w:rPr>
                <w:rFonts w:hint="eastAsia" w:ascii="仿宋" w:hAnsi="仿宋" w:eastAsia="仿宋" w:cs="仿宋"/>
                <w:snapToGrid w:val="0"/>
                <w:color w:val="auto"/>
                <w:kern w:val="28"/>
                <w:szCs w:val="21"/>
                <w:highlight w:val="none"/>
                <w:u w:val="single"/>
                <w:lang w:val="en-US" w:eastAsia="zh-CN"/>
              </w:rPr>
              <w:t xml:space="preserve"> / </w:t>
            </w:r>
            <w:r>
              <w:rPr>
                <w:rFonts w:hint="eastAsia" w:ascii="仿宋" w:hAnsi="仿宋" w:eastAsia="仿宋" w:cs="仿宋"/>
                <w:color w:val="auto"/>
                <w:kern w:val="0"/>
                <w:szCs w:val="21"/>
                <w:highlight w:val="none"/>
              </w:rPr>
              <w:t>；地点：</w:t>
            </w:r>
            <w:r>
              <w:rPr>
                <w:rFonts w:hint="eastAsia" w:ascii="仿宋" w:hAnsi="仿宋" w:eastAsia="仿宋" w:cs="仿宋"/>
                <w:snapToGrid w:val="0"/>
                <w:color w:val="auto"/>
                <w:kern w:val="28"/>
                <w:szCs w:val="21"/>
                <w:highlight w:val="none"/>
                <w:u w:val="single"/>
                <w:lang w:val="en-US" w:eastAsia="zh-CN"/>
              </w:rPr>
              <w:t xml:space="preserve"> / </w:t>
            </w:r>
            <w:r>
              <w:rPr>
                <w:rFonts w:hint="eastAsia" w:ascii="仿宋" w:hAnsi="仿宋" w:eastAsia="仿宋" w:cs="仿宋"/>
                <w:color w:val="auto"/>
                <w:kern w:val="0"/>
                <w:szCs w:val="21"/>
                <w:highlight w:val="none"/>
              </w:rPr>
              <w:t>；联系人</w:t>
            </w:r>
            <w:r>
              <w:rPr>
                <w:rFonts w:hint="eastAsia" w:ascii="仿宋" w:hAnsi="仿宋" w:eastAsia="仿宋" w:cs="仿宋"/>
                <w:color w:val="auto"/>
                <w:szCs w:val="21"/>
                <w:highlight w:val="none"/>
              </w:rPr>
              <w:t>：</w:t>
            </w:r>
            <w:r>
              <w:rPr>
                <w:rFonts w:hint="eastAsia" w:ascii="仿宋" w:hAnsi="仿宋" w:eastAsia="仿宋" w:cs="仿宋"/>
                <w:snapToGrid w:val="0"/>
                <w:color w:val="auto"/>
                <w:kern w:val="28"/>
                <w:szCs w:val="21"/>
                <w:highlight w:val="none"/>
                <w:u w:val="single"/>
                <w:lang w:val="en-US" w:eastAsia="zh-CN"/>
              </w:rPr>
              <w:t xml:space="preserve"> / </w:t>
            </w:r>
            <w:r>
              <w:rPr>
                <w:rFonts w:hint="eastAsia" w:ascii="仿宋" w:hAnsi="仿宋" w:eastAsia="仿宋" w:cs="仿宋"/>
                <w:color w:val="auto"/>
                <w:szCs w:val="21"/>
                <w:highlight w:val="none"/>
              </w:rPr>
              <w:t>，</w:t>
            </w:r>
            <w:r>
              <w:rPr>
                <w:rFonts w:hint="eastAsia" w:ascii="仿宋" w:hAnsi="仿宋" w:eastAsia="仿宋" w:cs="仿宋"/>
                <w:color w:val="auto"/>
                <w:kern w:val="28"/>
                <w:szCs w:val="21"/>
                <w:highlight w:val="none"/>
              </w:rPr>
              <w:t>联系电话：</w:t>
            </w:r>
            <w:r>
              <w:rPr>
                <w:rFonts w:hint="eastAsia" w:ascii="仿宋" w:hAnsi="仿宋" w:eastAsia="仿宋" w:cs="仿宋"/>
                <w:snapToGrid w:val="0"/>
                <w:color w:val="auto"/>
                <w:kern w:val="28"/>
                <w:szCs w:val="21"/>
                <w:highlight w:val="none"/>
                <w:u w:val="single"/>
                <w:lang w:val="en-US" w:eastAsia="zh-CN"/>
              </w:rPr>
              <w:t xml:space="preserve"> / </w:t>
            </w:r>
            <w:r>
              <w:rPr>
                <w:rFonts w:hint="eastAsia" w:ascii="仿宋" w:hAnsi="仿宋" w:eastAsia="仿宋" w:cs="仿宋"/>
                <w:color w:val="auto"/>
                <w:szCs w:val="21"/>
                <w:highlight w:val="none"/>
              </w:rPr>
              <w:t>。请投标人在上述时间内提供样品并按规定位置安装完毕。超过截止时间的，采购人或采购代理机构将不予接收，并将清场并封闭样品现场。</w:t>
            </w:r>
          </w:p>
          <w:p>
            <w:pPr>
              <w:wordWrap w:val="0"/>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采购活动结束后，对于未中标人提供的样品，采购人、采购</w:t>
            </w:r>
            <w:r>
              <w:rPr>
                <w:rFonts w:hint="eastAsia" w:ascii="仿宋" w:hAnsi="仿宋" w:eastAsia="仿宋" w:cs="仿宋"/>
                <w:color w:val="auto"/>
                <w:szCs w:val="21"/>
                <w:highlight w:val="none"/>
                <w:lang w:val="en-US" w:eastAsia="zh-CN"/>
              </w:rPr>
              <w:t>代理</w:t>
            </w:r>
            <w:r>
              <w:rPr>
                <w:rFonts w:hint="eastAsia" w:ascii="仿宋" w:hAnsi="仿宋" w:eastAsia="仿宋" w:cs="仿宋"/>
                <w:color w:val="auto"/>
                <w:szCs w:val="21"/>
                <w:highlight w:val="none"/>
              </w:rPr>
              <w:t>机构将通知未中标人在规定的时间内取回，逾期未取回的，采购人、采购</w:t>
            </w:r>
            <w:r>
              <w:rPr>
                <w:rFonts w:hint="eastAsia" w:ascii="仿宋" w:hAnsi="仿宋" w:eastAsia="仿宋" w:cs="仿宋"/>
                <w:color w:val="auto"/>
                <w:szCs w:val="21"/>
                <w:highlight w:val="none"/>
                <w:lang w:val="en-US" w:eastAsia="zh-CN"/>
              </w:rPr>
              <w:t>代理</w:t>
            </w:r>
            <w:r>
              <w:rPr>
                <w:rFonts w:hint="eastAsia" w:ascii="仿宋" w:hAnsi="仿宋" w:eastAsia="仿宋" w:cs="仿宋"/>
                <w:color w:val="auto"/>
                <w:szCs w:val="21"/>
                <w:highlight w:val="none"/>
              </w:rPr>
              <w:t>机构不负保管义务；对于中标人提供的样品，采购人将进行保管、封存，并作为履约验收的参考。</w:t>
            </w:r>
          </w:p>
          <w:p>
            <w:pPr>
              <w:spacing w:line="400" w:lineRule="exac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7</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方案讲解演示</w:t>
            </w:r>
          </w:p>
        </w:tc>
        <w:tc>
          <w:tcPr>
            <w:tcW w:w="6366" w:type="dxa"/>
            <w:shd w:val="clear" w:color="auto" w:fill="FFFFFF" w:themeFill="background1"/>
            <w:vAlign w:val="center"/>
          </w:tcPr>
          <w:p>
            <w:pPr>
              <w:spacing w:line="400" w:lineRule="exact"/>
              <w:rPr>
                <w:rFonts w:hint="eastAsia" w:ascii="仿宋" w:hAnsi="仿宋" w:eastAsia="仿宋" w:cs="仿宋"/>
                <w:b w:val="0"/>
                <w:bCs/>
                <w:color w:val="auto"/>
                <w:kern w:val="0"/>
                <w:szCs w:val="21"/>
                <w:highlight w:val="none"/>
              </w:rPr>
            </w:pPr>
            <w:sdt>
              <w:sdtPr>
                <w:rPr>
                  <w:rFonts w:hint="eastAsia" w:ascii="仿宋" w:hAnsi="仿宋" w:eastAsia="仿宋" w:cs="仿宋"/>
                  <w:color w:val="auto"/>
                  <w:kern w:val="0"/>
                  <w:szCs w:val="21"/>
                  <w:highlight w:val="none"/>
                </w:rPr>
                <w:id w:val="-1639946486"/>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b w:val="0"/>
                <w:bCs/>
                <w:color w:val="auto"/>
                <w:kern w:val="0"/>
                <w:szCs w:val="21"/>
                <w:highlight w:val="none"/>
              </w:rPr>
              <w:t>A不组织。</w:t>
            </w:r>
          </w:p>
          <w:p>
            <w:pPr>
              <w:spacing w:line="400" w:lineRule="exact"/>
              <w:rPr>
                <w:rFonts w:hint="eastAsia" w:ascii="仿宋" w:hAnsi="仿宋" w:eastAsia="仿宋" w:cs="仿宋"/>
                <w:b w:val="0"/>
                <w:bCs/>
                <w:color w:val="auto"/>
                <w:kern w:val="0"/>
                <w:szCs w:val="21"/>
                <w:highlight w:val="none"/>
              </w:rPr>
            </w:pPr>
            <w:sdt>
              <w:sdtPr>
                <w:rPr>
                  <w:rFonts w:hint="eastAsia" w:ascii="仿宋" w:hAnsi="仿宋" w:eastAsia="仿宋" w:cs="仿宋"/>
                  <w:color w:val="auto"/>
                  <w:kern w:val="0"/>
                  <w:szCs w:val="21"/>
                  <w:highlight w:val="none"/>
                </w:rPr>
                <w:id w:val="-1639946486"/>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b w:val="0"/>
                <w:bCs/>
                <w:color w:val="auto"/>
                <w:kern w:val="0"/>
                <w:szCs w:val="21"/>
                <w:highlight w:val="none"/>
              </w:rPr>
              <w:t>B组织。</w:t>
            </w:r>
          </w:p>
          <w:p>
            <w:pPr>
              <w:spacing w:line="400" w:lineRule="exact"/>
              <w:rPr>
                <w:rFonts w:hint="eastAsia" w:ascii="仿宋" w:hAnsi="仿宋" w:eastAsia="仿宋" w:cs="仿宋"/>
                <w:b w:val="0"/>
                <w:bCs/>
                <w:color w:val="auto"/>
                <w:kern w:val="0"/>
                <w:szCs w:val="21"/>
                <w:highlight w:val="none"/>
              </w:rPr>
            </w:pPr>
            <w:r>
              <w:rPr>
                <w:rFonts w:hint="eastAsia" w:ascii="仿宋" w:hAnsi="仿宋" w:eastAsia="仿宋" w:cs="仿宋"/>
                <w:b w:val="0"/>
                <w:bCs/>
                <w:color w:val="auto"/>
                <w:kern w:val="0"/>
                <w:szCs w:val="21"/>
                <w:highlight w:val="none"/>
                <w:lang w:eastAsia="zh-CN"/>
              </w:rPr>
              <w:t>（</w:t>
            </w:r>
            <w:r>
              <w:rPr>
                <w:rFonts w:hint="eastAsia" w:ascii="仿宋" w:hAnsi="仿宋" w:eastAsia="仿宋" w:cs="仿宋"/>
                <w:b w:val="0"/>
                <w:bCs/>
                <w:color w:val="auto"/>
                <w:kern w:val="0"/>
                <w:szCs w:val="21"/>
                <w:highlight w:val="none"/>
                <w:lang w:val="en-US" w:eastAsia="zh-CN"/>
              </w:rPr>
              <w:t>1</w:t>
            </w:r>
            <w:r>
              <w:rPr>
                <w:rFonts w:hint="eastAsia" w:ascii="仿宋" w:hAnsi="仿宋" w:eastAsia="仿宋" w:cs="仿宋"/>
                <w:b w:val="0"/>
                <w:bCs/>
                <w:color w:val="auto"/>
                <w:kern w:val="0"/>
                <w:szCs w:val="21"/>
                <w:highlight w:val="none"/>
                <w:lang w:eastAsia="zh-CN"/>
              </w:rPr>
              <w:t>）</w:t>
            </w:r>
            <w:r>
              <w:rPr>
                <w:rFonts w:hint="eastAsia" w:ascii="仿宋" w:hAnsi="仿宋" w:eastAsia="仿宋" w:cs="仿宋"/>
                <w:b w:val="0"/>
                <w:bCs/>
                <w:color w:val="auto"/>
                <w:kern w:val="0"/>
                <w:szCs w:val="21"/>
                <w:highlight w:val="none"/>
              </w:rPr>
              <w:t>在评标时安排每个投标人进行讲解演示</w:t>
            </w:r>
            <w:r>
              <w:rPr>
                <w:rFonts w:hint="eastAsia" w:ascii="仿宋" w:hAnsi="仿宋" w:eastAsia="仿宋" w:cs="仿宋"/>
                <w:b w:val="0"/>
                <w:bCs/>
                <w:color w:val="auto"/>
                <w:kern w:val="0"/>
                <w:szCs w:val="21"/>
                <w:highlight w:val="none"/>
                <w:lang w:eastAsia="zh-CN"/>
              </w:rPr>
              <w:t>，</w:t>
            </w:r>
            <w:r>
              <w:rPr>
                <w:rFonts w:hint="eastAsia" w:ascii="仿宋" w:hAnsi="仿宋" w:eastAsia="仿宋" w:cs="仿宋"/>
                <w:b w:val="0"/>
                <w:bCs/>
                <w:color w:val="auto"/>
                <w:kern w:val="0"/>
                <w:szCs w:val="21"/>
                <w:highlight w:val="none"/>
                <w:lang w:val="en-US" w:eastAsia="zh-CN"/>
              </w:rPr>
              <w:t>具体演示内容详见评标办法</w:t>
            </w:r>
            <w:r>
              <w:rPr>
                <w:rFonts w:hint="eastAsia" w:ascii="仿宋" w:hAnsi="仿宋" w:eastAsia="仿宋" w:cs="仿宋"/>
                <w:b w:val="0"/>
                <w:bCs/>
                <w:color w:val="auto"/>
                <w:kern w:val="0"/>
                <w:szCs w:val="21"/>
                <w:highlight w:val="none"/>
              </w:rPr>
              <w:t>。每个投标人时间不超过</w:t>
            </w:r>
            <w:r>
              <w:rPr>
                <w:rFonts w:hint="eastAsia" w:ascii="仿宋" w:hAnsi="仿宋" w:eastAsia="仿宋" w:cs="仿宋"/>
                <w:b w:val="0"/>
                <w:bCs/>
                <w:color w:val="auto"/>
                <w:kern w:val="0"/>
                <w:szCs w:val="21"/>
                <w:highlight w:val="none"/>
                <w:lang w:val="en-US" w:eastAsia="zh-CN"/>
              </w:rPr>
              <w:t>20</w:t>
            </w:r>
            <w:r>
              <w:rPr>
                <w:rFonts w:hint="eastAsia" w:ascii="仿宋" w:hAnsi="仿宋" w:eastAsia="仿宋" w:cs="仿宋"/>
                <w:b w:val="0"/>
                <w:bCs/>
                <w:color w:val="auto"/>
                <w:kern w:val="0"/>
                <w:szCs w:val="21"/>
                <w:highlight w:val="none"/>
              </w:rPr>
              <w:t>分钟，讲解次序以投标文件解密时间先后次序为准，讲解演示人员不超过</w:t>
            </w:r>
            <w:r>
              <w:rPr>
                <w:rFonts w:hint="eastAsia" w:ascii="仿宋" w:hAnsi="仿宋" w:eastAsia="仿宋" w:cs="仿宋"/>
                <w:b w:val="0"/>
                <w:bCs/>
                <w:color w:val="auto"/>
                <w:kern w:val="0"/>
                <w:szCs w:val="21"/>
                <w:highlight w:val="none"/>
                <w:lang w:val="en-US" w:eastAsia="zh-CN"/>
              </w:rPr>
              <w:t>3</w:t>
            </w:r>
            <w:r>
              <w:rPr>
                <w:rFonts w:hint="eastAsia" w:ascii="仿宋" w:hAnsi="仿宋" w:eastAsia="仿宋" w:cs="仿宋"/>
                <w:b w:val="0"/>
                <w:bCs/>
                <w:color w:val="auto"/>
                <w:kern w:val="0"/>
                <w:szCs w:val="21"/>
                <w:highlight w:val="none"/>
              </w:rPr>
              <w:t>人。讲解演示结束后按要求解答评标委员会提问。</w:t>
            </w:r>
          </w:p>
          <w:p>
            <w:pPr>
              <w:spacing w:line="400" w:lineRule="exact"/>
              <w:rPr>
                <w:rFonts w:hint="eastAsia" w:ascii="仿宋" w:hAnsi="仿宋" w:eastAsia="仿宋" w:cs="仿宋"/>
                <w:b w:val="0"/>
                <w:bCs/>
                <w:color w:val="auto"/>
                <w:kern w:val="0"/>
                <w:szCs w:val="21"/>
                <w:highlight w:val="none"/>
              </w:rPr>
            </w:pPr>
            <w:r>
              <w:rPr>
                <w:rFonts w:hint="eastAsia" w:ascii="仿宋" w:hAnsi="仿宋" w:eastAsia="仿宋" w:cs="仿宋"/>
                <w:b w:val="0"/>
                <w:bCs/>
                <w:color w:val="auto"/>
                <w:kern w:val="0"/>
                <w:szCs w:val="21"/>
                <w:highlight w:val="none"/>
                <w:lang w:eastAsia="zh-CN"/>
              </w:rPr>
              <w:t>（</w:t>
            </w:r>
            <w:r>
              <w:rPr>
                <w:rFonts w:hint="eastAsia" w:ascii="仿宋" w:hAnsi="仿宋" w:eastAsia="仿宋" w:cs="仿宋"/>
                <w:b w:val="0"/>
                <w:bCs/>
                <w:color w:val="auto"/>
                <w:kern w:val="0"/>
                <w:szCs w:val="21"/>
                <w:highlight w:val="none"/>
                <w:lang w:val="en-US" w:eastAsia="zh-CN"/>
              </w:rPr>
              <w:t>2</w:t>
            </w:r>
            <w:r>
              <w:rPr>
                <w:rFonts w:hint="eastAsia" w:ascii="仿宋" w:hAnsi="仿宋" w:eastAsia="仿宋" w:cs="仿宋"/>
                <w:b w:val="0"/>
                <w:bCs/>
                <w:color w:val="auto"/>
                <w:kern w:val="0"/>
                <w:szCs w:val="21"/>
                <w:highlight w:val="none"/>
                <w:lang w:eastAsia="zh-CN"/>
              </w:rPr>
              <w:t>）</w:t>
            </w:r>
            <w:r>
              <w:rPr>
                <w:rFonts w:hint="eastAsia" w:ascii="仿宋" w:hAnsi="仿宋" w:eastAsia="仿宋" w:cs="仿宋"/>
                <w:b w:val="0"/>
                <w:bCs/>
                <w:color w:val="auto"/>
                <w:kern w:val="0"/>
                <w:szCs w:val="21"/>
                <w:highlight w:val="none"/>
              </w:rPr>
              <w:t>方案讲解演示可选择以下其中一种方式：</w:t>
            </w:r>
          </w:p>
          <w:p>
            <w:pPr>
              <w:spacing w:line="400" w:lineRule="exact"/>
              <w:rPr>
                <w:rFonts w:hint="eastAsia" w:ascii="仿宋" w:hAnsi="仿宋" w:eastAsia="仿宋" w:cs="仿宋"/>
                <w:b w:val="0"/>
                <w:bCs/>
                <w:color w:val="auto"/>
                <w:kern w:val="0"/>
                <w:szCs w:val="21"/>
                <w:highlight w:val="none"/>
              </w:rPr>
            </w:pPr>
            <w:sdt>
              <w:sdtPr>
                <w:rPr>
                  <w:rFonts w:hint="eastAsia" w:ascii="仿宋" w:hAnsi="仿宋" w:eastAsia="仿宋" w:cs="仿宋"/>
                  <w:color w:val="auto"/>
                  <w:kern w:val="0"/>
                  <w:szCs w:val="21"/>
                  <w:highlight w:val="none"/>
                </w:rPr>
                <w:id w:val="-1639946486"/>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b w:val="0"/>
                <w:bCs/>
                <w:color w:val="auto"/>
                <w:kern w:val="0"/>
                <w:szCs w:val="21"/>
                <w:highlight w:val="none"/>
              </w:rPr>
              <w:t>方式一：政采云平台在线讲解演示。政采云平台在线讲解需投标人根据政采云平台操作要求做好准备工作，提前完善软硬件配置环境。</w:t>
            </w:r>
          </w:p>
          <w:p>
            <w:pPr>
              <w:spacing w:line="400" w:lineRule="exact"/>
              <w:rPr>
                <w:rFonts w:hint="eastAsia" w:ascii="仿宋" w:hAnsi="仿宋" w:eastAsia="仿宋" w:cs="仿宋"/>
                <w:b w:val="0"/>
                <w:bCs/>
                <w:color w:val="auto"/>
                <w:kern w:val="0"/>
                <w:szCs w:val="21"/>
                <w:highlight w:val="none"/>
              </w:rPr>
            </w:pPr>
            <w:sdt>
              <w:sdtPr>
                <w:rPr>
                  <w:rFonts w:hint="eastAsia" w:ascii="仿宋" w:hAnsi="仿宋" w:eastAsia="仿宋" w:cs="仿宋"/>
                  <w:color w:val="auto"/>
                  <w:kern w:val="0"/>
                  <w:szCs w:val="21"/>
                  <w:highlight w:val="none"/>
                </w:rPr>
                <w:id w:val="-1639946486"/>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A8"/>
                </w:r>
              </w:sdtContent>
            </w:sdt>
            <w:r>
              <w:rPr>
                <w:rFonts w:hint="eastAsia" w:ascii="仿宋" w:hAnsi="仿宋" w:eastAsia="仿宋" w:cs="仿宋"/>
                <w:b w:val="0"/>
                <w:bCs/>
                <w:color w:val="auto"/>
                <w:kern w:val="0"/>
                <w:szCs w:val="21"/>
                <w:highlight w:val="none"/>
              </w:rPr>
              <w:t>方式二：采购代理机构现场讲解演示。现场讲解地点为</w:t>
            </w:r>
            <w:r>
              <w:rPr>
                <w:rFonts w:hint="eastAsia" w:ascii="仿宋" w:hAnsi="仿宋" w:eastAsia="仿宋" w:cs="仿宋"/>
                <w:b w:val="0"/>
                <w:bCs/>
                <w:color w:val="auto"/>
                <w:kern w:val="0"/>
                <w:szCs w:val="21"/>
                <w:highlight w:val="none"/>
                <w:u w:val="single"/>
                <w:lang w:val="en-US" w:eastAsia="zh-CN"/>
              </w:rPr>
              <w:t>嘉兴市秀洲区成秀路205号鼎盛大厦4楼402评标室</w:t>
            </w:r>
            <w:r>
              <w:rPr>
                <w:rFonts w:hint="eastAsia" w:ascii="仿宋" w:hAnsi="仿宋" w:eastAsia="仿宋" w:cs="仿宋"/>
                <w:b w:val="0"/>
                <w:bCs/>
                <w:color w:val="auto"/>
                <w:kern w:val="0"/>
                <w:szCs w:val="21"/>
                <w:highlight w:val="none"/>
              </w:rPr>
              <w:t>，讲解演示所用电脑等设备由投标人自备。现场讲解演示人员进场时提供讲解人员名单（加盖公章或授权代表签名）及身份证明，否则不得讲解演示。</w:t>
            </w:r>
          </w:p>
          <w:p>
            <w:pPr>
              <w:spacing w:line="400" w:lineRule="exact"/>
              <w:rPr>
                <w:rFonts w:hint="eastAsia" w:ascii="仿宋" w:hAnsi="仿宋" w:eastAsia="仿宋" w:cs="仿宋"/>
                <w:b w:val="0"/>
                <w:bCs/>
                <w:color w:val="auto"/>
                <w:kern w:val="0"/>
                <w:szCs w:val="21"/>
                <w:highlight w:val="none"/>
              </w:rPr>
            </w:pPr>
            <w:sdt>
              <w:sdtPr>
                <w:rPr>
                  <w:rFonts w:hint="eastAsia" w:ascii="仿宋" w:hAnsi="仿宋" w:eastAsia="仿宋" w:cs="仿宋"/>
                  <w:color w:val="auto"/>
                  <w:kern w:val="0"/>
                  <w:szCs w:val="21"/>
                  <w:highlight w:val="none"/>
                </w:rPr>
                <w:id w:val="-1639946486"/>
              </w:sdtPr>
              <w:sdtEndPr>
                <w:rPr>
                  <w:rFonts w:hint="eastAsia" w:ascii="仿宋" w:hAnsi="仿宋" w:eastAsia="仿宋" w:cs="仿宋"/>
                  <w:color w:val="auto"/>
                  <w:kern w:val="0"/>
                  <w:szCs w:val="21"/>
                  <w:highlight w:val="none"/>
                </w:rPr>
              </w:sdtEndPr>
              <w:sdtContent>
                <w:r>
                  <w:rPr>
                    <w:rFonts w:hint="eastAsia" w:ascii="仿宋" w:hAnsi="仿宋" w:eastAsia="仿宋" w:cs="仿宋"/>
                    <w:color w:val="auto"/>
                    <w:kern w:val="0"/>
                    <w:szCs w:val="21"/>
                    <w:highlight w:val="none"/>
                  </w:rPr>
                  <w:sym w:font="Wingdings" w:char="00FE"/>
                </w:r>
              </w:sdtContent>
            </w:sdt>
            <w:r>
              <w:rPr>
                <w:rFonts w:hint="eastAsia" w:ascii="仿宋" w:hAnsi="仿宋" w:eastAsia="仿宋" w:cs="仿宋"/>
                <w:b w:val="0"/>
                <w:bCs/>
                <w:color w:val="auto"/>
                <w:kern w:val="0"/>
                <w:szCs w:val="21"/>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400" w:lineRule="exact"/>
              <w:rPr>
                <w:rFonts w:hint="eastAsia" w:ascii="仿宋" w:hAnsi="仿宋" w:eastAsia="仿宋" w:cs="仿宋"/>
                <w:b/>
                <w:color w:val="auto"/>
                <w:kern w:val="0"/>
                <w:szCs w:val="21"/>
                <w:highlight w:val="none"/>
              </w:rPr>
            </w:pPr>
            <w:r>
              <w:rPr>
                <w:rFonts w:hint="eastAsia" w:ascii="仿宋" w:hAnsi="仿宋" w:eastAsia="仿宋" w:cs="仿宋"/>
                <w:b w:val="0"/>
                <w:bCs/>
                <w:color w:val="auto"/>
                <w:kern w:val="0"/>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vMerge w:val="restart"/>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8</w:t>
            </w:r>
          </w:p>
        </w:tc>
        <w:tc>
          <w:tcPr>
            <w:tcW w:w="1907" w:type="dxa"/>
            <w:vMerge w:val="restart"/>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投标人应当提供的资格、资信证明文件</w:t>
            </w:r>
          </w:p>
        </w:tc>
        <w:tc>
          <w:tcPr>
            <w:tcW w:w="6366" w:type="dxa"/>
            <w:shd w:val="clear" w:color="auto" w:fill="FFFFFF" w:themeFill="background1"/>
            <w:vAlign w:val="center"/>
          </w:tcPr>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资格证明文件：见招标文件第二部分11.1。</w:t>
            </w:r>
          </w:p>
          <w:p>
            <w:pPr>
              <w:spacing w:line="400" w:lineRule="exact"/>
              <w:rPr>
                <w:rFonts w:hint="eastAsia" w:ascii="仿宋" w:hAnsi="仿宋" w:eastAsia="仿宋" w:cs="仿宋"/>
                <w:b/>
                <w:color w:val="auto"/>
                <w:kern w:val="0"/>
                <w:szCs w:val="21"/>
                <w:highlight w:val="none"/>
              </w:rPr>
            </w:pPr>
            <w:r>
              <w:rPr>
                <w:rFonts w:hint="eastAsia" w:ascii="仿宋" w:hAnsi="仿宋" w:eastAsia="仿宋" w:cs="仿宋"/>
                <w:color w:val="auto"/>
                <w:kern w:val="0"/>
                <w:szCs w:val="21"/>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13" w:hRule="atLeast"/>
          <w:jc w:val="center"/>
        </w:trPr>
        <w:tc>
          <w:tcPr>
            <w:tcW w:w="729" w:type="dxa"/>
            <w:vMerge w:val="continue"/>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p>
        </w:tc>
        <w:tc>
          <w:tcPr>
            <w:tcW w:w="1907" w:type="dxa"/>
            <w:vMerge w:val="continue"/>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p>
        </w:tc>
        <w:tc>
          <w:tcPr>
            <w:tcW w:w="6366"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仿宋" w:hAnsi="仿宋" w:eastAsia="仿宋" w:cs="仿宋"/>
                <w:b/>
                <w:color w:val="auto"/>
                <w:kern w:val="0"/>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9</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节能产品、环境标志产品</w:t>
            </w:r>
          </w:p>
        </w:tc>
        <w:tc>
          <w:tcPr>
            <w:tcW w:w="6366" w:type="dxa"/>
            <w:shd w:val="clear" w:color="auto" w:fill="FFFFFF" w:themeFill="background1"/>
            <w:vAlign w:val="center"/>
          </w:tcPr>
          <w:p>
            <w:pPr>
              <w:spacing w:line="400" w:lineRule="exact"/>
              <w:rPr>
                <w:rFonts w:hint="eastAsia" w:ascii="仿宋" w:hAnsi="仿宋" w:eastAsia="仿宋" w:cs="仿宋"/>
                <w:b/>
                <w:color w:val="auto"/>
                <w:kern w:val="0"/>
                <w:szCs w:val="21"/>
                <w:highlight w:val="none"/>
              </w:rPr>
            </w:pPr>
            <w:r>
              <w:rPr>
                <w:rFonts w:hint="eastAsia" w:ascii="仿宋" w:hAnsi="仿宋" w:eastAsia="仿宋" w:cs="仿宋"/>
                <w:b w:val="0"/>
                <w:bCs/>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highlight w:val="none"/>
                <w:lang w:val="en-US" w:eastAsia="zh-CN"/>
              </w:rPr>
            </w:pPr>
            <w:r>
              <w:rPr>
                <w:rFonts w:hint="eastAsia" w:ascii="仿宋" w:hAnsi="仿宋" w:eastAsia="仿宋" w:cs="仿宋"/>
                <w:b w:val="0"/>
                <w:bCs w:val="0"/>
                <w:color w:val="auto"/>
                <w:szCs w:val="21"/>
                <w:highlight w:val="none"/>
              </w:rPr>
              <w:t>1</w:t>
            </w:r>
            <w:r>
              <w:rPr>
                <w:rFonts w:hint="eastAsia" w:ascii="仿宋" w:hAnsi="仿宋" w:eastAsia="仿宋" w:cs="仿宋"/>
                <w:b w:val="0"/>
                <w:bCs w:val="0"/>
                <w:color w:val="auto"/>
                <w:szCs w:val="21"/>
                <w:highlight w:val="none"/>
                <w:lang w:val="en-US" w:eastAsia="zh-CN"/>
              </w:rPr>
              <w:t>0</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szCs w:val="21"/>
                <w:highlight w:val="none"/>
              </w:rPr>
              <w:t>报价要求</w:t>
            </w:r>
          </w:p>
        </w:tc>
        <w:tc>
          <w:tcPr>
            <w:tcW w:w="6366" w:type="dxa"/>
            <w:shd w:val="clear" w:color="auto" w:fill="FFFFFF" w:themeFill="background1"/>
            <w:vAlign w:val="center"/>
          </w:tcPr>
          <w:p>
            <w:pPr>
              <w:snapToGrid w:val="0"/>
              <w:spacing w:line="400" w:lineRule="exact"/>
              <w:jc w:val="left"/>
              <w:rPr>
                <w:rFonts w:hint="eastAsia" w:ascii="仿宋" w:hAnsi="仿宋" w:eastAsia="仿宋" w:cs="仿宋"/>
                <w:b/>
                <w:color w:val="auto"/>
                <w:kern w:val="0"/>
                <w:szCs w:val="21"/>
                <w:highlight w:val="none"/>
              </w:rPr>
            </w:pPr>
            <w:r>
              <w:rPr>
                <w:rFonts w:hint="eastAsia" w:ascii="仿宋" w:hAnsi="仿宋" w:eastAsia="仿宋" w:cs="仿宋"/>
                <w:color w:val="auto"/>
                <w:kern w:val="0"/>
                <w:szCs w:val="21"/>
                <w:highlight w:val="none"/>
                <w:lang w:val="zh-CN"/>
              </w:rPr>
              <w:t>有关本项目实施</w:t>
            </w:r>
            <w:r>
              <w:rPr>
                <w:rFonts w:hint="eastAsia" w:ascii="仿宋" w:hAnsi="仿宋" w:eastAsia="仿宋" w:cs="仿宋"/>
                <w:color w:val="auto"/>
                <w:szCs w:val="21"/>
                <w:highlight w:val="none"/>
              </w:rPr>
              <w:t>所需的所有费用（含税费）均计入报价。</w:t>
            </w:r>
            <w:r>
              <w:rPr>
                <w:rFonts w:hint="eastAsia" w:ascii="仿宋" w:hAnsi="仿宋" w:eastAsia="仿宋" w:cs="仿宋"/>
                <w:b/>
                <w:bCs/>
                <w:color w:val="auto"/>
                <w:szCs w:val="21"/>
                <w:highlight w:val="none"/>
                <w:lang w:val="zh-CN"/>
              </w:rPr>
              <w:t>投标文件</w:t>
            </w:r>
            <w:r>
              <w:rPr>
                <w:rFonts w:hint="eastAsia" w:ascii="仿宋" w:hAnsi="仿宋" w:eastAsia="仿宋" w:cs="仿宋"/>
                <w:b/>
                <w:bCs/>
                <w:color w:val="auto"/>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Cs w:val="21"/>
                <w:highlight w:val="none"/>
                <w:lang w:val="zh-CN"/>
              </w:rPr>
              <w:t>投标文件中价格全部采用人民币报价。招标文件未列明，而投标人认为必需的费用也需列入报价。</w:t>
            </w:r>
            <w:r>
              <w:rPr>
                <w:rFonts w:hint="eastAsia" w:ascii="仿宋" w:hAnsi="仿宋" w:eastAsia="仿宋" w:cs="仿宋"/>
                <w:b/>
                <w:bCs/>
                <w:color w:val="auto"/>
                <w:kern w:val="0"/>
                <w:szCs w:val="21"/>
                <w:highlight w:val="none"/>
              </w:rPr>
              <w:t>提醒：验收时检测费用由采购人承担</w:t>
            </w:r>
            <w:r>
              <w:rPr>
                <w:rFonts w:hint="eastAsia" w:ascii="仿宋" w:hAnsi="仿宋" w:eastAsia="仿宋" w:cs="仿宋"/>
                <w:b/>
                <w:bCs/>
                <w:color w:val="auto"/>
                <w:kern w:val="0"/>
                <w:szCs w:val="21"/>
                <w:highlight w:val="none"/>
                <w:lang w:eastAsia="zh-CN"/>
              </w:rPr>
              <w:t>（</w:t>
            </w:r>
            <w:r>
              <w:rPr>
                <w:rFonts w:hint="eastAsia" w:ascii="仿宋" w:hAnsi="仿宋" w:eastAsia="仿宋" w:cs="仿宋"/>
                <w:b/>
                <w:bCs/>
                <w:color w:val="auto"/>
                <w:kern w:val="0"/>
                <w:szCs w:val="21"/>
                <w:highlight w:val="none"/>
                <w:lang w:val="en-US" w:eastAsia="zh-CN"/>
              </w:rPr>
              <w:t>检测不合格的除外</w:t>
            </w:r>
            <w:r>
              <w:rPr>
                <w:rFonts w:hint="eastAsia" w:ascii="仿宋" w:hAnsi="仿宋" w:eastAsia="仿宋" w:cs="仿宋"/>
                <w:b/>
                <w:bCs/>
                <w:color w:val="auto"/>
                <w:kern w:val="0"/>
                <w:szCs w:val="21"/>
                <w:highlight w:val="none"/>
                <w:lang w:eastAsia="zh-CN"/>
              </w:rPr>
              <w:t>）</w:t>
            </w:r>
            <w:r>
              <w:rPr>
                <w:rFonts w:hint="eastAsia" w:ascii="仿宋" w:hAnsi="仿宋" w:eastAsia="仿宋" w:cs="仿宋"/>
                <w:b/>
                <w:bCs/>
                <w:color w:val="auto"/>
                <w:kern w:val="0"/>
                <w:szCs w:val="21"/>
                <w:highlight w:val="none"/>
              </w:rPr>
              <w:t>，不包含在投标总价中。</w:t>
            </w:r>
          </w:p>
          <w:p>
            <w:pPr>
              <w:snapToGrid w:val="0"/>
              <w:spacing w:line="400" w:lineRule="exact"/>
              <w:jc w:val="left"/>
              <w:rPr>
                <w:rFonts w:hint="eastAsia"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投标报价出现下列情形的，投标无效：</w:t>
            </w:r>
          </w:p>
          <w:p>
            <w:pPr>
              <w:snapToGrid w:val="0"/>
              <w:spacing w:line="400" w:lineRule="exact"/>
              <w:jc w:val="left"/>
              <w:rPr>
                <w:rFonts w:hint="eastAsia"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en-US" w:eastAsia="zh-CN"/>
              </w:rPr>
              <w:t xml:space="preserve">  </w:t>
            </w:r>
            <w:r>
              <w:rPr>
                <w:rFonts w:hint="eastAsia" w:ascii="仿宋" w:hAnsi="仿宋" w:eastAsia="仿宋" w:cs="仿宋"/>
                <w:b/>
                <w:color w:val="auto"/>
                <w:kern w:val="0"/>
                <w:szCs w:val="21"/>
                <w:highlight w:val="none"/>
                <w:lang w:val="zh-CN"/>
              </w:rPr>
              <w:t>投标文件出现不是唯一的、有选择性投标报价的；</w:t>
            </w:r>
          </w:p>
          <w:p>
            <w:pPr>
              <w:snapToGrid w:val="0"/>
              <w:spacing w:line="400" w:lineRule="exact"/>
              <w:jc w:val="left"/>
              <w:rPr>
                <w:rFonts w:hint="eastAsia" w:ascii="仿宋" w:hAnsi="仿宋" w:eastAsia="仿宋" w:cs="仿宋"/>
                <w:color w:val="auto"/>
                <w:kern w:val="0"/>
                <w:szCs w:val="21"/>
                <w:highlight w:val="none"/>
                <w:lang w:val="zh-CN"/>
              </w:rPr>
            </w:pPr>
            <w:r>
              <w:rPr>
                <w:rFonts w:hint="eastAsia" w:ascii="仿宋" w:hAnsi="仿宋" w:eastAsia="仿宋" w:cs="仿宋"/>
                <w:b/>
                <w:color w:val="auto"/>
                <w:kern w:val="0"/>
                <w:szCs w:val="21"/>
                <w:highlight w:val="none"/>
                <w:lang w:val="en-US" w:eastAsia="zh-CN"/>
              </w:rPr>
              <w:t xml:space="preserve">  </w:t>
            </w:r>
            <w:r>
              <w:rPr>
                <w:rFonts w:hint="eastAsia" w:ascii="仿宋" w:hAnsi="仿宋" w:eastAsia="仿宋" w:cs="仿宋"/>
                <w:b/>
                <w:color w:val="auto"/>
                <w:kern w:val="0"/>
                <w:szCs w:val="21"/>
                <w:highlight w:val="none"/>
                <w:lang w:val="zh-CN"/>
              </w:rPr>
              <w:t>投标报价超过招标文件中规定的预算金额或者最高限价的;</w:t>
            </w:r>
          </w:p>
          <w:p>
            <w:pPr>
              <w:spacing w:line="400" w:lineRule="exact"/>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lang w:val="en-US" w:eastAsia="zh-CN"/>
              </w:rPr>
              <w:t xml:space="preserve">  </w:t>
            </w:r>
            <w:r>
              <w:rPr>
                <w:rFonts w:hint="eastAsia" w:ascii="仿宋" w:hAnsi="仿宋" w:eastAsia="仿宋" w:cs="仿宋"/>
                <w:b/>
                <w:color w:val="auto"/>
                <w:kern w:val="0"/>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Cs w:val="21"/>
                <w:highlight w:val="none"/>
              </w:rPr>
              <w:t>;</w:t>
            </w:r>
          </w:p>
          <w:p>
            <w:pPr>
              <w:spacing w:line="400" w:lineRule="exact"/>
              <w:rPr>
                <w:rFonts w:hint="eastAsia" w:ascii="仿宋" w:hAnsi="仿宋" w:eastAsia="仿宋" w:cs="仿宋"/>
                <w:color w:val="auto"/>
                <w:highlight w:val="none"/>
              </w:rPr>
            </w:pPr>
            <w:r>
              <w:rPr>
                <w:rFonts w:hint="eastAsia" w:ascii="仿宋" w:hAnsi="仿宋" w:eastAsia="仿宋" w:cs="仿宋"/>
                <w:b/>
                <w:color w:val="auto"/>
                <w:kern w:val="0"/>
                <w:szCs w:val="21"/>
                <w:highlight w:val="none"/>
                <w:lang w:val="en-US" w:eastAsia="zh-CN"/>
              </w:rPr>
              <w:t xml:space="preserve">  </w:t>
            </w:r>
            <w:r>
              <w:rPr>
                <w:rFonts w:hint="eastAsia" w:ascii="仿宋" w:hAnsi="仿宋" w:eastAsia="仿宋" w:cs="仿宋"/>
                <w:b/>
                <w:color w:val="auto"/>
                <w:kern w:val="0"/>
                <w:szCs w:val="21"/>
                <w:highlight w:val="none"/>
              </w:rPr>
              <w:t>投标人对根据修正原则修正后的报价不确认的</w:t>
            </w:r>
            <w:r>
              <w:rPr>
                <w:rFonts w:hint="eastAsia" w:ascii="仿宋" w:hAnsi="仿宋" w:eastAsia="仿宋" w:cs="仿宋"/>
                <w:b/>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11</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中小企业信用融资</w:t>
            </w:r>
          </w:p>
        </w:tc>
        <w:tc>
          <w:tcPr>
            <w:tcW w:w="6366" w:type="dxa"/>
            <w:shd w:val="clear" w:color="auto" w:fill="FFFFFF" w:themeFill="background1"/>
            <w:vAlign w:val="center"/>
          </w:tcPr>
          <w:p>
            <w:pPr>
              <w:pStyle w:val="34"/>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hint="eastAsia" w:ascii="仿宋" w:hAnsi="仿宋" w:eastAsia="仿宋" w:cs="仿宋"/>
                <w:b/>
                <w:color w:val="auto"/>
                <w:highlight w:val="none"/>
              </w:rPr>
            </w:pPr>
            <w:r>
              <w:rPr>
                <w:rFonts w:hint="eastAsia" w:ascii="仿宋" w:hAnsi="仿宋" w:eastAsia="仿宋" w:cs="仿宋"/>
                <w:snapToGrid/>
                <w:color w:val="auto"/>
                <w:kern w:val="0"/>
                <w:highlight w:val="none"/>
              </w:rPr>
              <w:t>供应商中标后也可在“政采云”平台申请政采贷：操作路径：登录政采云平台</w:t>
            </w:r>
            <w:r>
              <w:rPr>
                <w:rFonts w:hint="eastAsia" w:ascii="仿宋" w:hAnsi="仿宋" w:eastAsia="仿宋" w:cs="仿宋"/>
                <w:snapToGrid/>
                <w:color w:val="auto"/>
                <w:kern w:val="0"/>
                <w:highlight w:val="none"/>
                <w:lang w:val="en-US" w:eastAsia="zh-CN"/>
              </w:rPr>
              <w:t>-</w:t>
            </w:r>
            <w:r>
              <w:rPr>
                <w:rFonts w:hint="eastAsia" w:ascii="仿宋" w:hAnsi="仿宋" w:eastAsia="仿宋" w:cs="仿宋"/>
                <w:snapToGrid/>
                <w:color w:val="auto"/>
                <w:kern w:val="0"/>
                <w:highlight w:val="none"/>
              </w:rPr>
              <w:t>金融服务中心</w:t>
            </w:r>
            <w:r>
              <w:rPr>
                <w:rFonts w:hint="eastAsia" w:ascii="仿宋" w:hAnsi="仿宋" w:eastAsia="仿宋" w:cs="仿宋"/>
                <w:snapToGrid/>
                <w:color w:val="auto"/>
                <w:kern w:val="0"/>
                <w:highlight w:val="none"/>
                <w:lang w:val="en-US" w:eastAsia="zh-CN"/>
              </w:rPr>
              <w:t>-</w:t>
            </w:r>
            <w:r>
              <w:rPr>
                <w:rFonts w:hint="eastAsia" w:ascii="仿宋" w:hAnsi="仿宋" w:eastAsia="仿宋" w:cs="仿宋"/>
                <w:snapToGrid/>
                <w:color w:val="auto"/>
                <w:kern w:val="0"/>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szCs w:val="21"/>
                <w:highlight w:val="none"/>
              </w:rPr>
              <w:t>12</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highlight w:val="none"/>
              </w:rPr>
            </w:pPr>
            <w:r>
              <w:rPr>
                <w:rFonts w:hint="eastAsia" w:ascii="仿宋" w:hAnsi="仿宋" w:eastAsia="仿宋" w:cs="仿宋"/>
                <w:b w:val="0"/>
                <w:bCs w:val="0"/>
                <w:color w:val="auto"/>
                <w:szCs w:val="21"/>
                <w:highlight w:val="none"/>
              </w:rPr>
              <w:t>备份投标文件送达地点和签收人员</w:t>
            </w:r>
          </w:p>
        </w:tc>
        <w:tc>
          <w:tcPr>
            <w:tcW w:w="6366" w:type="dxa"/>
            <w:shd w:val="clear" w:color="auto" w:fill="FFFFFF" w:themeFill="background1"/>
            <w:vAlign w:val="center"/>
          </w:tcPr>
          <w:p>
            <w:pPr>
              <w:pStyle w:val="34"/>
              <w:spacing w:line="400" w:lineRule="exact"/>
              <w:rPr>
                <w:rFonts w:hint="eastAsia" w:ascii="仿宋" w:hAnsi="仿宋" w:eastAsia="仿宋" w:cs="仿宋"/>
                <w:color w:val="auto"/>
                <w:highlight w:val="none"/>
              </w:rPr>
            </w:pPr>
            <w:r>
              <w:rPr>
                <w:rFonts w:hint="eastAsia" w:ascii="仿宋" w:hAnsi="仿宋" w:eastAsia="仿宋" w:cs="仿宋"/>
                <w:color w:val="auto"/>
                <w:kern w:val="28"/>
                <w:highlight w:val="none"/>
              </w:rPr>
              <w:t>备份投标文件送达地点：</w:t>
            </w:r>
            <w:r>
              <w:rPr>
                <w:rFonts w:hint="eastAsia" w:ascii="仿宋" w:hAnsi="仿宋" w:eastAsia="仿宋" w:cs="仿宋"/>
                <w:color w:val="auto"/>
                <w:kern w:val="28"/>
                <w:highlight w:val="none"/>
                <w:u w:val="single"/>
              </w:rPr>
              <w:t>嘉兴市秀洲区成秀路205号鼎盛大厦4楼</w:t>
            </w:r>
            <w:r>
              <w:rPr>
                <w:rFonts w:hint="eastAsia" w:ascii="仿宋" w:hAnsi="仿宋" w:eastAsia="仿宋" w:cs="仿宋"/>
                <w:color w:val="auto"/>
                <w:kern w:val="28"/>
                <w:highlight w:val="none"/>
                <w:u w:val="single"/>
                <w:lang w:val="en-US" w:eastAsia="zh-CN"/>
              </w:rPr>
              <w:t>409招标代理部</w:t>
            </w:r>
            <w:r>
              <w:rPr>
                <w:rFonts w:hint="eastAsia" w:ascii="仿宋" w:hAnsi="仿宋" w:eastAsia="仿宋" w:cs="仿宋"/>
                <w:color w:val="auto"/>
                <w:kern w:val="28"/>
                <w:highlight w:val="none"/>
              </w:rPr>
              <w:t>；备份投标文件签收联系人：</w:t>
            </w:r>
            <w:r>
              <w:rPr>
                <w:rFonts w:hint="eastAsia" w:ascii="仿宋" w:hAnsi="仿宋" w:eastAsia="仿宋" w:cs="仿宋"/>
                <w:color w:val="auto"/>
                <w:kern w:val="28"/>
                <w:highlight w:val="none"/>
                <w:u w:val="single"/>
                <w:lang w:val="en-US" w:eastAsia="zh-CN"/>
              </w:rPr>
              <w:t>倪丽菊</w:t>
            </w:r>
            <w:r>
              <w:rPr>
                <w:rFonts w:hint="eastAsia" w:ascii="仿宋" w:hAnsi="仿宋" w:eastAsia="仿宋" w:cs="仿宋"/>
                <w:color w:val="auto"/>
                <w:kern w:val="28"/>
                <w:highlight w:val="none"/>
                <w:u w:val="none"/>
                <w:lang w:val="en-US" w:eastAsia="zh-CN"/>
              </w:rPr>
              <w:t>。</w:t>
            </w:r>
            <w:r>
              <w:rPr>
                <w:rFonts w:hint="eastAsia" w:ascii="仿宋" w:hAnsi="仿宋" w:eastAsia="仿宋" w:cs="仿宋"/>
                <w:b/>
                <w:color w:val="auto"/>
                <w:highlight w:val="none"/>
              </w:rPr>
              <w:t>采购人、采购</w:t>
            </w:r>
            <w:r>
              <w:rPr>
                <w:rFonts w:hint="eastAsia" w:ascii="仿宋" w:hAnsi="仿宋" w:eastAsia="仿宋" w:cs="仿宋"/>
                <w:b/>
                <w:color w:val="auto"/>
                <w:highlight w:val="none"/>
                <w:lang w:val="en-US" w:eastAsia="zh-CN"/>
              </w:rPr>
              <w:t>代理</w:t>
            </w:r>
            <w:r>
              <w:rPr>
                <w:rFonts w:hint="eastAsia" w:ascii="仿宋" w:hAnsi="仿宋" w:eastAsia="仿宋" w:cs="仿宋"/>
                <w:b/>
                <w:color w:val="auto"/>
                <w:highlight w:val="none"/>
              </w:rPr>
              <w:t>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729"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13</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采购代理机构代理服务费用</w:t>
            </w:r>
          </w:p>
        </w:tc>
        <w:tc>
          <w:tcPr>
            <w:tcW w:w="6366" w:type="dxa"/>
            <w:shd w:val="clear" w:color="auto" w:fill="FFFFFF" w:themeFill="background1"/>
            <w:vAlign w:val="center"/>
          </w:tcPr>
          <w:p>
            <w:pPr>
              <w:pStyle w:val="34"/>
              <w:spacing w:line="400" w:lineRule="exact"/>
              <w:contextualSpacing/>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本项目采购代理服务费按国家计委计价〔2002〕1980 号文的收费标准计取</w:t>
            </w:r>
            <w:r>
              <w:rPr>
                <w:rFonts w:hint="eastAsia" w:ascii="仿宋" w:hAnsi="仿宋" w:eastAsia="仿宋" w:cs="仿宋"/>
                <w:color w:val="auto"/>
                <w:highlight w:val="none"/>
                <w:lang w:eastAsia="zh-CN"/>
              </w:rPr>
              <w:t>；</w:t>
            </w:r>
          </w:p>
          <w:p>
            <w:pPr>
              <w:pStyle w:val="34"/>
              <w:spacing w:line="400" w:lineRule="exact"/>
              <w:contextualSpacing/>
              <w:rPr>
                <w:rFonts w:hint="eastAsia" w:ascii="仿宋" w:hAnsi="仿宋" w:eastAsia="仿宋" w:cs="仿宋"/>
                <w:color w:val="auto"/>
                <w:highlight w:val="none"/>
                <w:lang w:eastAsia="zh-CN"/>
              </w:rPr>
            </w:pPr>
            <w:r>
              <w:rPr>
                <w:rFonts w:hint="eastAsia" w:ascii="仿宋" w:hAnsi="仿宋" w:eastAsia="仿宋" w:cs="仿宋"/>
                <w:color w:val="auto"/>
                <w:highlight w:val="none"/>
              </w:rPr>
              <w:t>2.中标人应在收取《中标通知书》时向采购代理机构交纳招标代理服务费，服务费的收费标准按计价【2002】1980号文规定计算</w:t>
            </w:r>
            <w:r>
              <w:rPr>
                <w:rFonts w:hint="eastAsia" w:ascii="仿宋" w:hAnsi="仿宋" w:eastAsia="仿宋" w:cs="仿宋"/>
                <w:color w:val="auto"/>
                <w:highlight w:val="none"/>
                <w:lang w:eastAsia="zh-CN"/>
              </w:rPr>
              <w:t>；</w:t>
            </w:r>
          </w:p>
          <w:p>
            <w:pPr>
              <w:pStyle w:val="34"/>
              <w:spacing w:line="400" w:lineRule="exact"/>
              <w:contextualSpacing/>
              <w:rPr>
                <w:rFonts w:hint="eastAsia" w:ascii="仿宋" w:hAnsi="仿宋" w:eastAsia="仿宋" w:cs="仿宋"/>
                <w:color w:val="auto"/>
                <w:highlight w:val="none"/>
                <w:lang w:eastAsia="zh-CN"/>
              </w:rPr>
            </w:pPr>
            <w:r>
              <w:rPr>
                <w:rFonts w:hint="eastAsia" w:ascii="仿宋" w:hAnsi="仿宋" w:eastAsia="仿宋" w:cs="仿宋"/>
                <w:color w:val="auto"/>
                <w:highlight w:val="none"/>
              </w:rPr>
              <w:t>3.本项目以</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u w:val="single"/>
                <w:lang w:val="en-US" w:eastAsia="zh-CN"/>
              </w:rPr>
              <w:t>货物</w:t>
            </w:r>
            <w:r>
              <w:rPr>
                <w:rFonts w:hint="eastAsia" w:ascii="仿宋" w:hAnsi="仿宋" w:eastAsia="仿宋" w:cs="仿宋"/>
                <w:color w:val="auto"/>
                <w:highlight w:val="none"/>
                <w:u w:val="single"/>
              </w:rPr>
              <w:t xml:space="preserve">类 </w:t>
            </w:r>
            <w:r>
              <w:rPr>
                <w:rFonts w:hint="eastAsia" w:ascii="仿宋" w:hAnsi="仿宋" w:eastAsia="仿宋" w:cs="仿宋"/>
                <w:color w:val="auto"/>
                <w:highlight w:val="none"/>
              </w:rPr>
              <w:t>招标收费标准收取中标服务费，对于招标代理服务费不足</w:t>
            </w:r>
            <w:r>
              <w:rPr>
                <w:rFonts w:hint="eastAsia" w:ascii="仿宋" w:hAnsi="仿宋" w:eastAsia="仿宋" w:cs="仿宋"/>
                <w:color w:val="auto"/>
                <w:highlight w:val="none"/>
                <w:lang w:val="en-US" w:eastAsia="zh-CN"/>
              </w:rPr>
              <w:t>60</w:t>
            </w:r>
            <w:r>
              <w:rPr>
                <w:rFonts w:hint="eastAsia" w:ascii="仿宋" w:hAnsi="仿宋" w:eastAsia="仿宋" w:cs="仿宋"/>
                <w:color w:val="auto"/>
                <w:highlight w:val="none"/>
              </w:rPr>
              <w:t>00元的按</w:t>
            </w:r>
            <w:r>
              <w:rPr>
                <w:rFonts w:hint="eastAsia" w:ascii="仿宋" w:hAnsi="仿宋" w:eastAsia="仿宋" w:cs="仿宋"/>
                <w:color w:val="auto"/>
                <w:highlight w:val="none"/>
                <w:lang w:val="en-US" w:eastAsia="zh-CN"/>
              </w:rPr>
              <w:t>60</w:t>
            </w:r>
            <w:r>
              <w:rPr>
                <w:rFonts w:hint="eastAsia" w:ascii="仿宋" w:hAnsi="仿宋" w:eastAsia="仿宋" w:cs="仿宋"/>
                <w:color w:val="auto"/>
                <w:highlight w:val="none"/>
              </w:rPr>
              <w:t>00元计取招标代理服务费</w:t>
            </w:r>
            <w:r>
              <w:rPr>
                <w:rFonts w:hint="eastAsia" w:ascii="仿宋" w:hAnsi="仿宋" w:eastAsia="仿宋" w:cs="仿宋"/>
                <w:color w:val="auto"/>
                <w:highlight w:val="none"/>
                <w:lang w:eastAsia="zh-CN"/>
              </w:rPr>
              <w:t>；</w:t>
            </w:r>
          </w:p>
          <w:p>
            <w:pPr>
              <w:pStyle w:val="34"/>
              <w:spacing w:line="400" w:lineRule="exact"/>
              <w:contextualSpacing/>
              <w:rPr>
                <w:rFonts w:hint="eastAsia" w:ascii="仿宋" w:hAnsi="仿宋" w:eastAsia="仿宋" w:cs="仿宋"/>
                <w:color w:val="auto"/>
                <w:highlight w:val="none"/>
                <w:lang w:eastAsia="zh-CN"/>
              </w:rPr>
            </w:pPr>
            <w:r>
              <w:rPr>
                <w:rFonts w:hint="eastAsia" w:ascii="仿宋" w:hAnsi="仿宋" w:eastAsia="仿宋" w:cs="仿宋"/>
                <w:color w:val="auto"/>
                <w:highlight w:val="none"/>
              </w:rPr>
              <w:t>4.服务费的货币为人民币</w:t>
            </w:r>
            <w:r>
              <w:rPr>
                <w:rFonts w:hint="eastAsia" w:ascii="仿宋" w:hAnsi="仿宋" w:eastAsia="仿宋" w:cs="仿宋"/>
                <w:color w:val="auto"/>
                <w:highlight w:val="none"/>
                <w:lang w:eastAsia="zh-CN"/>
              </w:rPr>
              <w:t>；</w:t>
            </w:r>
          </w:p>
          <w:p>
            <w:pPr>
              <w:pStyle w:val="34"/>
              <w:spacing w:line="400" w:lineRule="exact"/>
              <w:contextualSpacing/>
              <w:rPr>
                <w:rFonts w:hint="eastAsia" w:ascii="仿宋" w:hAnsi="仿宋" w:eastAsia="仿宋" w:cs="仿宋"/>
                <w:color w:val="auto"/>
                <w:highlight w:val="none"/>
                <w:lang w:eastAsia="zh-CN"/>
              </w:rPr>
            </w:pPr>
            <w:r>
              <w:rPr>
                <w:rFonts w:hint="eastAsia" w:ascii="仿宋" w:hAnsi="仿宋" w:eastAsia="仿宋" w:cs="仿宋"/>
                <w:color w:val="auto"/>
                <w:highlight w:val="none"/>
              </w:rPr>
              <w:t>5.服务费支付方式：一次性以银行划账、电汇、汇票或支票的形式支付</w:t>
            </w:r>
            <w:r>
              <w:rPr>
                <w:rFonts w:hint="eastAsia" w:ascii="仿宋" w:hAnsi="仿宋" w:eastAsia="仿宋" w:cs="仿宋"/>
                <w:color w:val="auto"/>
                <w:highlight w:val="none"/>
                <w:lang w:eastAsia="zh-CN"/>
              </w:rPr>
              <w:t>；</w:t>
            </w:r>
          </w:p>
          <w:p>
            <w:pPr>
              <w:pStyle w:val="34"/>
              <w:spacing w:line="400" w:lineRule="exact"/>
              <w:contextualSpacing/>
              <w:rPr>
                <w:rFonts w:hint="eastAsia" w:ascii="仿宋" w:hAnsi="仿宋" w:eastAsia="仿宋" w:cs="仿宋"/>
                <w:color w:val="auto"/>
                <w:highlight w:val="none"/>
              </w:rPr>
            </w:pPr>
            <w:r>
              <w:rPr>
                <w:rFonts w:hint="eastAsia" w:ascii="仿宋" w:hAnsi="仿宋" w:eastAsia="仿宋" w:cs="仿宋"/>
                <w:color w:val="auto"/>
                <w:highlight w:val="none"/>
              </w:rPr>
              <w:t>6.服务费以银行划账方式按下列要求提交：</w:t>
            </w:r>
          </w:p>
          <w:p>
            <w:pPr>
              <w:pStyle w:val="34"/>
              <w:spacing w:line="400" w:lineRule="exact"/>
              <w:contextualSpacing/>
              <w:rPr>
                <w:rFonts w:hint="eastAsia" w:ascii="仿宋" w:hAnsi="仿宋" w:eastAsia="仿宋" w:cs="仿宋"/>
                <w:color w:val="auto"/>
                <w:highlight w:val="none"/>
              </w:rPr>
            </w:pPr>
            <w:r>
              <w:rPr>
                <w:rFonts w:hint="eastAsia" w:ascii="仿宋" w:hAnsi="仿宋" w:eastAsia="仿宋" w:cs="仿宋"/>
                <w:color w:val="auto"/>
                <w:highlight w:val="none"/>
              </w:rPr>
              <w:t>收款人：浙江槿阳建设管理有限公司</w:t>
            </w:r>
          </w:p>
          <w:p>
            <w:pPr>
              <w:pStyle w:val="34"/>
              <w:spacing w:line="400" w:lineRule="exact"/>
              <w:contextualSpacing/>
              <w:rPr>
                <w:rFonts w:hint="eastAsia" w:ascii="仿宋" w:hAnsi="仿宋" w:eastAsia="仿宋" w:cs="仿宋"/>
                <w:color w:val="auto"/>
                <w:highlight w:val="none"/>
              </w:rPr>
            </w:pPr>
            <w:r>
              <w:rPr>
                <w:rFonts w:hint="eastAsia" w:ascii="仿宋" w:hAnsi="仿宋" w:eastAsia="仿宋" w:cs="仿宋"/>
                <w:color w:val="auto"/>
                <w:highlight w:val="none"/>
              </w:rPr>
              <w:t>户名：浙江槿阳建设管理有限公司</w:t>
            </w:r>
          </w:p>
          <w:p>
            <w:pPr>
              <w:pStyle w:val="34"/>
              <w:spacing w:line="400" w:lineRule="exact"/>
              <w:contextualSpacing/>
              <w:rPr>
                <w:rFonts w:hint="eastAsia" w:ascii="仿宋" w:hAnsi="仿宋" w:eastAsia="仿宋" w:cs="仿宋"/>
                <w:color w:val="auto"/>
                <w:highlight w:val="none"/>
              </w:rPr>
            </w:pPr>
            <w:r>
              <w:rPr>
                <w:rFonts w:hint="eastAsia" w:ascii="仿宋" w:hAnsi="仿宋" w:eastAsia="仿宋" w:cs="仿宋"/>
                <w:color w:val="auto"/>
                <w:highlight w:val="none"/>
              </w:rPr>
              <w:t>开户银行：中国建设银行股份有限公司嘉兴秀洲支行</w:t>
            </w:r>
          </w:p>
          <w:p>
            <w:pPr>
              <w:pStyle w:val="34"/>
              <w:spacing w:line="400" w:lineRule="exact"/>
              <w:contextualSpacing/>
              <w:rPr>
                <w:rFonts w:hint="eastAsia" w:ascii="仿宋" w:hAnsi="仿宋" w:eastAsia="仿宋" w:cs="仿宋"/>
                <w:color w:val="auto"/>
                <w:highlight w:val="none"/>
              </w:rPr>
            </w:pPr>
            <w:r>
              <w:rPr>
                <w:rFonts w:hint="eastAsia" w:ascii="仿宋" w:hAnsi="仿宋" w:eastAsia="仿宋" w:cs="仿宋"/>
                <w:color w:val="auto"/>
                <w:highlight w:val="none"/>
              </w:rPr>
              <w:t>账号：</w:t>
            </w:r>
            <w:r>
              <w:rPr>
                <w:rFonts w:hint="eastAsia" w:ascii="仿宋" w:hAnsi="仿宋" w:eastAsia="仿宋" w:cs="仿宋"/>
                <w:color w:val="auto"/>
                <w:highlight w:val="none"/>
                <w:lang w:val="en-US" w:eastAsia="zh-CN"/>
              </w:rPr>
              <w:t>33050163803500001451</w:t>
            </w:r>
          </w:p>
          <w:p>
            <w:pPr>
              <w:pStyle w:val="34"/>
              <w:spacing w:line="400" w:lineRule="exact"/>
              <w:contextualSpacing/>
              <w:rPr>
                <w:rFonts w:hint="eastAsia" w:ascii="仿宋" w:hAnsi="仿宋" w:eastAsia="仿宋" w:cs="仿宋"/>
                <w:color w:val="auto"/>
                <w:highlight w:val="none"/>
                <w:lang w:eastAsia="zh-CN"/>
              </w:rPr>
            </w:pPr>
            <w:r>
              <w:rPr>
                <w:rFonts w:hint="eastAsia" w:ascii="仿宋" w:hAnsi="仿宋" w:eastAsia="仿宋" w:cs="仿宋"/>
                <w:color w:val="auto"/>
                <w:highlight w:val="none"/>
              </w:rPr>
              <w:t>7.服务费支付时间：服务费必须在中标人领取《中标通知书》时一次性付清，如果中标人未能按时交纳服务费，采购代理机构/采购人保留取消其中标资格并追究其法律责任的权利</w:t>
            </w:r>
            <w:r>
              <w:rPr>
                <w:rFonts w:hint="eastAsia" w:ascii="仿宋" w:hAnsi="仿宋" w:eastAsia="仿宋" w:cs="仿宋"/>
                <w:color w:val="auto"/>
                <w:highlight w:val="none"/>
                <w:lang w:eastAsia="zh-CN"/>
              </w:rPr>
              <w:t>；</w:t>
            </w:r>
          </w:p>
          <w:p>
            <w:pPr>
              <w:pStyle w:val="34"/>
              <w:spacing w:line="400" w:lineRule="exact"/>
              <w:contextualSpacing/>
              <w:rPr>
                <w:rFonts w:hint="eastAsia" w:ascii="仿宋" w:hAnsi="仿宋" w:eastAsia="仿宋" w:cs="仿宋"/>
                <w:color w:val="auto"/>
                <w:kern w:val="28"/>
                <w:highlight w:val="none"/>
              </w:rPr>
            </w:pPr>
            <w:r>
              <w:rPr>
                <w:rFonts w:hint="eastAsia" w:ascii="仿宋" w:hAnsi="仿宋" w:eastAsia="仿宋" w:cs="仿宋"/>
                <w:color w:val="auto"/>
                <w:highlight w:val="none"/>
              </w:rPr>
              <w:t>8.服务费不在投标报价中单列。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014" w:hRule="exact"/>
          <w:jc w:val="center"/>
        </w:trPr>
        <w:tc>
          <w:tcPr>
            <w:tcW w:w="729" w:type="dxa"/>
            <w:vMerge w:val="restart"/>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14</w:t>
            </w:r>
          </w:p>
        </w:tc>
        <w:tc>
          <w:tcPr>
            <w:tcW w:w="1907" w:type="dxa"/>
            <w:vMerge w:val="restart"/>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特别说明</w:t>
            </w:r>
          </w:p>
        </w:tc>
        <w:tc>
          <w:tcPr>
            <w:tcW w:w="6366" w:type="dxa"/>
            <w:shd w:val="clear" w:color="auto" w:fill="FFFFFF" w:themeFill="background1"/>
            <w:vAlign w:val="center"/>
          </w:tcPr>
          <w:p>
            <w:pPr>
              <w:spacing w:line="400" w:lineRule="exact"/>
              <w:rPr>
                <w:rFonts w:hint="eastAsia" w:ascii="仿宋" w:hAnsi="仿宋" w:eastAsia="仿宋" w:cs="仿宋"/>
                <w:color w:val="auto"/>
                <w:kern w:val="28"/>
                <w:szCs w:val="21"/>
                <w:highlight w:val="none"/>
              </w:rPr>
            </w:pPr>
            <w:r>
              <w:rPr>
                <w:rFonts w:hint="eastAsia" w:ascii="仿宋" w:hAnsi="仿宋" w:eastAsia="仿宋" w:cs="仿宋"/>
                <w:color w:val="auto"/>
                <w:kern w:val="28"/>
                <w:szCs w:val="21"/>
                <w:highlight w:val="none"/>
              </w:rPr>
              <w:t xml:space="preserve">☐联合体投标的，联合体各方分别提供与联合体协议中规定的分工内容相应的业绩证明材料，业绩数量以提供材料较少的一方为准。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43" w:hRule="exact"/>
          <w:jc w:val="center"/>
        </w:trPr>
        <w:tc>
          <w:tcPr>
            <w:tcW w:w="729" w:type="dxa"/>
            <w:vMerge w:val="continue"/>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bookmarkStart w:id="11" w:name="_Toc164416483"/>
            <w:bookmarkStart w:id="12" w:name="第三部分"/>
          </w:p>
        </w:tc>
        <w:tc>
          <w:tcPr>
            <w:tcW w:w="1907" w:type="dxa"/>
            <w:vMerge w:val="continue"/>
            <w:shd w:val="clear" w:color="auto" w:fill="FFFFFF" w:themeFill="background1"/>
            <w:vAlign w:val="center"/>
          </w:tcPr>
          <w:p>
            <w:pPr>
              <w:snapToGrid w:val="0"/>
              <w:jc w:val="center"/>
              <w:rPr>
                <w:rFonts w:hint="eastAsia" w:ascii="仿宋" w:hAnsi="仿宋" w:eastAsia="仿宋" w:cs="仿宋"/>
                <w:b w:val="0"/>
                <w:bCs w:val="0"/>
                <w:color w:val="auto"/>
                <w:szCs w:val="21"/>
                <w:highlight w:val="none"/>
              </w:rPr>
            </w:pPr>
          </w:p>
        </w:tc>
        <w:tc>
          <w:tcPr>
            <w:tcW w:w="6366" w:type="dxa"/>
            <w:shd w:val="clear" w:color="auto" w:fill="FFFFFF" w:themeFill="background1"/>
            <w:vAlign w:val="center"/>
          </w:tcPr>
          <w:p>
            <w:pPr>
              <w:spacing w:line="400" w:lineRule="exact"/>
              <w:rPr>
                <w:rFonts w:hint="eastAsia" w:ascii="仿宋" w:hAnsi="仿宋" w:eastAsia="仿宋" w:cs="仿宋"/>
                <w:color w:val="auto"/>
                <w:kern w:val="28"/>
                <w:szCs w:val="21"/>
                <w:highlight w:val="none"/>
              </w:rPr>
            </w:pPr>
            <w:r>
              <w:rPr>
                <w:rFonts w:hint="eastAsia" w:ascii="仿宋" w:hAnsi="仿宋" w:eastAsia="仿宋" w:cs="仿宋"/>
                <w:color w:val="auto"/>
                <w:kern w:val="28"/>
                <w:szCs w:val="21"/>
                <w:highlight w:val="none"/>
              </w:rPr>
              <w:t>☐联合体投标的，联合体各方均需按招标文件第四部分评标标准要求提供资信证明文件，否则视为不符合相关要求。</w:t>
            </w:r>
          </w:p>
          <w:p>
            <w:pPr>
              <w:spacing w:line="400" w:lineRule="exact"/>
              <w:rPr>
                <w:rFonts w:hint="eastAsia" w:ascii="仿宋" w:hAnsi="仿宋" w:eastAsia="仿宋" w:cs="仿宋"/>
                <w:color w:val="auto"/>
                <w:kern w:val="28"/>
                <w:szCs w:val="21"/>
                <w:highlight w:val="none"/>
              </w:rPr>
            </w:pPr>
            <w:r>
              <w:rPr>
                <w:rFonts w:hint="eastAsia" w:ascii="仿宋" w:hAnsi="仿宋" w:eastAsia="仿宋" w:cs="仿宋"/>
                <w:color w:val="auto"/>
                <w:kern w:val="28"/>
                <w:szCs w:val="21"/>
                <w:highlight w:val="none"/>
              </w:rPr>
              <w:t xml:space="preserve">☐联合体投标的，联合体中有一方或者联合体成员根据分工按招标文件第四部分评标标准要求提供资信证明文件的，视为符合了相关要求。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1650" w:hRule="exact"/>
          <w:jc w:val="center"/>
        </w:trPr>
        <w:tc>
          <w:tcPr>
            <w:tcW w:w="729" w:type="dxa"/>
            <w:shd w:val="clear" w:color="auto" w:fill="FFFFFF" w:themeFill="background1"/>
            <w:vAlign w:val="center"/>
          </w:tcPr>
          <w:p>
            <w:pPr>
              <w:snapToGrid w:val="0"/>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15</w:t>
            </w:r>
          </w:p>
        </w:tc>
        <w:tc>
          <w:tcPr>
            <w:tcW w:w="1907" w:type="dxa"/>
            <w:shd w:val="clear" w:color="auto" w:fill="FFFFFF" w:themeFill="background1"/>
            <w:vAlign w:val="center"/>
          </w:tcPr>
          <w:p>
            <w:pPr>
              <w:snapToGrid w:val="0"/>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纸质投标文件</w:t>
            </w:r>
          </w:p>
        </w:tc>
        <w:tc>
          <w:tcPr>
            <w:tcW w:w="6366" w:type="dxa"/>
            <w:shd w:val="clear" w:color="auto" w:fill="FFFFFF" w:themeFill="background1"/>
            <w:vAlign w:val="center"/>
          </w:tcPr>
          <w:p>
            <w:pPr>
              <w:spacing w:line="400" w:lineRule="exact"/>
              <w:rPr>
                <w:rFonts w:hint="eastAsia" w:ascii="仿宋" w:hAnsi="仿宋" w:eastAsia="仿宋" w:cs="仿宋"/>
                <w:color w:val="auto"/>
                <w:kern w:val="28"/>
                <w:szCs w:val="21"/>
                <w:highlight w:val="none"/>
              </w:rPr>
            </w:pPr>
            <w:r>
              <w:rPr>
                <w:rFonts w:hint="eastAsia" w:ascii="仿宋" w:hAnsi="仿宋" w:eastAsia="仿宋" w:cs="仿宋"/>
                <w:color w:val="auto"/>
                <w:kern w:val="0"/>
                <w:szCs w:val="21"/>
              </w:rPr>
              <w:t>中标</w:t>
            </w:r>
            <w:r>
              <w:rPr>
                <w:rFonts w:hint="eastAsia" w:ascii="仿宋" w:hAnsi="仿宋" w:eastAsia="仿宋" w:cs="仿宋"/>
                <w:color w:val="auto"/>
                <w:kern w:val="0"/>
                <w:szCs w:val="21"/>
                <w:lang w:val="en-US" w:eastAsia="zh-CN"/>
              </w:rPr>
              <w:t>供应商</w:t>
            </w:r>
            <w:r>
              <w:rPr>
                <w:rFonts w:hint="eastAsia" w:ascii="仿宋" w:hAnsi="仿宋" w:eastAsia="仿宋" w:cs="仿宋"/>
                <w:color w:val="auto"/>
                <w:kern w:val="0"/>
                <w:szCs w:val="21"/>
              </w:rPr>
              <w:t>需在领取中标通知书时，提供本项目纸质投标文件（“资格文件”、“报价文件”和“商务技术文件”）三份（正本一份，副本二份）并提供电子投标文件与纸质投标文件内容一致承诺书（格式自拟）三份。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114" w:hRule="exact"/>
          <w:jc w:val="center"/>
        </w:trPr>
        <w:tc>
          <w:tcPr>
            <w:tcW w:w="729" w:type="dxa"/>
            <w:shd w:val="clear" w:color="auto" w:fill="FFFFFF" w:themeFill="background1"/>
            <w:vAlign w:val="center"/>
          </w:tcPr>
          <w:p>
            <w:pPr>
              <w:snapToGrid w:val="0"/>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16</w:t>
            </w:r>
          </w:p>
        </w:tc>
        <w:tc>
          <w:tcPr>
            <w:tcW w:w="1907" w:type="dxa"/>
            <w:shd w:val="clear" w:color="auto" w:fill="FFFFFF" w:themeFill="background1"/>
            <w:vAlign w:val="center"/>
          </w:tcPr>
          <w:p>
            <w:pPr>
              <w:snapToGrid w:val="0"/>
              <w:jc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Cs w:val="21"/>
                <w:lang w:val="en-US" w:eastAsia="zh-CN"/>
              </w:rPr>
              <w:t>评标委员会推荐中标候选人的人数</w:t>
            </w:r>
          </w:p>
        </w:tc>
        <w:tc>
          <w:tcPr>
            <w:tcW w:w="6366" w:type="dxa"/>
            <w:shd w:val="clear" w:color="auto" w:fill="FFFFFF" w:themeFill="background1"/>
            <w:vAlign w:val="center"/>
          </w:tcPr>
          <w:p>
            <w:pPr>
              <w:spacing w:line="400" w:lineRule="exact"/>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t>1</w:t>
            </w:r>
            <w:r>
              <w:rPr>
                <w:rFonts w:hint="eastAsia" w:ascii="仿宋" w:hAnsi="仿宋" w:eastAsia="仿宋" w:cs="仿宋"/>
                <w:color w:val="auto"/>
                <w:kern w:val="0"/>
                <w:szCs w:val="21"/>
                <w:lang w:val="en-US" w:eastAsia="zh-CN"/>
              </w:rPr>
              <w:t>人</w:t>
            </w:r>
            <w:r>
              <w:rPr>
                <w:rFonts w:hint="eastAsia" w:ascii="仿宋" w:hAnsi="仿宋" w:eastAsia="仿宋" w:cs="仿宋"/>
                <w:color w:val="auto"/>
                <w:kern w:val="0"/>
                <w:szCs w:val="21"/>
              </w:rPr>
              <w:t>；排名第一的中标候选人放弃中标、因不可抗力不能履行合同、不按照招标文件要求提交履约保证金担保，或者被查实存在影响中标结果的违法行为等情形，不符合中标条件的，招标人将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color w:val="auto"/>
                <w:kern w:val="0"/>
                <w:szCs w:val="21"/>
                <w:lang w:eastAsia="zh-CN"/>
              </w:rPr>
              <w:t>：</w:t>
            </w:r>
          </w:p>
          <w:p>
            <w:pPr>
              <w:spacing w:line="400" w:lineRule="exact"/>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sym w:font="Wingdings 2" w:char="0052"/>
            </w:r>
            <w:r>
              <w:rPr>
                <w:rFonts w:hint="eastAsia" w:ascii="仿宋" w:hAnsi="仿宋" w:eastAsia="仿宋" w:cs="仿宋"/>
                <w:color w:val="auto"/>
                <w:kern w:val="0"/>
                <w:szCs w:val="21"/>
              </w:rPr>
              <w:t>重新招标</w:t>
            </w:r>
            <w:r>
              <w:rPr>
                <w:rFonts w:hint="eastAsia" w:ascii="仿宋" w:hAnsi="仿宋" w:eastAsia="仿宋" w:cs="仿宋"/>
                <w:color w:val="auto"/>
                <w:kern w:val="0"/>
                <w:szCs w:val="21"/>
                <w:lang w:eastAsia="zh-CN"/>
              </w:rPr>
              <w:t>。</w:t>
            </w:r>
          </w:p>
          <w:p>
            <w:pPr>
              <w:spacing w:line="400" w:lineRule="exact"/>
              <w:rPr>
                <w:rFonts w:hint="eastAsia" w:ascii="仿宋" w:hAnsi="仿宋" w:eastAsia="仿宋" w:cs="仿宋"/>
                <w:color w:val="auto"/>
                <w:kern w:val="0"/>
                <w:szCs w:val="21"/>
                <w:lang w:eastAsia="zh-CN"/>
              </w:rPr>
            </w:pPr>
            <w:r>
              <w:rPr>
                <w:rFonts w:hint="eastAsia" w:ascii="仿宋" w:hAnsi="仿宋" w:eastAsia="仿宋" w:cs="仿宋"/>
                <w:color w:val="auto"/>
                <w:kern w:val="0"/>
                <w:szCs w:val="21"/>
              </w:rPr>
              <w:sym w:font="Wingdings 2" w:char="00A3"/>
            </w:r>
            <w:r>
              <w:rPr>
                <w:rFonts w:hint="eastAsia" w:ascii="仿宋" w:hAnsi="仿宋" w:eastAsia="仿宋" w:cs="仿宋"/>
                <w:color w:val="auto"/>
                <w:kern w:val="0"/>
                <w:szCs w:val="21"/>
              </w:rPr>
              <w:t>按中标候选人名单排序依次确定其他中标候选人为中标人</w:t>
            </w:r>
            <w:r>
              <w:rPr>
                <w:rFonts w:hint="eastAsia" w:ascii="仿宋" w:hAnsi="仿宋" w:eastAsia="仿宋" w:cs="仿宋"/>
                <w:color w:val="auto"/>
                <w:kern w:val="0"/>
                <w:szCs w:val="21"/>
                <w:lang w:eastAsia="zh-CN"/>
              </w:rPr>
              <w:t>。</w:t>
            </w:r>
          </w:p>
        </w:tc>
      </w:tr>
      <w:bookmarkEnd w:id="10"/>
    </w:tbl>
    <w:p>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仿宋" w:hAnsi="仿宋" w:eastAsia="仿宋" w:cs="仿宋"/>
          <w:b/>
          <w:color w:val="auto"/>
          <w:sz w:val="36"/>
          <w:szCs w:val="21"/>
          <w:highlight w:val="none"/>
        </w:rPr>
      </w:pPr>
      <w:r>
        <w:rPr>
          <w:rFonts w:hint="eastAsia" w:ascii="仿宋" w:hAnsi="仿宋" w:eastAsia="仿宋" w:cs="仿宋"/>
          <w:b/>
          <w:color w:val="auto"/>
          <w:sz w:val="36"/>
          <w:szCs w:val="21"/>
          <w:highlight w:val="none"/>
        </w:rPr>
        <w:t>一、总则</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1.</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适用范围</w:t>
      </w:r>
    </w:p>
    <w:p>
      <w:pPr>
        <w:snapToGrid w:val="0"/>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本招标文件适用于该项目的招标、投标、开标、资格审查及信用信息查询、评标、定标、合同、验收等行为（法律、法规另有规定的，从其规定）。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313" w:beforeLines="100" w:after="313" w:afterLines="100" w:line="240" w:lineRule="auto"/>
        <w:jc w:val="left"/>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定义</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2.1“采购人”系指招标公告中载明的本项目的采购人。</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eastAsia="zh-CN"/>
        </w:rPr>
        <w:t>采购代理机构</w:t>
      </w:r>
      <w:r>
        <w:rPr>
          <w:rFonts w:hint="eastAsia" w:ascii="仿宋" w:hAnsi="仿宋" w:eastAsia="仿宋" w:cs="仿宋"/>
          <w:color w:val="auto"/>
          <w:szCs w:val="21"/>
          <w:highlight w:val="none"/>
        </w:rPr>
        <w:t>”系指招标公告中载明的本项目的</w:t>
      </w:r>
      <w:r>
        <w:rPr>
          <w:rFonts w:hint="eastAsia" w:ascii="仿宋" w:hAnsi="仿宋" w:eastAsia="仿宋" w:cs="仿宋"/>
          <w:color w:val="auto"/>
          <w:szCs w:val="21"/>
          <w:highlight w:val="none"/>
          <w:lang w:eastAsia="zh-CN"/>
        </w:rPr>
        <w:t>采购代理机构</w:t>
      </w:r>
      <w:r>
        <w:rPr>
          <w:rFonts w:hint="eastAsia" w:ascii="仿宋" w:hAnsi="仿宋" w:eastAsia="仿宋" w:cs="仿宋"/>
          <w:color w:val="auto"/>
          <w:szCs w:val="21"/>
          <w:highlight w:val="none"/>
        </w:rPr>
        <w:t>。</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2.3“投标人”系指是指响应招标、参加投标竞争的法人、其他组织或者自然人。</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2.4“负责人”系指法人企业的法定负责人，或其他组织为法律、行政法规规定代表单位行使职权的主要负责人，或自然人本人。</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2.6“电子交易平台”是指本项目政府采购活动所依托的政府采购云平台（https://www.zcygov.cn/）。</w:t>
      </w:r>
    </w:p>
    <w:p>
      <w:pPr>
        <w:spacing w:line="36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2.7“▲”系指实质性要求条款，“</w:t>
      </w:r>
      <w:sdt>
        <w:sdtPr>
          <w:rPr>
            <w:rFonts w:hint="eastAsia" w:ascii="仿宋" w:hAnsi="仿宋" w:eastAsia="仿宋" w:cs="仿宋"/>
            <w:b w:val="0"/>
            <w:bCs w:val="0"/>
            <w:color w:val="auto"/>
            <w:kern w:val="0"/>
            <w:szCs w:val="21"/>
            <w:highlight w:val="none"/>
          </w:rPr>
          <w:id w:val="512970236"/>
        </w:sdtPr>
        <w:sdtEndPr>
          <w:rPr>
            <w:rFonts w:hint="eastAsia" w:ascii="仿宋" w:hAnsi="仿宋" w:eastAsia="仿宋" w:cs="仿宋"/>
            <w:b w:val="0"/>
            <w:bCs w:val="0"/>
            <w:color w:val="auto"/>
            <w:kern w:val="0"/>
            <w:szCs w:val="21"/>
            <w:highlight w:val="none"/>
          </w:rPr>
        </w:sdtEndPr>
        <w:sdtContent>
          <w:r>
            <w:rPr>
              <w:rFonts w:hint="eastAsia" w:ascii="仿宋" w:hAnsi="仿宋" w:eastAsia="仿宋" w:cs="仿宋"/>
              <w:b w:val="0"/>
              <w:bCs w:val="0"/>
              <w:color w:val="auto"/>
              <w:kern w:val="0"/>
              <w:szCs w:val="21"/>
              <w:highlight w:val="none"/>
            </w:rPr>
            <w:sym w:font="Wingdings" w:char="00FE"/>
          </w:r>
        </w:sdtContent>
      </w:sdt>
      <w:r>
        <w:rPr>
          <w:rFonts w:hint="eastAsia" w:ascii="仿宋" w:hAnsi="仿宋" w:eastAsia="仿宋" w:cs="仿宋"/>
          <w:b w:val="0"/>
          <w:bCs w:val="0"/>
          <w:color w:val="auto"/>
          <w:szCs w:val="21"/>
          <w:highlight w:val="none"/>
        </w:rPr>
        <w:t>”系指适用本项目的要求，“</w:t>
      </w:r>
      <w:sdt>
        <w:sdtPr>
          <w:rPr>
            <w:rFonts w:hint="eastAsia" w:ascii="仿宋" w:hAnsi="仿宋" w:eastAsia="仿宋" w:cs="仿宋"/>
            <w:b w:val="0"/>
            <w:bCs w:val="0"/>
            <w:color w:val="auto"/>
            <w:kern w:val="0"/>
            <w:szCs w:val="21"/>
            <w:highlight w:val="none"/>
          </w:rPr>
          <w:id w:val="404888855"/>
        </w:sdtPr>
        <w:sdtEndPr>
          <w:rPr>
            <w:rFonts w:hint="eastAsia" w:ascii="仿宋" w:hAnsi="仿宋" w:eastAsia="仿宋" w:cs="仿宋"/>
            <w:b w:val="0"/>
            <w:bCs w:val="0"/>
            <w:color w:val="auto"/>
            <w:kern w:val="0"/>
            <w:szCs w:val="21"/>
            <w:highlight w:val="none"/>
          </w:rPr>
        </w:sdtEndPr>
        <w:sdtContent>
          <w:sdt>
            <w:sdtPr>
              <w:rPr>
                <w:rFonts w:hint="eastAsia" w:ascii="仿宋" w:hAnsi="仿宋" w:eastAsia="仿宋" w:cs="仿宋"/>
                <w:b w:val="0"/>
                <w:bCs w:val="0"/>
                <w:color w:val="auto"/>
                <w:kern w:val="0"/>
                <w:szCs w:val="21"/>
                <w:highlight w:val="none"/>
              </w:rPr>
              <w:id w:val="512970236"/>
            </w:sdtPr>
            <w:sdtEndPr>
              <w:rPr>
                <w:rFonts w:hint="eastAsia" w:ascii="仿宋" w:hAnsi="仿宋" w:eastAsia="仿宋" w:cs="仿宋"/>
                <w:b w:val="0"/>
                <w:bCs w:val="0"/>
                <w:color w:val="auto"/>
                <w:kern w:val="0"/>
                <w:szCs w:val="21"/>
                <w:highlight w:val="none"/>
              </w:rPr>
            </w:sdtEndPr>
            <w:sdtContent>
              <w:r>
                <w:rPr>
                  <w:rFonts w:hint="eastAsia" w:ascii="仿宋" w:hAnsi="仿宋" w:eastAsia="仿宋" w:cs="仿宋"/>
                  <w:b w:val="0"/>
                  <w:bCs w:val="0"/>
                  <w:color w:val="auto"/>
                  <w:kern w:val="0"/>
                  <w:szCs w:val="21"/>
                  <w:highlight w:val="none"/>
                </w:rPr>
                <w:sym w:font="Wingdings" w:char="00A8"/>
              </w:r>
            </w:sdtContent>
          </w:sdt>
        </w:sdtContent>
      </w:sdt>
      <w:r>
        <w:rPr>
          <w:rFonts w:hint="eastAsia" w:ascii="仿宋" w:hAnsi="仿宋" w:eastAsia="仿宋" w:cs="仿宋"/>
          <w:b w:val="0"/>
          <w:bCs w:val="0"/>
          <w:color w:val="auto"/>
          <w:szCs w:val="21"/>
          <w:highlight w:val="none"/>
        </w:rPr>
        <w:t>”系指不适用本项目的要求。</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jc w:val="left"/>
        <w:textAlignment w:val="auto"/>
        <w:outlineLvl w:val="1"/>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3.</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采购项目需要落实的政府采购政策</w:t>
      </w:r>
    </w:p>
    <w:p>
      <w:pPr>
        <w:spacing w:line="36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3.1进口产品采购管理</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w:t>
      </w:r>
      <w:r>
        <w:rPr>
          <w:rFonts w:hint="eastAsia" w:ascii="仿宋" w:hAnsi="仿宋" w:eastAsia="仿宋" w:cs="仿宋"/>
          <w:color w:val="auto"/>
          <w:szCs w:val="21"/>
          <w:highlight w:val="none"/>
          <w:lang w:val="en-US" w:eastAsia="zh-CN"/>
        </w:rPr>
        <w:t>代理</w:t>
      </w:r>
      <w:r>
        <w:rPr>
          <w:rFonts w:hint="eastAsia" w:ascii="仿宋" w:hAnsi="仿宋" w:eastAsia="仿宋" w:cs="仿宋"/>
          <w:color w:val="auto"/>
          <w:szCs w:val="21"/>
          <w:highlight w:val="none"/>
        </w:rPr>
        <w:t>机构不会对其加以限制，仍将按照公平竞争原则实施采购）。优先采购向我国企业转让技术、与我国企业签订消化吸收再创新方案的供应商的进口产品。</w:t>
      </w:r>
    </w:p>
    <w:p>
      <w:pPr>
        <w:spacing w:line="36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3.2支持绿色发展</w:t>
      </w:r>
    </w:p>
    <w:p>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Cs w:val="21"/>
          <w:highlight w:val="none"/>
          <w:u w:val="singl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3.2.2修缮、装修类项目采购建材的，采购人应将绿色建筑和绿色建材性能、指标等作为实质性条件纳入招标文件和合同。</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3.2.4</w:t>
      </w:r>
      <w:r>
        <w:rPr>
          <w:rFonts w:hint="eastAsia" w:ascii="仿宋" w:hAnsi="仿宋" w:eastAsia="仿宋" w:cs="仿宋"/>
          <w:color w:val="auto"/>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3.3支持中小企业发展</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符合中小企业划分标准的个体工商户，在政府采购活动中视同中小企业。</w:t>
      </w:r>
    </w:p>
    <w:p>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3.3.2</w:t>
      </w:r>
      <w:r>
        <w:rPr>
          <w:rFonts w:hint="eastAsia" w:ascii="仿宋" w:hAnsi="仿宋" w:eastAsia="仿宋" w:cs="仿宋"/>
          <w:color w:val="auto"/>
          <w:kern w:val="0"/>
          <w:szCs w:val="21"/>
          <w:highlight w:val="none"/>
        </w:rPr>
        <w:t>在政府采购活动中，投标人提供的货物符合下列情形的，享受中小企业扶持政策：在</w:t>
      </w:r>
      <w:r>
        <w:rPr>
          <w:rFonts w:hint="eastAsia" w:ascii="仿宋" w:hAnsi="仿宋" w:eastAsia="仿宋" w:cs="仿宋"/>
          <w:color w:val="auto"/>
          <w:kern w:val="0"/>
          <w:szCs w:val="21"/>
          <w:highlight w:val="none"/>
          <w:lang w:val="en-US" w:eastAsia="zh-CN"/>
        </w:rPr>
        <w:t>货物</w:t>
      </w:r>
      <w:r>
        <w:rPr>
          <w:rFonts w:hint="eastAsia" w:ascii="仿宋" w:hAnsi="仿宋" w:eastAsia="仿宋" w:cs="仿宋"/>
          <w:color w:val="auto"/>
          <w:kern w:val="0"/>
          <w:szCs w:val="21"/>
          <w:highlight w:val="none"/>
        </w:rPr>
        <w:t>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3.3.3对于未预留份额专门面向中小企业的政府采购货物项目，以及预留份额政府采购</w:t>
      </w:r>
      <w:r>
        <w:rPr>
          <w:rFonts w:hint="eastAsia" w:ascii="仿宋" w:hAnsi="仿宋" w:eastAsia="仿宋" w:cs="仿宋"/>
          <w:color w:val="auto"/>
          <w:szCs w:val="21"/>
          <w:highlight w:val="none"/>
          <w:lang w:val="en-US" w:eastAsia="zh-CN"/>
        </w:rPr>
        <w:t>货物</w:t>
      </w:r>
      <w:r>
        <w:rPr>
          <w:rFonts w:hint="eastAsia" w:ascii="仿宋" w:hAnsi="仿宋" w:eastAsia="仿宋" w:cs="仿宋"/>
          <w:color w:val="auto"/>
          <w:szCs w:val="21"/>
          <w:highlight w:val="none"/>
        </w:rPr>
        <w:t>项目中的非预留部分标项，对小型和微型企业的投标报价给予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20%的扣除，用扣除后的价格参与评审。接受大中型企业与小微企业组成联合体或者允许大中型企业向一家或者多家小微企业分包的政府采购</w:t>
      </w:r>
      <w:r>
        <w:rPr>
          <w:rFonts w:hint="eastAsia" w:ascii="仿宋" w:hAnsi="仿宋" w:eastAsia="仿宋" w:cs="仿宋"/>
          <w:color w:val="auto"/>
          <w:szCs w:val="21"/>
          <w:highlight w:val="none"/>
          <w:lang w:val="en-US" w:eastAsia="zh-CN"/>
        </w:rPr>
        <w:t>货物</w:t>
      </w:r>
      <w:r>
        <w:rPr>
          <w:rFonts w:hint="eastAsia" w:ascii="仿宋" w:hAnsi="仿宋" w:eastAsia="仿宋" w:cs="仿宋"/>
          <w:color w:val="auto"/>
          <w:szCs w:val="21"/>
          <w:highlight w:val="none"/>
        </w:rPr>
        <w:t>项目，对于联合协议或者分包意向协议约定小微企业的合同份额占到合同总金额30%以上的，对联合体或者大中型企业的报价给予</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6%的扣除，用扣除后的价格参加评审。组成联合体或者接受分包的小微企业与联合体内其他企业、分包企业之间存在直接控股、管理关系的，不享受价格扣除优惠政策。</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3.3.7中小企业享受扶持政策获得政府采购合同的，小微企业不得将合同分包给大中型企业，中型企业不得将合同分包给大型企业。</w:t>
      </w:r>
    </w:p>
    <w:p>
      <w:pPr>
        <w:spacing w:line="360" w:lineRule="auto"/>
        <w:ind w:firstLine="420" w:firstLineChars="200"/>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3.4支持创新发展</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3.4.1采购人优先采购被认定为首台套产品和“制造精品”的自主创新产品。</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3.5平等对待内外资企业和符合条件的破产重整企业</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平等对待内外资企业和符合条件的破产重整企业平等对待内外资企业和符合条件的破产重整企业，切实保障企业公平竞争，平等维护企业的合法利益。</w:t>
      </w:r>
    </w:p>
    <w:p>
      <w:pPr>
        <w:spacing w:line="360" w:lineRule="auto"/>
        <w:ind w:firstLine="420" w:firstLineChars="200"/>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3.6中小企业信用融资</w:t>
      </w:r>
    </w:p>
    <w:p>
      <w:pPr>
        <w:keepNext w:val="0"/>
        <w:keepLines w:val="0"/>
        <w:pageBreakBefore w:val="0"/>
        <w:widowControl w:val="0"/>
        <w:kinsoku/>
        <w:wordWrap w:val="0"/>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szCs w:val="21"/>
          <w:highlight w:val="none"/>
          <w:lang w:val="en-US" w:eastAsia="zh-CN"/>
        </w:rPr>
        <w:t>为支持和促进中小企业发展，进一步发挥政府采购政策功能，浙江省财政厅出台浙财采监〔2022〕3号文件，企业若有融资意向，可通过政采云平台或其他渠道进行咨询。政采云平台融资服务（https://jinrong.zcygov.cn/finance-service/#/home)，可查看相应融资政策文件及各相关银行服务方案。</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4.</w:t>
      </w:r>
      <w:r>
        <w:rPr>
          <w:rFonts w:hint="eastAsia" w:ascii="仿宋" w:hAnsi="仿宋" w:eastAsia="仿宋" w:cs="仿宋"/>
          <w:b/>
          <w:color w:val="auto"/>
          <w:szCs w:val="21"/>
          <w:highlight w:val="none"/>
          <w:lang w:val="en-US" w:eastAsia="zh-CN"/>
        </w:rPr>
        <w:t xml:space="preserve"> </w:t>
      </w:r>
      <w:r>
        <w:rPr>
          <w:rFonts w:hint="eastAsia" w:ascii="仿宋" w:hAnsi="仿宋" w:eastAsia="仿宋" w:cs="仿宋"/>
          <w:b/>
          <w:color w:val="auto"/>
          <w:szCs w:val="21"/>
          <w:highlight w:val="none"/>
        </w:rPr>
        <w:t>询问、质疑、投诉</w:t>
      </w:r>
    </w:p>
    <w:p>
      <w:pPr>
        <w:autoSpaceDE w:val="0"/>
        <w:autoSpaceDN w:val="0"/>
        <w:spacing w:line="360" w:lineRule="auto"/>
        <w:ind w:firstLine="420" w:firstLineChars="200"/>
        <w:jc w:val="left"/>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4.1在线询问、质疑、投诉。</w:t>
      </w:r>
    </w:p>
    <w:p>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4.</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lang w:val="zh-CN"/>
        </w:rPr>
        <w:t>供应商询问</w:t>
      </w:r>
    </w:p>
    <w:p>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4.</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lang w:val="zh-CN"/>
        </w:rPr>
        <w:t>供应商质疑</w:t>
      </w:r>
    </w:p>
    <w:p>
      <w:pPr>
        <w:pStyle w:val="34"/>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lang w:val="en-US" w:eastAsia="zh-CN"/>
        </w:rPr>
        <w:t>3</w:t>
      </w:r>
      <w:r>
        <w:rPr>
          <w:rFonts w:hint="eastAsia" w:ascii="仿宋" w:hAnsi="仿宋" w:eastAsia="仿宋" w:cs="仿宋"/>
          <w:color w:val="auto"/>
          <w:highlight w:val="none"/>
        </w:rPr>
        <w:t>.1提出质疑的供应商应当是参与所质疑项目采购活动的供应商。潜在供应商已依法获取其可质疑的招标文件的，可以对该文件提出质疑。</w:t>
      </w:r>
    </w:p>
    <w:p>
      <w:pPr>
        <w:pStyle w:val="34"/>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lang w:val="en-US" w:eastAsia="zh-CN"/>
        </w:rPr>
        <w:t>3</w:t>
      </w:r>
      <w:r>
        <w:rPr>
          <w:rFonts w:hint="eastAsia" w:ascii="仿宋" w:hAnsi="仿宋" w:eastAsia="仿宋" w:cs="仿宋"/>
          <w:color w:val="auto"/>
          <w:highlight w:val="none"/>
        </w:rPr>
        <w:t>.2供应商认为招标文件、采购过程和中标结果使自己的权益受到损害的，可以在知道或者应知其权益受到损害之日起七个工作日内，以书面形式向采购人或者采购</w:t>
      </w:r>
      <w:r>
        <w:rPr>
          <w:rFonts w:hint="eastAsia" w:ascii="仿宋" w:hAnsi="仿宋" w:eastAsia="仿宋" w:cs="仿宋"/>
          <w:color w:val="auto"/>
          <w:highlight w:val="none"/>
          <w:lang w:val="en-US" w:eastAsia="zh-CN"/>
        </w:rPr>
        <w:t>代理</w:t>
      </w:r>
      <w:r>
        <w:rPr>
          <w:rFonts w:hint="eastAsia" w:ascii="仿宋" w:hAnsi="仿宋" w:eastAsia="仿宋" w:cs="仿宋"/>
          <w:color w:val="auto"/>
          <w:highlight w:val="none"/>
        </w:rPr>
        <w:t>机构提出质疑，否则，采购人或者采购</w:t>
      </w:r>
      <w:r>
        <w:rPr>
          <w:rFonts w:hint="eastAsia" w:ascii="仿宋" w:hAnsi="仿宋" w:eastAsia="仿宋" w:cs="仿宋"/>
          <w:color w:val="auto"/>
          <w:highlight w:val="none"/>
          <w:lang w:val="en-US" w:eastAsia="zh-CN"/>
        </w:rPr>
        <w:t>代理</w:t>
      </w:r>
      <w:r>
        <w:rPr>
          <w:rFonts w:hint="eastAsia" w:ascii="仿宋" w:hAnsi="仿宋" w:eastAsia="仿宋" w:cs="仿宋"/>
          <w:color w:val="auto"/>
          <w:highlight w:val="none"/>
        </w:rPr>
        <w:t>机构不予受理：</w:t>
      </w:r>
    </w:p>
    <w:p>
      <w:pPr>
        <w:pStyle w:val="15"/>
        <w:spacing w:line="360" w:lineRule="auto"/>
        <w:ind w:firstLine="840" w:firstLineChars="400"/>
        <w:rPr>
          <w:rFonts w:hint="eastAsia" w:ascii="仿宋" w:hAnsi="仿宋" w:eastAsia="仿宋" w:cs="仿宋"/>
          <w:snapToGrid/>
          <w:color w:val="auto"/>
          <w:kern w:val="2"/>
          <w:sz w:val="21"/>
          <w:szCs w:val="21"/>
          <w:highlight w:val="none"/>
        </w:rPr>
      </w:pPr>
      <w:r>
        <w:rPr>
          <w:rFonts w:hint="eastAsia" w:ascii="仿宋" w:hAnsi="仿宋" w:eastAsia="仿宋" w:cs="仿宋"/>
          <w:snapToGrid/>
          <w:color w:val="auto"/>
          <w:kern w:val="2"/>
          <w:sz w:val="21"/>
          <w:szCs w:val="21"/>
          <w:highlight w:val="none"/>
        </w:rPr>
        <w:t>4.</w:t>
      </w:r>
      <w:r>
        <w:rPr>
          <w:rFonts w:hint="eastAsia" w:ascii="仿宋" w:hAnsi="仿宋" w:eastAsia="仿宋" w:cs="仿宋"/>
          <w:snapToGrid/>
          <w:color w:val="auto"/>
          <w:kern w:val="2"/>
          <w:sz w:val="21"/>
          <w:szCs w:val="21"/>
          <w:highlight w:val="none"/>
          <w:lang w:val="en-US" w:eastAsia="zh-CN"/>
        </w:rPr>
        <w:t>3</w:t>
      </w:r>
      <w:r>
        <w:rPr>
          <w:rFonts w:hint="eastAsia" w:ascii="仿宋" w:hAnsi="仿宋" w:eastAsia="仿宋" w:cs="仿宋"/>
          <w:snapToGrid/>
          <w:color w:val="auto"/>
          <w:kern w:val="2"/>
          <w:sz w:val="21"/>
          <w:szCs w:val="21"/>
          <w:highlight w:val="none"/>
        </w:rPr>
        <w:t>.2.1对招标文件提出质疑的，质疑期限为供应商获得招标文件之日或者招标文件公告期限届满之日起计算。</w:t>
      </w:r>
    </w:p>
    <w:p>
      <w:pPr>
        <w:pStyle w:val="34"/>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.2.2对采购过程提出质疑的，质疑期限为各采购程序环节结束之日起计算。</w:t>
      </w:r>
    </w:p>
    <w:p>
      <w:pPr>
        <w:pStyle w:val="34"/>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.2.3对采购结果提出质疑的，质疑期限自采购结果公告期限届满之日起计算。</w:t>
      </w:r>
    </w:p>
    <w:p>
      <w:pPr>
        <w:pStyle w:val="34"/>
        <w:spacing w:line="360" w:lineRule="auto"/>
        <w:ind w:firstLine="420" w:firstLineChars="2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.3</w:t>
      </w:r>
      <w:r>
        <w:rPr>
          <w:rFonts w:hint="eastAsia" w:ascii="仿宋" w:hAnsi="仿宋" w:eastAsia="仿宋" w:cs="仿宋"/>
          <w:color w:val="auto"/>
          <w:highlight w:val="none"/>
        </w:rPr>
        <w:t>供应商提出质疑应当提交质疑函和必要的证明材料。质疑函应当包括下列内容：</w:t>
      </w:r>
    </w:p>
    <w:p>
      <w:pPr>
        <w:pStyle w:val="34"/>
        <w:spacing w:line="360" w:lineRule="auto"/>
        <w:ind w:firstLine="840" w:firstLineChars="4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.3.1供应商的姓名或者名称、地址、邮编、联系人及联系电话；</w:t>
      </w:r>
    </w:p>
    <w:p>
      <w:pPr>
        <w:pStyle w:val="34"/>
        <w:spacing w:line="360" w:lineRule="auto"/>
        <w:ind w:firstLine="840" w:firstLineChars="4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.3.2质疑项目的名称、编号；</w:t>
      </w:r>
    </w:p>
    <w:p>
      <w:pPr>
        <w:pStyle w:val="34"/>
        <w:spacing w:line="360" w:lineRule="auto"/>
        <w:ind w:firstLine="840" w:firstLineChars="4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.3.3具体、明确的质疑事项和与质疑事项相关的请求；</w:t>
      </w:r>
    </w:p>
    <w:p>
      <w:pPr>
        <w:pStyle w:val="34"/>
        <w:spacing w:line="360" w:lineRule="auto"/>
        <w:ind w:firstLine="840" w:firstLineChars="4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.3.4事实依据；</w:t>
      </w:r>
    </w:p>
    <w:p>
      <w:pPr>
        <w:pStyle w:val="34"/>
        <w:spacing w:line="360" w:lineRule="auto"/>
        <w:ind w:firstLine="840" w:firstLineChars="4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.3.5必要的法律依据；</w:t>
      </w:r>
    </w:p>
    <w:p>
      <w:pPr>
        <w:pStyle w:val="34"/>
        <w:spacing w:line="360" w:lineRule="auto"/>
        <w:ind w:firstLine="840" w:firstLineChars="400"/>
        <w:rPr>
          <w:rFonts w:hint="eastAsia" w:ascii="仿宋" w:hAnsi="仿宋" w:eastAsia="仿宋" w:cs="仿宋"/>
          <w:color w:val="auto"/>
          <w:kern w:val="0"/>
          <w:highlight w:val="none"/>
          <w:lang w:val="zh-CN"/>
        </w:rPr>
      </w:pPr>
      <w:r>
        <w:rPr>
          <w:rFonts w:hint="eastAsia" w:ascii="仿宋" w:hAnsi="仿宋" w:eastAsia="仿宋" w:cs="仿宋"/>
          <w:color w:val="auto"/>
          <w:kern w:val="0"/>
          <w:highlight w:val="none"/>
          <w:lang w:val="zh-CN"/>
        </w:rPr>
        <w:t>4.</w:t>
      </w: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val="zh-CN"/>
        </w:rPr>
        <w:t>.3.6提出质疑的日期。</w:t>
      </w:r>
    </w:p>
    <w:p>
      <w:pPr>
        <w:pStyle w:val="891"/>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质疑函范本及制作说明详见附件2。</w:t>
      </w:r>
    </w:p>
    <w:p>
      <w:pPr>
        <w:pStyle w:val="891"/>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.4对同一采购程序环节的质疑，供应商须在法定质疑期内一次性提出。</w:t>
      </w:r>
    </w:p>
    <w:p>
      <w:pPr>
        <w:pStyle w:val="891"/>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891"/>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询问或者质疑事项可能影响采购结果的，采购人应当暂停签订合同，已经签订合同的，应当中止履行合同。</w:t>
      </w:r>
    </w:p>
    <w:p>
      <w:pPr>
        <w:autoSpaceDE w:val="0"/>
        <w:autoSpaceDN w:val="0"/>
        <w:spacing w:line="360" w:lineRule="auto"/>
        <w:ind w:firstLine="420" w:firstLineChars="200"/>
        <w:jc w:val="left"/>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4.</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lang w:val="zh-CN"/>
        </w:rPr>
        <w:t>供应商投诉</w:t>
      </w:r>
    </w:p>
    <w:p>
      <w:pPr>
        <w:pStyle w:val="891"/>
        <w:widowControl w:val="0"/>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.1质疑供应商对采购人、采购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机构的答复不满意或者采购人、采购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机构未在规定的时间内作出答复的，可以在答复期满后十五个工作日内向同级政府采购监督管理部门提出投诉。</w:t>
      </w:r>
    </w:p>
    <w:p>
      <w:pPr>
        <w:pStyle w:val="891"/>
        <w:widowControl w:val="0"/>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供应商投诉的事项不得超出已质疑事项的范围，基于质疑答复内容提出的投诉事项除外。</w:t>
      </w:r>
    </w:p>
    <w:p>
      <w:pPr>
        <w:pStyle w:val="891"/>
        <w:widowControl w:val="0"/>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.3供应商投诉应当有明确的请求和必要的证明材料。</w:t>
      </w:r>
    </w:p>
    <w:p>
      <w:pPr>
        <w:pStyle w:val="891"/>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以联合体形式参加政府采购活动的，其投诉应当由组成联合体的所有供应商共同提出。</w:t>
      </w:r>
    </w:p>
    <w:p>
      <w:pPr>
        <w:pStyle w:val="891"/>
        <w:shd w:val="clear" w:color="auto" w:fill="FFFFFF"/>
        <w:snapToGrid w:val="0"/>
        <w:spacing w:before="0" w:beforeAutospacing="0" w:after="0" w:afterAutospacing="0" w:line="360" w:lineRule="auto"/>
        <w:ind w:firstLine="420" w:firstLineChars="200"/>
        <w:contextualSpacing/>
        <w:rPr>
          <w:rFonts w:hint="eastAsia" w:ascii="仿宋" w:hAnsi="仿宋" w:eastAsia="仿宋" w:cs="仿宋"/>
          <w:color w:val="auto"/>
          <w:highlight w:val="none"/>
        </w:rPr>
      </w:pPr>
      <w:r>
        <w:rPr>
          <w:rFonts w:hint="eastAsia" w:ascii="仿宋" w:hAnsi="仿宋" w:eastAsia="仿宋" w:cs="仿宋"/>
          <w:color w:val="auto"/>
          <w:sz w:val="21"/>
          <w:szCs w:val="21"/>
          <w:highlight w:val="none"/>
        </w:rPr>
        <w:t>投诉书范本及制作说明详见附件3。</w:t>
      </w:r>
    </w:p>
    <w:p>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仿宋" w:hAnsi="仿宋" w:eastAsia="仿宋" w:cs="仿宋"/>
          <w:b/>
          <w:color w:val="auto"/>
          <w:sz w:val="36"/>
          <w:szCs w:val="21"/>
          <w:highlight w:val="none"/>
        </w:rPr>
      </w:pPr>
      <w:r>
        <w:rPr>
          <w:rFonts w:hint="eastAsia" w:ascii="仿宋" w:hAnsi="仿宋" w:eastAsia="仿宋" w:cs="仿宋"/>
          <w:b/>
          <w:color w:val="auto"/>
          <w:sz w:val="36"/>
          <w:szCs w:val="21"/>
          <w:highlight w:val="none"/>
        </w:rPr>
        <w:t>二、招标文件的构成、澄清、修改</w:t>
      </w:r>
    </w:p>
    <w:p>
      <w:pPr>
        <w:pStyle w:val="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5.</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招标文件的构成</w:t>
      </w:r>
    </w:p>
    <w:p>
      <w:pPr>
        <w:pStyle w:val="34"/>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5.1招标文件包括下列文件及附件：</w:t>
      </w:r>
    </w:p>
    <w:p>
      <w:pPr>
        <w:pStyle w:val="34"/>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5.1.1招标公告；</w:t>
      </w:r>
    </w:p>
    <w:p>
      <w:pPr>
        <w:pStyle w:val="34"/>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5.1.2投标人须知；</w:t>
      </w:r>
    </w:p>
    <w:p>
      <w:pPr>
        <w:pStyle w:val="34"/>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5.1.3采购需求；</w:t>
      </w:r>
    </w:p>
    <w:p>
      <w:pPr>
        <w:pStyle w:val="34"/>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5.1.4评标办法；</w:t>
      </w:r>
    </w:p>
    <w:p>
      <w:pPr>
        <w:pStyle w:val="34"/>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5.1.5拟签订的合同文本；</w:t>
      </w:r>
    </w:p>
    <w:p>
      <w:pPr>
        <w:pStyle w:val="34"/>
        <w:tabs>
          <w:tab w:val="left" w:pos="840"/>
        </w:tabs>
        <w:spacing w:line="360" w:lineRule="auto"/>
        <w:ind w:firstLine="840" w:firstLineChars="400"/>
        <w:rPr>
          <w:rFonts w:hint="eastAsia" w:ascii="仿宋" w:hAnsi="仿宋" w:eastAsia="仿宋" w:cs="仿宋"/>
          <w:color w:val="auto"/>
          <w:highlight w:val="none"/>
        </w:rPr>
      </w:pPr>
      <w:r>
        <w:rPr>
          <w:rFonts w:hint="eastAsia" w:ascii="仿宋" w:hAnsi="仿宋" w:eastAsia="仿宋" w:cs="仿宋"/>
          <w:color w:val="auto"/>
          <w:highlight w:val="none"/>
        </w:rPr>
        <w:t>5.1.6应提交的有关格式范例。</w:t>
      </w:r>
    </w:p>
    <w:p>
      <w:pPr>
        <w:wordWrap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5.2与本项目有关的</w:t>
      </w:r>
      <w:r>
        <w:rPr>
          <w:rFonts w:hint="eastAsia" w:ascii="仿宋" w:hAnsi="仿宋" w:eastAsia="仿宋" w:cs="仿宋"/>
          <w:bCs/>
          <w:color w:val="auto"/>
          <w:szCs w:val="21"/>
          <w:highlight w:val="none"/>
        </w:rPr>
        <w:t>澄清或者修改的内容为招标文件的组成部分</w:t>
      </w:r>
      <w:r>
        <w:rPr>
          <w:rFonts w:hint="eastAsia" w:ascii="仿宋" w:hAnsi="仿宋" w:eastAsia="仿宋" w:cs="仿宋"/>
          <w:color w:val="auto"/>
          <w:szCs w:val="21"/>
          <w:highlight w:val="none"/>
        </w:rPr>
        <w:t>。</w:t>
      </w:r>
    </w:p>
    <w:p>
      <w:pPr>
        <w:pStyle w:val="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6.</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招标文件的澄清、修改</w:t>
      </w:r>
    </w:p>
    <w:p>
      <w:pPr>
        <w:pStyle w:val="134"/>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6.1已获取招标文件的潜在投标人，若有问题需要澄清，应于投标截止时间前，以书面形式向采购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机构提出。</w:t>
      </w:r>
    </w:p>
    <w:p>
      <w:pPr>
        <w:pStyle w:val="134"/>
        <w:snapToGrid w:val="0"/>
        <w:spacing w:before="0"/>
        <w:ind w:firstLine="420"/>
        <w:rPr>
          <w:rFonts w:hint="eastAsia" w:ascii="仿宋" w:hAnsi="仿宋" w:eastAsia="仿宋" w:cs="仿宋"/>
          <w:color w:val="auto"/>
          <w:highlight w:val="none"/>
        </w:rPr>
      </w:pPr>
      <w:r>
        <w:rPr>
          <w:rFonts w:hint="eastAsia" w:ascii="仿宋" w:hAnsi="仿宋" w:eastAsia="仿宋" w:cs="仿宋"/>
          <w:color w:val="auto"/>
          <w:sz w:val="21"/>
          <w:szCs w:val="21"/>
          <w:highlight w:val="none"/>
        </w:rPr>
        <w:t>6.2采购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before="240" w:beforeLines="100" w:after="240" w:afterLines="100" w:line="240" w:lineRule="auto"/>
        <w:jc w:val="center"/>
        <w:textAlignment w:val="auto"/>
        <w:outlineLvl w:val="0"/>
        <w:rPr>
          <w:rFonts w:hint="eastAsia" w:ascii="仿宋" w:hAnsi="仿宋" w:eastAsia="仿宋" w:cs="仿宋"/>
          <w:b/>
          <w:color w:val="auto"/>
          <w:sz w:val="36"/>
          <w:szCs w:val="22"/>
          <w:highlight w:val="none"/>
        </w:rPr>
      </w:pPr>
      <w:r>
        <w:rPr>
          <w:rFonts w:hint="eastAsia" w:ascii="仿宋" w:hAnsi="仿宋" w:eastAsia="仿宋" w:cs="仿宋"/>
          <w:b/>
          <w:color w:val="auto"/>
          <w:sz w:val="36"/>
          <w:szCs w:val="22"/>
          <w:highlight w:val="none"/>
        </w:rPr>
        <w:t>三、投标</w:t>
      </w:r>
    </w:p>
    <w:p>
      <w:pPr>
        <w:pStyle w:val="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招标文件的获取</w:t>
      </w:r>
    </w:p>
    <w:p>
      <w:pPr>
        <w:spacing w:line="360" w:lineRule="auto"/>
        <w:ind w:firstLine="420" w:firstLineChars="200"/>
        <w:rPr>
          <w:rFonts w:hint="eastAsia" w:ascii="仿宋" w:hAnsi="仿宋" w:eastAsia="仿宋" w:cs="仿宋"/>
          <w:snapToGrid w:val="0"/>
          <w:color w:val="auto"/>
          <w:kern w:val="28"/>
          <w:szCs w:val="21"/>
          <w:highlight w:val="none"/>
        </w:rPr>
      </w:pPr>
      <w:r>
        <w:rPr>
          <w:rFonts w:hint="eastAsia" w:ascii="仿宋" w:hAnsi="仿宋" w:eastAsia="仿宋" w:cs="仿宋"/>
          <w:snapToGrid w:val="0"/>
          <w:color w:val="auto"/>
          <w:kern w:val="28"/>
          <w:szCs w:val="21"/>
          <w:highlight w:val="none"/>
        </w:rPr>
        <w:t>详见招标公告中获取招标文件的时间期限、地点、方式及招标文件售价。</w:t>
      </w:r>
    </w:p>
    <w:p>
      <w:pPr>
        <w:spacing w:line="360" w:lineRule="auto"/>
        <w:ind w:firstLine="422" w:firstLineChars="200"/>
        <w:rPr>
          <w:rFonts w:hint="eastAsia" w:ascii="仿宋" w:hAnsi="仿宋" w:eastAsia="仿宋" w:cs="仿宋"/>
          <w:snapToGrid w:val="0"/>
          <w:color w:val="auto"/>
          <w:kern w:val="28"/>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bCs/>
          <w:snapToGrid w:val="0"/>
          <w:color w:val="auto"/>
          <w:kern w:val="28"/>
          <w:szCs w:val="21"/>
          <w:highlight w:val="none"/>
          <w:u w:val="single"/>
        </w:rPr>
        <w:t>附件中直接下载仅供浏览使用，不视作依法获取招标文件，不得就采购文件提出质疑投诉,未按规定获取招标文件者的投标将被拒绝。</w:t>
      </w:r>
    </w:p>
    <w:p>
      <w:pPr>
        <w:pStyle w:val="34"/>
        <w:keepNext w:val="0"/>
        <w:keepLines w:val="0"/>
        <w:pageBreakBefore w:val="0"/>
        <w:widowControl w:val="0"/>
        <w:numPr>
          <w:ilvl w:val="0"/>
          <w:numId w:val="2"/>
        </w:numPr>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开标前答疑会或现场考察</w:t>
      </w:r>
    </w:p>
    <w:p>
      <w:pPr>
        <w:pStyle w:val="34"/>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采购人组织潜在投标人现场考察或者召开开标前答疑会的，潜在投标人按第二部分投标人须知前附表的规定参加现场考察或者开标前答疑会。</w:t>
      </w:r>
    </w:p>
    <w:p>
      <w:pPr>
        <w:pStyle w:val="34"/>
        <w:keepNext w:val="0"/>
        <w:keepLines w:val="0"/>
        <w:pageBreakBefore w:val="0"/>
        <w:widowControl w:val="0"/>
        <w:numPr>
          <w:ilvl w:val="0"/>
          <w:numId w:val="2"/>
        </w:numPr>
        <w:kinsoku/>
        <w:wordWrap/>
        <w:overflowPunct/>
        <w:topLinePunct w:val="0"/>
        <w:autoSpaceDE/>
        <w:autoSpaceDN/>
        <w:bidi w:val="0"/>
        <w:adjustRightInd w:val="0"/>
        <w:snapToGrid/>
        <w:spacing w:before="313" w:beforeLines="100" w:after="313" w:afterLines="100" w:line="240" w:lineRule="auto"/>
        <w:ind w:left="0" w:leftChars="0"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投标保证金</w:t>
      </w:r>
    </w:p>
    <w:p>
      <w:pPr>
        <w:pStyle w:val="15"/>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本项目不需缴纳投标保证金。</w:t>
      </w:r>
    </w:p>
    <w:p>
      <w:pPr>
        <w:pStyle w:val="34"/>
        <w:keepNext w:val="0"/>
        <w:keepLines w:val="0"/>
        <w:pageBreakBefore w:val="0"/>
        <w:widowControl w:val="0"/>
        <w:numPr>
          <w:ilvl w:val="0"/>
          <w:numId w:val="2"/>
        </w:numPr>
        <w:kinsoku/>
        <w:wordWrap/>
        <w:overflowPunct/>
        <w:topLinePunct w:val="0"/>
        <w:autoSpaceDE/>
        <w:autoSpaceDN/>
        <w:bidi w:val="0"/>
        <w:adjustRightInd w:val="0"/>
        <w:snapToGrid/>
        <w:spacing w:before="313" w:beforeLines="100" w:after="313" w:afterLines="100" w:line="240" w:lineRule="auto"/>
        <w:ind w:left="0" w:leftChars="0"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投标文件的语言</w:t>
      </w:r>
    </w:p>
    <w:p>
      <w:pPr>
        <w:autoSpaceDE w:val="0"/>
        <w:autoSpaceDN w:val="0"/>
        <w:spacing w:line="360" w:lineRule="auto"/>
        <w:ind w:firstLine="420" w:firstLineChars="2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投标文件及投标人与采购有关的来往通知、函件和文件均应使用中文。</w:t>
      </w:r>
    </w:p>
    <w:p>
      <w:pPr>
        <w:pStyle w:val="34"/>
        <w:keepNext w:val="0"/>
        <w:keepLines w:val="0"/>
        <w:pageBreakBefore w:val="0"/>
        <w:widowControl w:val="0"/>
        <w:numPr>
          <w:ilvl w:val="0"/>
          <w:numId w:val="2"/>
        </w:numPr>
        <w:kinsoku/>
        <w:wordWrap/>
        <w:overflowPunct/>
        <w:topLinePunct w:val="0"/>
        <w:autoSpaceDE/>
        <w:autoSpaceDN/>
        <w:bidi w:val="0"/>
        <w:adjustRightInd w:val="0"/>
        <w:snapToGrid/>
        <w:spacing w:before="313" w:beforeLines="100" w:after="313" w:afterLines="100" w:line="240" w:lineRule="auto"/>
        <w:ind w:left="0" w:leftChars="0" w:firstLine="0" w:firstLineChars="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投标文件的组成</w:t>
      </w:r>
    </w:p>
    <w:p>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w:t>
      </w:r>
      <w:r>
        <w:rPr>
          <w:rFonts w:hint="eastAsia" w:ascii="仿宋" w:hAnsi="仿宋" w:eastAsia="仿宋" w:cs="仿宋"/>
          <w:b/>
          <w:color w:val="auto"/>
          <w:szCs w:val="21"/>
          <w:highlight w:val="none"/>
        </w:rPr>
        <w:t>资格文件</w:t>
      </w:r>
      <w:r>
        <w:rPr>
          <w:rFonts w:hint="eastAsia" w:ascii="仿宋" w:hAnsi="仿宋" w:eastAsia="仿宋" w:cs="仿宋"/>
          <w:color w:val="auto"/>
          <w:szCs w:val="21"/>
          <w:highlight w:val="none"/>
        </w:rPr>
        <w:t>：</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11.1.1符合参加政府采购活动应当具备的一般条件的承诺函；</w:t>
      </w:r>
    </w:p>
    <w:p>
      <w:pPr>
        <w:snapToGrid w:val="0"/>
        <w:spacing w:line="360" w:lineRule="auto"/>
        <w:ind w:firstLine="840" w:firstLineChars="4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11.1.2联合协议（如果有）；</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落实政府采购政策需满足的资格要求（如果有）；</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本项目的特定资格要求（如果有）。</w:t>
      </w:r>
    </w:p>
    <w:p>
      <w:pPr>
        <w:snapToGrid w:val="0"/>
        <w:spacing w:line="360" w:lineRule="auto"/>
        <w:ind w:firstLine="422" w:firstLineChars="200"/>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11.</w:t>
      </w:r>
      <w:r>
        <w:rPr>
          <w:rFonts w:hint="eastAsia" w:ascii="仿宋" w:hAnsi="仿宋" w:eastAsia="仿宋" w:cs="仿宋"/>
          <w:b/>
          <w:bCs/>
          <w:color w:val="auto"/>
          <w:szCs w:val="21"/>
          <w:highlight w:val="none"/>
        </w:rPr>
        <w:t>2商务技术</w:t>
      </w:r>
      <w:r>
        <w:rPr>
          <w:rFonts w:hint="eastAsia" w:ascii="仿宋" w:hAnsi="仿宋" w:eastAsia="仿宋" w:cs="仿宋"/>
          <w:b/>
          <w:bCs/>
          <w:color w:val="auto"/>
          <w:szCs w:val="21"/>
          <w:highlight w:val="none"/>
          <w:lang w:val="zh-CN"/>
        </w:rPr>
        <w:t>文件：</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11.2.1投标函；</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11.2.2授权委托书或法定代表人（单位负责人、自然人本人）身份证明；</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分包意向协议（如果有）；</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符合性审查资料；</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评标标准相应的商务技术资料；</w:t>
      </w:r>
    </w:p>
    <w:p>
      <w:pPr>
        <w:snapToGrid w:val="0"/>
        <w:spacing w:line="360" w:lineRule="auto"/>
        <w:ind w:firstLine="840" w:firstLineChars="4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11.2.6投标标的清单；</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商务技术偏离表；</w:t>
      </w:r>
    </w:p>
    <w:p>
      <w:pPr>
        <w:snapToGrid w:val="0"/>
        <w:spacing w:line="360" w:lineRule="auto"/>
        <w:ind w:firstLine="840" w:firstLineChars="40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11.</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lang w:val="zh-CN"/>
        </w:rPr>
        <w:t>政府采购供应商廉洁自律承诺书；</w:t>
      </w:r>
    </w:p>
    <w:p>
      <w:pPr>
        <w:snapToGrid w:val="0"/>
        <w:spacing w:line="360" w:lineRule="auto"/>
        <w:ind w:firstLine="422" w:firstLineChars="200"/>
        <w:rPr>
          <w:rFonts w:hint="eastAsia" w:ascii="仿宋" w:hAnsi="仿宋" w:eastAsia="仿宋" w:cs="仿宋"/>
          <w:color w:val="auto"/>
          <w:szCs w:val="21"/>
          <w:highlight w:val="none"/>
          <w:u w:val="single"/>
          <w:lang w:val="zh-CN"/>
        </w:rPr>
      </w:pPr>
      <w:r>
        <w:rPr>
          <w:rFonts w:hint="eastAsia" w:ascii="仿宋" w:hAnsi="仿宋" w:eastAsia="仿宋" w:cs="仿宋"/>
          <w:b/>
          <w:bCs/>
          <w:color w:val="auto"/>
          <w:kern w:val="0"/>
          <w:szCs w:val="21"/>
          <w:highlight w:val="none"/>
          <w:lang w:val="zh-CN"/>
        </w:rPr>
        <w:t>11.</w:t>
      </w:r>
      <w:r>
        <w:rPr>
          <w:rFonts w:hint="eastAsia" w:ascii="仿宋" w:hAnsi="仿宋" w:eastAsia="仿宋" w:cs="仿宋"/>
          <w:b/>
          <w:bCs/>
          <w:color w:val="auto"/>
          <w:kern w:val="0"/>
          <w:szCs w:val="21"/>
          <w:highlight w:val="none"/>
        </w:rPr>
        <w:t>3</w:t>
      </w:r>
      <w:r>
        <w:rPr>
          <w:rFonts w:hint="eastAsia" w:ascii="仿宋" w:hAnsi="仿宋" w:eastAsia="仿宋" w:cs="仿宋"/>
          <w:b/>
          <w:color w:val="auto"/>
          <w:szCs w:val="21"/>
          <w:highlight w:val="none"/>
        </w:rPr>
        <w:t>报价文件：</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11.3.1开标一览表（报价表）；</w:t>
      </w:r>
    </w:p>
    <w:p>
      <w:pPr>
        <w:snapToGrid w:val="0"/>
        <w:spacing w:line="360" w:lineRule="auto"/>
        <w:ind w:firstLine="840" w:firstLine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中小企业声明函</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如本项目专门面向中小企业采购，此处可不提供</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p>
    <w:p>
      <w:pPr>
        <w:spacing w:line="360" w:lineRule="auto"/>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bCs/>
          <w:color w:val="auto"/>
          <w:szCs w:val="21"/>
          <w:highlight w:val="none"/>
        </w:rPr>
        <w:t>▲</w:t>
      </w:r>
      <w:r>
        <w:rPr>
          <w:rFonts w:hint="eastAsia" w:ascii="仿宋" w:hAnsi="仿宋" w:eastAsia="仿宋" w:cs="仿宋"/>
          <w:b/>
          <w:color w:val="auto"/>
          <w:szCs w:val="21"/>
          <w:highlight w:val="none"/>
          <w:u w:val="single"/>
        </w:rPr>
        <w:t>投标文件含有采购人不能接受的附加条件的，投标无效；</w:t>
      </w:r>
    </w:p>
    <w:p>
      <w:pPr>
        <w:spacing w:line="360" w:lineRule="auto"/>
        <w:ind w:firstLine="422" w:firstLineChars="200"/>
        <w:rPr>
          <w:rFonts w:hint="eastAsia" w:ascii="仿宋" w:hAnsi="仿宋" w:eastAsia="仿宋" w:cs="仿宋"/>
          <w:b/>
          <w:color w:val="auto"/>
          <w:szCs w:val="21"/>
          <w:highlight w:val="none"/>
        </w:rPr>
      </w:pPr>
      <w:r>
        <w:rPr>
          <w:rFonts w:hint="eastAsia" w:ascii="仿宋" w:hAnsi="仿宋" w:eastAsia="仿宋" w:cs="仿宋"/>
          <w:b/>
          <w:bCs/>
          <w:color w:val="auto"/>
          <w:szCs w:val="21"/>
          <w:highlight w:val="none"/>
        </w:rPr>
        <w:t>▲</w:t>
      </w:r>
      <w:r>
        <w:rPr>
          <w:rFonts w:hint="eastAsia" w:ascii="仿宋" w:hAnsi="仿宋" w:eastAsia="仿宋" w:cs="仿宋"/>
          <w:b/>
          <w:color w:val="auto"/>
          <w:szCs w:val="21"/>
          <w:highlight w:val="none"/>
          <w:u w:val="single"/>
        </w:rPr>
        <w:t>投标人提供虚假材料投标的，投标无效。</w:t>
      </w:r>
    </w:p>
    <w:p>
      <w:pPr>
        <w:pStyle w:val="134"/>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0" w:firstLineChars="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12</w:t>
      </w:r>
      <w:r>
        <w:rPr>
          <w:rFonts w:hint="eastAsia" w:ascii="仿宋" w:hAnsi="仿宋" w:eastAsia="仿宋" w:cs="仿宋"/>
          <w:b/>
          <w:color w:val="auto"/>
          <w:kern w:val="0"/>
          <w:sz w:val="21"/>
          <w:szCs w:val="21"/>
          <w:highlight w:val="none"/>
          <w:lang w:val="zh-CN"/>
        </w:rPr>
        <w:t>.</w:t>
      </w:r>
      <w:r>
        <w:rPr>
          <w:rFonts w:hint="eastAsia" w:ascii="仿宋" w:hAnsi="仿宋" w:eastAsia="仿宋" w:cs="仿宋"/>
          <w:b/>
          <w:color w:val="auto"/>
          <w:kern w:val="0"/>
          <w:sz w:val="21"/>
          <w:szCs w:val="21"/>
          <w:highlight w:val="none"/>
          <w:lang w:val="en-US" w:eastAsia="zh-CN"/>
        </w:rPr>
        <w:t xml:space="preserve"> </w:t>
      </w:r>
      <w:r>
        <w:rPr>
          <w:rFonts w:hint="eastAsia" w:ascii="仿宋" w:hAnsi="仿宋" w:eastAsia="仿宋" w:cs="仿宋"/>
          <w:b/>
          <w:color w:val="auto"/>
          <w:sz w:val="21"/>
          <w:szCs w:val="21"/>
          <w:highlight w:val="none"/>
        </w:rPr>
        <w:t>投标文件的编制</w:t>
      </w:r>
    </w:p>
    <w:p>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20" w:firstLineChars="20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pPr>
        <w:pStyle w:val="134"/>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0" w:firstLineChars="0"/>
        <w:textAlignment w:val="auto"/>
        <w:outlineLvl w:val="0"/>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13.</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投标文件的签署、盖章</w:t>
      </w:r>
    </w:p>
    <w:p>
      <w:pPr>
        <w:pStyle w:val="134"/>
        <w:snapToGrid w:val="0"/>
        <w:spacing w:before="0"/>
        <w:ind w:firstLine="42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13.1投标文件按照招标文件第六部分格式要求进行签署、盖章。</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u w:val="single"/>
        </w:rPr>
        <w:t>投标人的投标文件未按照招标文件要求签署、盖章的，其投标无效</w:t>
      </w:r>
      <w:r>
        <w:rPr>
          <w:rFonts w:hint="eastAsia" w:ascii="仿宋" w:hAnsi="仿宋" w:eastAsia="仿宋" w:cs="仿宋"/>
          <w:color w:val="auto"/>
          <w:sz w:val="21"/>
          <w:szCs w:val="21"/>
          <w:highlight w:val="none"/>
          <w:u w:val="single"/>
        </w:rPr>
        <w:t>。</w:t>
      </w:r>
    </w:p>
    <w:p>
      <w:pPr>
        <w:pStyle w:val="134"/>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pPr>
        <w:pStyle w:val="134"/>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13.3招标文件对投标文件签署、盖章的要求适用于电子签名。</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14.</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投标文件的提交、补充、修改、撤回</w:t>
      </w:r>
    </w:p>
    <w:p>
      <w:pPr>
        <w:pStyle w:val="134"/>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14.3采购人、采购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机构可以视情况延长投标文件提交的截止时间。在上述情况下，采购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机构与投标人以前在投标截止期方面的全部权利、责任和义务，将适用于延长至新的投标截止期。</w:t>
      </w:r>
    </w:p>
    <w:p>
      <w:pPr>
        <w:pStyle w:val="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15.</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备份投标文件</w:t>
      </w:r>
    </w:p>
    <w:p>
      <w:pPr>
        <w:pStyle w:val="34"/>
        <w:spacing w:line="360" w:lineRule="auto"/>
        <w:ind w:firstLine="420" w:firstLineChars="200"/>
        <w:rPr>
          <w:rFonts w:hint="eastAsia" w:ascii="仿宋" w:hAnsi="仿宋" w:eastAsia="仿宋" w:cs="仿宋"/>
          <w:b/>
          <w:color w:val="auto"/>
          <w:highlight w:val="none"/>
        </w:rPr>
      </w:pPr>
      <w:r>
        <w:rPr>
          <w:rFonts w:hint="eastAsia" w:ascii="仿宋" w:hAnsi="仿宋" w:eastAsia="仿宋" w:cs="仿宋"/>
          <w:color w:val="auto"/>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highlight w:val="none"/>
          <w:u w:val="single"/>
        </w:rPr>
        <w:t>但采购人、采购</w:t>
      </w:r>
      <w:r>
        <w:rPr>
          <w:rFonts w:hint="eastAsia" w:ascii="仿宋" w:hAnsi="仿宋" w:eastAsia="仿宋" w:cs="仿宋"/>
          <w:b/>
          <w:color w:val="auto"/>
          <w:highlight w:val="none"/>
          <w:u w:val="single"/>
          <w:lang w:val="en-US" w:eastAsia="zh-CN"/>
        </w:rPr>
        <w:t>代理</w:t>
      </w:r>
      <w:r>
        <w:rPr>
          <w:rFonts w:hint="eastAsia" w:ascii="仿宋" w:hAnsi="仿宋" w:eastAsia="仿宋" w:cs="仿宋"/>
          <w:b/>
          <w:color w:val="auto"/>
          <w:highlight w:val="none"/>
          <w:u w:val="single"/>
        </w:rPr>
        <w:t>机构不强制或变相强制投标人提交备份投标文件。</w:t>
      </w:r>
    </w:p>
    <w:p>
      <w:pPr>
        <w:pStyle w:val="34"/>
        <w:spacing w:line="360" w:lineRule="auto"/>
        <w:ind w:firstLine="420" w:firstLineChars="200"/>
        <w:rPr>
          <w:rFonts w:hint="eastAsia" w:ascii="仿宋" w:hAnsi="仿宋" w:eastAsia="仿宋" w:cs="仿宋"/>
          <w:b/>
          <w:bCs/>
          <w:color w:val="auto"/>
          <w:highlight w:val="none"/>
          <w:u w:val="single"/>
        </w:rPr>
      </w:pPr>
      <w:r>
        <w:rPr>
          <w:rFonts w:hint="eastAsia" w:ascii="仿宋" w:hAnsi="仿宋" w:eastAsia="仿宋" w:cs="仿宋"/>
          <w:color w:val="auto"/>
          <w:highlight w:val="none"/>
        </w:rPr>
        <w:t>15.2备份投标文件须在“政采云投标客户端”制作生成，并储存在DVD光盘或U盘</w:t>
      </w:r>
      <w:r>
        <w:rPr>
          <w:rFonts w:hint="eastAsia" w:ascii="仿宋" w:hAnsi="仿宋" w:eastAsia="仿宋" w:cs="仿宋"/>
          <w:color w:val="auto"/>
          <w:highlight w:val="none"/>
          <w:lang w:val="en-US" w:eastAsia="zh-CN"/>
        </w:rPr>
        <w:t>等存储介质中</w:t>
      </w:r>
      <w:r>
        <w:rPr>
          <w:rFonts w:hint="eastAsia" w:ascii="仿宋" w:hAnsi="仿宋" w:eastAsia="仿宋" w:cs="仿宋"/>
          <w:color w:val="auto"/>
          <w:highlight w:val="none"/>
        </w:rPr>
        <w:t>。备份投标文件应当密封包装并在包装上加盖公章并注明投标项目名称，投标人名称(联合体投标的，包装物封面需注明联合体投标，并注明联合体成员各方的名称和联合协议中约定的牵头人的名称)。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color w:val="auto"/>
          <w:highlight w:val="none"/>
          <w:u w:val="single"/>
        </w:rPr>
        <w:t>不符合上述制作、存储、密封规定的备份投标文件将被视为无效或者被拒绝接收。</w:t>
      </w:r>
    </w:p>
    <w:p>
      <w:pPr>
        <w:pStyle w:val="34"/>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15.3直接提交备份投标文件的，投标人应于投标截止时间前</w:t>
      </w:r>
      <w:r>
        <w:rPr>
          <w:rFonts w:hint="eastAsia" w:ascii="仿宋" w:hAnsi="仿宋" w:eastAsia="仿宋" w:cs="仿宋"/>
          <w:color w:val="auto"/>
          <w:highlight w:val="none"/>
          <w:lang w:val="en-US" w:eastAsia="zh-CN"/>
        </w:rPr>
        <w:t>在</w:t>
      </w:r>
      <w:r>
        <w:rPr>
          <w:rFonts w:hint="eastAsia" w:ascii="仿宋" w:hAnsi="仿宋" w:eastAsia="仿宋" w:cs="仿宋"/>
          <w:color w:val="auto"/>
          <w:highlight w:val="none"/>
        </w:rPr>
        <w:t>投标人须知前附表规定的地点将备份投标文件提交给采购</w:t>
      </w:r>
      <w:r>
        <w:rPr>
          <w:rFonts w:hint="eastAsia" w:ascii="仿宋" w:hAnsi="仿宋" w:eastAsia="仿宋" w:cs="仿宋"/>
          <w:color w:val="auto"/>
          <w:highlight w:val="none"/>
          <w:lang w:val="en-US" w:eastAsia="zh-CN"/>
        </w:rPr>
        <w:t>代理</w:t>
      </w:r>
      <w:r>
        <w:rPr>
          <w:rFonts w:hint="eastAsia" w:ascii="仿宋" w:hAnsi="仿宋" w:eastAsia="仿宋" w:cs="仿宋"/>
          <w:color w:val="auto"/>
          <w:highlight w:val="none"/>
        </w:rPr>
        <w:t>机构，采购</w:t>
      </w:r>
      <w:r>
        <w:rPr>
          <w:rFonts w:hint="eastAsia" w:ascii="仿宋" w:hAnsi="仿宋" w:eastAsia="仿宋" w:cs="仿宋"/>
          <w:color w:val="auto"/>
          <w:highlight w:val="none"/>
          <w:lang w:val="en-US" w:eastAsia="zh-CN"/>
        </w:rPr>
        <w:t>代理</w:t>
      </w:r>
      <w:r>
        <w:rPr>
          <w:rFonts w:hint="eastAsia" w:ascii="仿宋" w:hAnsi="仿宋" w:eastAsia="仿宋" w:cs="仿宋"/>
          <w:color w:val="auto"/>
          <w:highlight w:val="none"/>
        </w:rPr>
        <w:t>机构将拒绝接受逾期送达的备份投标文件。</w:t>
      </w:r>
    </w:p>
    <w:p>
      <w:pPr>
        <w:pStyle w:val="34"/>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highlight w:val="none"/>
        </w:rPr>
        <w:t>招标文件第二部分投标人须知前附表规定的备份投标文件送达地点；</w:t>
      </w:r>
      <w:r>
        <w:rPr>
          <w:rFonts w:hint="eastAsia" w:ascii="仿宋" w:hAnsi="仿宋" w:eastAsia="仿宋" w:cs="仿宋"/>
          <w:color w:val="auto"/>
          <w:highlight w:val="none"/>
        </w:rPr>
        <w:t>送达时间以签收人签收时间为准。采购</w:t>
      </w:r>
      <w:r>
        <w:rPr>
          <w:rFonts w:hint="eastAsia" w:ascii="仿宋" w:hAnsi="仿宋" w:eastAsia="仿宋" w:cs="仿宋"/>
          <w:color w:val="auto"/>
          <w:highlight w:val="none"/>
          <w:lang w:val="en-US" w:eastAsia="zh-CN"/>
        </w:rPr>
        <w:t>代理</w:t>
      </w:r>
      <w:r>
        <w:rPr>
          <w:rFonts w:hint="eastAsia" w:ascii="仿宋" w:hAnsi="仿宋" w:eastAsia="仿宋" w:cs="仿宋"/>
          <w:color w:val="auto"/>
          <w:highlight w:val="none"/>
        </w:rPr>
        <w:t>机构将拒绝接受逾期送达的备份投标文件。邮寄过程中，电子备份投标文件发生泄露、遗失、损坏或延期送达等情况的，由投标人自行负责。</w:t>
      </w:r>
    </w:p>
    <w:p>
      <w:pPr>
        <w:pStyle w:val="34"/>
        <w:spacing w:line="360" w:lineRule="auto"/>
        <w:ind w:firstLine="422" w:firstLineChars="200"/>
        <w:rPr>
          <w:rFonts w:hint="eastAsia" w:ascii="仿宋" w:hAnsi="仿宋" w:eastAsia="仿宋" w:cs="仿宋"/>
          <w:b/>
          <w:color w:val="auto"/>
          <w:highlight w:val="none"/>
        </w:rPr>
      </w:pPr>
      <w:r>
        <w:rPr>
          <w:rFonts w:hint="eastAsia" w:ascii="仿宋" w:hAnsi="仿宋" w:eastAsia="仿宋" w:cs="仿宋"/>
          <w:b/>
          <w:color w:val="auto"/>
          <w:highlight w:val="none"/>
        </w:rPr>
        <w:t>15.5</w:t>
      </w:r>
      <w:r>
        <w:rPr>
          <w:rFonts w:hint="eastAsia" w:ascii="仿宋" w:hAnsi="仿宋" w:eastAsia="仿宋" w:cs="仿宋"/>
          <w:b/>
          <w:color w:val="auto"/>
          <w:highlight w:val="none"/>
          <w:u w:val="single"/>
        </w:rPr>
        <w:t>投标人仅提交备份投标文件，没有在电子交易平台传输递交投标文件的，投标无效。</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16.</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投标文件的无效处理</w:t>
      </w:r>
    </w:p>
    <w:p>
      <w:pPr>
        <w:pStyle w:val="16"/>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有招标文件第四部分第4.2项规定的情形之一的，投标无效：</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17.</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投标有效期</w:t>
      </w:r>
    </w:p>
    <w:p>
      <w:pPr>
        <w:spacing w:line="360" w:lineRule="auto"/>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17.1投标有效期为从提交投标文件的截止之日起90天。▲</w:t>
      </w:r>
      <w:r>
        <w:rPr>
          <w:rFonts w:hint="eastAsia" w:ascii="仿宋" w:hAnsi="仿宋" w:eastAsia="仿宋" w:cs="仿宋"/>
          <w:b/>
          <w:color w:val="auto"/>
          <w:szCs w:val="21"/>
          <w:highlight w:val="none"/>
          <w:u w:val="single"/>
        </w:rPr>
        <w:t>投标人的投标文件中承诺的投标有效期少于招标文件中载明的投标有效期的，投标无效。</w:t>
      </w:r>
    </w:p>
    <w:p>
      <w:pPr>
        <w:pStyle w:val="134"/>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17.2投标文件合格投递后，自投标截止日期起，在投标有效期内有效。</w:t>
      </w:r>
    </w:p>
    <w:p>
      <w:pPr>
        <w:pStyle w:val="134"/>
        <w:spacing w:before="0"/>
        <w:ind w:firstLine="420"/>
        <w:rPr>
          <w:rFonts w:hint="eastAsia" w:ascii="仿宋" w:hAnsi="仿宋" w:eastAsia="仿宋" w:cs="仿宋"/>
          <w:color w:val="auto"/>
          <w:highlight w:val="none"/>
        </w:rPr>
      </w:pPr>
      <w:r>
        <w:rPr>
          <w:rFonts w:hint="eastAsia" w:ascii="仿宋" w:hAnsi="仿宋" w:eastAsia="仿宋" w:cs="仿宋"/>
          <w:color w:val="auto"/>
          <w:sz w:val="21"/>
          <w:szCs w:val="21"/>
          <w:highlight w:val="none"/>
        </w:rPr>
        <w:t>17.3在原定投标有效期满之前，如果出现特殊情况，采购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机构可以以书面形式通知投标人延长投标有效期。投标人同意延长的，不得要求或被允许修改其投标文件，投标人拒绝延长的，其投标无效。</w:t>
      </w:r>
    </w:p>
    <w:p>
      <w:pPr>
        <w:pStyle w:val="134"/>
        <w:keepNext w:val="0"/>
        <w:keepLines w:val="0"/>
        <w:pageBreakBefore w:val="0"/>
        <w:widowControl w:val="0"/>
        <w:kinsoku/>
        <w:wordWrap/>
        <w:overflowPunct/>
        <w:topLinePunct w:val="0"/>
        <w:autoSpaceDE/>
        <w:autoSpaceDN/>
        <w:bidi w:val="0"/>
        <w:adjustRightInd w:val="0"/>
        <w:snapToGrid/>
        <w:spacing w:before="240" w:beforeLines="100" w:after="240" w:afterLines="100" w:line="240" w:lineRule="auto"/>
        <w:ind w:firstLine="0" w:firstLineChars="0"/>
        <w:jc w:val="center"/>
        <w:textAlignment w:val="auto"/>
        <w:rPr>
          <w:rFonts w:hint="eastAsia" w:ascii="仿宋" w:hAnsi="仿宋" w:eastAsia="仿宋" w:cs="仿宋"/>
          <w:b/>
          <w:color w:val="auto"/>
          <w:sz w:val="36"/>
          <w:szCs w:val="21"/>
          <w:highlight w:val="none"/>
        </w:rPr>
      </w:pPr>
      <w:r>
        <w:rPr>
          <w:rFonts w:hint="eastAsia" w:ascii="仿宋" w:hAnsi="仿宋" w:eastAsia="仿宋" w:cs="仿宋"/>
          <w:b/>
          <w:color w:val="auto"/>
          <w:sz w:val="36"/>
          <w:szCs w:val="21"/>
          <w:highlight w:val="none"/>
        </w:rPr>
        <w:t>四、开标、资格审查与信用信息查询</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18.</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开标</w:t>
      </w:r>
    </w:p>
    <w:p>
      <w:pPr>
        <w:pStyle w:val="559"/>
        <w:wordWrap w:val="0"/>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18.1采购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机构按照招标文件规定的时间通过电子交易平台组织开标，所有投标人均应当准时在线参加。投标人不足3家的，不得开标。</w:t>
      </w:r>
    </w:p>
    <w:p>
      <w:pPr>
        <w:pStyle w:val="559"/>
        <w:wordWrap w:val="0"/>
        <w:spacing w:before="0" w:line="360" w:lineRule="auto"/>
        <w:ind w:left="0" w:firstLine="420" w:firstLineChars="200"/>
        <w:contextualSpacing/>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18.2开标时，电子交易平台按开标时间自动提取所有投标文件。采购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机构依托电子交易平台发起开始解密指令，投标人按照平台提示和招标文件的规定在半小时内完成在线解密。</w:t>
      </w:r>
    </w:p>
    <w:p>
      <w:pPr>
        <w:pStyle w:val="559"/>
        <w:wordWrap w:val="0"/>
        <w:spacing w:before="0" w:line="360" w:lineRule="auto"/>
        <w:ind w:left="0" w:firstLine="420" w:firstLineChars="200"/>
        <w:contextualSpacing/>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18.3</w:t>
      </w:r>
      <w:r>
        <w:rPr>
          <w:rFonts w:hint="eastAsia" w:ascii="仿宋" w:hAnsi="仿宋" w:eastAsia="仿宋" w:cs="仿宋"/>
          <w:b/>
          <w:color w:val="auto"/>
          <w:sz w:val="21"/>
          <w:szCs w:val="21"/>
          <w:highlight w:val="none"/>
          <w:u w:val="single"/>
        </w:rPr>
        <w:t>投标文件未按时解密，投标人提供了备份投标文件的，以备份投标文件作为依据，否则视为投标文件撤回。投标文件已按时解密的，备份投标文件自动失效。</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19.</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资格审查</w:t>
      </w:r>
    </w:p>
    <w:p>
      <w:pPr>
        <w:pStyle w:val="134"/>
        <w:wordWrap w:val="0"/>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19.1采购人或采购代理机构依据法律法规和招标文件的规定，对投标人的资格进行审查。</w:t>
      </w:r>
    </w:p>
    <w:p>
      <w:pPr>
        <w:pStyle w:val="134"/>
        <w:wordWrap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投标人未按照招标文件要求提供与</w:t>
      </w:r>
      <w:r>
        <w:rPr>
          <w:rFonts w:hint="eastAsia" w:ascii="仿宋" w:hAnsi="仿宋" w:eastAsia="仿宋" w:cs="仿宋"/>
          <w:color w:val="auto"/>
          <w:sz w:val="21"/>
          <w:szCs w:val="21"/>
          <w:highlight w:val="none"/>
        </w:rPr>
        <w:t>资格条件相应的</w:t>
      </w:r>
      <w:r>
        <w:rPr>
          <w:rFonts w:hint="eastAsia" w:ascii="仿宋" w:hAnsi="仿宋" w:eastAsia="仿宋" w:cs="仿宋"/>
          <w:color w:val="auto"/>
          <w:kern w:val="0"/>
          <w:sz w:val="21"/>
          <w:szCs w:val="21"/>
          <w:highlight w:val="none"/>
        </w:rPr>
        <w:t>有效资格证明材料的，视为</w:t>
      </w:r>
      <w:r>
        <w:rPr>
          <w:rFonts w:hint="eastAsia" w:ascii="仿宋" w:hAnsi="仿宋" w:eastAsia="仿宋" w:cs="仿宋"/>
          <w:color w:val="auto"/>
          <w:sz w:val="21"/>
          <w:szCs w:val="21"/>
          <w:highlight w:val="none"/>
        </w:rPr>
        <w:t>投标人不具备招标文件中规定的资格要求，其投标无效。</w:t>
      </w:r>
    </w:p>
    <w:p>
      <w:pPr>
        <w:pStyle w:val="134"/>
        <w:wordWrap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rPr>
        <w:t>4对未通过资格审查的投标人，采购人或采购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机构告知其未通过的原因。</w:t>
      </w:r>
    </w:p>
    <w:p>
      <w:pPr>
        <w:pStyle w:val="134"/>
        <w:wordWrap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19.</w:t>
      </w:r>
      <w:r>
        <w:rPr>
          <w:rFonts w:hint="eastAsia" w:ascii="仿宋" w:hAnsi="仿宋" w:eastAsia="仿宋" w:cs="仿宋"/>
          <w:color w:val="auto"/>
          <w:sz w:val="21"/>
          <w:szCs w:val="21"/>
          <w:highlight w:val="none"/>
        </w:rPr>
        <w:t>5合格投标人不足3家的，不再评标。</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20.</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信用信息查询</w:t>
      </w:r>
    </w:p>
    <w:p>
      <w:pPr>
        <w:pStyle w:val="134"/>
        <w:keepNext w:val="0"/>
        <w:keepLines w:val="0"/>
        <w:pageBreakBefore w:val="0"/>
        <w:widowControl w:val="0"/>
        <w:kinsoku/>
        <w:wordWrap w:val="0"/>
        <w:overflowPunct/>
        <w:topLinePunct w:val="0"/>
        <w:autoSpaceDE/>
        <w:autoSpaceDN/>
        <w:bidi w:val="0"/>
        <w:adjustRightInd w:val="0"/>
        <w:snapToGrid/>
        <w:spacing w:before="0"/>
        <w:ind w:firstLine="42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20.1信用信息查询渠道及截止时间：采购代理机构将在资格审查时通过“信用中国”网站(www.creditchina.gov.cn)、中国政府采购网(www.ccgp.gov.cn)渠道查询投标人接受资格时的信用记录。</w:t>
      </w:r>
    </w:p>
    <w:p>
      <w:pPr>
        <w:pStyle w:val="134"/>
        <w:wordWrap w:val="0"/>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20.2信用信息查询记录和证据留存的具体方式：现场查询的投标人的信用记录、查询结果经确认后将与采购文件一起存档。</w:t>
      </w:r>
    </w:p>
    <w:p>
      <w:pPr>
        <w:pStyle w:val="134"/>
        <w:wordWrap w:val="0"/>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pPr>
        <w:pStyle w:val="134"/>
        <w:wordWrap w:val="0"/>
        <w:spacing w:before="0"/>
        <w:ind w:firstLine="420"/>
        <w:rPr>
          <w:rFonts w:hint="eastAsia" w:ascii="仿宋" w:hAnsi="仿宋" w:eastAsia="仿宋" w:cs="仿宋"/>
          <w:color w:val="auto"/>
          <w:highlight w:val="none"/>
        </w:rPr>
      </w:pPr>
      <w:r>
        <w:rPr>
          <w:rFonts w:hint="eastAsia" w:ascii="仿宋" w:hAnsi="仿宋" w:eastAsia="仿宋" w:cs="仿宋"/>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bookmarkStart w:id="13" w:name="_Toc91899903"/>
      <w:r>
        <w:rPr>
          <w:rFonts w:hint="eastAsia" w:ascii="仿宋" w:hAnsi="仿宋" w:eastAsia="仿宋" w:cs="仿宋"/>
          <w:b/>
          <w:color w:val="auto"/>
          <w:sz w:val="21"/>
          <w:szCs w:val="21"/>
          <w:highlight w:val="none"/>
        </w:rPr>
        <w:t>21.</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评标</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pPr>
        <w:spacing w:line="360" w:lineRule="auto"/>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详见招标文件第四部分评标办法。</w:t>
      </w:r>
    </w:p>
    <w:p>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六、定标</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22.</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确定中标供应商</w:t>
      </w:r>
    </w:p>
    <w:p>
      <w:pPr>
        <w:pStyle w:val="134"/>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23.</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中标通知与中标结果公告</w:t>
      </w:r>
    </w:p>
    <w:p>
      <w:pPr>
        <w:widowControl/>
        <w:shd w:val="clear" w:color="auto" w:fill="FFFFFF"/>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23.1自中标人确定之日起2个工作日内，采购</w:t>
      </w:r>
      <w:r>
        <w:rPr>
          <w:rFonts w:hint="eastAsia" w:ascii="仿宋" w:hAnsi="仿宋" w:eastAsia="仿宋" w:cs="仿宋"/>
          <w:color w:val="auto"/>
          <w:szCs w:val="21"/>
          <w:highlight w:val="none"/>
          <w:lang w:val="en-US" w:eastAsia="zh-CN"/>
        </w:rPr>
        <w:t>代理</w:t>
      </w:r>
      <w:r>
        <w:rPr>
          <w:rFonts w:hint="eastAsia" w:ascii="仿宋" w:hAnsi="仿宋" w:eastAsia="仿宋" w:cs="仿宋"/>
          <w:color w:val="auto"/>
          <w:szCs w:val="21"/>
          <w:highlight w:val="none"/>
        </w:rPr>
        <w:t>机构通过电子交易平台向中标人发出中标通知书，同时编制发布采购结果公告。采购</w:t>
      </w:r>
      <w:r>
        <w:rPr>
          <w:rFonts w:hint="eastAsia" w:ascii="仿宋" w:hAnsi="仿宋" w:eastAsia="仿宋" w:cs="仿宋"/>
          <w:color w:val="auto"/>
          <w:szCs w:val="21"/>
          <w:highlight w:val="none"/>
          <w:lang w:val="en-US" w:eastAsia="zh-CN"/>
        </w:rPr>
        <w:t>代理</w:t>
      </w:r>
      <w:r>
        <w:rPr>
          <w:rFonts w:hint="eastAsia" w:ascii="仿宋" w:hAnsi="仿宋" w:eastAsia="仿宋" w:cs="仿宋"/>
          <w:color w:val="auto"/>
          <w:szCs w:val="21"/>
          <w:highlight w:val="none"/>
        </w:rPr>
        <w:t>机构也可以以纸质形式进行中标通知。</w:t>
      </w:r>
    </w:p>
    <w:p>
      <w:pPr>
        <w:widowControl/>
        <w:shd w:val="clear" w:color="auto" w:fill="FFFFFF"/>
        <w:spacing w:line="360" w:lineRule="auto"/>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20" w:firstLineChars="200"/>
        <w:jc w:val="left"/>
        <w:rPr>
          <w:rFonts w:hint="eastAsia" w:ascii="仿宋" w:hAnsi="仿宋" w:eastAsia="仿宋" w:cs="仿宋"/>
          <w:color w:val="auto"/>
          <w:sz w:val="24"/>
          <w:highlight w:val="none"/>
        </w:rPr>
      </w:pPr>
      <w:r>
        <w:rPr>
          <w:rFonts w:hint="eastAsia" w:ascii="仿宋" w:hAnsi="仿宋" w:eastAsia="仿宋" w:cs="仿宋"/>
          <w:color w:val="auto"/>
          <w:szCs w:val="21"/>
          <w:highlight w:val="none"/>
        </w:rPr>
        <w:t>23.3公告期限为1个工作日。</w:t>
      </w:r>
    </w:p>
    <w:p>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rPr>
          <w:rFonts w:hint="eastAsia" w:ascii="仿宋" w:hAnsi="仿宋" w:eastAsia="仿宋" w:cs="仿宋"/>
          <w:b/>
          <w:color w:val="auto"/>
          <w:sz w:val="36"/>
          <w:szCs w:val="28"/>
          <w:highlight w:val="none"/>
        </w:rPr>
      </w:pPr>
      <w:r>
        <w:rPr>
          <w:rFonts w:hint="eastAsia" w:ascii="仿宋" w:hAnsi="仿宋" w:eastAsia="仿宋" w:cs="仿宋"/>
          <w:b/>
          <w:color w:val="auto"/>
          <w:sz w:val="36"/>
          <w:szCs w:val="28"/>
          <w:highlight w:val="none"/>
        </w:rPr>
        <w:t>七、合同授予</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24.</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合同主要条款</w:t>
      </w:r>
    </w:p>
    <w:p>
      <w:pPr>
        <w:pStyle w:val="16"/>
        <w:spacing w:line="360" w:lineRule="auto"/>
        <w:ind w:firstLine="420"/>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合同主要条款详见第五部分拟签订的合同文本。</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25.</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合同的签订</w:t>
      </w:r>
    </w:p>
    <w:p>
      <w:pPr>
        <w:widowControl/>
        <w:shd w:val="clear" w:color="auto" w:fill="FFFFFF"/>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25.1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pStyle w:val="134"/>
        <w:snapToGrid w:val="0"/>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25.3如签订合同并生效后，供应商无故拒绝或延期，除按照合同条款处理外，列入不良行为记录一次，并给予通报。</w:t>
      </w:r>
    </w:p>
    <w:p>
      <w:pPr>
        <w:pStyle w:val="134"/>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pPr>
        <w:pStyle w:val="134"/>
        <w:snapToGrid w:val="0"/>
        <w:spacing w:before="0"/>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25.5采购合同由采购人与中标供应商根据招标文件、投标文件等内容通过政府采购电子交易平台在线签订，自动备案。</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26.</w:t>
      </w:r>
      <w:r>
        <w:rPr>
          <w:rFonts w:hint="eastAsia" w:ascii="仿宋" w:hAnsi="仿宋" w:eastAsia="仿宋" w:cs="仿宋"/>
          <w:b/>
          <w:color w:val="auto"/>
          <w:sz w:val="21"/>
          <w:szCs w:val="21"/>
          <w:highlight w:val="none"/>
          <w:lang w:val="en-US" w:eastAsia="zh-CN"/>
        </w:rPr>
        <w:t xml:space="preserve"> </w:t>
      </w:r>
      <w:r>
        <w:rPr>
          <w:rFonts w:hint="eastAsia" w:ascii="仿宋" w:hAnsi="仿宋" w:eastAsia="仿宋" w:cs="仿宋"/>
          <w:b/>
          <w:color w:val="auto"/>
          <w:sz w:val="21"/>
          <w:szCs w:val="21"/>
          <w:highlight w:val="none"/>
        </w:rPr>
        <w:t>履约保证金</w:t>
      </w:r>
    </w:p>
    <w:p>
      <w:pPr>
        <w:pStyle w:val="134"/>
        <w:snapToGrid w:val="0"/>
        <w:spacing w:before="0"/>
        <w:ind w:firstLine="42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拟签订的合同文本要求中标供应商提交履约保证金的，供应商应当以支票、汇票、本票、</w:t>
      </w:r>
      <w:r>
        <w:rPr>
          <w:rFonts w:hint="eastAsia" w:ascii="仿宋" w:hAnsi="仿宋" w:eastAsia="仿宋" w:cs="仿宋"/>
          <w:color w:val="auto"/>
          <w:kern w:val="0"/>
          <w:sz w:val="21"/>
          <w:szCs w:val="21"/>
          <w:highlight w:val="none"/>
          <w:lang w:val="en-US" w:eastAsia="zh-CN"/>
        </w:rPr>
        <w:t>转账</w:t>
      </w:r>
      <w:r>
        <w:rPr>
          <w:rFonts w:hint="eastAsia" w:ascii="仿宋" w:hAnsi="仿宋" w:eastAsia="仿宋" w:cs="仿宋"/>
          <w:color w:val="auto"/>
          <w:kern w:val="0"/>
          <w:sz w:val="21"/>
          <w:szCs w:val="21"/>
          <w:highlight w:val="none"/>
          <w:lang w:val="zh-CN"/>
        </w:rPr>
        <w:t>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134"/>
        <w:snapToGrid w:val="0"/>
        <w:spacing w:before="0"/>
        <w:ind w:left="420" w:leftChars="200" w:firstLine="0" w:firstLineChars="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供应商可登录政采云平台-【金融服务】—【我的项目】—【已备案合同】以保函形式提供：（</w:t>
      </w: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val="zh-CN"/>
        </w:rPr>
        <w:t>）供应商在合同列表选择需要投保的合同，点击[保函推荐]；</w:t>
      </w:r>
    </w:p>
    <w:p>
      <w:pPr>
        <w:pStyle w:val="134"/>
        <w:snapToGrid w:val="0"/>
        <w:spacing w:before="0"/>
        <w:ind w:firstLine="42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lang w:val="zh-CN"/>
        </w:rPr>
        <w:t>）在弹框里查看推荐的保函产品，供应商自行选择保函产品，点击[立即申请]；</w:t>
      </w:r>
    </w:p>
    <w:p>
      <w:pPr>
        <w:pStyle w:val="134"/>
        <w:snapToGrid w:val="0"/>
        <w:spacing w:before="0"/>
        <w:ind w:firstLine="42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w:t>
      </w: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val="zh-CN"/>
        </w:rPr>
        <w:t>）在弹框里填写保函申请信息。</w:t>
      </w:r>
    </w:p>
    <w:p>
      <w:pPr>
        <w:pStyle w:val="134"/>
        <w:snapToGrid w:val="0"/>
        <w:spacing w:before="0"/>
        <w:ind w:firstLine="42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具体步骤：选择产品—填写供应商信息—选择中标项目—确认信息—等待保险/保函受理—确认保单—支付保费—成功出单。政采云金融专线400-903-9583。</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lang w:val="zh-CN"/>
        </w:rPr>
      </w:pPr>
      <w:r>
        <w:rPr>
          <w:rFonts w:hint="eastAsia" w:ascii="仿宋" w:hAnsi="仿宋" w:eastAsia="仿宋" w:cs="仿宋"/>
          <w:b/>
          <w:color w:val="auto"/>
          <w:sz w:val="21"/>
          <w:szCs w:val="21"/>
          <w:highlight w:val="none"/>
          <w:lang w:val="en-US" w:eastAsia="zh-CN"/>
        </w:rPr>
        <w:t xml:space="preserve">27. </w:t>
      </w:r>
      <w:r>
        <w:rPr>
          <w:rFonts w:hint="eastAsia" w:ascii="仿宋" w:hAnsi="仿宋" w:eastAsia="仿宋" w:cs="仿宋"/>
          <w:b/>
          <w:color w:val="auto"/>
          <w:sz w:val="21"/>
          <w:szCs w:val="21"/>
          <w:highlight w:val="none"/>
          <w:lang w:val="zh-CN"/>
        </w:rPr>
        <w:t>预付款</w:t>
      </w:r>
    </w:p>
    <w:p>
      <w:pPr>
        <w:pStyle w:val="134"/>
        <w:snapToGrid w:val="0"/>
        <w:spacing w:before="0"/>
        <w:ind w:firstLine="42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w:t>
      </w:r>
    </w:p>
    <w:p>
      <w:pPr>
        <w:pStyle w:val="134"/>
        <w:snapToGrid w:val="0"/>
        <w:spacing w:before="0"/>
        <w:ind w:firstLine="420"/>
        <w:rPr>
          <w:rFonts w:hint="eastAsia" w:ascii="仿宋" w:hAnsi="仿宋" w:eastAsia="仿宋" w:cs="仿宋"/>
          <w:color w:val="auto"/>
          <w:kern w:val="0"/>
          <w:sz w:val="21"/>
          <w:szCs w:val="21"/>
          <w:highlight w:val="none"/>
          <w:lang w:val="zh-CN"/>
        </w:rPr>
      </w:pPr>
      <w:r>
        <w:rPr>
          <w:rFonts w:hint="eastAsia" w:ascii="仿宋" w:hAnsi="仿宋" w:eastAsia="仿宋" w:cs="仿宋"/>
          <w:color w:val="auto"/>
          <w:kern w:val="0"/>
          <w:sz w:val="21"/>
          <w:szCs w:val="21"/>
          <w:highlight w:val="none"/>
          <w:lang w:val="zh-CN"/>
        </w:rPr>
        <w:t>供应商可登录政采云前台大厅选择金融服务-【保函保险服务】出具预付款保函，具体步骤：选择产品—填写供应商信息—选择中标项目—确认信息—等待保险/保函受理—确认保单—支付保费—成功出单。政采云金融专线400-903-9583。</w:t>
      </w:r>
    </w:p>
    <w:p>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八、电子交易活动的中止</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28. 电子交易活动的中止</w:t>
      </w:r>
    </w:p>
    <w:p>
      <w:pPr>
        <w:pStyle w:val="134"/>
        <w:snapToGrid w:val="0"/>
        <w:spacing w:before="0"/>
        <w:ind w:firstLine="420"/>
        <w:rPr>
          <w:rFonts w:hint="eastAsia" w:ascii="仿宋" w:hAnsi="仿宋" w:eastAsia="仿宋" w:cs="仿宋"/>
          <w:color w:val="auto"/>
          <w:sz w:val="21"/>
          <w:szCs w:val="16"/>
          <w:highlight w:val="none"/>
        </w:rPr>
      </w:pPr>
      <w:r>
        <w:rPr>
          <w:rFonts w:hint="eastAsia" w:ascii="仿宋" w:hAnsi="仿宋" w:eastAsia="仿宋" w:cs="仿宋"/>
          <w:color w:val="auto"/>
          <w:sz w:val="21"/>
          <w:szCs w:val="16"/>
          <w:highlight w:val="none"/>
        </w:rPr>
        <w:t>采购过程中出现以下情形，导致电子交易平台无法正常运行，或者无法保证电子交易的公平、公正和安全时，采购代理机构可中止电子交易活动：</w:t>
      </w:r>
    </w:p>
    <w:p>
      <w:pPr>
        <w:pStyle w:val="134"/>
        <w:snapToGrid w:val="0"/>
        <w:spacing w:before="0"/>
        <w:ind w:firstLine="420"/>
        <w:rPr>
          <w:rFonts w:hint="eastAsia" w:ascii="仿宋" w:hAnsi="仿宋" w:eastAsia="仿宋" w:cs="仿宋"/>
          <w:color w:val="auto"/>
          <w:sz w:val="21"/>
          <w:szCs w:val="16"/>
          <w:highlight w:val="none"/>
        </w:rPr>
      </w:pPr>
      <w:r>
        <w:rPr>
          <w:rFonts w:hint="eastAsia" w:ascii="仿宋" w:hAnsi="仿宋" w:eastAsia="仿宋" w:cs="仿宋"/>
          <w:color w:val="auto"/>
          <w:sz w:val="21"/>
          <w:szCs w:val="16"/>
          <w:highlight w:val="none"/>
        </w:rPr>
        <w:t>2</w:t>
      </w:r>
      <w:r>
        <w:rPr>
          <w:rFonts w:hint="eastAsia" w:ascii="仿宋" w:hAnsi="仿宋" w:eastAsia="仿宋" w:cs="仿宋"/>
          <w:color w:val="auto"/>
          <w:sz w:val="21"/>
          <w:szCs w:val="16"/>
          <w:highlight w:val="none"/>
          <w:lang w:val="en-US" w:eastAsia="zh-CN"/>
        </w:rPr>
        <w:t>8</w:t>
      </w:r>
      <w:r>
        <w:rPr>
          <w:rFonts w:hint="eastAsia" w:ascii="仿宋" w:hAnsi="仿宋" w:eastAsia="仿宋" w:cs="仿宋"/>
          <w:color w:val="auto"/>
          <w:sz w:val="21"/>
          <w:szCs w:val="16"/>
          <w:highlight w:val="none"/>
        </w:rPr>
        <w:t xml:space="preserve">.1电子交易平台发生故障而无法登录访问的； </w:t>
      </w:r>
    </w:p>
    <w:p>
      <w:pPr>
        <w:pStyle w:val="134"/>
        <w:snapToGrid w:val="0"/>
        <w:spacing w:before="0"/>
        <w:ind w:firstLine="420"/>
        <w:rPr>
          <w:rFonts w:hint="eastAsia" w:ascii="仿宋" w:hAnsi="仿宋" w:eastAsia="仿宋" w:cs="仿宋"/>
          <w:color w:val="auto"/>
          <w:sz w:val="21"/>
          <w:szCs w:val="16"/>
          <w:highlight w:val="none"/>
        </w:rPr>
      </w:pPr>
      <w:r>
        <w:rPr>
          <w:rFonts w:hint="eastAsia" w:ascii="仿宋" w:hAnsi="仿宋" w:eastAsia="仿宋" w:cs="仿宋"/>
          <w:color w:val="auto"/>
          <w:sz w:val="21"/>
          <w:szCs w:val="16"/>
          <w:highlight w:val="none"/>
        </w:rPr>
        <w:t>2</w:t>
      </w:r>
      <w:r>
        <w:rPr>
          <w:rFonts w:hint="eastAsia" w:ascii="仿宋" w:hAnsi="仿宋" w:eastAsia="仿宋" w:cs="仿宋"/>
          <w:color w:val="auto"/>
          <w:sz w:val="21"/>
          <w:szCs w:val="16"/>
          <w:highlight w:val="none"/>
          <w:lang w:val="en-US" w:eastAsia="zh-CN"/>
        </w:rPr>
        <w:t>8</w:t>
      </w:r>
      <w:r>
        <w:rPr>
          <w:rFonts w:hint="eastAsia" w:ascii="仿宋" w:hAnsi="仿宋" w:eastAsia="仿宋" w:cs="仿宋"/>
          <w:color w:val="auto"/>
          <w:sz w:val="21"/>
          <w:szCs w:val="16"/>
          <w:highlight w:val="none"/>
        </w:rPr>
        <w:t>.2电子交易平台应用或数据库出现错误，不能进行正常操作的；</w:t>
      </w:r>
    </w:p>
    <w:p>
      <w:pPr>
        <w:pStyle w:val="134"/>
        <w:snapToGrid w:val="0"/>
        <w:spacing w:before="0"/>
        <w:ind w:firstLine="420"/>
        <w:rPr>
          <w:rFonts w:hint="eastAsia" w:ascii="仿宋" w:hAnsi="仿宋" w:eastAsia="仿宋" w:cs="仿宋"/>
          <w:color w:val="auto"/>
          <w:sz w:val="21"/>
          <w:szCs w:val="16"/>
          <w:highlight w:val="none"/>
        </w:rPr>
      </w:pPr>
      <w:r>
        <w:rPr>
          <w:rFonts w:hint="eastAsia" w:ascii="仿宋" w:hAnsi="仿宋" w:eastAsia="仿宋" w:cs="仿宋"/>
          <w:color w:val="auto"/>
          <w:sz w:val="21"/>
          <w:szCs w:val="16"/>
          <w:highlight w:val="none"/>
        </w:rPr>
        <w:t>2</w:t>
      </w:r>
      <w:r>
        <w:rPr>
          <w:rFonts w:hint="eastAsia" w:ascii="仿宋" w:hAnsi="仿宋" w:eastAsia="仿宋" w:cs="仿宋"/>
          <w:color w:val="auto"/>
          <w:sz w:val="21"/>
          <w:szCs w:val="16"/>
          <w:highlight w:val="none"/>
          <w:lang w:val="en-US" w:eastAsia="zh-CN"/>
        </w:rPr>
        <w:t>8</w:t>
      </w:r>
      <w:r>
        <w:rPr>
          <w:rFonts w:hint="eastAsia" w:ascii="仿宋" w:hAnsi="仿宋" w:eastAsia="仿宋" w:cs="仿宋"/>
          <w:color w:val="auto"/>
          <w:sz w:val="21"/>
          <w:szCs w:val="16"/>
          <w:highlight w:val="none"/>
        </w:rPr>
        <w:t>.3电子交易平台发现严重安全漏洞，有潜在泄密危险的；</w:t>
      </w:r>
    </w:p>
    <w:p>
      <w:pPr>
        <w:pStyle w:val="134"/>
        <w:snapToGrid w:val="0"/>
        <w:spacing w:before="0"/>
        <w:ind w:firstLine="420"/>
        <w:rPr>
          <w:rFonts w:hint="eastAsia" w:ascii="仿宋" w:hAnsi="仿宋" w:eastAsia="仿宋" w:cs="仿宋"/>
          <w:color w:val="auto"/>
          <w:sz w:val="21"/>
          <w:szCs w:val="16"/>
          <w:highlight w:val="none"/>
        </w:rPr>
      </w:pPr>
      <w:r>
        <w:rPr>
          <w:rFonts w:hint="eastAsia" w:ascii="仿宋" w:hAnsi="仿宋" w:eastAsia="仿宋" w:cs="仿宋"/>
          <w:color w:val="auto"/>
          <w:sz w:val="21"/>
          <w:szCs w:val="16"/>
          <w:highlight w:val="none"/>
        </w:rPr>
        <w:t>2</w:t>
      </w:r>
      <w:r>
        <w:rPr>
          <w:rFonts w:hint="eastAsia" w:ascii="仿宋" w:hAnsi="仿宋" w:eastAsia="仿宋" w:cs="仿宋"/>
          <w:color w:val="auto"/>
          <w:sz w:val="21"/>
          <w:szCs w:val="16"/>
          <w:highlight w:val="none"/>
          <w:lang w:val="en-US" w:eastAsia="zh-CN"/>
        </w:rPr>
        <w:t>8</w:t>
      </w:r>
      <w:r>
        <w:rPr>
          <w:rFonts w:hint="eastAsia" w:ascii="仿宋" w:hAnsi="仿宋" w:eastAsia="仿宋" w:cs="仿宋"/>
          <w:color w:val="auto"/>
          <w:sz w:val="21"/>
          <w:szCs w:val="16"/>
          <w:highlight w:val="none"/>
        </w:rPr>
        <w:t xml:space="preserve">.4病毒发作导致不能进行正常操作的； </w:t>
      </w:r>
    </w:p>
    <w:p>
      <w:pPr>
        <w:pStyle w:val="134"/>
        <w:snapToGrid w:val="0"/>
        <w:spacing w:before="0"/>
        <w:ind w:firstLine="420"/>
        <w:rPr>
          <w:rFonts w:hint="eastAsia" w:ascii="仿宋" w:hAnsi="仿宋" w:eastAsia="仿宋" w:cs="仿宋"/>
          <w:color w:val="auto"/>
          <w:sz w:val="21"/>
          <w:szCs w:val="16"/>
          <w:highlight w:val="none"/>
        </w:rPr>
      </w:pPr>
      <w:r>
        <w:rPr>
          <w:rFonts w:hint="eastAsia" w:ascii="仿宋" w:hAnsi="仿宋" w:eastAsia="仿宋" w:cs="仿宋"/>
          <w:color w:val="auto"/>
          <w:sz w:val="21"/>
          <w:szCs w:val="16"/>
          <w:highlight w:val="none"/>
        </w:rPr>
        <w:t>2</w:t>
      </w:r>
      <w:r>
        <w:rPr>
          <w:rFonts w:hint="eastAsia" w:ascii="仿宋" w:hAnsi="仿宋" w:eastAsia="仿宋" w:cs="仿宋"/>
          <w:color w:val="auto"/>
          <w:sz w:val="21"/>
          <w:szCs w:val="16"/>
          <w:highlight w:val="none"/>
          <w:lang w:val="en-US" w:eastAsia="zh-CN"/>
        </w:rPr>
        <w:t>8</w:t>
      </w:r>
      <w:r>
        <w:rPr>
          <w:rFonts w:hint="eastAsia" w:ascii="仿宋" w:hAnsi="仿宋" w:eastAsia="仿宋" w:cs="仿宋"/>
          <w:color w:val="auto"/>
          <w:sz w:val="21"/>
          <w:szCs w:val="16"/>
          <w:highlight w:val="none"/>
        </w:rPr>
        <w:t>.5其他无法保证电子交易的公平、公正和安全的情况。</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29. 电子交易活动异常的处理</w:t>
      </w:r>
    </w:p>
    <w:p>
      <w:pPr>
        <w:pStyle w:val="134"/>
        <w:snapToGrid w:val="0"/>
        <w:spacing w:before="0"/>
        <w:ind w:firstLine="422" w:firstLineChars="200"/>
        <w:rPr>
          <w:rFonts w:hint="eastAsia" w:ascii="仿宋" w:hAnsi="仿宋" w:eastAsia="仿宋" w:cs="仿宋"/>
          <w:b/>
          <w:bCs/>
          <w:color w:val="auto"/>
          <w:highlight w:val="none"/>
          <w:u w:val="single"/>
        </w:rPr>
      </w:pPr>
      <w:r>
        <w:rPr>
          <w:rFonts w:hint="eastAsia" w:ascii="仿宋" w:hAnsi="仿宋" w:eastAsia="仿宋" w:cs="仿宋"/>
          <w:b/>
          <w:bCs/>
          <w:color w:val="auto"/>
          <w:sz w:val="21"/>
          <w:szCs w:val="16"/>
          <w:highlight w:val="none"/>
          <w:u w:val="single"/>
        </w:rPr>
        <w:t>出现</w:t>
      </w:r>
      <w:r>
        <w:rPr>
          <w:rFonts w:hint="eastAsia" w:ascii="仿宋" w:hAnsi="仿宋" w:eastAsia="仿宋" w:cs="仿宋"/>
          <w:b/>
          <w:bCs/>
          <w:color w:val="auto"/>
          <w:sz w:val="21"/>
          <w:szCs w:val="16"/>
          <w:highlight w:val="none"/>
          <w:u w:val="single"/>
          <w:lang w:val="en-US" w:eastAsia="zh-CN"/>
        </w:rPr>
        <w:t>第28项</w:t>
      </w:r>
      <w:r>
        <w:rPr>
          <w:rFonts w:hint="eastAsia" w:ascii="仿宋" w:hAnsi="仿宋" w:eastAsia="仿宋" w:cs="仿宋"/>
          <w:b/>
          <w:bCs/>
          <w:color w:val="auto"/>
          <w:sz w:val="21"/>
          <w:szCs w:val="16"/>
          <w:highlight w:val="none"/>
          <w:u w:val="single"/>
        </w:rPr>
        <w:t>情形</w:t>
      </w:r>
      <w:r>
        <w:rPr>
          <w:rFonts w:hint="eastAsia" w:ascii="仿宋" w:hAnsi="仿宋" w:eastAsia="仿宋" w:cs="仿宋"/>
          <w:b/>
          <w:bCs/>
          <w:color w:val="auto"/>
          <w:sz w:val="21"/>
          <w:szCs w:val="16"/>
          <w:highlight w:val="none"/>
          <w:u w:val="single"/>
          <w:lang w:val="en-US" w:eastAsia="zh-CN"/>
        </w:rPr>
        <w:t>的</w:t>
      </w:r>
      <w:r>
        <w:rPr>
          <w:rFonts w:hint="eastAsia" w:ascii="仿宋" w:hAnsi="仿宋" w:eastAsia="仿宋" w:cs="仿宋"/>
          <w:b/>
          <w:bCs/>
          <w:color w:val="auto"/>
          <w:sz w:val="21"/>
          <w:szCs w:val="16"/>
          <w:highlight w:val="none"/>
          <w:u w:val="single"/>
        </w:rPr>
        <w:t>，不影响采购公平、公正性的，采购组织机构可以待上述情形消除后继续组织电子交易活动，也可以决定某些环节以纸质形式进行；影响或可能影响采购公平、公正性的，应当重新采购。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widowControl w:val="0"/>
        <w:kinsoku/>
        <w:wordWrap/>
        <w:overflowPunct/>
        <w:topLinePunct w:val="0"/>
        <w:autoSpaceDE/>
        <w:autoSpaceDN/>
        <w:bidi w:val="0"/>
        <w:adjustRightInd w:val="0"/>
        <w:snapToGrid w:val="0"/>
        <w:spacing w:before="240" w:beforeLines="100" w:after="240" w:afterLines="100" w:line="24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九、验收</w:t>
      </w:r>
    </w:p>
    <w:p>
      <w:pPr>
        <w:pStyle w:val="134"/>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30. 验收</w:t>
      </w:r>
    </w:p>
    <w:p>
      <w:pPr>
        <w:tabs>
          <w:tab w:val="left" w:pos="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30</w:t>
      </w:r>
      <w:r>
        <w:rPr>
          <w:rFonts w:hint="eastAsia" w:ascii="仿宋" w:hAnsi="仿宋" w:eastAsia="仿宋" w:cs="仿宋"/>
          <w:color w:val="auto"/>
          <w:kern w:val="0"/>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30</w:t>
      </w:r>
      <w:r>
        <w:rPr>
          <w:rFonts w:hint="eastAsia" w:ascii="仿宋" w:hAnsi="仿宋" w:eastAsia="仿宋" w:cs="仿宋"/>
          <w:color w:val="auto"/>
          <w:kern w:val="0"/>
          <w:szCs w:val="21"/>
          <w:highlight w:val="none"/>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30</w:t>
      </w:r>
      <w:r>
        <w:rPr>
          <w:rFonts w:hint="eastAsia" w:ascii="仿宋" w:hAnsi="仿宋" w:eastAsia="仿宋" w:cs="仿宋"/>
          <w:color w:val="auto"/>
          <w:kern w:val="0"/>
          <w:szCs w:val="21"/>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仿宋" w:hAnsi="仿宋" w:eastAsia="仿宋" w:cs="仿宋"/>
          <w:color w:val="auto"/>
          <w:sz w:val="18"/>
          <w:szCs w:val="18"/>
          <w:highlight w:val="none"/>
        </w:rPr>
      </w:pPr>
      <w:r>
        <w:rPr>
          <w:rFonts w:hint="eastAsia" w:ascii="仿宋" w:hAnsi="仿宋" w:eastAsia="仿宋" w:cs="仿宋"/>
          <w:color w:val="auto"/>
          <w:kern w:val="0"/>
          <w:szCs w:val="21"/>
          <w:highlight w:val="none"/>
          <w:lang w:val="en-US" w:eastAsia="zh-CN"/>
        </w:rPr>
        <w:t>30</w:t>
      </w:r>
      <w:r>
        <w:rPr>
          <w:rFonts w:hint="eastAsia" w:ascii="仿宋" w:hAnsi="仿宋" w:eastAsia="仿宋" w:cs="仿宋"/>
          <w:color w:val="auto"/>
          <w:kern w:val="0"/>
          <w:szCs w:val="21"/>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pStyle w:val="63"/>
        <w:rPr>
          <w:rFonts w:hint="eastAsia"/>
          <w:color w:val="auto"/>
        </w:rPr>
        <w:sectPr>
          <w:headerReference r:id="rId4" w:type="first"/>
          <w:footerReference r:id="rId6" w:type="first"/>
          <w:headerReference r:id="rId3" w:type="default"/>
          <w:footerReference r:id="rId5" w:type="default"/>
          <w:pgSz w:w="11905" w:h="16838"/>
          <w:pgMar w:top="1417" w:right="1417" w:bottom="1417" w:left="1417" w:header="851" w:footer="992" w:gutter="283"/>
          <w:pgBorders>
            <w:top w:val="none" w:sz="0" w:space="0"/>
            <w:left w:val="none" w:sz="0" w:space="0"/>
            <w:bottom w:val="none" w:sz="0" w:space="0"/>
            <w:right w:val="none" w:sz="0" w:space="0"/>
          </w:pgBorders>
          <w:cols w:space="0" w:num="1"/>
          <w:titlePg/>
          <w:rtlGutter w:val="0"/>
          <w:docGrid w:linePitch="312" w:charSpace="0"/>
        </w:sectPr>
      </w:pPr>
      <w:bookmarkStart w:id="14" w:name="_Hlt68073093"/>
      <w:bookmarkEnd w:id="14"/>
      <w:bookmarkStart w:id="15" w:name="_Hlt74730295"/>
      <w:bookmarkEnd w:id="15"/>
      <w:bookmarkStart w:id="16" w:name="_Hlt74707468"/>
      <w:bookmarkEnd w:id="16"/>
      <w:bookmarkStart w:id="17" w:name="_Hlt75236011"/>
      <w:bookmarkEnd w:id="17"/>
      <w:bookmarkStart w:id="18" w:name="_Hlt74714665"/>
      <w:bookmarkEnd w:id="18"/>
      <w:bookmarkStart w:id="19" w:name="_Hlt68057669"/>
      <w:bookmarkEnd w:id="19"/>
      <w:bookmarkStart w:id="20" w:name="_Hlt74729768"/>
      <w:bookmarkEnd w:id="20"/>
      <w:bookmarkStart w:id="21" w:name="_Hlt68072998"/>
      <w:bookmarkEnd w:id="21"/>
      <w:bookmarkStart w:id="22" w:name="_Hlt68072990"/>
      <w:bookmarkEnd w:id="22"/>
      <w:bookmarkStart w:id="23" w:name="_Hlt68403820"/>
      <w:bookmarkEnd w:id="23"/>
      <w:bookmarkStart w:id="24" w:name="_Hlt75236290"/>
      <w:bookmarkEnd w:id="24"/>
      <w:bookmarkStart w:id="25" w:name="_Hlt75236101"/>
      <w:bookmarkEnd w:id="25"/>
    </w:p>
    <w:bookmarkEnd w:id="11"/>
    <w:bookmarkEnd w:id="12"/>
    <w:p>
      <w:pPr>
        <w:keepNext w:val="0"/>
        <w:keepLines w:val="0"/>
        <w:pageBreakBefore w:val="0"/>
        <w:widowControl w:val="0"/>
        <w:kinsoku/>
        <w:wordWrap/>
        <w:overflowPunct/>
        <w:topLinePunct w:val="0"/>
        <w:autoSpaceDE/>
        <w:autoSpaceDN/>
        <w:bidi w:val="0"/>
        <w:adjustRightInd w:val="0"/>
        <w:snapToGrid/>
        <w:spacing w:before="240" w:beforeLines="100" w:after="240" w:afterLines="100" w:line="240" w:lineRule="auto"/>
        <w:contextualSpacing/>
        <w:jc w:val="center"/>
        <w:textAlignment w:val="auto"/>
        <w:outlineLvl w:val="0"/>
        <w:rPr>
          <w:rFonts w:hint="eastAsia" w:ascii="仿宋" w:hAnsi="仿宋" w:eastAsia="仿宋" w:cs="仿宋"/>
          <w:b/>
          <w:color w:val="auto"/>
          <w:sz w:val="36"/>
          <w:szCs w:val="36"/>
          <w:highlight w:val="none"/>
        </w:rPr>
      </w:pPr>
      <w:bookmarkStart w:id="26" w:name="第四部分"/>
      <w:r>
        <w:rPr>
          <w:rFonts w:hint="eastAsia" w:ascii="仿宋" w:hAnsi="仿宋" w:eastAsia="仿宋" w:cs="仿宋"/>
          <w:b/>
          <w:color w:val="auto"/>
          <w:sz w:val="36"/>
          <w:szCs w:val="36"/>
          <w:highlight w:val="none"/>
        </w:rPr>
        <w:t>第三部分采购需求</w:t>
      </w:r>
    </w:p>
    <w:p>
      <w:pPr>
        <w:pStyle w:val="134"/>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textAlignment w:val="auto"/>
        <w:rPr>
          <w:rFonts w:hint="default" w:ascii="仿宋" w:hAnsi="仿宋" w:eastAsia="仿宋" w:cs="仿宋"/>
          <w:b/>
          <w:color w:val="auto"/>
          <w:sz w:val="21"/>
          <w:szCs w:val="21"/>
          <w:highlight w:val="none"/>
          <w:lang w:val="en-US" w:eastAsia="zh-CN"/>
        </w:rPr>
      </w:pPr>
    </w:p>
    <w:p>
      <w:pPr>
        <w:pStyle w:val="134"/>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一、项目背景</w:t>
      </w:r>
    </w:p>
    <w:p>
      <w:pPr>
        <w:pStyle w:val="134"/>
        <w:keepNext w:val="0"/>
        <w:keepLines w:val="0"/>
        <w:pageBreakBefore w:val="0"/>
        <w:widowControl w:val="0"/>
        <w:kinsoku/>
        <w:wordWrap/>
        <w:overflowPunct/>
        <w:topLinePunct w:val="0"/>
        <w:autoSpaceDE/>
        <w:autoSpaceDN/>
        <w:bidi w:val="0"/>
        <w:adjustRightInd w:val="0"/>
        <w:snapToGrid w:val="0"/>
        <w:spacing w:before="0" w:line="360" w:lineRule="auto"/>
        <w:ind w:firstLine="420"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为进一步规范执法队伍行政执法办案行为，提高安全防范水平和执法效能，加强执法监督，依据《深入推进综合行政执法的规范化制度体系建设的建议》要求，参照全国先进地区《浙江省综合行政执法基层中队规范化建设标准》（试行）、《浙江省综合行政执法中队办案区使用管理规定》试行文件，结合综合性质执法办案特点，按照因地制宜、因房制宜、因队制宜的原则，通过合理规划执法办案场所区域设置，规范执法办案中心硬件设施配备与信息化系统建设，力求在改善执法办案环境的基础上提高执法规范化水平、执法安全系数与办案质效。</w:t>
      </w:r>
    </w:p>
    <w:p>
      <w:pPr>
        <w:pStyle w:val="134"/>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二、建设目标</w:t>
      </w:r>
    </w:p>
    <w:p>
      <w:pPr>
        <w:pStyle w:val="134"/>
        <w:keepNext w:val="0"/>
        <w:keepLines w:val="0"/>
        <w:pageBreakBefore w:val="0"/>
        <w:widowControl w:val="0"/>
        <w:kinsoku/>
        <w:wordWrap/>
        <w:overflowPunct/>
        <w:topLinePunct w:val="0"/>
        <w:autoSpaceDE/>
        <w:autoSpaceDN/>
        <w:bidi w:val="0"/>
        <w:adjustRightInd w:val="0"/>
        <w:snapToGrid w:val="0"/>
        <w:spacing w:before="0" w:line="360" w:lineRule="auto"/>
        <w:ind w:firstLine="420"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根据嘉兴市秀洲区王江泾行政执法中队的实际执法现状和本地化执法业务需求，针对智能化建设仍存在不足的问题，以解决突出执法问题为导向，借助智能问询笔录、案管桌、物管柜等物联网感知设备与统一执法管理应用软件平台，实现对执法单位的执法行为全流程动态监管，打造“规范、高效、安全”的执法办案模式，提升信息化水平和综合管理能力，推动执法规范化建设提档升级。</w:t>
      </w:r>
    </w:p>
    <w:p>
      <w:pPr>
        <w:pStyle w:val="13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三、采购清单</w:t>
      </w:r>
    </w:p>
    <w:tbl>
      <w:tblPr>
        <w:tblStyle w:val="64"/>
        <w:tblW w:w="92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2"/>
        <w:gridCol w:w="3889"/>
        <w:gridCol w:w="1580"/>
        <w:gridCol w:w="1396"/>
        <w:gridCol w:w="15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物品名称</w:t>
            </w:r>
          </w:p>
        </w:tc>
        <w:tc>
          <w:tcPr>
            <w:tcW w:w="158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单位</w:t>
            </w:r>
          </w:p>
        </w:tc>
        <w:tc>
          <w:tcPr>
            <w:tcW w:w="139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数量</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7787" w:type="dxa"/>
            <w:gridSpan w:val="4"/>
            <w:tcBorders>
              <w:tl2br w:val="nil"/>
              <w:tr2bl w:val="nil"/>
            </w:tcBorders>
            <w:shd w:val="clear" w:color="auto" w:fill="auto"/>
            <w:noWrap/>
            <w:vAlign w:val="center"/>
          </w:tcPr>
          <w:p>
            <w:pPr>
              <w:jc w:val="both"/>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一、软件平台</w:t>
            </w:r>
          </w:p>
        </w:tc>
        <w:tc>
          <w:tcPr>
            <w:tcW w:w="1500" w:type="dxa"/>
            <w:tcBorders>
              <w:tl2br w:val="nil"/>
              <w:tr2bl w:val="nil"/>
            </w:tcBorders>
            <w:shd w:val="clear" w:color="auto" w:fill="auto"/>
            <w:noWrap/>
            <w:vAlign w:val="center"/>
          </w:tcPr>
          <w:p>
            <w:pPr>
              <w:jc w:val="both"/>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3889" w:type="dxa"/>
            <w:tcBorders>
              <w:tl2br w:val="nil"/>
              <w:tr2bl w:val="nil"/>
            </w:tcBorders>
            <w:shd w:val="clear" w:color="auto" w:fill="auto"/>
            <w:noWrap/>
            <w:vAlign w:val="center"/>
          </w:tcPr>
          <w:p>
            <w:pPr>
              <w:jc w:val="both"/>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sz w:val="21"/>
                <w:szCs w:val="21"/>
                <w:u w:val="none"/>
              </w:rPr>
              <w:t>智慧办案区管理系统</w:t>
            </w:r>
          </w:p>
        </w:tc>
        <w:tc>
          <w:tcPr>
            <w:tcW w:w="1580" w:type="dxa"/>
            <w:tcBorders>
              <w:tl2br w:val="nil"/>
              <w:tr2bl w:val="nil"/>
            </w:tcBorders>
            <w:shd w:val="clear" w:color="auto" w:fill="auto"/>
            <w:noWrap/>
            <w:vAlign w:val="center"/>
          </w:tcPr>
          <w:p>
            <w:pPr>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套</w:t>
            </w:r>
          </w:p>
        </w:tc>
        <w:tc>
          <w:tcPr>
            <w:tcW w:w="1396" w:type="dxa"/>
            <w:tcBorders>
              <w:tl2br w:val="nil"/>
              <w:tr2bl w:val="nil"/>
            </w:tcBorders>
            <w:shd w:val="clear" w:color="auto" w:fill="auto"/>
            <w:noWrap/>
            <w:vAlign w:val="center"/>
          </w:tcPr>
          <w:p>
            <w:pPr>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w:t>
            </w:r>
          </w:p>
        </w:tc>
        <w:tc>
          <w:tcPr>
            <w:tcW w:w="1500" w:type="dxa"/>
            <w:tcBorders>
              <w:tl2br w:val="nil"/>
              <w:tr2bl w:val="nil"/>
            </w:tcBorders>
            <w:shd w:val="clear" w:color="auto" w:fill="auto"/>
            <w:noWrap/>
            <w:vAlign w:val="center"/>
          </w:tcPr>
          <w:p>
            <w:pPr>
              <w:jc w:val="center"/>
              <w:rPr>
                <w:rFonts w:hint="eastAsia" w:ascii="仿宋" w:hAnsi="仿宋" w:eastAsia="仿宋" w:cs="仿宋"/>
                <w:b w:val="0"/>
                <w:bCs w:val="0"/>
                <w:i w:val="0"/>
                <w:iCs w:val="0"/>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w:t>
            </w:r>
          </w:p>
        </w:tc>
        <w:tc>
          <w:tcPr>
            <w:tcW w:w="3889" w:type="dxa"/>
            <w:tcBorders>
              <w:tl2br w:val="nil"/>
              <w:tr2bl w:val="nil"/>
            </w:tcBorders>
            <w:shd w:val="clear" w:color="auto" w:fill="auto"/>
            <w:noWrap/>
            <w:vAlign w:val="center"/>
          </w:tcPr>
          <w:p>
            <w:pPr>
              <w:jc w:val="both"/>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智慧卷宗管理系统</w:t>
            </w:r>
          </w:p>
        </w:tc>
        <w:tc>
          <w:tcPr>
            <w:tcW w:w="1580" w:type="dxa"/>
            <w:tcBorders>
              <w:tl2br w:val="nil"/>
              <w:tr2bl w:val="nil"/>
            </w:tcBorders>
            <w:shd w:val="clear" w:color="auto" w:fill="auto"/>
            <w:noWrap/>
            <w:vAlign w:val="center"/>
          </w:tcPr>
          <w:p>
            <w:pPr>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套</w:t>
            </w:r>
          </w:p>
        </w:tc>
        <w:tc>
          <w:tcPr>
            <w:tcW w:w="1396" w:type="dxa"/>
            <w:tcBorders>
              <w:tl2br w:val="nil"/>
              <w:tr2bl w:val="nil"/>
            </w:tcBorders>
            <w:shd w:val="clear" w:color="auto" w:fill="auto"/>
            <w:noWrap/>
            <w:vAlign w:val="center"/>
          </w:tcPr>
          <w:p>
            <w:pPr>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w:t>
            </w:r>
          </w:p>
        </w:tc>
        <w:tc>
          <w:tcPr>
            <w:tcW w:w="1500" w:type="dxa"/>
            <w:tcBorders>
              <w:tl2br w:val="nil"/>
              <w:tr2bl w:val="nil"/>
            </w:tcBorders>
            <w:shd w:val="clear" w:color="auto" w:fill="auto"/>
            <w:noWrap/>
            <w:vAlign w:val="center"/>
          </w:tcPr>
          <w:p>
            <w:pPr>
              <w:jc w:val="center"/>
              <w:rPr>
                <w:rFonts w:hint="eastAsia" w:ascii="仿宋" w:hAnsi="仿宋" w:eastAsia="仿宋" w:cs="仿宋"/>
                <w:b w:val="0"/>
                <w:bCs w:val="0"/>
                <w:i w:val="0"/>
                <w:iCs w:val="0"/>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w:t>
            </w:r>
          </w:p>
        </w:tc>
        <w:tc>
          <w:tcPr>
            <w:tcW w:w="3889" w:type="dxa"/>
            <w:tcBorders>
              <w:tl2br w:val="nil"/>
              <w:tr2bl w:val="nil"/>
            </w:tcBorders>
            <w:shd w:val="clear" w:color="auto" w:fill="auto"/>
            <w:noWrap/>
            <w:vAlign w:val="center"/>
          </w:tcPr>
          <w:p>
            <w:pPr>
              <w:jc w:val="both"/>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笔录制作软件</w:t>
            </w:r>
          </w:p>
        </w:tc>
        <w:tc>
          <w:tcPr>
            <w:tcW w:w="1580" w:type="dxa"/>
            <w:tcBorders>
              <w:tl2br w:val="nil"/>
              <w:tr2bl w:val="nil"/>
            </w:tcBorders>
            <w:shd w:val="clear" w:color="auto" w:fill="auto"/>
            <w:noWrap/>
            <w:vAlign w:val="center"/>
          </w:tcPr>
          <w:p>
            <w:pPr>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套</w:t>
            </w:r>
          </w:p>
        </w:tc>
        <w:tc>
          <w:tcPr>
            <w:tcW w:w="1396" w:type="dxa"/>
            <w:tcBorders>
              <w:tl2br w:val="nil"/>
              <w:tr2bl w:val="nil"/>
            </w:tcBorders>
            <w:shd w:val="clear" w:color="auto" w:fill="auto"/>
            <w:noWrap/>
            <w:vAlign w:val="center"/>
          </w:tcPr>
          <w:p>
            <w:pPr>
              <w:jc w:val="center"/>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w:t>
            </w:r>
          </w:p>
        </w:tc>
        <w:tc>
          <w:tcPr>
            <w:tcW w:w="1500" w:type="dxa"/>
            <w:tcBorders>
              <w:tl2br w:val="nil"/>
              <w:tr2bl w:val="nil"/>
            </w:tcBorders>
            <w:shd w:val="clear" w:color="auto" w:fill="auto"/>
            <w:noWrap/>
            <w:vAlign w:val="center"/>
          </w:tcPr>
          <w:p>
            <w:pPr>
              <w:jc w:val="center"/>
              <w:rPr>
                <w:rFonts w:hint="eastAsia" w:ascii="仿宋" w:hAnsi="仿宋" w:eastAsia="仿宋" w:cs="仿宋"/>
                <w:b w:val="0"/>
                <w:bCs w:val="0"/>
                <w:i w:val="0"/>
                <w:iCs w:val="0"/>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7" w:type="dxa"/>
            <w:gridSpan w:val="4"/>
            <w:tcBorders>
              <w:tl2br w:val="nil"/>
              <w:tr2bl w:val="nil"/>
            </w:tcBorders>
            <w:shd w:val="clear" w:color="auto" w:fill="auto"/>
            <w:noWrap/>
            <w:vAlign w:val="center"/>
          </w:tcPr>
          <w:p>
            <w:pPr>
              <w:jc w:val="both"/>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二、智能化设备</w:t>
            </w:r>
          </w:p>
        </w:tc>
        <w:tc>
          <w:tcPr>
            <w:tcW w:w="1500" w:type="dxa"/>
            <w:tcBorders>
              <w:tl2br w:val="nil"/>
              <w:tr2bl w:val="nil"/>
            </w:tcBorders>
            <w:shd w:val="clear" w:color="auto" w:fill="auto"/>
            <w:noWrap/>
            <w:vAlign w:val="center"/>
          </w:tcPr>
          <w:p>
            <w:pPr>
              <w:jc w:val="both"/>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7" w:type="dxa"/>
            <w:gridSpan w:val="4"/>
            <w:tcBorders>
              <w:tl2br w:val="nil"/>
              <w:tr2bl w:val="nil"/>
            </w:tcBorders>
            <w:shd w:val="clear" w:color="auto" w:fill="auto"/>
            <w:noWrap/>
            <w:vAlign w:val="center"/>
          </w:tcPr>
          <w:p>
            <w:pPr>
              <w:jc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信息登记大厅</w:t>
            </w:r>
          </w:p>
        </w:tc>
        <w:tc>
          <w:tcPr>
            <w:tcW w:w="1500" w:type="dxa"/>
            <w:tcBorders>
              <w:tl2br w:val="nil"/>
              <w:tr2bl w:val="nil"/>
            </w:tcBorders>
            <w:shd w:val="clear" w:color="auto" w:fill="auto"/>
            <w:noWrap/>
            <w:vAlign w:val="center"/>
          </w:tcPr>
          <w:p>
            <w:pPr>
              <w:jc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usb集线器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签字捺印一体机（登记、随身物品、安全检查用）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高清全景摄像机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拾音器电源</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拾音器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高拍仪</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套</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二代身份证读卡器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7787" w:type="dxa"/>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门禁及走廊</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门禁控制设备—电磁锁</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门禁管控与状态显示一体机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高清全景摄像机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拾音器电源 </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人脸识别终端</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7" w:type="dxa"/>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询问室</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温湿度显示屏</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块</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一体化询问桌</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9" name="图片_1"/>
                  <wp:cNvGraphicFramePr/>
                  <a:graphic xmlns:a="http://schemas.openxmlformats.org/drawingml/2006/main">
                    <a:graphicData uri="http://schemas.openxmlformats.org/drawingml/2006/picture">
                      <pic:pic xmlns:pic="http://schemas.openxmlformats.org/drawingml/2006/picture">
                        <pic:nvPicPr>
                          <pic:cNvPr id="9" name="图片_1"/>
                          <pic:cNvPicPr/>
                        </pic:nvPicPr>
                        <pic:blipFill>
                          <a:blip r:embed="rId21"/>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0" name="图片_7"/>
                  <wp:cNvGraphicFramePr/>
                  <a:graphic xmlns:a="http://schemas.openxmlformats.org/drawingml/2006/main">
                    <a:graphicData uri="http://schemas.openxmlformats.org/drawingml/2006/picture">
                      <pic:pic xmlns:pic="http://schemas.openxmlformats.org/drawingml/2006/picture">
                        <pic:nvPicPr>
                          <pic:cNvPr id="10" name="图片_7"/>
                          <pic:cNvPicPr/>
                        </pic:nvPicPr>
                        <pic:blipFill>
                          <a:blip r:embed="rId21"/>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1" name="图片_8"/>
                  <wp:cNvGraphicFramePr/>
                  <a:graphic xmlns:a="http://schemas.openxmlformats.org/drawingml/2006/main">
                    <a:graphicData uri="http://schemas.openxmlformats.org/drawingml/2006/picture">
                      <pic:pic xmlns:pic="http://schemas.openxmlformats.org/drawingml/2006/picture">
                        <pic:nvPicPr>
                          <pic:cNvPr id="11" name="图片_8"/>
                          <pic:cNvPicPr/>
                        </pic:nvPicPr>
                        <pic:blipFill>
                          <a:blip r:embed="rId21"/>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i w:val="0"/>
                <w:iCs w:val="0"/>
                <w:color w:val="auto"/>
                <w:kern w:val="0"/>
                <w:sz w:val="21"/>
                <w:szCs w:val="21"/>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4800"/>
                  <wp:effectExtent l="0" t="0" r="0" b="0"/>
                  <wp:wrapNone/>
                  <wp:docPr id="12" name="图片_6"/>
                  <wp:cNvGraphicFramePr/>
                  <a:graphic xmlns:a="http://schemas.openxmlformats.org/drawingml/2006/main">
                    <a:graphicData uri="http://schemas.openxmlformats.org/drawingml/2006/picture">
                      <pic:pic xmlns:pic="http://schemas.openxmlformats.org/drawingml/2006/picture">
                        <pic:nvPicPr>
                          <pic:cNvPr id="12" name="图片_6"/>
                          <pic:cNvPicPr/>
                        </pic:nvPicPr>
                        <pic:blipFill>
                          <a:blip r:embed="rId21"/>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i w:val="0"/>
                <w:iCs w:val="0"/>
                <w:color w:val="auto"/>
                <w:kern w:val="0"/>
                <w:sz w:val="21"/>
                <w:szCs w:val="21"/>
                <w:u w:val="none"/>
                <w:lang w:val="en-US" w:eastAsia="zh-CN" w:bidi="ar"/>
              </w:rPr>
              <w:t>套</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签字捺印一体机（询问用）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高清全景摄像机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3" name="图片_3"/>
                  <wp:cNvGraphicFramePr/>
                  <a:graphic xmlns:a="http://schemas.openxmlformats.org/drawingml/2006/main">
                    <a:graphicData uri="http://schemas.openxmlformats.org/drawingml/2006/picture">
                      <pic:pic xmlns:pic="http://schemas.openxmlformats.org/drawingml/2006/picture">
                        <pic:nvPicPr>
                          <pic:cNvPr id="13" name="图片_3"/>
                          <pic:cNvPicPr/>
                        </pic:nvPicPr>
                        <pic:blipFill>
                          <a:blip r:embed="rId21"/>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i w:val="0"/>
                <w:iCs w:val="0"/>
                <w:color w:val="auto"/>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4800"/>
                  <wp:effectExtent l="0" t="0" r="0" b="0"/>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21"/>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拾音器电源</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高清问询主机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4800"/>
                  <wp:effectExtent l="0" t="0" r="0" b="0"/>
                  <wp:wrapNone/>
                  <wp:docPr id="16" name="图片_9"/>
                  <wp:cNvGraphicFramePr/>
                  <a:graphic xmlns:a="http://schemas.openxmlformats.org/drawingml/2006/main">
                    <a:graphicData uri="http://schemas.openxmlformats.org/drawingml/2006/picture">
                      <pic:pic xmlns:pic="http://schemas.openxmlformats.org/drawingml/2006/picture">
                        <pic:nvPicPr>
                          <pic:cNvPr id="16" name="图片_9"/>
                          <pic:cNvPicPr/>
                        </pic:nvPicPr>
                        <pic:blipFill>
                          <a:blip r:embed="rId21"/>
                          <a:stretch>
                            <a:fillRect/>
                          </a:stretch>
                        </pic:blipFill>
                        <pic:spPr>
                          <a:xfrm>
                            <a:off x="0" y="0"/>
                            <a:ext cx="304800" cy="304800"/>
                          </a:xfrm>
                          <a:prstGeom prst="rect">
                            <a:avLst/>
                          </a:prstGeom>
                          <a:noFill/>
                          <a:ln>
                            <a:noFill/>
                          </a:ln>
                        </pic:spPr>
                      </pic:pic>
                    </a:graphicData>
                  </a:graphic>
                </wp:anchor>
              </w:drawing>
            </w: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硬盘</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块</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询问主机专用刻录光盘</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盘</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7" w:type="dxa"/>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中心机房</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数据网关服务器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套</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视频平台一体机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套</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网络硬盘录像机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企业级硬盘</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应用服务器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数据存储服务器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全千兆非网管POE交换机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传输线路</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项</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7" w:type="dxa"/>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文书制作室</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打印机标签纸</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打印机碳带</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无线二维码扫描器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人脸识别终端</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门禁控制设备—电磁锁</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高清全景摄像机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拾音器电源</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案管一体桌</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张</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智能联网储物柜主柜</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787" w:type="dxa"/>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罚没物品室</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人脸识别终端</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门禁控制设备—电磁锁</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高清全景摄像机</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3889" w:type="dxa"/>
            <w:tcBorders>
              <w:tl2br w:val="nil"/>
              <w:tr2bl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拾音器电源</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7787" w:type="dxa"/>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视频监控系统</w:t>
            </w:r>
          </w:p>
        </w:tc>
        <w:tc>
          <w:tcPr>
            <w:tcW w:w="150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400万高清室内半球带拾音</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六类非屏蔽双绞线</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米</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800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电源线</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米</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800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87" w:type="dxa"/>
            <w:gridSpan w:val="5"/>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LED信息发布系统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LED显示屏</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9.98</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6"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视频处理器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电源</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33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控制卡</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张</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控制软件</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管理工作站</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机柜</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壁挂式钢结构</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平方</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10.65</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装饰包边</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平方</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10.65</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通讯线</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米</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电源线</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米</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200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智能配电箱</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87" w:type="dxa"/>
            <w:gridSpan w:val="5"/>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多媒体会议系统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一拖四无线会议麦克风</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专业调音台</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反馈抑制器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音箱处理器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会议音箱</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8路电源时序器</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台</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专业会议机柜</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套</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功放</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0"/>
                <w:sz w:val="20"/>
                <w:szCs w:val="20"/>
                <w:u w:val="none"/>
                <w:lang w:val="en-US" w:eastAsia="zh-CN" w:bidi="ar"/>
              </w:rPr>
              <w:t>卡侬公头对卡侬母头音频线</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条</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87" w:type="dxa"/>
            <w:gridSpan w:val="5"/>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综合布线系统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双孔插座面版</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六类信息模块</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54</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3</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六类24口配线架</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理线架</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4</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5</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六类非屏蔽双绞线</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米</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1900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6</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六类RJ45跳线</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根</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7</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安装底盒</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27</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8</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0"/>
                <w:szCs w:val="20"/>
                <w:u w:val="none"/>
                <w:lang w:val="en-US" w:eastAsia="zh-CN" w:bidi="ar"/>
              </w:rPr>
              <w:t>电线管</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米</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2500</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87" w:type="dxa"/>
            <w:gridSpan w:val="5"/>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辅材</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批</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22"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2</w:t>
            </w:r>
          </w:p>
        </w:tc>
        <w:tc>
          <w:tcPr>
            <w:tcW w:w="3889"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安装调试费</w:t>
            </w:r>
          </w:p>
        </w:tc>
        <w:tc>
          <w:tcPr>
            <w:tcW w:w="1580"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个</w:t>
            </w:r>
          </w:p>
        </w:tc>
        <w:tc>
          <w:tcPr>
            <w:tcW w:w="1396" w:type="dxa"/>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0"/>
                <w:szCs w:val="20"/>
                <w:u w:val="none"/>
                <w:lang w:val="en-US" w:eastAsia="zh-CN" w:bidi="ar"/>
              </w:rPr>
            </w:pPr>
            <w:r>
              <w:rPr>
                <w:rFonts w:hint="eastAsia" w:ascii="仿宋" w:hAnsi="仿宋" w:eastAsia="仿宋" w:cs="仿宋"/>
                <w:i w:val="0"/>
                <w:iCs w:val="0"/>
                <w:color w:val="auto"/>
                <w:kern w:val="0"/>
                <w:sz w:val="20"/>
                <w:szCs w:val="20"/>
                <w:u w:val="none"/>
                <w:lang w:val="en-US" w:eastAsia="zh-CN" w:bidi="ar"/>
              </w:rPr>
              <w:t>1</w:t>
            </w:r>
          </w:p>
        </w:tc>
        <w:tc>
          <w:tcPr>
            <w:tcW w:w="15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p>
        </w:tc>
      </w:tr>
    </w:tbl>
    <w:p>
      <w:pPr>
        <w:pStyle w:val="13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default"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四、技术参数</w:t>
      </w:r>
    </w:p>
    <w:tbl>
      <w:tblPr>
        <w:tblStyle w:val="64"/>
        <w:tblW w:w="5439" w:type="pct"/>
        <w:tblInd w:w="-26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0"/>
        <w:gridCol w:w="1268"/>
        <w:gridCol w:w="7074"/>
        <w:gridCol w:w="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物品名称</w:t>
            </w:r>
          </w:p>
        </w:tc>
        <w:tc>
          <w:tcPr>
            <w:tcW w:w="3611"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color w:val="auto"/>
                <w:kern w:val="0"/>
                <w:sz w:val="21"/>
                <w:szCs w:val="21"/>
                <w:highlight w:val="none"/>
              </w:rPr>
              <w:t>功能/参数规格要求</w:t>
            </w:r>
          </w:p>
        </w:tc>
        <w:tc>
          <w:tcPr>
            <w:tcW w:w="379"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0" w:type="pct"/>
            <w:gridSpan w:val="3"/>
            <w:tcBorders>
              <w:tl2br w:val="nil"/>
              <w:tr2bl w:val="nil"/>
            </w:tcBorders>
            <w:shd w:val="clear" w:color="auto" w:fill="auto"/>
            <w:noWrap/>
            <w:vAlign w:val="center"/>
          </w:tcPr>
          <w:p>
            <w:pPr>
              <w:jc w:val="both"/>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（一）软件平台</w:t>
            </w:r>
          </w:p>
        </w:tc>
        <w:tc>
          <w:tcPr>
            <w:tcW w:w="379" w:type="pct"/>
            <w:tcBorders>
              <w:tl2br w:val="nil"/>
              <w:tr2bl w:val="nil"/>
            </w:tcBorders>
            <w:shd w:val="clear" w:color="auto" w:fill="auto"/>
            <w:noWrap/>
            <w:vAlign w:val="center"/>
          </w:tcPr>
          <w:p>
            <w:pPr>
              <w:jc w:val="both"/>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647" w:type="pct"/>
            <w:tcBorders>
              <w:tl2br w:val="nil"/>
              <w:tr2bl w:val="nil"/>
            </w:tcBorders>
            <w:shd w:val="clear" w:color="auto" w:fill="auto"/>
            <w:noWrap/>
            <w:vAlign w:val="center"/>
          </w:tcPr>
          <w:p>
            <w:pPr>
              <w:jc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sz w:val="21"/>
                <w:szCs w:val="21"/>
                <w:u w:val="none"/>
              </w:rPr>
              <w:t>智慧办案区管理系统</w:t>
            </w:r>
          </w:p>
        </w:tc>
        <w:tc>
          <w:tcPr>
            <w:tcW w:w="3611" w:type="pct"/>
            <w:tcBorders>
              <w:tl2br w:val="nil"/>
              <w:tr2bl w:val="nil"/>
            </w:tcBorders>
            <w:shd w:val="clear" w:color="auto" w:fill="auto"/>
            <w:noWrap/>
            <w:vAlign w:val="center"/>
          </w:tcPr>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1.登录：用户通过用户名、密码登录系统，并对无效用户及密码给予提示，用户名支撑身份证号，统一人证登录的功能。</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管理员首页：(1)系统能够图形展示候问室、询问室的使用情况(2)系统能够实时展示人身安全检查室、登记室房间使用情况(3)系统能够查看各功能室实时视频，并能在线通过切换房间或者摄像头的形式进行切换视频画面(4)系统能够展示最新动态，按照时间倒序展示最新的人员的动态（5）系统能够展示出功能室的使用频率数据，用柱状图展示</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3.普通账号首页：(1)系统能够实时展示该办案人办理过的人员列表，并能查看实时轨迹(2)系统能够实时展示最近预约信息，并能查看预约详细信息</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4.办案区预约：(1)支持通过PC进行办案区使用预约(2)支持预约时，需要说明案件和人员基本信息，并在系统中记录，当人员入区时，直接根据预约信息进行下一步工作。</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系统应用首页：(1)实时展示登记室、安全检查室、信息采集室、询问室、候问室、综合指挥室容量以及使用情况；(2)可以查看各功能室实时视频，并能在线通过切换房间或者摄像头的形式进行切换视频画面；(3)实时展示各警员办理人数以及告警数；(4)按照1-12月份实时展示每个月份入区人员总数以及告警总数趋势图；(5)实时展示该办案人员办理过的人员列表，并能查看实时轨迹；(6)实时展示最近预约信息，并能查看预约详细信息，提前做好准备；(7)通过图像化方式指引办案流程。</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入区登记：（1）系统能够进行进入办案区事由信息登记(案件编号、案件名称、办案人、办案单位、案件类型、使用单位和借用说明)（2）系统能够新增、编辑入区人员信息(照片、入区原因、特殊标记、特殊类型、证件类型、人员姓名、年龄、性别、政治面貌、家庭住址、联系方式、办案人员)（3）系统能够在人员信息登记，支持关联本地或预约人员，快速填写信息（4）系统能够支持快速入区和正常入区，快速入区可直接分配房间进入询问室，完成询问后再补人身安全检查和信息采集，正常入区即按流程入区；案件信息关联支持跟执法办案系统对接，并可以进行本地或预约案件关联；人员信息登记可刷卡、对接人脸检索库或人口信息库获取背景信息。（各项对接功能基于用户提供的相关接口实现的，部署时需协调接口）</w:t>
            </w:r>
          </w:p>
          <w:p>
            <w:pPr>
              <w:pStyle w:val="16"/>
              <w:spacing w:line="240" w:lineRule="auto"/>
              <w:ind w:left="0" w:leftChars="0" w:firstLine="0" w:firstLineChars="0"/>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7.安全检查：(1)系统能够新增入区人员自述病史、详细描述(2)系统能够展示人体图，可视化点击新增检查情况(部位、类型、描述、现场照片) 并保存(3)系统能够支持相关人员电子签字捺印</w:t>
            </w:r>
          </w:p>
          <w:p>
            <w:pPr>
              <w:keepNext w:val="0"/>
              <w:keepLines w:val="0"/>
              <w:widowControl/>
              <w:suppressLineNumbers w:val="0"/>
              <w:jc w:val="left"/>
              <w:textAlignment w:val="bottom"/>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8.物品登记：(1)系统能够添加入区人员随身物品信息(类别、物品名称、数量、单位、特征和现场照片)(2)系统能够在授权后远程开启智能储物柜柜门；(3)系统能够打印随身物品清单(涉案物品: 编号、名称、数量和特征;非涉案物品:编号、名称、数量和特征)(4)系统能够支持相关人员电子签字捺印</w:t>
            </w:r>
          </w:p>
          <w:p>
            <w:pPr>
              <w:keepNext w:val="0"/>
              <w:keepLines w:val="0"/>
              <w:widowControl/>
              <w:suppressLineNumbers w:val="0"/>
              <w:jc w:val="left"/>
              <w:textAlignment w:val="bottom"/>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9.房间分配：(1)系统能够支持分配涉案人员需要的相关房间(2)系统能够支持分配后自动联动门禁以及LED设备(3)系统能够为执法办案人员分配功能室，配置功能室使用权限</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10.区内执法：随身物品暂存，支持智能柜存储以及智能柜远程控制；支持相关人员电子签字捺印。</w:t>
            </w:r>
          </w:p>
          <w:p>
            <w:pPr>
              <w:keepNext w:val="0"/>
              <w:keepLines w:val="0"/>
              <w:widowControl/>
              <w:suppressLineNumbers w:val="0"/>
              <w:jc w:val="left"/>
              <w:textAlignment w:val="bottom"/>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离区登记：(1)系统能够办理人员临时离区登记(离区原因)(2)系统能够在办案环节进行终止，并直接跳转到离区登记(3)系统能够人员离区时对涉案物品进行处置(处置结果、接领人员、物管人员、办案人员)(4)系统能够在离区登记时对人员进行离/入区人脸图片同一认定，并展示认定结果(5)系统能够展示办案区台账(6)系统能够支持临时离区和正常离区</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12.层级管理：人员可通过图形化展示用户权限内的办案区使用状态，以及办案区相关数据，如：人员、案件、告警等数据。</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工作台：(1)系统能够通过定位基站和定位手环对已绑定手环的人员进行实时监管，并能播放人员所在位置的实时视频，视频随人员动态移动而自动切换。(2)系统能够支持临时离区人员可以进行返回办案区的操作，并在综合采集处进行病例或者诊断证明的上传(3)系统能够支持对已离区人员在办案区内的历史轨迹视频、图片和文件进行批量下载刻录，打印盘面</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14.案件管理：(1)可以查看所有历史办理过的案件信息；(2)可以查看每个案件下对应的入区人员信息，同案人员信息；(3)可以对历史案件以及人员进行导出操作。</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15.预约管理：可查看预约信息、审核预约信息、编辑预约信息、提交预约信息、取消预约登记。</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16.门禁授权：(1)支持门禁权限远程下发；(2)支持永久授权与临时授权；(3)支持所有门禁识别读取记录；</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17.人员档案：(1)人员信息展示；(2)案件信息展示；(3)进出区信息展示；(4)随身物品展示</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18.门禁授权记录：支持所有门禁识别读取记录。</w:t>
            </w:r>
          </w:p>
          <w:p>
            <w:pPr>
              <w:keepNext w:val="0"/>
              <w:keepLines w:val="0"/>
              <w:widowControl/>
              <w:suppressLineNumbers w:val="0"/>
              <w:jc w:val="left"/>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19.台账管理：支持展示办案区全流程台账。</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lang w:val="en-US" w:eastAsia="zh-CN" w:bidi="ar"/>
              </w:rPr>
              <w:t>20.远程开门：</w:t>
            </w:r>
            <w:r>
              <w:rPr>
                <w:rFonts w:hint="eastAsia" w:ascii="仿宋" w:hAnsi="仿宋" w:eastAsia="仿宋" w:cs="仿宋"/>
                <w:color w:val="auto"/>
                <w:sz w:val="21"/>
                <w:szCs w:val="21"/>
                <w:highlight w:val="none"/>
              </w:rPr>
              <w:t>系统能够支持远程打开各功能室门锁</w:t>
            </w:r>
            <w:r>
              <w:rPr>
                <w:rFonts w:hint="eastAsia" w:ascii="仿宋" w:hAnsi="仿宋" w:eastAsia="仿宋" w:cs="仿宋"/>
                <w:color w:val="auto"/>
                <w:sz w:val="21"/>
                <w:szCs w:val="21"/>
                <w:highlight w:val="none"/>
                <w:lang w:eastAsia="zh-CN"/>
              </w:rPr>
              <w:t>。</w:t>
            </w:r>
          </w:p>
        </w:tc>
        <w:tc>
          <w:tcPr>
            <w:tcW w:w="379" w:type="pct"/>
            <w:tcBorders>
              <w:tl2br w:val="nil"/>
              <w:tr2bl w:val="nil"/>
            </w:tcBorders>
            <w:shd w:val="clear" w:color="auto" w:fill="auto"/>
            <w:noWrap/>
            <w:vAlign w:val="center"/>
          </w:tcPr>
          <w:p>
            <w:pPr>
              <w:pStyle w:val="41"/>
              <w:numPr>
                <w:ilvl w:val="0"/>
                <w:numId w:val="0"/>
              </w:numPr>
              <w:ind w:leftChars="0"/>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w:t>
            </w:r>
          </w:p>
        </w:tc>
        <w:tc>
          <w:tcPr>
            <w:tcW w:w="647" w:type="pct"/>
            <w:tcBorders>
              <w:tl2br w:val="nil"/>
              <w:tr2bl w:val="nil"/>
            </w:tcBorders>
            <w:shd w:val="clear" w:color="auto" w:fill="auto"/>
            <w:noWrap/>
            <w:vAlign w:val="center"/>
          </w:tcPr>
          <w:p>
            <w:pPr>
              <w:jc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智慧卷宗管理系统</w:t>
            </w:r>
          </w:p>
        </w:tc>
        <w:tc>
          <w:tcPr>
            <w:tcW w:w="3611" w:type="pct"/>
            <w:tcBorders>
              <w:tl2br w:val="nil"/>
              <w:tr2bl w:val="nil"/>
            </w:tcBorders>
            <w:shd w:val="clear" w:color="auto" w:fill="auto"/>
            <w:noWrap/>
            <w:vAlign w:val="bottom"/>
          </w:tcPr>
          <w:p>
            <w:pPr>
              <w:numPr>
                <w:ilvl w:val="0"/>
                <w:numId w:val="0"/>
              </w:numPr>
              <w:jc w:val="left"/>
              <w:rPr>
                <w:rFonts w:hint="default"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1.首页：</w:t>
            </w:r>
            <w:r>
              <w:rPr>
                <w:rFonts w:hint="eastAsia" w:ascii="仿宋" w:hAnsi="仿宋" w:eastAsia="仿宋" w:cs="仿宋"/>
                <w:i w:val="0"/>
                <w:iCs w:val="0"/>
                <w:color w:val="auto"/>
                <w:kern w:val="0"/>
                <w:sz w:val="21"/>
                <w:szCs w:val="21"/>
                <w:u w:val="none"/>
                <w:lang w:val="en-US" w:eastAsia="zh-CN" w:bidi="ar"/>
              </w:rPr>
              <w:t>系统具备卷宗基本信息登记的功能，包括案件名称、案件编号、办案单位、主办案人等案件信息，以及卷宗名称、卷宗编号、卷宗类别、立卷人等卷宗信息。</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2.入库管理：系统具备对卷宗入库操作的功能，包括卷宗入库申请登记，入库事由、存储库房；卷宗执行入库登记，库位选择。</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3.出库管理：系统能够申请卷宗出库（出库事由、备注、上传附件、预计归还时间）的功能。</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4.归档管理：案件完结时，可将卷宗统一送到档案室进行集中保管，系统全程记录出入库轨迹行为。系统对案件完结时，进行自动提醒，便于用户及时送卷到档案室进行集中保管。</w:t>
            </w:r>
          </w:p>
          <w:p>
            <w:pPr>
              <w:pStyle w:val="41"/>
              <w:numPr>
                <w:ilvl w:val="0"/>
                <w:numId w:val="0"/>
              </w:numPr>
              <w:ind w:leftChars="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5.出库审批：系统能够审批卷宗出库申请（审批意见、备注信息）的功能。</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6.归还入库：系统具备对卷宗归还入库的操作的功能，申请归还时包括页码，备注、确认归还时，可以选择存储位置，备注信息。</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7.告警管理：系统能够显示卷宗告警信息列表，包括告警类型（归还预警、超期归还、超期送卷）、告警时间、卷宗名称、处理操作的功能。</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8.卷宗检索：系统能够以卷宗名称、卷宗编号、立卷人、立卷时间、案件名称、案件编号、存储状态、操作时间检索数据的功能。</w:t>
            </w:r>
          </w:p>
          <w:p>
            <w:pPr>
              <w:pStyle w:val="41"/>
              <w:numPr>
                <w:ilvl w:val="0"/>
                <w:numId w:val="0"/>
              </w:numPr>
              <w:ind w:leftChars="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9：日志查询：系统具备操作日志查询的功能</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10.标签管理：将卷宗唯一编码写入到电子标签，便于扫描设备读取卷宗详情，标签形态RFID电子标签和二维码；标签补发 针对标签损坏或其他场景，可以进行标签二次补发。</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台账管理：封皮打印：系统提供卷宗封皮打印功能，根据案件信息、卷宗信息自动生成卷宗封皮，提供打印。入库台帐：卷宗入库后，提供入库台帐导出功能，自动回显卷宗的案件信息、卷宗信息、存储信息等；出库台帐：卷宗出库后，提供出库台帐导出功能，自动回显卷宗的案件信息、卷宗信息、借用人信息、归还时间信息等；</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12.卷宗详情：系统具备对卷宗的详情及流转轨迹记录综合展示的功能；卷宗详情展示卷宗的案件信息、卷宗信息、存储位置、页码信息等；流转轨迹轴信息展示卷宗从登记、入库、出库等各个节点信息查看，操作原因、操作人、操作时间。</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13.审批管理：系统具备卷宗借用流程约束功能，即卷宗借用需要领导权限审批，审批通过或驳回，审批事项查看。审批包括：卷宗借用、卷宗转交、电子卷调阅</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14.数据查询：系统具有查询本级单位卷宗数据功能；数据查询：通过案件字段、卷宗字段查询卷宗信息；库房查询：以库房维度可视化查看各个货柜的结构以卷宗数及详情。</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15.数据统计：系统具有统计全局卷宗数据的功能；综合统计：统计各单位卷宗的数据，包括卷宗总数、卷宗类别，案件各状态的数量，同时支持切换全局数量各子单位数量，提供数据导出功能。库房统计：统计库房各区域、柜子的使用情况、未使用情况，以及各区域及柜子的卷宗数量，提供数据导出功能。流水统计：统计下属各单位的卷宗出入库流水数量，提供数据导出功能。</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16.智能盘点：</w:t>
            </w:r>
            <w:r>
              <w:rPr>
                <w:rFonts w:hint="eastAsia" w:ascii="仿宋" w:hAnsi="仿宋" w:eastAsia="仿宋" w:cs="仿宋"/>
                <w:i w:val="0"/>
                <w:iCs w:val="0"/>
                <w:color w:val="auto"/>
                <w:kern w:val="0"/>
                <w:sz w:val="21"/>
                <w:szCs w:val="21"/>
                <w:u w:val="none"/>
                <w:lang w:val="en-US" w:eastAsia="zh-CN" w:bidi="ar"/>
              </w:rPr>
              <w:t>(1)</w:t>
            </w:r>
            <w:r>
              <w:rPr>
                <w:rFonts w:hint="eastAsia" w:ascii="仿宋" w:hAnsi="仿宋" w:eastAsia="仿宋" w:cs="仿宋"/>
                <w:color w:val="auto"/>
                <w:sz w:val="21"/>
                <w:szCs w:val="21"/>
                <w:lang w:val="en-US" w:eastAsia="zh-CN"/>
              </w:rPr>
              <w:t>通过系统新建盘点任务，包括盘点库房、盘点区域、盘点货柜，并将任务进行派发到盘点终端，盘点区域只可为具有盘点权限的库房。</w:t>
            </w:r>
          </w:p>
          <w:p>
            <w:pPr>
              <w:pStyle w:val="41"/>
              <w:numPr>
                <w:ilvl w:val="0"/>
                <w:numId w:val="0"/>
              </w:numPr>
              <w:ind w:leftChars="0"/>
              <w:rPr>
                <w:rFonts w:hint="eastAsia" w:ascii="仿宋" w:hAnsi="仿宋" w:eastAsia="仿宋" w:cs="仿宋"/>
                <w:color w:val="auto"/>
                <w:sz w:val="21"/>
                <w:szCs w:val="21"/>
                <w:lang w:val="en-US" w:eastAsia="zh-CN"/>
              </w:rPr>
            </w:pPr>
            <w:r>
              <w:rPr>
                <w:rFonts w:hint="eastAsia" w:ascii="仿宋" w:hAnsi="仿宋" w:eastAsia="仿宋" w:cs="仿宋"/>
                <w:i w:val="0"/>
                <w:iCs w:val="0"/>
                <w:color w:val="auto"/>
                <w:kern w:val="0"/>
                <w:sz w:val="21"/>
                <w:szCs w:val="21"/>
                <w:u w:val="none"/>
                <w:lang w:val="en-US" w:eastAsia="zh-CN" w:bidi="ar"/>
              </w:rPr>
              <w:t>(2)</w:t>
            </w:r>
            <w:r>
              <w:rPr>
                <w:rFonts w:hint="eastAsia" w:ascii="仿宋" w:hAnsi="仿宋" w:eastAsia="仿宋" w:cs="仿宋"/>
                <w:color w:val="auto"/>
                <w:sz w:val="21"/>
                <w:szCs w:val="21"/>
                <w:lang w:val="en-US" w:eastAsia="zh-CN"/>
              </w:rPr>
              <w:t>通过盘点终端对库房进行卷宗盘点，并将盘点结果回传到系统，便于进行盘点结果展示，解决人工盘点耗时长、误差率高等传统盘点的难题。</w:t>
            </w:r>
            <w:r>
              <w:rPr>
                <w:rFonts w:hint="eastAsia" w:ascii="仿宋" w:hAnsi="仿宋" w:eastAsia="仿宋" w:cs="仿宋"/>
                <w:i w:val="0"/>
                <w:iCs w:val="0"/>
                <w:color w:val="auto"/>
                <w:kern w:val="0"/>
                <w:sz w:val="21"/>
                <w:szCs w:val="21"/>
                <w:u w:val="none"/>
                <w:lang w:val="en-US" w:eastAsia="zh-CN" w:bidi="ar"/>
              </w:rPr>
              <w:t>(3)</w:t>
            </w:r>
            <w:r>
              <w:rPr>
                <w:rFonts w:hint="eastAsia" w:ascii="仿宋" w:hAnsi="仿宋" w:eastAsia="仿宋" w:cs="仿宋"/>
                <w:color w:val="auto"/>
                <w:sz w:val="21"/>
                <w:szCs w:val="21"/>
                <w:lang w:val="en-US" w:eastAsia="zh-CN"/>
              </w:rPr>
              <w:t>提供手动盘点模式，可以将盘点任务导出至单机终端，手动记录在库卷宗盘点信息，并将结果回传到系统，便于系统进行盘点结果展示。</w:t>
            </w:r>
            <w:r>
              <w:rPr>
                <w:rFonts w:hint="eastAsia" w:ascii="仿宋" w:hAnsi="仿宋" w:eastAsia="仿宋" w:cs="仿宋"/>
                <w:i w:val="0"/>
                <w:iCs w:val="0"/>
                <w:color w:val="auto"/>
                <w:kern w:val="0"/>
                <w:sz w:val="21"/>
                <w:szCs w:val="21"/>
                <w:u w:val="none"/>
                <w:lang w:val="en-US" w:eastAsia="zh-CN" w:bidi="ar"/>
              </w:rPr>
              <w:t>(4)</w:t>
            </w:r>
            <w:r>
              <w:rPr>
                <w:rFonts w:hint="eastAsia" w:ascii="仿宋" w:hAnsi="仿宋" w:eastAsia="仿宋" w:cs="仿宋"/>
                <w:color w:val="auto"/>
                <w:sz w:val="21"/>
                <w:szCs w:val="21"/>
                <w:lang w:val="en-US" w:eastAsia="zh-CN"/>
              </w:rPr>
              <w:t>针对盘点终端回传数据，进行盘点结果展示，包括盘点区域全部卷宗、实际装卷宗、缺失卷宗，提供导出功能，便于有效掌握在库卷宗的实际信息。</w:t>
            </w:r>
          </w:p>
          <w:p>
            <w:pPr>
              <w:pStyle w:val="41"/>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智能柜应用：业务软件联动物联网智能卷宗保管柜，对卷宗存入、取出进行动态监测，通过实体卷宗关联标签，建立一物一码，重点对存、取卷进行自动识别，检测卷宗存入、取出行为，解决卷宗多拿、错拿的行为，做到出入留痕，并在卷宗出入库时，通过摄像头进行全程记录，如有异常行为进行告警提醒，规避卷宗错拿、误拿、丢失的风险，提供科学、安全的卷宗保管环境。</w:t>
            </w:r>
          </w:p>
          <w:p>
            <w:pPr>
              <w:pStyle w:val="41"/>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18.电子卷应用：实现电子卷与实体卷的关联，包括：</w:t>
            </w:r>
            <w:r>
              <w:rPr>
                <w:rFonts w:hint="eastAsia" w:ascii="仿宋" w:hAnsi="仿宋" w:eastAsia="仿宋" w:cs="仿宋"/>
                <w:i w:val="0"/>
                <w:iCs w:val="0"/>
                <w:color w:val="auto"/>
                <w:kern w:val="0"/>
                <w:sz w:val="21"/>
                <w:szCs w:val="21"/>
                <w:u w:val="none"/>
                <w:lang w:val="en-US" w:eastAsia="zh-CN" w:bidi="ar"/>
              </w:rPr>
              <w:t>(1)</w:t>
            </w:r>
            <w:r>
              <w:rPr>
                <w:rFonts w:hint="eastAsia" w:ascii="仿宋" w:hAnsi="仿宋" w:eastAsia="仿宋" w:cs="仿宋"/>
                <w:color w:val="auto"/>
                <w:sz w:val="21"/>
                <w:szCs w:val="21"/>
                <w:lang w:val="en-US" w:eastAsia="zh-CN"/>
              </w:rPr>
              <w:t>目录添加，添加实体卷目录，包括目录名称、页码；</w:t>
            </w:r>
            <w:r>
              <w:rPr>
                <w:rFonts w:hint="eastAsia" w:ascii="仿宋" w:hAnsi="仿宋" w:eastAsia="仿宋" w:cs="仿宋"/>
                <w:i w:val="0"/>
                <w:iCs w:val="0"/>
                <w:color w:val="auto"/>
                <w:kern w:val="0"/>
                <w:sz w:val="21"/>
                <w:szCs w:val="21"/>
                <w:u w:val="none"/>
                <w:lang w:val="en-US" w:eastAsia="zh-CN" w:bidi="ar"/>
              </w:rPr>
              <w:t>(2)</w:t>
            </w:r>
            <w:r>
              <w:rPr>
                <w:rFonts w:hint="eastAsia" w:ascii="仿宋" w:hAnsi="仿宋" w:eastAsia="仿宋" w:cs="仿宋"/>
                <w:color w:val="auto"/>
                <w:sz w:val="21"/>
                <w:szCs w:val="21"/>
                <w:lang w:val="en-US" w:eastAsia="zh-CN"/>
              </w:rPr>
              <w:t>导入电子卷图片，支持批量图片导入，提供删除功能；</w:t>
            </w:r>
            <w:r>
              <w:rPr>
                <w:rFonts w:hint="eastAsia" w:ascii="仿宋" w:hAnsi="仿宋" w:eastAsia="仿宋" w:cs="仿宋"/>
                <w:i w:val="0"/>
                <w:iCs w:val="0"/>
                <w:color w:val="auto"/>
                <w:kern w:val="0"/>
                <w:sz w:val="21"/>
                <w:szCs w:val="21"/>
                <w:u w:val="none"/>
                <w:lang w:val="en-US" w:eastAsia="zh-CN" w:bidi="ar"/>
              </w:rPr>
              <w:t>(3)</w:t>
            </w:r>
            <w:r>
              <w:rPr>
                <w:rFonts w:hint="eastAsia" w:ascii="仿宋" w:hAnsi="仿宋" w:eastAsia="仿宋" w:cs="仿宋"/>
                <w:color w:val="auto"/>
                <w:sz w:val="21"/>
                <w:szCs w:val="21"/>
                <w:lang w:val="en-US" w:eastAsia="zh-CN"/>
              </w:rPr>
              <w:t>电子卷关联，将导入的图片和目录进行关联，支持页码自动对应和图片位置变更；"</w:t>
            </w:r>
            <w:r>
              <w:rPr>
                <w:rFonts w:hint="eastAsia" w:ascii="仿宋" w:hAnsi="仿宋" w:eastAsia="仿宋" w:cs="仿宋"/>
                <w:i w:val="0"/>
                <w:iCs w:val="0"/>
                <w:color w:val="auto"/>
                <w:kern w:val="0"/>
                <w:sz w:val="21"/>
                <w:szCs w:val="21"/>
                <w:u w:val="none"/>
                <w:lang w:val="en-US" w:eastAsia="zh-CN" w:bidi="ar"/>
              </w:rPr>
              <w:t>(4)</w:t>
            </w:r>
            <w:r>
              <w:rPr>
                <w:rFonts w:hint="eastAsia" w:ascii="仿宋" w:hAnsi="仿宋" w:eastAsia="仿宋" w:cs="仿宋"/>
                <w:color w:val="auto"/>
                <w:sz w:val="21"/>
                <w:szCs w:val="21"/>
                <w:lang w:val="en-US" w:eastAsia="zh-CN"/>
              </w:rPr>
              <w:t>查阅电子卷，可通过目录、页码检索电子卷图片，也可通过翻页查看电子卷图片。</w:t>
            </w:r>
            <w:r>
              <w:rPr>
                <w:rFonts w:hint="eastAsia" w:ascii="仿宋" w:hAnsi="仿宋" w:eastAsia="仿宋" w:cs="仿宋"/>
                <w:i w:val="0"/>
                <w:iCs w:val="0"/>
                <w:color w:val="auto"/>
                <w:kern w:val="0"/>
                <w:sz w:val="21"/>
                <w:szCs w:val="21"/>
                <w:u w:val="none"/>
                <w:lang w:val="en-US" w:eastAsia="zh-CN" w:bidi="ar"/>
              </w:rPr>
              <w:t>(5)</w:t>
            </w:r>
            <w:r>
              <w:rPr>
                <w:rFonts w:hint="eastAsia" w:ascii="仿宋" w:hAnsi="仿宋" w:eastAsia="仿宋" w:cs="仿宋"/>
                <w:color w:val="auto"/>
                <w:sz w:val="21"/>
                <w:szCs w:val="21"/>
                <w:lang w:val="en-US" w:eastAsia="zh-CN"/>
              </w:rPr>
              <w:t>电子卷批注，通过画笔、文字批注电子卷。</w:t>
            </w:r>
          </w:p>
          <w:p>
            <w:pPr>
              <w:pStyle w:val="41"/>
              <w:numPr>
                <w:ilvl w:val="0"/>
                <w:numId w:val="0"/>
              </w:num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19.远程设备控制：</w:t>
            </w:r>
            <w:r>
              <w:rPr>
                <w:rFonts w:hint="eastAsia" w:ascii="仿宋" w:hAnsi="仿宋" w:eastAsia="仿宋" w:cs="仿宋"/>
                <w:i w:val="0"/>
                <w:iCs w:val="0"/>
                <w:color w:val="auto"/>
                <w:kern w:val="0"/>
                <w:sz w:val="21"/>
                <w:szCs w:val="21"/>
                <w:u w:val="none"/>
                <w:lang w:val="en-US" w:eastAsia="zh-CN" w:bidi="ar"/>
              </w:rPr>
              <w:t>(1)</w:t>
            </w:r>
            <w:r>
              <w:rPr>
                <w:rFonts w:hint="eastAsia" w:ascii="仿宋" w:hAnsi="仿宋" w:eastAsia="仿宋" w:cs="仿宋"/>
                <w:color w:val="auto"/>
                <w:sz w:val="21"/>
                <w:szCs w:val="21"/>
                <w:lang w:val="en-US" w:eastAsia="zh-CN"/>
              </w:rPr>
              <w:t>支持远程控制门禁进行开门；</w:t>
            </w:r>
            <w:r>
              <w:rPr>
                <w:rFonts w:hint="eastAsia" w:ascii="仿宋" w:hAnsi="仿宋" w:eastAsia="仿宋" w:cs="仿宋"/>
                <w:i w:val="0"/>
                <w:iCs w:val="0"/>
                <w:color w:val="auto"/>
                <w:kern w:val="0"/>
                <w:sz w:val="21"/>
                <w:szCs w:val="21"/>
                <w:u w:val="none"/>
                <w:lang w:val="en-US" w:eastAsia="zh-CN" w:bidi="ar"/>
              </w:rPr>
              <w:t>(2)</w:t>
            </w:r>
            <w:r>
              <w:rPr>
                <w:rFonts w:hint="eastAsia" w:ascii="仿宋" w:hAnsi="仿宋" w:eastAsia="仿宋" w:cs="仿宋"/>
                <w:color w:val="auto"/>
                <w:sz w:val="21"/>
                <w:szCs w:val="21"/>
                <w:lang w:val="en-US" w:eastAsia="zh-CN"/>
              </w:rPr>
              <w:t>支持远程控制智能柜开启；</w:t>
            </w:r>
            <w:r>
              <w:rPr>
                <w:rFonts w:hint="eastAsia" w:ascii="仿宋" w:hAnsi="仿宋" w:eastAsia="仿宋" w:cs="仿宋"/>
                <w:i w:val="0"/>
                <w:iCs w:val="0"/>
                <w:color w:val="auto"/>
                <w:kern w:val="0"/>
                <w:sz w:val="21"/>
                <w:szCs w:val="21"/>
                <w:u w:val="none"/>
                <w:lang w:val="en-US" w:eastAsia="zh-CN" w:bidi="ar"/>
              </w:rPr>
              <w:t>(3)</w:t>
            </w:r>
            <w:r>
              <w:rPr>
                <w:rFonts w:hint="eastAsia" w:ascii="仿宋" w:hAnsi="仿宋" w:eastAsia="仿宋" w:cs="仿宋"/>
                <w:color w:val="auto"/>
                <w:sz w:val="21"/>
                <w:szCs w:val="21"/>
                <w:lang w:val="en-US" w:eastAsia="zh-CN"/>
              </w:rPr>
              <w:t>支持远程控制摄像机。</w:t>
            </w:r>
          </w:p>
        </w:tc>
        <w:tc>
          <w:tcPr>
            <w:tcW w:w="379" w:type="pct"/>
            <w:tcBorders>
              <w:tl2br w:val="nil"/>
              <w:tr2bl w:val="nil"/>
            </w:tcBorders>
            <w:shd w:val="clear" w:color="auto" w:fill="auto"/>
            <w:noWrap/>
            <w:vAlign w:val="bottom"/>
          </w:tcPr>
          <w:p>
            <w:pPr>
              <w:pStyle w:val="41"/>
              <w:numPr>
                <w:ilvl w:val="0"/>
                <w:numId w:val="0"/>
              </w:numPr>
              <w:rPr>
                <w:rFonts w:hint="eastAsia" w:ascii="仿宋" w:hAnsi="仿宋" w:eastAsia="仿宋" w:cs="仿宋"/>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w:t>
            </w:r>
          </w:p>
        </w:tc>
        <w:tc>
          <w:tcPr>
            <w:tcW w:w="647" w:type="pct"/>
            <w:tcBorders>
              <w:tl2br w:val="nil"/>
              <w:tr2bl w:val="nil"/>
            </w:tcBorders>
            <w:shd w:val="clear" w:color="auto" w:fill="auto"/>
            <w:noWrap/>
            <w:vAlign w:val="center"/>
          </w:tcPr>
          <w:p>
            <w:pPr>
              <w:jc w:val="center"/>
              <w:rPr>
                <w:rFonts w:hint="eastAsia" w:ascii="仿宋" w:hAnsi="仿宋" w:eastAsia="仿宋" w:cs="仿宋"/>
                <w:b/>
                <w:bCs/>
                <w:i w:val="0"/>
                <w:iCs w:val="0"/>
                <w:color w:val="auto"/>
                <w:sz w:val="21"/>
                <w:szCs w:val="21"/>
                <w:u w:val="none"/>
                <w:lang w:val="en-US" w:eastAsia="zh-CN"/>
              </w:rPr>
            </w:pPr>
            <w:r>
              <w:rPr>
                <w:rFonts w:hint="eastAsia" w:ascii="仿宋" w:hAnsi="仿宋" w:eastAsia="仿宋" w:cs="仿宋"/>
                <w:b/>
                <w:bCs/>
                <w:i w:val="0"/>
                <w:iCs w:val="0"/>
                <w:color w:val="auto"/>
                <w:sz w:val="21"/>
                <w:szCs w:val="21"/>
                <w:u w:val="none"/>
                <w:lang w:val="en-US" w:eastAsia="zh-CN"/>
              </w:rPr>
              <w:t>笔录制作软件</w:t>
            </w:r>
          </w:p>
        </w:tc>
        <w:tc>
          <w:tcPr>
            <w:tcW w:w="3611" w:type="pct"/>
            <w:tcBorders>
              <w:tl2br w:val="nil"/>
              <w:tr2bl w:val="nil"/>
            </w:tcBorders>
            <w:shd w:val="clear" w:color="auto" w:fill="auto"/>
            <w:noWrap/>
            <w:vAlign w:val="bottom"/>
          </w:tcPr>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一、空白文书打印：</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支持调查（询问）笔录的空白笔录打印和导出</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二、告知书管理：</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1.内置《行政案件权利义务告知书》，支持新增、修改和删除</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2.支持汉语，维语，朝鲜语的录播</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3.支持汉语的在线播报</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4.支持投屏展示</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三、笔录模板管理</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1.内置行政询问笔录的制作模板，方便笔录快速制作</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2.快速维护笔录模板，修改其模板名称等</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四、笔录问答模板管理：</w:t>
            </w:r>
          </w:p>
          <w:p>
            <w:pPr>
              <w:spacing w:line="240" w:lineRule="auto"/>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1.内置行政询问相关的笔录问答模板，并可根据制作笔录时选择的笔录类型从模板中自动检索对应不同的笔录问答模板</w:t>
            </w:r>
          </w:p>
          <w:p>
            <w:pPr>
              <w:spacing w:line="240" w:lineRule="auto"/>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2.可以对内置的笔录问答模板进行新增、修改、删除</w:t>
            </w:r>
          </w:p>
          <w:p>
            <w:pPr>
              <w:pStyle w:val="16"/>
              <w:spacing w:line="240" w:lineRule="auto"/>
              <w:ind w:left="0" w:leftChars="0" w:firstLine="0" w:firstLineChars="0"/>
              <w:rPr>
                <w:rFonts w:hint="default"/>
                <w:color w:val="auto"/>
                <w:sz w:val="21"/>
                <w:szCs w:val="21"/>
                <w:lang w:val="en-US" w:eastAsia="zh-CN"/>
              </w:rPr>
            </w:pPr>
            <w:r>
              <w:rPr>
                <w:rFonts w:hint="eastAsia" w:ascii="仿宋" w:hAnsi="仿宋" w:eastAsia="仿宋" w:cs="仿宋"/>
                <w:b w:val="0"/>
                <w:bCs w:val="0"/>
                <w:i w:val="0"/>
                <w:iCs w:val="0"/>
                <w:color w:val="auto"/>
                <w:sz w:val="21"/>
                <w:szCs w:val="21"/>
                <w:u w:val="none"/>
                <w:lang w:val="en-US" w:eastAsia="zh-CN"/>
              </w:rPr>
              <w:t>3.可以根据询问习惯自行维护，导入临时问答模板</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五、制作笔录：此模块是办案执法人员使用，为方便执法人员完成笔录制作包含以下功能：</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1.案件信息：可以对案件名称等案件信息进行录入</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2.人员信息：可以对人员基本信息，例如证件类型、姓名等</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3.笔录格式：在询问人制作笔录前可以选择笔录类型，根据笔录类型自动生成笔录模板，方便快速制作</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4.笔录问答模板：询问人选择相应的笔录问答模板，方便快速记录</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5.开始笔录：询问人选择开始进行笔录制作</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6.已用时：询问人选择开始笔录后开始计时，暂停时，计时也会停止</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7.宣读告知书：在笔录时询问人要宣读告知书，如果有副屏，告知书的内容会副屏显示，音频通过外置音箱进行播放</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 xml:space="preserve">8.法律法规查询：询问人在制作笔录过程中可以查阅法律法规 </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9.笔录正文朗读：询问人可以选择笔录正文的文字通过外置音箱进行朗读</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10.完成笔录：在笔录完成后询问人可以选择完成笔录</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11.签字捺印：询问人在完成笔录后可以使用签字捺印板让被询问人进行签字捺印</w:t>
            </w:r>
          </w:p>
          <w:p>
            <w:pPr>
              <w:jc w:val="left"/>
              <w:rPr>
                <w:rFonts w:hint="eastAsia" w:ascii="仿宋" w:hAnsi="仿宋" w:eastAsia="仿宋" w:cs="仿宋"/>
                <w:b w:val="0"/>
                <w:bCs w:val="0"/>
                <w:i w:val="0"/>
                <w:iCs w:val="0"/>
                <w:color w:val="auto"/>
                <w:sz w:val="21"/>
                <w:szCs w:val="21"/>
                <w:u w:val="none"/>
                <w:lang w:val="en-US" w:eastAsia="zh-CN"/>
              </w:rPr>
            </w:pPr>
            <w:r>
              <w:rPr>
                <w:rFonts w:hint="eastAsia" w:ascii="仿宋" w:hAnsi="仿宋" w:eastAsia="仿宋" w:cs="仿宋"/>
                <w:b w:val="0"/>
                <w:bCs w:val="0"/>
                <w:i w:val="0"/>
                <w:iCs w:val="0"/>
                <w:color w:val="auto"/>
                <w:sz w:val="21"/>
                <w:szCs w:val="21"/>
                <w:u w:val="none"/>
                <w:lang w:val="en-US" w:eastAsia="zh-CN"/>
              </w:rPr>
              <w:t>12.打印导出：询问人可以笔录过程中随时进行打印和导出笔录信息</w:t>
            </w:r>
          </w:p>
        </w:tc>
        <w:tc>
          <w:tcPr>
            <w:tcW w:w="379" w:type="pct"/>
            <w:tcBorders>
              <w:tl2br w:val="nil"/>
              <w:tr2bl w:val="nil"/>
            </w:tcBorders>
            <w:shd w:val="clear" w:color="auto" w:fill="auto"/>
            <w:noWrap/>
            <w:vAlign w:val="bottom"/>
          </w:tcPr>
          <w:p>
            <w:pPr>
              <w:jc w:val="left"/>
              <w:rPr>
                <w:rFonts w:hint="eastAsia" w:ascii="仿宋" w:hAnsi="仿宋" w:eastAsia="仿宋" w:cs="仿宋"/>
                <w:b w:val="0"/>
                <w:bCs w:val="0"/>
                <w:i w:val="0"/>
                <w:iCs w:val="0"/>
                <w:color w:val="auto"/>
                <w:sz w:val="21"/>
                <w:szCs w:val="21"/>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620" w:type="pct"/>
            <w:gridSpan w:val="3"/>
            <w:tcBorders>
              <w:tl2br w:val="nil"/>
              <w:tr2bl w:val="nil"/>
            </w:tcBorders>
            <w:shd w:val="clear" w:color="auto" w:fill="auto"/>
            <w:noWrap/>
            <w:vAlign w:val="center"/>
          </w:tcPr>
          <w:p>
            <w:pP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（二）智能化设备</w:t>
            </w:r>
          </w:p>
        </w:tc>
        <w:tc>
          <w:tcPr>
            <w:tcW w:w="379" w:type="pct"/>
            <w:tcBorders>
              <w:tl2br w:val="nil"/>
              <w:tr2bl w:val="nil"/>
            </w:tcBorders>
            <w:shd w:val="clear" w:color="auto" w:fill="auto"/>
            <w:noWrap/>
            <w:vAlign w:val="center"/>
          </w:tcPr>
          <w:p>
            <w:pP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0" w:type="pct"/>
            <w:gridSpan w:val="3"/>
            <w:tcBorders>
              <w:tl2br w:val="nil"/>
              <w:tr2bl w:val="nil"/>
            </w:tcBorders>
            <w:shd w:val="clear" w:color="auto" w:fill="auto"/>
            <w:noWrap/>
            <w:vAlign w:val="center"/>
          </w:tcPr>
          <w:p>
            <w:pPr>
              <w:jc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信息登记大厅</w:t>
            </w:r>
          </w:p>
        </w:tc>
        <w:tc>
          <w:tcPr>
            <w:tcW w:w="379" w:type="pct"/>
            <w:tcBorders>
              <w:tl2br w:val="nil"/>
              <w:tr2bl w:val="nil"/>
            </w:tcBorders>
            <w:shd w:val="clear" w:color="auto" w:fill="auto"/>
            <w:noWrap/>
            <w:vAlign w:val="center"/>
          </w:tcPr>
          <w:p>
            <w:pP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usb集线器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USB 3.0HUB四口集线器及其配套电源</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2</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签字捺印一体机（登记、随身物品、安全检查用）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1.产品尺寸：不大于355mm</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eastAsia="zh-CN"/>
              </w:rPr>
              <w:t>168mm</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eastAsia="zh-CN"/>
              </w:rPr>
              <w:t>17mm（L</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eastAsia="zh-CN"/>
              </w:rPr>
              <w:t>W</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eastAsia="zh-CN"/>
              </w:rPr>
              <w:t>H）</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2.CPU：不低于四核CPU 1.8GHz</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3.操作系统：Android 7.1</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4.系统内存：不低于2GB</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5.存储容量：不低于16GB</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6.不低于10.1寸电磁电容屏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7.带有无源电磁笔，具备手写签名功能</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8.分辨率：不低于1280*800</w:t>
            </w:r>
          </w:p>
          <w:p>
            <w:pPr>
              <w:keepNext w:val="0"/>
              <w:keepLines w:val="0"/>
              <w:widowControl/>
              <w:suppressLineNumbers w:val="0"/>
              <w:shd w:val="clear"/>
              <w:jc w:val="left"/>
              <w:textAlignment w:val="center"/>
              <w:rPr>
                <w:rFonts w:hint="eastAsia" w:ascii="仿宋" w:hAnsi="仿宋" w:eastAsia="仿宋" w:cs="仿宋"/>
                <w:i w:val="0"/>
                <w:iCs w:val="0"/>
                <w:color w:val="auto"/>
                <w:sz w:val="21"/>
                <w:szCs w:val="21"/>
                <w:highlight w:val="none"/>
                <w:u w:val="none"/>
                <w:lang w:eastAsia="zh-CN"/>
              </w:rPr>
            </w:pPr>
            <w:r>
              <w:rPr>
                <w:rFonts w:hint="eastAsia" w:ascii="仿宋" w:hAnsi="仿宋" w:eastAsia="仿宋" w:cs="仿宋"/>
                <w:i w:val="0"/>
                <w:iCs w:val="0"/>
                <w:color w:val="auto"/>
                <w:sz w:val="21"/>
                <w:szCs w:val="21"/>
                <w:highlight w:val="none"/>
                <w:u w:val="none"/>
                <w:lang w:eastAsia="zh-CN"/>
              </w:rPr>
              <w:t>9.触控方式：5点触控</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eastAsia="zh-CN"/>
              </w:rPr>
              <w:t>10.加密芯片检验：内置加密芯片，且该加密芯片具有国家密码管理局颁发的《商用密码产品型号证书》，</w:t>
            </w:r>
            <w:r>
              <w:rPr>
                <w:rFonts w:hint="eastAsia" w:ascii="仿宋" w:hAnsi="仿宋" w:eastAsia="仿宋" w:cs="仿宋"/>
                <w:i w:val="0"/>
                <w:iCs w:val="0"/>
                <w:color w:val="auto"/>
                <w:sz w:val="21"/>
                <w:szCs w:val="21"/>
                <w:u w:val="none"/>
                <w:lang w:val="en-US" w:eastAsia="zh-CN"/>
              </w:rPr>
              <w:t>并</w:t>
            </w:r>
            <w:r>
              <w:rPr>
                <w:rFonts w:hint="eastAsia" w:ascii="仿宋" w:hAnsi="仿宋" w:eastAsia="仿宋" w:cs="仿宋"/>
                <w:i w:val="0"/>
                <w:iCs w:val="0"/>
                <w:color w:val="auto"/>
                <w:sz w:val="21"/>
                <w:szCs w:val="21"/>
                <w:u w:val="none"/>
                <w:lang w:eastAsia="zh-CN"/>
              </w:rPr>
              <w:t>提供国家认可的第三方检验检测机构出具的</w:t>
            </w:r>
            <w:r>
              <w:rPr>
                <w:rFonts w:hint="eastAsia" w:ascii="仿宋" w:hAnsi="仿宋" w:eastAsia="仿宋" w:cs="仿宋"/>
                <w:i w:val="0"/>
                <w:iCs w:val="0"/>
                <w:color w:val="auto"/>
                <w:sz w:val="21"/>
                <w:szCs w:val="21"/>
                <w:u w:val="none"/>
                <w:lang w:val="en-US" w:eastAsia="zh-CN"/>
              </w:rPr>
              <w:t>带有“CMA”或“CNAS”的检测报告。</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lang w:eastAsia="zh-CN"/>
              </w:rPr>
              <w:t>11.电磁笔书写功能检验：使用电磁笔在触摸屏上书写时不会出现断点，延时现象，并可根据按压力度显示不同粗细程度的笔迹，</w:t>
            </w:r>
            <w:r>
              <w:rPr>
                <w:rFonts w:hint="eastAsia" w:ascii="仿宋" w:hAnsi="仿宋" w:eastAsia="仿宋" w:cs="仿宋"/>
                <w:i w:val="0"/>
                <w:iCs w:val="0"/>
                <w:color w:val="auto"/>
                <w:sz w:val="21"/>
                <w:szCs w:val="21"/>
                <w:u w:val="none"/>
                <w:lang w:val="en-US" w:eastAsia="zh-CN"/>
              </w:rPr>
              <w:t>并</w:t>
            </w:r>
            <w:r>
              <w:rPr>
                <w:rFonts w:hint="eastAsia" w:ascii="仿宋" w:hAnsi="仿宋" w:eastAsia="仿宋" w:cs="仿宋"/>
                <w:i w:val="0"/>
                <w:iCs w:val="0"/>
                <w:color w:val="auto"/>
                <w:sz w:val="21"/>
                <w:szCs w:val="21"/>
                <w:u w:val="none"/>
                <w:lang w:eastAsia="zh-CN"/>
              </w:rPr>
              <w:t>提供国家认可的第三方检验检测机构出具的带有“CMA”或“CNAS”的检测报告</w:t>
            </w:r>
            <w:r>
              <w:rPr>
                <w:rFonts w:hint="eastAsia" w:ascii="仿宋" w:hAnsi="仿宋" w:eastAsia="仿宋" w:cs="仿宋"/>
                <w:i w:val="0"/>
                <w:iCs w:val="0"/>
                <w:color w:val="auto"/>
                <w:sz w:val="21"/>
                <w:szCs w:val="21"/>
                <w:highlight w:val="none"/>
                <w:u w:val="none"/>
                <w:lang w:eastAsia="zh-CN"/>
              </w:rPr>
              <w:t>。</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3</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高清全景摄像机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1.应采用不低于400万像素半球星光智能网络摄像机；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2.应支持开放型网络视频接口，GB/T28181-2016，视图库；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3.宽动态：不低于120dB；</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4.最低照度：彩色：0.0005 Lux @（F1.2，AGC ON）；黑白：0.0001 Lux @（F1.2，AGC ON），0 Lux with IR；</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5.补光灯类型：红外补光，补光距离不低于30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6.最大图像尺寸：≥2560</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rPr>
              <w:t>1440；</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7.视频压缩标准：主码流：H.265/H.264；子码流：H.265/H.264/MJPEG；第三码流：H.265/H.264；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8.接口：应具备不少于1个RJ45 10 M/100 M自适应以太网口，应具备不少于1路音频输入，应具备不少于1路音频输出，应具备不少于1路输入，应具备不少于1路输出；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9.SD卡扩展：内置MicroSD/MicroSDHC/MicroSDXC插槽，最大支持≥256 GB；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4</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拾音器电源</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1.达到V5能效等级</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2.应支持AC180~260V电压供电</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3.应支持DC12V2A输出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4.应支持温度范围在-30℃~+70℃的环境下工作</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5</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拾音器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1、2麦克风阵列，360°全向拾音，</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5米拾音半径</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2、支持智能（稳态和瞬态）降噪算法、抗混响，人声增强，保证通话/音频质量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3、高速语音DSP处理单元，可搭配摄像机和音箱，实现对讲功能</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4、支持多级音量调节功能，可通过Web页面调节音量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5、吸顶安装，具备设备状态指示灯（支持设备故障显示），方便现场排查问题</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6、电源极性反转及防雷保护，现场安装接线无后顾之忧</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7、支持通过网络对设备进行参数配置升级维护等</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8、支持网络音频流对接摄像机、后端产品</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9、支持针对音频陡升和声音异常进行报警</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硬件配置：</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1、麦克风类型：驻极体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2、指向性：全向,</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60°定向</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3、拾音范围：</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半径5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4、阵列数量：双MIC</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5、频响范围：20 Hz~20 kHz</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6、灵敏度：</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-37 dBV/Pa</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7、信噪比：</w:t>
            </w:r>
            <w:r>
              <w:rPr>
                <w:rFonts w:hint="eastAsia" w:ascii="仿宋" w:hAnsi="仿宋" w:eastAsia="仿宋" w:cs="仿宋"/>
                <w:i w:val="0"/>
                <w:iCs w:val="0"/>
                <w:color w:val="auto"/>
                <w:sz w:val="21"/>
                <w:szCs w:val="21"/>
                <w:u w:val="none"/>
                <w:lang w:val="en-US" w:eastAsia="zh-CN"/>
              </w:rPr>
              <w:t>不高于</w:t>
            </w:r>
            <w:r>
              <w:rPr>
                <w:rFonts w:hint="eastAsia" w:ascii="仿宋" w:hAnsi="仿宋" w:eastAsia="仿宋" w:cs="仿宋"/>
                <w:i w:val="0"/>
                <w:iCs w:val="0"/>
                <w:color w:val="auto"/>
                <w:sz w:val="21"/>
                <w:szCs w:val="21"/>
                <w:u w:val="none"/>
              </w:rPr>
              <w:t>90 dB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高拍仪</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硬件配置：</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rPr>
              <w:t>主机CMOS：主头配备不低于500万像素、分辨率：不低于2592×1944；可转动第一副头不低于500 万像素、分辨率：不低于2592×1944。接口：USB 2.0连接与供电，即插即用。</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rPr>
              <w:t>可移动第二副头：不低于300 万像素，</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rPr>
              <w:t>USB延长线缆。</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实现功能：</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rPr>
              <w:t>可实现随身物品拍照、人身体表拍照功能。扫描尺寸：A4、A5、A6、A7、证件、名片、票据等。</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rPr>
              <w:t>与办案区系统实现无缝对接</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二代身份证读卡器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硬件配置：</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1、符合GA450-2013台式居民身份证阅读器通用技术要求，兼容ISO14443（TypeB）标准；</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2、推荐平台：WIN2000/XP/WIN7/WIN8/WIN8.）与办案区管理系统对接，可直接读取二代证信息。</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系统功能：</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1、可读取、查询第二代居民身份证的全部信息；</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2、可验证第二代居民身份证真伪。</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3、与办案区系统无缝对接</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0"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门禁及走廊</w:t>
            </w:r>
          </w:p>
        </w:tc>
        <w:tc>
          <w:tcPr>
            <w:tcW w:w="3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门禁控制设备—电磁锁</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1.5线电磁锁*1 可承受不低于280G公斤直线拉力；工作电压：DC 12V ；工作电流：500mA； 适用温度：-20~55摄氏度 ；锁体尺寸：不大于250*50*38mm； 吸板尺寸：不大于180*38*14mm；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2.86盒式点动开门按钮*1； 接电输出 NO/COM接点； 供电方式：干接点信号控制 ；适用温度：-20~50摄氏度 PC防火阻燃材质；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3.12V2A电源*1；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4.含《人脸、指纹门禁授权控制软件V1.0》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5.软件实现功能：与人脸门禁终端配合使用进行门禁控制</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门禁管控与状态显示一体机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1.操作系统：智能嵌入式操作系统</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2.显示屏：不低于10.1英寸触摸屏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3.人脸指纹容量：不低于20000张人脸</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4.设备电源：DC 12V/3A（不带电源，集中供电）</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5.设备功率：25W</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6.相对湿度：0%至90%(在不凝结水滴状态下)</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7.工作温度：-20℃～65℃</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8.使用环境：IP65</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9.安装方式：标配金属安装挂板</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10.尺寸：不大于289mm（长）× 192mm（高）× 34.5mm（厚）</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11.外观参数：不低于10.1寸LCD触摸显示，支持不低于200万像素双目摄头</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12.门禁功能：实现办案区各功能室人脸门禁功能（同时支持刷卡、密码组合认证）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13.显示功能：应支持功能室名称及使用状态显示，候问室被监管人员数量显示、办案区值班人员信息显示</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高清全景摄像机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1.应采用不低于400万像素半球星光智能网络摄像机；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2.应支持开放型网络视频接口，GB/T28181-2016，视图库；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3.宽动态：不低于120 dB；</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4.最低照度：彩色：0.0005 Lux @（F1.2，AGC ON）；黑白：0.0001 Lux @（F1.2，AGC ON），0 Lux with IR；</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5.补光灯类型：红外补光，补光距离不低于30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6.最大图像尺寸：≥2560 × 1440；</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7.视频压缩标准：主码流：H.265/H.264；子码流：H.265/H.264/MJPEG；第三码流：H.265/H.264；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8.接口：应具备不少于1个RJ45 10 M/100 M自适应以太网口，应具备不少于1路音频输入，应具备不少于1路音频输出，应具备不少于1路输入，应具备不少于1路输出；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9.SD卡扩展：内置MicroSD/MicroSDHC/MicroSDXC插槽，最大支持≥256 GB；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1、2麦克风阵列，360°全向拾音，</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5米拾音半径</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2、支持智能（稳态和瞬态）降噪算法、抗混响，人声增强，保证通话/音频质量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3、高速语音DSP处理单元，可搭配摄像机和音箱，实现对讲功能</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4、支持多级音量调节功能，可通过Web页面调节音量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5、吸顶安装，具备设备状态指示灯（支持设备故障显示），方便现场排查问题</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6、电源极性反转及防雷保护，现场安装接线无后顾之忧</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7、支持通过网络对设备进行参数配置升级维护等</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8、支持网络音频流对接摄像机、后端产品</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9、支持针对音频陡升和声音异常进行报警</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硬件配置：</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1、麦克风类型：驻极体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2、指向性：全向,</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60°定向</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3、拾音范围：</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半径5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4、阵列数量：双MIC</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5、频响范围：20 Hz~20 kHz</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6、灵敏度：</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-37 dBV/Pa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7、信噪比：</w:t>
            </w:r>
            <w:r>
              <w:rPr>
                <w:rFonts w:hint="eastAsia" w:ascii="仿宋" w:hAnsi="仿宋" w:eastAsia="仿宋" w:cs="仿宋"/>
                <w:i w:val="0"/>
                <w:iCs w:val="0"/>
                <w:color w:val="auto"/>
                <w:sz w:val="21"/>
                <w:szCs w:val="21"/>
                <w:u w:val="none"/>
                <w:lang w:val="en-US" w:eastAsia="zh-CN"/>
              </w:rPr>
              <w:t>不高于</w:t>
            </w:r>
            <w:r>
              <w:rPr>
                <w:rFonts w:hint="eastAsia" w:ascii="仿宋" w:hAnsi="仿宋" w:eastAsia="仿宋" w:cs="仿宋"/>
                <w:i w:val="0"/>
                <w:iCs w:val="0"/>
                <w:color w:val="auto"/>
                <w:sz w:val="21"/>
                <w:szCs w:val="21"/>
                <w:u w:val="none"/>
              </w:rPr>
              <w:t>90 dB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拾音器电源</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1.达到V5能效等级</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2.应支持AC180~260V电压供电</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3.应支持DC12V2A输出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4.应支持温度范围在-30℃~+70℃的环境下工作</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人脸识别终端</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1.外观参数：不低于7寸LCD触摸显示，支持不低于200万像素双目摄头</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2.设备容量：本地不低于6000人脸、6000张卡、5万条事件记录</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3.认证方式：人脸门禁功能（同时支持刷卡、密码组合认证）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4.通讯方式：上行通讯为TCP/IP；应支持外接RS485，Wiegand副读卡器（不支持外接指纹读卡器）；基线支持标准韦根34/26；</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5.输入接口：不少于LAN*1、RS485*1、wiegand * 1、USB*1、门磁*1、报警输入*2、防拆*1、开门按钮*1；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6.输出接口：电锁*1个，报警输出*1个；</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7.工作电压： DC 12V/2A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8.产品尺寸：不大于239mm*116.5mm*33mm；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9.工作温度：-30~60℃。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10.应支持口罩检测模式，可配置提醒戴口罩模式、强制戴口罩模式，关联门禁控制；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提醒戴口罩模式：未带口罩可做身份验证，身份验证通过后提醒佩戴口罩；</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强制戴口罩模式：未带口罩无法做身份验证，提醒佩戴口罩；</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620"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询问室</w:t>
            </w:r>
          </w:p>
        </w:tc>
        <w:tc>
          <w:tcPr>
            <w:tcW w:w="3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温湿度显示屏</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1.应支持温度、湿度信息检测；</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2.应支持1路相机接入，分辨率不低于400W</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3.应支持对接入的相机画面进行环境信息叠加处理，并被NVR或者平台添加；</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4.显示时间应精确到秒；</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5.应支持RS-485协议上传环境数据、校时；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6.应采用高精度的环境检测传感器，性能稳定可靠；</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7.显示范围：温度：-19℃ ～99℃ ，湿度：0％ ～99％</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8.检测范围：温度：–40°C ~ +125°C，湿度：0%~ 100%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9.测量精度：温度＜±1℃ ，湿度＜ ±4%RH</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10.外部接口：应具备不少于1个RS-485接口，应具备不少于1个RJ45自适应以太网口，应具备不少于1路报警输入，应具备不少于1路报警输出；</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一体化询问桌</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集成询问桌硬件配置：</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1.桌子尺寸：不大于1600×700×760mm(长宽高)</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2.材质为木质外表全软包</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3.配套不低于21.5寸显示设备，桌面摆放；</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4.内置当事人特写补光灯*2；</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5.内置不低于43寸示证显示设备；</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6.CPU：不低于intel I5 CPU；</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7.内存：不低于8G内存；</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8.硬盘：不低于500GB硬盘；</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9.支持电子签字捺印板拓展</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10.支持视频格式的多种告知书播报功能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配合软件实现的功能：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11.多种权利义务告知书视频播报：通过询问桌中的电脑，可以实现多种权利义务告知书的视频播报，播报文件在示证屏上进行滚动显示。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12.配合办案区管理系统，当询问室中不满足“双人询问”情景时，询问电脑自动锁定屏幕，停止询问过程。</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13.配合笔录系统，可以实现笔录文档的电子签名捺印功能。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14.配合示证仪，可以通过示证屏进行本地示证。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15.配合笔录系统，可实现笔录展示功能。</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53"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签字捺印一体机（询问用）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1.产品尺寸：不大于355mm*168mm*17mm（L*W*H）</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2.CPU：不低于四核CPU 1.8GHz</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3.操作系统：Android 7.1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4.系统内存：不低于2GB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5.存储容量：不低于16GB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6.不低于10.1寸电磁电容屏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7.带有无源电磁笔，具备手写签名功能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8.分辨率：不低于1280*800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9.触控方式：5点触控</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10.不低于300万像素鱼眼摄像头，可对签字捺印过程全程录音录像，且可以看清文档、签字的内容</w:t>
            </w:r>
          </w:p>
          <w:p>
            <w:pPr>
              <w:keepNext w:val="0"/>
              <w:keepLines w:val="0"/>
              <w:widowControl/>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lang w:val="en-US" w:eastAsia="zh-CN"/>
              </w:rPr>
              <w:t>★</w:t>
            </w:r>
            <w:r>
              <w:rPr>
                <w:rFonts w:hint="eastAsia" w:ascii="仿宋" w:hAnsi="仿宋" w:eastAsia="仿宋" w:cs="仿宋"/>
                <w:i w:val="0"/>
                <w:iCs w:val="0"/>
                <w:color w:val="auto"/>
                <w:kern w:val="0"/>
                <w:sz w:val="21"/>
                <w:szCs w:val="21"/>
                <w:highlight w:val="none"/>
                <w:u w:val="none"/>
                <w:lang w:val="en-US" w:eastAsia="zh-CN" w:bidi="ar"/>
              </w:rPr>
              <w:t>11.加密芯片检验：内置加密芯片，且该加密芯片具有国家密码管理局颁发的《商用密码产品型号证书》，</w:t>
            </w:r>
            <w:r>
              <w:rPr>
                <w:rFonts w:hint="eastAsia" w:ascii="仿宋" w:hAnsi="仿宋" w:eastAsia="仿宋" w:cs="仿宋"/>
                <w:i w:val="0"/>
                <w:iCs w:val="0"/>
                <w:color w:val="auto"/>
                <w:sz w:val="21"/>
                <w:szCs w:val="21"/>
                <w:highlight w:val="none"/>
                <w:u w:val="none"/>
                <w:lang w:val="en-US" w:eastAsia="zh-CN"/>
              </w:rPr>
              <w:t>并</w:t>
            </w:r>
            <w:r>
              <w:rPr>
                <w:rFonts w:hint="eastAsia" w:ascii="仿宋" w:hAnsi="仿宋" w:eastAsia="仿宋" w:cs="仿宋"/>
                <w:i w:val="0"/>
                <w:iCs w:val="0"/>
                <w:color w:val="auto"/>
                <w:sz w:val="21"/>
                <w:szCs w:val="21"/>
                <w:highlight w:val="none"/>
                <w:u w:val="none"/>
                <w:lang w:eastAsia="zh-CN"/>
              </w:rPr>
              <w:t>提供国家认可的第三方检验检测机构出具的</w:t>
            </w:r>
            <w:r>
              <w:rPr>
                <w:rFonts w:hint="eastAsia" w:ascii="仿宋" w:hAnsi="仿宋" w:eastAsia="仿宋" w:cs="仿宋"/>
                <w:i w:val="0"/>
                <w:iCs w:val="0"/>
                <w:color w:val="auto"/>
                <w:sz w:val="21"/>
                <w:szCs w:val="21"/>
                <w:highlight w:val="none"/>
                <w:u w:val="none"/>
                <w:lang w:val="en-US" w:eastAsia="zh-CN"/>
              </w:rPr>
              <w:t>带有“CMA”或“CNAS”的检测报告。</w:t>
            </w:r>
          </w:p>
          <w:p>
            <w:pPr>
              <w:keepNext w:val="0"/>
              <w:keepLines w:val="0"/>
              <w:widowControl/>
              <w:suppressLineNumbers w:val="0"/>
              <w:shd w:val="clear"/>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lang w:val="en-US" w:eastAsia="zh-CN"/>
              </w:rPr>
              <w:t>★</w:t>
            </w:r>
            <w:r>
              <w:rPr>
                <w:rFonts w:hint="eastAsia" w:ascii="仿宋" w:hAnsi="仿宋" w:eastAsia="仿宋" w:cs="仿宋"/>
                <w:i w:val="0"/>
                <w:iCs w:val="0"/>
                <w:color w:val="auto"/>
                <w:kern w:val="0"/>
                <w:sz w:val="21"/>
                <w:szCs w:val="21"/>
                <w:highlight w:val="none"/>
                <w:u w:val="none"/>
                <w:lang w:val="en-US" w:eastAsia="zh-CN" w:bidi="ar"/>
              </w:rPr>
              <w:t>12.电磁笔书写功能检验：使用电磁笔在触摸屏上书写时不会出现断点，延时现象，并可根据按压力度显示不同粗细程度的笔迹，</w:t>
            </w:r>
            <w:r>
              <w:rPr>
                <w:rFonts w:hint="eastAsia" w:ascii="仿宋" w:hAnsi="仿宋" w:eastAsia="仿宋" w:cs="仿宋"/>
                <w:i w:val="0"/>
                <w:iCs w:val="0"/>
                <w:color w:val="auto"/>
                <w:sz w:val="21"/>
                <w:szCs w:val="21"/>
                <w:highlight w:val="none"/>
                <w:u w:val="none"/>
                <w:lang w:val="en-US" w:eastAsia="zh-CN"/>
              </w:rPr>
              <w:t>并</w:t>
            </w:r>
            <w:r>
              <w:rPr>
                <w:rFonts w:hint="eastAsia" w:ascii="仿宋" w:hAnsi="仿宋" w:eastAsia="仿宋" w:cs="仿宋"/>
                <w:i w:val="0"/>
                <w:iCs w:val="0"/>
                <w:color w:val="auto"/>
                <w:sz w:val="21"/>
                <w:szCs w:val="21"/>
                <w:highlight w:val="none"/>
                <w:u w:val="none"/>
                <w:lang w:eastAsia="zh-CN"/>
              </w:rPr>
              <w:t>提供国家认可的第三方检验检测机构出具的</w:t>
            </w:r>
            <w:r>
              <w:rPr>
                <w:rFonts w:hint="eastAsia" w:ascii="仿宋" w:hAnsi="仿宋" w:eastAsia="仿宋" w:cs="仿宋"/>
                <w:i w:val="0"/>
                <w:iCs w:val="0"/>
                <w:color w:val="auto"/>
                <w:sz w:val="21"/>
                <w:szCs w:val="21"/>
                <w:highlight w:val="none"/>
                <w:u w:val="none"/>
                <w:lang w:val="en-US" w:eastAsia="zh-CN"/>
              </w:rPr>
              <w:t>带有“CMA”或“CNAS”的检测报告。</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1、2麦克风阵列，360°全向拾音，</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5米拾音半径</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2、支持智能（稳态和瞬态）降噪算法、抗混响，人声增强，保证通话/音频质量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3、高速语音DSP处理单元，可搭配摄像机和音箱，实现对讲功能</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4、支持多级音量调节功能，可通过Web页面调节音量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5、吸顶安装，具备设备状态指示灯（支持设备故障显示）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6、电源极性反转及防雷保护</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7、支持通过网络对设备进行参数配置升级维护等</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8、支持网络音频流对接摄像机、后端产品</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9、支持针对音频陡升和声音异常进行报警</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硬件配置：</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1、麦克风类型：驻极体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2、指向性：全向,</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60°定向</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3、拾音范围：</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半径5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4、阵列数量：双MIC</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5、频响范围：20 Hz~20 kHz</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6、灵敏度：</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-37 dBV/Pa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7、信噪比：</w:t>
            </w:r>
            <w:r>
              <w:rPr>
                <w:rFonts w:hint="eastAsia" w:ascii="仿宋" w:hAnsi="仿宋" w:eastAsia="仿宋" w:cs="仿宋"/>
                <w:i w:val="0"/>
                <w:iCs w:val="0"/>
                <w:color w:val="auto"/>
                <w:sz w:val="21"/>
                <w:szCs w:val="21"/>
                <w:u w:val="none"/>
                <w:lang w:val="en-US" w:eastAsia="zh-CN"/>
              </w:rPr>
              <w:t>不高于</w:t>
            </w:r>
            <w:r>
              <w:rPr>
                <w:rFonts w:hint="eastAsia" w:ascii="仿宋" w:hAnsi="仿宋" w:eastAsia="仿宋" w:cs="仿宋"/>
                <w:i w:val="0"/>
                <w:iCs w:val="0"/>
                <w:color w:val="auto"/>
                <w:sz w:val="21"/>
                <w:szCs w:val="21"/>
                <w:u w:val="none"/>
              </w:rPr>
              <w:t>90 dB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高清全景摄像机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1.应采用不低于400万像素半球星光智能网络摄像机；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2.应支持开放型网络视频接口，GB/T28181-2016，视图库；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3.宽动态：不低于120 dB；</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4.最低照度：彩色：0.0005 Lux @（F1.2，AGC ON）；黑白：0.0001 Lux @（F1.2，AGC ON），0 Lux with IR；</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5.补光灯类型：红外补光，补光距离不低于30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6.最大图像尺寸：≥2560 × 1440；</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7.视频压缩标准：主码流：H.265/H.264；子码流：H.265/H.264/MJPEG；第三码流：H.265/H.264；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8.接口：应具备不少于1个RJ45 10 M/100 M自适应以太网口，不少于1路音频输入，不少于1路音频输出，不少于1路输入，不少于1路输出；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9.SD卡扩展：内置MicroSD/MicroSDHC/MicroSDXC插槽，最大支持≥256 GB；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拾音器电源</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w:t>
            </w:r>
            <w:r>
              <w:rPr>
                <w:rFonts w:hint="eastAsia" w:ascii="仿宋" w:hAnsi="仿宋" w:eastAsia="仿宋" w:cs="仿宋"/>
                <w:i w:val="0"/>
                <w:iCs w:val="0"/>
                <w:color w:val="auto"/>
                <w:sz w:val="21"/>
                <w:szCs w:val="21"/>
                <w:u w:val="none"/>
                <w:lang w:val="en-US" w:eastAsia="zh-CN"/>
              </w:rPr>
              <w:t>.</w:t>
            </w:r>
            <w:r>
              <w:rPr>
                <w:rFonts w:hint="eastAsia" w:ascii="仿宋" w:hAnsi="仿宋" w:eastAsia="仿宋" w:cs="仿宋"/>
                <w:i w:val="0"/>
                <w:iCs w:val="0"/>
                <w:color w:val="auto"/>
                <w:sz w:val="21"/>
                <w:szCs w:val="21"/>
                <w:u w:val="none"/>
              </w:rPr>
              <w:t>达到V5能效等级</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2.应支持AC180~260V电压供电</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3.应支持DC12V2A输出</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4.应支持温度范围在-30℃~+70℃的环境下工作</w:t>
            </w:r>
          </w:p>
        </w:tc>
        <w:tc>
          <w:tcPr>
            <w:tcW w:w="379" w:type="pc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高清问询主机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1.应支持6路不低于1080P网络视频接入；</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2.最大支持500万相机接入；</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3.不低于7寸高清触摸屏，支持控制与图像显示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4.应支持视频信息上叠加温湿度传感器信息</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5.应支持设置画中画通道，1080P编码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6.应支持单画面、1大1小、1大2小、1大3小、1大4小、1大5小、1大7小、4均分等多种画面合成</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7.应支持单室双刻、单室轮刻多种刻录模式；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8.标配2个DVD光驱</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9.应支持4个SATA接口，单盘容量最大为8TB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10.不大于19英寸3U机箱</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11.不少于2个RJ45 10M/100M/1000M自适应以太网口</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硬盘</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1.容量：不低于4TB。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2.接口类型：SATA。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3.不低于256M缓存。</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4.不低于3.5英寸。</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5.不低于7200转。</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询问主机专用刻录光盘</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DVD+R，16速4.7G ，桶装50片</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4620"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中心机房</w:t>
            </w:r>
          </w:p>
        </w:tc>
        <w:tc>
          <w:tcPr>
            <w:tcW w:w="3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数据网关服务器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硬件配置：</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1.双网卡，支持管理口，可实现远程开关机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2.H81芯片组</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3.内存：不低于16G 内存</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4.数据存储：不低于1TB；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5.功耗：180W</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系统功能：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1.完成整个办案区硬件设备的接入及数据采集工作；</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2.具备各功能区进出时间采集及计算功能；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3.应用网元包括：报警主机、智能分析摄像机、LED控制器、定位设备、门禁控制器、告警终端、一键刻录、随身物品智能柜等所有网络接口硬件设备；</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4.可接入定位标签不低于35个</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视频平台一体机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1.应具备4个SATA磁盘接口，应支持满配8T硬盘（总容量可达32TB）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2.应采用不低于64位多核处理器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3.接口：应具备不少于2个10M/100M/1000Mbps网口；不少于1个HDMI接口；不少于1个DP接口；不少于4个USB接口；不少于16路报警输入；不少于4路报警输出；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4.含默认授权：≥300路视频</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5.可用于平台对外标准化互联互通（跨网、异构）的组件。支持通用视频联网标准（GB/T28181）,提供支持其他联网标准的扩展能力。</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网络硬盘录像机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1.应采用3U标准机架式；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2.应支持≥64路高清，≥384Mbps带宽网络视频接入；</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3.应支持16个SATA盘位；</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4.应支持RAID 0、1、5、6、10多种RAID模式及全局热备，多重保护数据安全；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5.HDMI应支持8K+1080P或双4K异源输出；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6.应支持H.265、H.264编码前端自适应接入；</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7.应具备不少于2个千兆以太网口，满足网络预览、回放以及备份应用；</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企业级硬盘</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1.容量：不低于6TB。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2.接口类型：SATA。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3.不低于256M缓存。</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4.不低于3.5英寸。</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5.不低于7200转。</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应用服务器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硬件配置：</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1.CPU： 不低于Intel Xeon 3204*1；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2.内存：不低于32GDDR4 内存</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3.硬盘：不低于2TB SATA（企业级）*2；</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4.RAID：支持  RAID0/1；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5.网络：双口千兆*1；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6.电源：单电</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数据存储服务器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硬件配置：</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1.处理器：不低于Realtek RTD1619B；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2.主频：不低于四核心 1.7 GHz；</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3.内存：不低于2GB DDR4；</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4.双盘位；</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5.2T硬盘2块；</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6.硬盘接口：SATA III；</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7.网口：1 x 1GbE；</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8.3 x USB 3.2；</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9.尺寸：不大于165mm x 108mm x 232.7mm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系统功能：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1.用于数据备份，保障安全。</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全千兆非网管POE交换机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1.传输速率：应支持10/100/1000Mbps；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2.背板带宽：≥336Gbps；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3.包转发率：≥96Mpps；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4.端口描述：≥24个10/100/1000M自适应以太网端口支持POE交换；</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5.传输模式：应支持全双工/半双工自适应；</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传输线路</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提供1年传输服务</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0"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文书制作室</w:t>
            </w:r>
          </w:p>
        </w:tc>
        <w:tc>
          <w:tcPr>
            <w:tcW w:w="3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打印机标签纸</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不大于70mm*40mm  1000张/卷</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打印机碳带</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碳带 不大于110mm*70mm  </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无线二维码扫描器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1.图像传感器：CMOS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2.像素：不低于640 * 480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3.照明：白光LED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4.对焦：红光LED 625nm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5.识读码制：2D  PDF417,QR Code,Data Matrix 1D  Code-11，Code-128，Code-39，GS1-128（UCC/EAN-128）,AIM-128, ISBT-128，Codabar, Code 93, UPC-A, UPC-E,Coupon， GS1 Composite, EAN-8, EAN-13, ISBN/ISSN, Interleaved 2/5, Matrix 2 /5,Industrial 2/5，ITF-6,ITF-14,Standard 2/5,China Post 25，MSI Plessey,Plessey,GS1 Databar（RSS）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6.识读精度：≥3mil（Code128）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7.典型识读景深：EAN-13（13mil）      50mm-260mm；Code 39（5mil）      50mm~115mm；Data Matrix（10mil）  35mm~125mm；PDF 417（6.7mil）    50mm~120mm；QR Code （15mil）   30mm~170mm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8.条码灵敏度：倾斜(pitch)  ±55°（QR 15mil）；旋转(tilt)   360°（QR 15mil）；偏转(skew)   ±55°（QR 15mil）</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9.符号反差：≥20%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10.视场角度：水平45°，垂直34°</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11.通讯接口：USB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12.外观尺寸(mm)：不大于145×101×68mm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13.重量：111g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14.提示方式：蜂鸣器，LED指示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15.工作电压： 5V DC±5%</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16.额定功耗：950mW(典型值)</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17.电流：5V DC</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18.工作电流：190mA（典型值），201mA（最大值）</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19.空闲电流：35mA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20.工作温度：-20℃~60℃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21.存储温度：-40℃~+70℃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22.相对湿度：5%~95%（无凝结）</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23.静电防护：±15 kV（空气放电），±8 kV（直接放电）</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24.跌落高度：1.2米</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25.防护等级：IP42</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26.国际认证：FCC Part15 Class B，CE EMC Class 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27.配件列表：数据线：USB数据线，用来连接本机和信息接收主机。  </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人脸识别终端</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1.外观参数：不低于7寸LCD触摸显示，支持不低于200万像素双目摄头</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2.设备容量：本地不低于6000人脸、6000张卡、5万条事件记录</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3.认证方式：人脸门禁功能（同时支持刷卡、密码组合认证）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4.通讯方式：上行通讯为TCP/IP；应支持外接RS485，Wiegand副读卡器（不支持外接指纹读卡器）；基线支持标准韦根34/26；</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5.输入接口：不少于LAN*1、RS485*1、wiegand * 1、USB*1、门磁*1、报警输入*2、防拆*1、开门按钮*1；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6.输出接口：电锁*1个，报警输出*1个；</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7.工作电压： DC 12V/2A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8.产品尺寸：不大于239mm*116.5mm*33mm；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9.工作温度：-30~60℃。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应支持口罩检测模式，可配置提醒戴口罩模式、强制戴口罩模式，关联门禁控制；提醒戴口罩模式：未带口罩可做身份验证，身份验证通过后提醒佩戴口罩；强制戴口罩模式：未带口罩无法做身份验证，提醒佩戴口罩；</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门禁控制设备—电磁锁</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1.5线电磁锁*1 可承受不低于280G公斤直线拉力；工作电压：DC 12V ；工作电流：500mA； 适用温度：-20~55摄氏度 ；锁体尺寸：不大于250*50*38mm； 吸板尺寸：不大于180*38*14mm；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2.86盒式点动开门按钮*1； 接电输出 NO/COM接点； 供电方式：干接点信号控制 ；适用温度：-20~50摄氏度 PC防火阻燃材质；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3.12V2A电源*1；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4.含《人脸、指纹门禁授权控制软件V1.0》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5.软件实现功能：与人脸门禁终端配合使用进行门禁控制</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高清全景摄像机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1.应采用不低于400万像素半球星光智能网络摄像机；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2.应支持开放型网络视频接口，GB/T28181-2016，视图库；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3.宽动态：不低于120 dB；</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4.最低照度：彩色：0.0005 Lux @（F1.2，AGC ON）；黑白：0.0001 Lux @（F1.2，AGC ON），0 Lux with IR；</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5.补光灯类型：红外补光，补光距离不低于30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6.最大图像尺寸：≥2560 × 1440；</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7.视频压缩标准：主码流：H.265/H.264；子码流：H.265/H.264/MJPEG；第三码流：H.265/H.264；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8.接口：应具备不少于1个RJ45 10 M/100 M自适应以太网口，不少于1路音频输入，不少于1路音频输出，不少于1路输入，不少于1路输出；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9.SD卡扩展：内置MicroSD/MicroSDHC/MicroSDXC插槽，最大支持≥256 GB；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拾音器电源</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1.达到V5能效等级</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2.应支持AC180~260V电压供电</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3.应支持DC12V2A输出</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4.应支持温度范围在-30℃~+70℃的环境下工作</w:t>
            </w:r>
          </w:p>
        </w:tc>
        <w:tc>
          <w:tcPr>
            <w:tcW w:w="379" w:type="pc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1、2麦克风阵列，360°全向拾音，</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5米拾音半径</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2、支持智能（稳态和瞬态）降噪算法、抗混响，人声增强，保证通话/音频质量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3、高速语音DSP处理单元，可搭配摄像机和音箱，实现对讲功能</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4、支持多级音量调节功能，可通过Web页面调节音量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5、吸顶安装，具备设备状态指示灯（支持设备故障显示）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6、电源极性反转及防雷保护</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7、支持通过网络对设备进行参数配置升级维护等</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8、支持网络音频流对接摄像机、后端产品</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9、支持针对音频陡升和声音异常进行报警</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硬件配置：</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1、麦克风类型：驻极体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2、指向性：全向,</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60°定向</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3、拾音范围：</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半径5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4、阵列数量：双MIC</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5、频响范围：20 Hz~20 kHz</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6、灵敏度：</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-37 dBV/Pa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7、信噪比：</w:t>
            </w:r>
            <w:r>
              <w:rPr>
                <w:rFonts w:hint="eastAsia" w:ascii="仿宋" w:hAnsi="仿宋" w:eastAsia="仿宋" w:cs="仿宋"/>
                <w:i w:val="0"/>
                <w:iCs w:val="0"/>
                <w:color w:val="auto"/>
                <w:sz w:val="21"/>
                <w:szCs w:val="21"/>
                <w:u w:val="none"/>
                <w:lang w:val="en-US" w:eastAsia="zh-CN"/>
              </w:rPr>
              <w:t>不高于</w:t>
            </w:r>
            <w:r>
              <w:rPr>
                <w:rFonts w:hint="eastAsia" w:ascii="仿宋" w:hAnsi="仿宋" w:eastAsia="仿宋" w:cs="仿宋"/>
                <w:i w:val="0"/>
                <w:iCs w:val="0"/>
                <w:color w:val="auto"/>
                <w:sz w:val="21"/>
                <w:szCs w:val="21"/>
                <w:u w:val="none"/>
              </w:rPr>
              <w:t>90 dB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案管一体桌</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案管一体机桌：双面喷塑，无颗粒感，整体可分拆</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1.桌面尺寸：长宽高（mm）：不大于1800*784*788；</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2.电脑主机：cpu：不低于i5，内存：不低于8GB，操作系统：win7 64位，硬盘：不低于500GB，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3.USB口：10个（每路均支持5V1A供电）" 置于桌子内；</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4.不低于27寸 1080p显示设备；</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5.高拍仪，桌面镶嵌安装；</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6.RFID读写卡器；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7.支持拓展电子签字捺印板(需另购)；</w:t>
            </w:r>
          </w:p>
          <w:p>
            <w:pPr>
              <w:keepNext w:val="0"/>
              <w:keepLines w:val="0"/>
              <w:widowControl/>
              <w:suppressLineNumbers w:val="0"/>
              <w:shd w:val="clear"/>
              <w:jc w:val="left"/>
              <w:textAlignment w:val="center"/>
              <w:rPr>
                <w:rFonts w:hint="default"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★8.内置专用A4打印机舱内安装，外部预留出纸口，出纸口处带有程序可控的灯光提醒功能，并</w:t>
            </w:r>
            <w:r>
              <w:rPr>
                <w:rFonts w:hint="default" w:ascii="仿宋" w:hAnsi="仿宋" w:eastAsia="仿宋" w:cs="仿宋"/>
                <w:i w:val="0"/>
                <w:iCs w:val="0"/>
                <w:color w:val="auto"/>
                <w:kern w:val="0"/>
                <w:sz w:val="21"/>
                <w:szCs w:val="21"/>
                <w:u w:val="none"/>
                <w:lang w:eastAsia="zh-CN" w:bidi="ar"/>
              </w:rPr>
              <w:t>提供国家认可的第三方检验检测机构出具的</w:t>
            </w:r>
            <w:r>
              <w:rPr>
                <w:rFonts w:hint="default" w:ascii="仿宋" w:hAnsi="仿宋" w:eastAsia="仿宋" w:cs="仿宋"/>
                <w:i w:val="0"/>
                <w:iCs w:val="0"/>
                <w:color w:val="auto"/>
                <w:kern w:val="0"/>
                <w:sz w:val="21"/>
                <w:szCs w:val="21"/>
                <w:u w:val="none"/>
                <w:lang w:val="en-US" w:eastAsia="zh-CN" w:bidi="ar"/>
              </w:rPr>
              <w:t>带有“CMA”或“CNAS”的检测报告；</w:t>
            </w:r>
          </w:p>
          <w:p>
            <w:pPr>
              <w:keepNext w:val="0"/>
              <w:keepLines w:val="0"/>
              <w:widowControl/>
              <w:suppressLineNumbers w:val="0"/>
              <w:shd w:val="clear"/>
              <w:jc w:val="left"/>
              <w:textAlignment w:val="center"/>
              <w:rPr>
                <w:rFonts w:hint="default"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9.标签打印机 抽屉内安装；</w:t>
            </w:r>
          </w:p>
          <w:p>
            <w:pPr>
              <w:keepNext w:val="0"/>
              <w:keepLines w:val="0"/>
              <w:widowControl/>
              <w:suppressLineNumbers w:val="0"/>
              <w:shd w:val="clear"/>
              <w:wordWrap w:val="0"/>
              <w:jc w:val="left"/>
              <w:textAlignment w:val="center"/>
              <w:rPr>
                <w:rFonts w:hint="default"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★10.前向摄像头镶嵌安装，支持上下角度调节，可拍摄1920*1080分辨率的图片，</w:t>
            </w:r>
            <w:r>
              <w:rPr>
                <w:rFonts w:hint="default" w:ascii="仿宋" w:hAnsi="仿宋" w:eastAsia="仿宋" w:cs="仿宋"/>
                <w:i w:val="0"/>
                <w:iCs w:val="0"/>
                <w:color w:val="auto"/>
                <w:kern w:val="0"/>
                <w:sz w:val="21"/>
                <w:szCs w:val="21"/>
                <w:u w:val="none"/>
                <w:lang w:bidi="ar"/>
              </w:rPr>
              <w:t>并提供国家认可的第三方检验检测机构出具的带有“CMA”或“CNAS”的检测报告</w:t>
            </w:r>
            <w:r>
              <w:rPr>
                <w:rFonts w:hint="default" w:ascii="仿宋" w:hAnsi="仿宋" w:eastAsia="仿宋" w:cs="仿宋"/>
                <w:i w:val="0"/>
                <w:iCs w:val="0"/>
                <w:color w:val="auto"/>
                <w:kern w:val="0"/>
                <w:sz w:val="21"/>
                <w:szCs w:val="21"/>
                <w:u w:val="none"/>
                <w:lang w:val="en-US" w:eastAsia="zh-CN" w:bidi="ar"/>
              </w:rPr>
              <w:t>；</w:t>
            </w:r>
          </w:p>
          <w:p>
            <w:pPr>
              <w:keepNext w:val="0"/>
              <w:keepLines w:val="0"/>
              <w:widowControl/>
              <w:suppressLineNumbers w:val="0"/>
              <w:shd w:val="clear"/>
              <w:jc w:val="left"/>
              <w:textAlignment w:val="center"/>
              <w:rPr>
                <w:rFonts w:hint="default" w:ascii="仿宋" w:hAnsi="仿宋" w:eastAsia="仿宋" w:cs="仿宋"/>
                <w:i w:val="0"/>
                <w:iCs w:val="0"/>
                <w:color w:val="auto"/>
                <w:kern w:val="0"/>
                <w:sz w:val="21"/>
                <w:szCs w:val="21"/>
                <w:u w:val="none"/>
                <w:lang w:val="en-US" w:eastAsia="zh-CN" w:bidi="ar"/>
              </w:rPr>
            </w:pPr>
            <w:r>
              <w:rPr>
                <w:rFonts w:hint="default" w:ascii="仿宋" w:hAnsi="仿宋" w:eastAsia="仿宋" w:cs="仿宋"/>
                <w:i w:val="0"/>
                <w:iCs w:val="0"/>
                <w:color w:val="auto"/>
                <w:kern w:val="0"/>
                <w:sz w:val="21"/>
                <w:szCs w:val="21"/>
                <w:u w:val="none"/>
                <w:lang w:val="en-US" w:eastAsia="zh-CN" w:bidi="ar"/>
              </w:rPr>
              <w:t>★</w:t>
            </w:r>
            <w:r>
              <w:rPr>
                <w:rFonts w:hint="default" w:ascii="仿宋" w:hAnsi="仿宋" w:eastAsia="仿宋" w:cs="仿宋"/>
                <w:i w:val="0"/>
                <w:iCs w:val="0"/>
                <w:color w:val="auto"/>
                <w:kern w:val="0"/>
                <w:sz w:val="21"/>
                <w:szCs w:val="21"/>
                <w:u w:val="none"/>
                <w:shd w:val="clear"/>
                <w:lang w:val="en-US" w:eastAsia="zh-CN" w:bidi="ar"/>
              </w:rPr>
              <w:t>11.内置DVD刻录光驱，最大支持24倍速DVD刻录，并</w:t>
            </w:r>
            <w:r>
              <w:rPr>
                <w:rFonts w:hint="default" w:ascii="仿宋" w:hAnsi="仿宋" w:eastAsia="仿宋" w:cs="仿宋"/>
                <w:i w:val="0"/>
                <w:iCs w:val="0"/>
                <w:color w:val="auto"/>
                <w:kern w:val="0"/>
                <w:sz w:val="21"/>
                <w:szCs w:val="21"/>
                <w:u w:val="none"/>
                <w:shd w:val="clear"/>
                <w:lang w:eastAsia="zh-CN" w:bidi="ar"/>
              </w:rPr>
              <w:t>提供国家</w:t>
            </w:r>
            <w:r>
              <w:rPr>
                <w:rFonts w:hint="default" w:ascii="仿宋" w:hAnsi="仿宋" w:eastAsia="仿宋" w:cs="仿宋"/>
                <w:i w:val="0"/>
                <w:iCs w:val="0"/>
                <w:color w:val="auto"/>
                <w:kern w:val="0"/>
                <w:sz w:val="21"/>
                <w:szCs w:val="21"/>
                <w:u w:val="none"/>
                <w:lang w:eastAsia="zh-CN" w:bidi="ar"/>
              </w:rPr>
              <w:t>认可的第三方检验检测机构出具的</w:t>
            </w:r>
            <w:r>
              <w:rPr>
                <w:rFonts w:hint="default" w:ascii="仿宋" w:hAnsi="仿宋" w:eastAsia="仿宋" w:cs="仿宋"/>
                <w:i w:val="0"/>
                <w:iCs w:val="0"/>
                <w:color w:val="auto"/>
                <w:kern w:val="0"/>
                <w:sz w:val="21"/>
                <w:szCs w:val="21"/>
                <w:u w:val="none"/>
                <w:lang w:val="en-US" w:eastAsia="zh-CN" w:bidi="ar"/>
              </w:rPr>
              <w:t>带有“CMA”或“CNAS”的检测报告；</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12.控制拓展面板 桌面镶嵌安装，含USB插口、音频插口、电脑开机键；</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13.交换机 八口千兆 （H3C Magic S2G） 桌子内部安装；</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14.空开 20A带漏电保护；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15.12V电源 5A 供电能力" 220电源 10个三相插口；</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16.材质：主体材质冷轧板，部分有亚克力装饰</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智能联网储物柜主柜</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1.储物柜由柜体、电控锁和电气控制箱三大部分组合而成</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2.箱门背面增加纵向加强筋，提高箱门的防撞击能力</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 xml:space="preserve">3.电控锁电磁式单舌机械锁，作热涂锌防锈处理；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4.尺寸：不大于1900mm*1500MM*430MM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5.两种柜门尺寸，分别对应大型物品及小型物品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6.内置不低于21.5寸液晶显示屏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7.内置工控机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8.柜门数量不低于24门，柜门为透明，便于查看柜内物品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9.应支持多副柜拓展级联(副柜需另购)</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10.设备应支持远程网络开门功能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11.内置不低于200万像素可见光+红外双目人脸识别摄像头</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12.内置二维码扫描仪，可同时兼容一维码、二维码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13.内置半导体电容式指纹采集仪，该机具符合GA/T 1011-2012 《居民身份证指纹采集器通用技术要求》。同时支持指纹采集、指纹识别(1:1；1:N 方式)</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620" w:type="pct"/>
            <w:gridSpan w:val="3"/>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罚没物品室</w:t>
            </w:r>
          </w:p>
        </w:tc>
        <w:tc>
          <w:tcPr>
            <w:tcW w:w="379"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人脸识别终端</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1.外观参数：不低于7寸LCD触摸显示，支持不低于200万像素双目摄头</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2.设备容量：本地不低于6000人脸、6000张卡、5万条事件记录</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3.认证方式：人脸门禁功能（同时支持刷卡、密码组合认证）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4.通讯方式：上行通讯为TCP/IP；应支持外接RS485，Wiegand副读卡器（不支持外接指纹读卡器）；基线支持标准韦根34/26；</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5.输入接口：不少于LAN*1、RS485*1、wiegand * 1、USB*1、门磁*1、报警输入*2、防拆*1、开门按钮*1；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6.输出接口：电锁*1个，报警输出*1个；</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7.工作电压： DC 12V/2A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8.产品尺寸：不大于239mm*116.5mm*33mm；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9.工作温度：-30~60℃。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10.应支持口罩检测模式，可配置提醒戴口罩模式、强制戴口罩模式，关联门禁控制；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提醒戴口罩模式：未带口罩可做身份验证，身份验证通过后提醒佩戴口罩；</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强制戴口罩模式：未带口罩无法做身份验证，提醒佩戴口罩；</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门禁控制设备—电磁锁</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1.5线电磁锁*1 可承受不低于280G公斤直线拉力；工作电压：DC 12V ；工作电流：500mA； 适用温度：-20~55摄氏度 ；锁体尺寸：不大于250*50*38mm； 吸板尺寸：不大于180*38*14mm；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2.86盒式点动开门按钮*1； 接电输出 NO/COM接点； 供电方式：干接点信号控制 ；适用温度：-20~50摄氏度 PC防火阻燃材质；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3.12V2A电源*1；</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4.含《人脸、指纹门禁授权控制软件V1.0》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5.软件实现功能：与人脸门禁终端配合使用进行门禁控制</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3</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1、2麦克风阵列，360°全向拾音，</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5米拾音半径</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2、支持智能（稳态和瞬态）降噪算法、抗混响，人声增强，保证通话/音频质量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3、高速语音DSP处理单元，可搭配摄像机和音箱，实现对讲功能</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4、支持多级音量调节功能，可通过Web页面调节音量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5、吸顶安装，具备设备状态指示灯（支持设备故障显示）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6、电源极性反转及防雷保护</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7、支持通过网络对设备进行参数配置升级维护等</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8、支持网络音频流对接摄像机、后端产品</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9、支持针对音频陡升和声音异常进行报警</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硬件配置：</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1、麦克风类型：驻极体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2、指向性：全向,</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60°定向</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3、拾音范围：</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半径5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4、阵列数量：双MIC</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5、频响范围：20 Hz~20 kHz</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6、灵敏度：</w:t>
            </w:r>
            <w:r>
              <w:rPr>
                <w:rFonts w:hint="eastAsia" w:ascii="仿宋" w:hAnsi="仿宋" w:eastAsia="仿宋" w:cs="仿宋"/>
                <w:i w:val="0"/>
                <w:iCs w:val="0"/>
                <w:color w:val="auto"/>
                <w:sz w:val="21"/>
                <w:szCs w:val="21"/>
                <w:u w:val="none"/>
                <w:lang w:val="en-US" w:eastAsia="zh-CN"/>
              </w:rPr>
              <w:t>不低于</w:t>
            </w:r>
            <w:r>
              <w:rPr>
                <w:rFonts w:hint="eastAsia" w:ascii="仿宋" w:hAnsi="仿宋" w:eastAsia="仿宋" w:cs="仿宋"/>
                <w:i w:val="0"/>
                <w:iCs w:val="0"/>
                <w:color w:val="auto"/>
                <w:sz w:val="21"/>
                <w:szCs w:val="21"/>
                <w:u w:val="none"/>
              </w:rPr>
              <w:t>-37 dBV/Pa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7、信噪比：</w:t>
            </w:r>
            <w:r>
              <w:rPr>
                <w:rFonts w:hint="eastAsia" w:ascii="仿宋" w:hAnsi="仿宋" w:eastAsia="仿宋" w:cs="仿宋"/>
                <w:i w:val="0"/>
                <w:iCs w:val="0"/>
                <w:color w:val="auto"/>
                <w:sz w:val="21"/>
                <w:szCs w:val="21"/>
                <w:u w:val="none"/>
                <w:lang w:val="en-US" w:eastAsia="zh-CN"/>
              </w:rPr>
              <w:t>不高于</w:t>
            </w:r>
            <w:r>
              <w:rPr>
                <w:rFonts w:hint="eastAsia" w:ascii="仿宋" w:hAnsi="仿宋" w:eastAsia="仿宋" w:cs="仿宋"/>
                <w:i w:val="0"/>
                <w:iCs w:val="0"/>
                <w:color w:val="auto"/>
                <w:sz w:val="21"/>
                <w:szCs w:val="21"/>
                <w:u w:val="none"/>
              </w:rPr>
              <w:t>90 dB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高清全景摄像机</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1.应采用不低于400万像素半球星光智能网络摄像机；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2.应支持开放型网络视频接口，GB/T28181-2016，视图库；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3.宽动态：不低于120 dB；</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4.最低照度：彩色：0.0005 Lux @（F1.2，AGC ON）；黑白：0.0001 Lux @（F1.2，AGC ON），0 Lux with IR；</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5.补光灯类型：红外补光，补光距离不低于30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6.最大图像尺寸：≥2560 × 1440；</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 xml:space="preserve">7.视频压缩标准：主码流：H.265/H.264；子码流：H.265/H.264/MJPEG；第三码流：H.265/H.264；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8.接口：应具备不少于1个RJ45 10 M/100 M自适应以太网口，不少于1路音频输入，不少于1路音频输出，不少于1路输入，不少于1路输出；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9.SD卡扩展：内置MicroSD/MicroSDHC/MicroSDXC插槽，最大支持≥256 GB；</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5</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拾音器电源</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1.达到V5能效等级</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2.应支持AC180~260V电压供电</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sz w:val="21"/>
                <w:szCs w:val="21"/>
                <w:u w:val="none"/>
              </w:rPr>
              <w:t>3.应支持DC12V2A输出</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sz w:val="21"/>
                <w:szCs w:val="21"/>
                <w:u w:val="none"/>
              </w:rPr>
              <w:t>4.应支持温度范围在-30℃~+70℃的环境下工作</w:t>
            </w:r>
          </w:p>
        </w:tc>
        <w:tc>
          <w:tcPr>
            <w:tcW w:w="379" w:type="pct"/>
            <w:tcBorders>
              <w:tl2br w:val="nil"/>
              <w:tr2bl w:val="nil"/>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auto"/>
                <w:sz w:val="21"/>
                <w:szCs w:val="21"/>
                <w:u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b/>
                <w:bCs/>
                <w:i w:val="0"/>
                <w:iCs w:val="0"/>
                <w:color w:val="auto"/>
                <w:kern w:val="0"/>
                <w:sz w:val="21"/>
                <w:szCs w:val="21"/>
                <w:u w:val="none"/>
                <w:lang w:val="en-US" w:eastAsia="zh-CN" w:bidi="ar"/>
              </w:rPr>
              <w:t>视频监控系统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400万高清室内半球带拾音</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400万筒型网络摄像机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最高分辨率可达2688 × 1520 @25 fps，在该分辨率下可输出实时图像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支持Smart侦测：10项事件检测，1项异常检测</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支持萤石平台接入</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支持背光补偿，强光抑制，3D数字降噪，120 dB宽动态适应不同使用环境</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1个内置麦克风</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采用高效阵列红外灯，使用寿命长，红外照射距离最远可达30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符合IP66防尘防水设计</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传感器类型：1/3" Progressive Scan CMOS</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最低照度：彩色：0.005 Lux @（F1.2，AGC ON），0 Lux with IR</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宽动态：120 dB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焦距&amp;视场角：2.8 mm，水平视场角：97°，垂直视场角：52.3°，对角视场角：114.3°</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 mm，水平视场角：78.8°，垂直视场角：40.5°，对角视场角：93.9°</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 mm，水平视场角：49.1°，垂直视场角：26.3°，对角视场角：57.2°</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 mm，水平视场角：37.5°，垂直视场角：20.7°，对角视场角：43.3°</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12 mm，水平视场角：23.4°，垂直视场角：13.3°，对角线视场角：26.8°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补光距离：最远可达30 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防补光过曝：支持</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红外波长范围：850 nm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补光灯类型：红外灯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最大图像尺寸：2688 × 1520（默认2560 × 1440）</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视频压缩标准：主码流：H.265/H.264</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子码流：H.265/H.264/MJPEG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音频：1个内置麦克风</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网络：1个RJ45 10 M/100 M自适应以太网口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恢复出厂设置：支持客户端或浏览器恢复</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启动和工作温湿度：-30 ℃~60 ℃，湿度小于95%（无凝结）</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供电方式：DC：12 V ± 25%，支持防反接保护</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PoE：802.3af，Class 3</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电流及功耗：DC：12 V，0.41 A，最大功耗：5 W</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PoE：802.3af，36 V~57 V，0.18 A~0.11 A，最大功耗：6.5 W</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电源接口类型：Ø5.5 mm圆口</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产品尺寸：186.6 × 92.7 × 87.6 mm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包装尺寸：235 × 120 × 125 mm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设备重量：480 g</w:t>
            </w:r>
          </w:p>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sz w:val="21"/>
                <w:szCs w:val="21"/>
                <w:u w:val="none"/>
                <w:lang w:val="en-US" w:eastAsia="zh-CN"/>
              </w:rPr>
              <w:t xml:space="preserve">带包装重量：670 g </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六类非屏蔽双绞线</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规格：23AWG六类非屏蔽双绞线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标准：UL 444, EIA/TIA 568-B.2和ISO/IEC 11801, IEC61156-5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传输：100米范围内≥250MHz条件下的传输要求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材料：填充物聚乙烯,护套（PVC）聚氯乙烯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电气特性：1-250MHZ输入阻抗100±6Ω，1-250MHZ时延偏离≦45ns/100M,20℃条件下的导线最大直流电阻73.2Ω/KM不平衡直流电阻≦5%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结构：导线直径0.565，外直径6.5±0.2mm，绝缘层聚乙烯平均厚度0.28，护套PVC平均厚度0.5±0.05mm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性能：最大张力为10KG，工作温度为-20~60℃  </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电源线</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1、名称：电源线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2、配线形式：穿管或桥架内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3、规格：RVV2*1.0</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000" w:type="pct"/>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LED信息发布系统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LED显示屏</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显示尺寸面积：4.16m*2.4m=9.98㎡，整屏分辨率：2236点*1290点=2884440点。</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1.采用表贴三合一纯黑灯技术，像素点间距：≤1.86mm，像素密度：≥288906点/㎡。</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2.成像原理：LED主动式发光，像素组成与排列方式：1R1G1B，竖向线性排列。</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3.平整度≤0.05mm，亮度：≥1020cd/㎡，0-100%任意可调。</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4.刷新率：3840Hz，高刷新，支持通过配套控制软件调节刷新率设计选项。</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5.对比度：≥10000：1，防护等级：IP68。</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6.亮度均匀性（校正后）：≥99.3%，发光点中心距偏：≤0.9%。</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7.驱动与控制方式：一体化驱动设计，恒流驱动，动态扫描，同步控制，点点对应</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8.亮度调节：支持通过配套软件0-100%多级调节，设置亮度定时调节，及通过亮度传感器自动调节（手动/自动/软件任意调节）支持HDR高动态范围图像技术显示。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低亮高灰：支持软件实现0-100%不同亮度情况下，灰度12-16bits任意设置：100%亮度@16bits，50%亮度@14bits，20%亮度@12bits,同时支持EPWM灰阶控制技术提升低灰视觉效果，0-100%亮度时，灰度8-16bits任意设置；70%亮度时，灰度≥16bits。</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10.像素点失控（坏点或盲点）率：≤1/100000，无连续失控点。</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11.可以支持HDR显示，画面延时：≤0.5ms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12.显示屏拍照等级：≥10bits。屏体正面为黑色哑光处理，反光率小于2%</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13.超过2周时间没有使用产品，可以通过屏体控制系统来实现除湿模式，即使屏体从10%到100%亮度逐步显示，可以满足除湿效果。</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14.模组间的相对错位值≤0.1mm，模组间拼缝与间隙≤0.1mm。</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15.灯珠外层具备透明哑光保护层，采用纳米涂覆技术，阻隔灯珠与外部的接触，材质硬度等级HRC8级，灯珠表面使用无划痕。</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16.符合IEC 62471：2006标准的光生物安全及蓝光危害评估检测的无危害类要求（豁免级），具备防蓝光护眼模式。防眩光功能：采用黑色防眩光设计。</w:t>
            </w:r>
          </w:p>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sz w:val="21"/>
                <w:szCs w:val="21"/>
                <w:u w:val="none"/>
                <w:lang w:val="en-US" w:eastAsia="zh-CN"/>
              </w:rPr>
              <w:t>17.UV紫外线：辐照强度：0.76W/㎡.nm@340nm 温度：60℃。冷凝温度：50℃、24循环、288h判定标准：试验后，样品外观无异常，符合5级。</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i w:val="0"/>
                <w:iCs w:val="0"/>
                <w:color w:val="auto"/>
                <w:sz w:val="21"/>
                <w:szCs w:val="21"/>
                <w:u w:val="none"/>
                <w:lang w:val="en-US" w:eastAsia="zh-CN"/>
              </w:rPr>
            </w:pPr>
            <w:r>
              <w:rPr>
                <w:rFonts w:hint="eastAsia" w:ascii="Times New Roman" w:hAnsi="Times New Roman" w:eastAsia="宋体" w:cs="Times New Roman"/>
                <w:i w:val="0"/>
                <w:iCs w:val="0"/>
                <w:color w:val="auto"/>
                <w:sz w:val="21"/>
                <w:szCs w:val="21"/>
                <w:u w:val="none"/>
                <w:lang w:val="en-US" w:eastAsia="zh-CN"/>
              </w:rPr>
              <w:t>视频处理器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1.单台设备最大规模支持32路高清输入，32路高清输出</w:t>
            </w:r>
          </w:p>
          <w:p>
            <w:pPr>
              <w:keepNext w:val="0"/>
              <w:keepLines w:val="0"/>
              <w:widowControl/>
              <w:suppressLineNumbers w:val="0"/>
              <w:jc w:val="left"/>
              <w:textAlignment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2.设备可实现任意一路画面的任意比例缩放、漫游、跨屏、叠加、开窗。</w:t>
            </w:r>
          </w:p>
          <w:p>
            <w:pPr>
              <w:keepNext w:val="0"/>
              <w:keepLines w:val="0"/>
              <w:widowControl/>
              <w:suppressLineNumbers w:val="0"/>
              <w:jc w:val="left"/>
              <w:textAlignment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3.输入输出板卡可热插拔，输入板卡热插拔恢复时间＜8s，输出板卡热插拔恢复时间＜8s。</w:t>
            </w:r>
          </w:p>
          <w:p>
            <w:pPr>
              <w:keepNext w:val="0"/>
              <w:keepLines w:val="0"/>
              <w:widowControl/>
              <w:suppressLineNumbers w:val="0"/>
              <w:jc w:val="left"/>
              <w:textAlignment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4.开机时间≤10s，启动电源至输出最总画面的时间间隔。</w:t>
            </w:r>
          </w:p>
          <w:p>
            <w:pPr>
              <w:keepNext w:val="0"/>
              <w:keepLines w:val="0"/>
              <w:widowControl/>
              <w:jc w:val="left"/>
              <w:textAlignment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5.设备可实现任意一路画面的任意比例缩放、漫游、跨屏、叠加、开窗。</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color w:val="auto"/>
                <w:sz w:val="21"/>
                <w:szCs w:val="21"/>
                <w:u w:val="none"/>
              </w:rPr>
              <w:t>★6. 最大单机背板信号处理带宽≥720Gbps</w:t>
            </w:r>
            <w:r>
              <w:rPr>
                <w:rFonts w:hint="eastAsia" w:ascii="仿宋" w:hAnsi="仿宋" w:eastAsia="仿宋" w:cs="仿宋"/>
                <w:i w:val="0"/>
                <w:iCs w:val="0"/>
                <w:color w:val="auto"/>
                <w:sz w:val="21"/>
                <w:szCs w:val="21"/>
                <w:u w:val="none"/>
                <w:lang w:eastAsia="zh-CN"/>
              </w:rPr>
              <w:t>，</w:t>
            </w:r>
            <w:r>
              <w:rPr>
                <w:rFonts w:hint="eastAsia" w:ascii="仿宋" w:hAnsi="仿宋" w:eastAsia="仿宋" w:cs="仿宋"/>
                <w:i w:val="0"/>
                <w:iCs w:val="0"/>
                <w:color w:val="auto"/>
                <w:sz w:val="21"/>
                <w:szCs w:val="21"/>
                <w:u w:val="none"/>
                <w:lang w:val="en-US" w:eastAsia="zh-CN"/>
              </w:rPr>
              <w:t>并</w:t>
            </w:r>
            <w:r>
              <w:rPr>
                <w:rFonts w:hint="eastAsia" w:ascii="仿宋" w:hAnsi="仿宋" w:eastAsia="仿宋" w:cs="仿宋"/>
                <w:i w:val="0"/>
                <w:iCs w:val="0"/>
                <w:color w:val="auto"/>
                <w:sz w:val="21"/>
                <w:szCs w:val="21"/>
                <w:u w:val="none"/>
                <w:lang w:eastAsia="zh-CN"/>
              </w:rPr>
              <w:t>提供国家认可的第三方检验检测机构出具的</w:t>
            </w:r>
            <w:r>
              <w:rPr>
                <w:rFonts w:hint="eastAsia" w:ascii="仿宋" w:hAnsi="仿宋" w:eastAsia="仿宋" w:cs="仿宋"/>
                <w:i w:val="0"/>
                <w:iCs w:val="0"/>
                <w:color w:val="auto"/>
                <w:sz w:val="21"/>
                <w:szCs w:val="21"/>
                <w:u w:val="none"/>
                <w:lang w:val="en-US" w:eastAsia="zh-CN"/>
              </w:rPr>
              <w:t>带有“CMA”或“CNAS”的检测报告。</w:t>
            </w:r>
          </w:p>
          <w:p>
            <w:pPr>
              <w:keepNext w:val="0"/>
              <w:keepLines w:val="0"/>
              <w:widowControl/>
              <w:jc w:val="left"/>
              <w:textAlignment w:val="center"/>
              <w:rPr>
                <w:rFonts w:hint="eastAsia" w:eastAsia="宋体"/>
                <w:color w:val="auto"/>
                <w:sz w:val="21"/>
                <w:szCs w:val="21"/>
                <w:lang w:val="en-US" w:eastAsia="zh-CN"/>
              </w:rPr>
            </w:pPr>
            <w:r>
              <w:rPr>
                <w:rFonts w:hint="eastAsia" w:ascii="仿宋" w:hAnsi="仿宋" w:eastAsia="仿宋" w:cs="仿宋"/>
                <w:color w:val="auto"/>
                <w:sz w:val="21"/>
                <w:szCs w:val="21"/>
                <w:u w:val="none"/>
              </w:rPr>
              <w:t>★7. 支持视频网络运维管理协议实时监测设备运行状态。对设备异常情况进行报警</w:t>
            </w:r>
            <w:r>
              <w:rPr>
                <w:rFonts w:hint="eastAsia" w:ascii="仿宋" w:hAnsi="仿宋" w:eastAsia="仿宋" w:cs="仿宋"/>
                <w:i w:val="0"/>
                <w:iCs w:val="0"/>
                <w:color w:val="auto"/>
                <w:sz w:val="21"/>
                <w:szCs w:val="21"/>
                <w:u w:val="none"/>
                <w:lang w:eastAsia="zh-CN"/>
              </w:rPr>
              <w:t>，</w:t>
            </w:r>
            <w:r>
              <w:rPr>
                <w:rFonts w:hint="eastAsia" w:ascii="仿宋" w:hAnsi="仿宋" w:eastAsia="仿宋" w:cs="仿宋"/>
                <w:i w:val="0"/>
                <w:iCs w:val="0"/>
                <w:color w:val="auto"/>
                <w:sz w:val="21"/>
                <w:szCs w:val="21"/>
                <w:u w:val="none"/>
                <w:lang w:val="en-US" w:eastAsia="zh-CN"/>
              </w:rPr>
              <w:t>并</w:t>
            </w:r>
            <w:r>
              <w:rPr>
                <w:rFonts w:hint="eastAsia" w:ascii="仿宋" w:hAnsi="仿宋" w:eastAsia="仿宋" w:cs="仿宋"/>
                <w:i w:val="0"/>
                <w:iCs w:val="0"/>
                <w:color w:val="auto"/>
                <w:sz w:val="21"/>
                <w:szCs w:val="21"/>
                <w:u w:val="none"/>
                <w:lang w:eastAsia="zh-CN"/>
              </w:rPr>
              <w:t>提供国家认可的第三方检验检测机构出具的</w:t>
            </w:r>
            <w:r>
              <w:rPr>
                <w:rFonts w:hint="eastAsia" w:ascii="仿宋" w:hAnsi="仿宋" w:eastAsia="仿宋" w:cs="仿宋"/>
                <w:i w:val="0"/>
                <w:iCs w:val="0"/>
                <w:color w:val="auto"/>
                <w:sz w:val="21"/>
                <w:szCs w:val="21"/>
                <w:u w:val="none"/>
                <w:lang w:val="en-US" w:eastAsia="zh-CN"/>
              </w:rPr>
              <w:t>带有“CMA”或“CNAS”的检测报告。</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电源</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1、防伪功能 具备logo、产品型号</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2、外形结构 楞缘及拐角均充分倒圆和磨光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3、丝印标示 丝印标示清晰明显，有节能、危险警告、输入输出电压电流、功率、极性指示等标示</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4、泄漏电流 泄漏电流≤0.25mA</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5、接地阻抗 外壳与大地阻抗≤10mΩ</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6、保护功能 输入AC端自带保护盖，且具备过流、断路、短路、过压、欠压、防雷等保护功能</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7、抗电强度 输入对输出，AC2000V/1min；输入对地，AC1500V/1min；输出对地，AC500V/1min</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8、平均无故障时间 MTBF≥10000H</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9、输入电压范围 180VAC～264VAC</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10、每台电源带6张模组。</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控制卡</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1.广播型总线数据传输方式，无帧存，实时传输，延时小；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2.单卡带载216万像素，采用标准的HDMI2.0数据线，4Gbps超大带宽，标准高清1080P只需一根数据线即可载完，相比传统网线模式提高4倍带载，减少数据线，增加稳定性；</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3.1路标准HDMI视频接口输入，最大输入分辨率为2080×1040，可自定义EDID;</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4.1xUSB、2xRS485、蓝牙，多方式和PC通信，设置参数、调节亮度、色温、对比度等，并能在PC端实时查看控制卡的连接和工作状态；</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5.通过485连接配电柜，判断HDMI输入信号有或无，自动控制配电柜开或关，智能给屏幕上电和关电，无需人员操作，实现智能节电模式；</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6.2路HDMI信号输出，两路信号不分主、副，可做备份使用，任意一路即可正常工作；</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控制软件</w:t>
            </w:r>
          </w:p>
        </w:tc>
        <w:tc>
          <w:tcPr>
            <w:tcW w:w="3611" w:type="pct"/>
            <w:tcBorders>
              <w:tl2br w:val="nil"/>
              <w:tr2bl w:val="nil"/>
            </w:tcBorders>
            <w:shd w:val="clear" w:color="auto" w:fill="auto"/>
            <w:vAlign w:val="center"/>
          </w:tcPr>
          <w:p>
            <w:pPr>
              <w:keepNext w:val="0"/>
              <w:keepLines w:val="0"/>
              <w:widowControl/>
              <w:numPr>
                <w:ilvl w:val="0"/>
                <w:numId w:val="3"/>
              </w:numPr>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用于 LED 显示屏控制和播放的专业软件。</w:t>
            </w:r>
          </w:p>
          <w:p>
            <w:pPr>
              <w:keepNext w:val="0"/>
              <w:keepLines w:val="0"/>
              <w:widowControl/>
              <w:numPr>
                <w:ilvl w:val="0"/>
                <w:numId w:val="3"/>
              </w:numPr>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支持视频、音频、图像、文字、Flash、Gif 等形式的媒体文件播放;</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3.支持 Microsoft office 的 Word、Excel、PPT 显示;支持时钟、计时、天气预报显示;</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4.支持外部视频信号(TV、AV、S-Video、 复合视频)播放;支持多页面多分区节目编辑;</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5.软件提供视频切换功能、分区特效，以及三维特效动画。</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6</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管理工作站</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Core/酷睿 i5；内存容量: 8GB；硬盘容量: 1T；显卡类型: 集成显卡；屏幕尺寸: 19.5英寸。</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机柜</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1、名称：机柜</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2、技术参数：采用优质冷轧全钢或铝型材制作，表面酸磷化防锈。可拆卸式结构，具有抗干扰措施，不受其它系统的电磁干扰，也不对其它系统产生电磁干扰，厚度450mm，底座高度800mm，底部开门，四周封边。</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壁挂式钢结构</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定制（4.26m*2.5m）</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装饰包边</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黑色不锈钢</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10</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通讯线</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规格：23AWG六类非屏蔽双绞线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标准：UL 444, EIA/TIA 568-B.2和ISO/IEC 11801, IEC61156-5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传输：100米范围内≥250MHz条件下的传输要求</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材料：填充物聚乙烯，护套（PVC）聚氯乙烯</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电气特性：1-250MHZ输入阻抗100±6Ω，1-250MHZ时延偏离≦45ns/100M,20℃条件下的导线最大直流电阻73.2Ω/KM不平衡直流电阻≦5%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结构：导线直径0.565，外直径6.5±0.2mm，绝缘层聚乙烯平均厚度0.28，护套PVC平均厚度0.5±0.05mm</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性能：最大张力为10KG，工作温度为-20~60℃</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11</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电源线</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1、名称：电源线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2、配线形式：穿管或桥架内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3、规格：YJV3*4</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12</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智能配电箱</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具有过压、过流、防雷等保护功能，电脑信号控制，具有多路输出及延时上电功能。</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00" w:type="pct"/>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b/>
                <w:bCs/>
                <w:i w:val="0"/>
                <w:iCs w:val="0"/>
                <w:color w:val="auto"/>
                <w:kern w:val="2"/>
                <w:sz w:val="21"/>
                <w:szCs w:val="21"/>
                <w:u w:val="none"/>
                <w:lang w:val="en-US" w:eastAsia="zh-CN" w:bidi="ar-SA"/>
              </w:rPr>
              <w:t>多媒体会议系统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一拖四无线会议麦克风</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四通道接收机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频率范围：640-690MHz．调制方式：宽频FM可调范围：50MHz．</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信道数目：200信道间隔：250KHz频率稳定度：±0.005%以内．</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动态范围：100dB．音频回应：80Hz-18KHz(±3dB)．</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综合信噪比：&gt;105dB．综合失真：≤0.5%．工作温度：-10℃--+40℃．接收机指标 阻击一切干扰．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接收机方式：二次变频超外差．中频频率：第一中频：110MHz．第二中频10.7MHz．</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无线介面：BNC/50Ω．灵敏度：12 dBV (80dBS/N)．灵敏度调节范围：12-32 dBV．</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杂散抑制：≥75dB．最大输出电平：+10 dBV　　　　　　　　　　　　　　　　　　　　　　　　　　　　　　　　　　　　　　　　　　　　　　　　　　　　　　　　　　　　发射器指标：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天线程式：佩挂发射器采用1/4波长鞭状天线,会议麦克风内置螺旋天线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输出功率：高功率30mW；低功率3mW</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杂散抑制：-60dB．供电：两节AA电池．使用时间：30mW时大于10个小时,3mW时大于15小时．正常条件下的工作范围：不低于30米．</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2</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专业调音台</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8个话筒 / 12个线路输入 (8个单声道 + 4个立体声)</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1.内置24-bit DSP效果器，48KHz采样频率，32种效果模式，断电记忆。CD液晶显示，操作简便；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2.输入通道3段均衡，单声道均衡中频参量可调，输出双7段图视均衡；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3.标准双12段电平表，精确显示各种输出电平；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4.多种输出选择：2路左右主混合输出、2路编组输出、2路辅助、2路控制室输出及双轨录音输出，耳机输出；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5.外置大容量电源，48V幻想电源；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6.可配标准安装机架；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7.SMT工艺，进口电位器，推动平滑，性能稳定。</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3</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反馈抑制器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24-bit, Σ-△ AD/DA，48kHz采样率最大延时2.7秒（单位：毫秒、米、英尺）</w:t>
            </w:r>
            <w:r>
              <w:rPr>
                <w:rFonts w:hint="eastAsia" w:ascii="仿宋" w:hAnsi="仿宋" w:eastAsia="仿宋" w:cs="仿宋"/>
                <w:i w:val="0"/>
                <w:iCs w:val="0"/>
                <w:color w:val="auto"/>
                <w:sz w:val="21"/>
                <w:szCs w:val="21"/>
                <w:highlight w:val="none"/>
                <w:u w:val="none"/>
                <w:lang w:val="en-US" w:eastAsia="zh-CN"/>
              </w:rPr>
              <w:br w:type="textWrapping"/>
            </w:r>
            <w:r>
              <w:rPr>
                <w:rFonts w:hint="eastAsia" w:ascii="仿宋" w:hAnsi="仿宋" w:eastAsia="仿宋" w:cs="仿宋"/>
                <w:i w:val="0"/>
                <w:iCs w:val="0"/>
                <w:color w:val="auto"/>
                <w:sz w:val="21"/>
                <w:szCs w:val="21"/>
                <w:highlight w:val="none"/>
                <w:u w:val="none"/>
                <w:lang w:val="en-US" w:eastAsia="zh-CN"/>
              </w:rPr>
              <w:t>用户设置参数记忆功能精确数字输入电平表信号直通功能按键锁定功能2×16 LCD背光显示超高速的自动反馈控制；快捷、安静的调节设置；增加余量及降低本身噪音；准确地识别音乐和反馈信号；以1Hz的分辨率设置滤波点；提供更大的反馈前增益（典型值为提高6-9dB）24bit的数字解析度；三种颜色的LED滤波器显示；每个通道设有12个滤波器；灵活的滤波器控制；自动或人工重新设置活动滤波器；XLR卡侬插座和1/4’线路插座的输入/输出连接；双通道输入/输出</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4</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音箱处理器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 xml:space="preserve">3个输入/ 6输出的数字信号处理器，精确控制 </w:t>
            </w:r>
            <w:r>
              <w:rPr>
                <w:rFonts w:hint="eastAsia" w:ascii="仿宋" w:hAnsi="仿宋" w:eastAsia="仿宋" w:cs="仿宋"/>
                <w:i w:val="0"/>
                <w:iCs w:val="0"/>
                <w:color w:val="auto"/>
                <w:sz w:val="21"/>
                <w:szCs w:val="21"/>
                <w:highlight w:val="none"/>
                <w:u w:val="none"/>
                <w:lang w:val="en-US" w:eastAsia="zh-CN"/>
              </w:rPr>
              <w:br w:type="textWrapping"/>
            </w:r>
            <w:r>
              <w:rPr>
                <w:rFonts w:hint="eastAsia" w:ascii="仿宋" w:hAnsi="仿宋" w:eastAsia="仿宋" w:cs="仿宋"/>
                <w:i w:val="0"/>
                <w:iCs w:val="0"/>
                <w:color w:val="auto"/>
                <w:sz w:val="21"/>
                <w:szCs w:val="21"/>
                <w:highlight w:val="none"/>
                <w:u w:val="none"/>
                <w:lang w:val="en-US" w:eastAsia="zh-CN"/>
              </w:rPr>
              <w:t>通过前面板界面上的具体功能按钮，允许快速发送所有控制参数，消除隐藏子菜单。</w:t>
            </w:r>
            <w:r>
              <w:rPr>
                <w:rFonts w:hint="eastAsia" w:ascii="仿宋" w:hAnsi="仿宋" w:eastAsia="仿宋" w:cs="仿宋"/>
                <w:i w:val="0"/>
                <w:iCs w:val="0"/>
                <w:color w:val="auto"/>
                <w:sz w:val="21"/>
                <w:szCs w:val="21"/>
                <w:highlight w:val="none"/>
                <w:u w:val="none"/>
                <w:lang w:val="en-US" w:eastAsia="zh-CN"/>
              </w:rPr>
              <w:br w:type="textWrapping"/>
            </w:r>
            <w:r>
              <w:rPr>
                <w:rFonts w:hint="eastAsia" w:ascii="仿宋" w:hAnsi="仿宋" w:eastAsia="仿宋" w:cs="仿宋"/>
                <w:i w:val="0"/>
                <w:iCs w:val="0"/>
                <w:color w:val="auto"/>
                <w:sz w:val="21"/>
                <w:szCs w:val="21"/>
                <w:highlight w:val="none"/>
                <w:u w:val="none"/>
                <w:lang w:val="en-US" w:eastAsia="zh-CN"/>
              </w:rPr>
              <w:t>背光2x20特性LCD显示通道和功能设置。相关具体按钮可访问所有音频功能和系统工具。</w:t>
            </w:r>
            <w:r>
              <w:rPr>
                <w:rFonts w:hint="eastAsia" w:ascii="仿宋" w:hAnsi="仿宋" w:eastAsia="仿宋" w:cs="仿宋"/>
                <w:i w:val="0"/>
                <w:iCs w:val="0"/>
                <w:color w:val="auto"/>
                <w:sz w:val="21"/>
                <w:szCs w:val="21"/>
                <w:highlight w:val="none"/>
                <w:u w:val="none"/>
                <w:lang w:val="en-US" w:eastAsia="zh-CN"/>
              </w:rPr>
              <w:br w:type="textWrapping"/>
            </w:r>
            <w:r>
              <w:rPr>
                <w:rFonts w:hint="eastAsia" w:ascii="仿宋" w:hAnsi="仿宋" w:eastAsia="仿宋" w:cs="仿宋"/>
                <w:i w:val="0"/>
                <w:iCs w:val="0"/>
                <w:color w:val="auto"/>
                <w:sz w:val="21"/>
                <w:szCs w:val="21"/>
                <w:highlight w:val="none"/>
                <w:u w:val="none"/>
                <w:lang w:val="en-US" w:eastAsia="zh-CN"/>
              </w:rPr>
              <w:t>更快捷设置和强大的可视输入/输出路由，EQ，</w:t>
            </w:r>
            <w:r>
              <w:rPr>
                <w:rFonts w:hint="eastAsia" w:ascii="仿宋" w:hAnsi="仿宋" w:eastAsia="仿宋" w:cs="仿宋"/>
                <w:i w:val="0"/>
                <w:iCs w:val="0"/>
                <w:color w:val="auto"/>
                <w:sz w:val="21"/>
                <w:szCs w:val="21"/>
                <w:highlight w:val="none"/>
                <w:u w:val="none"/>
                <w:lang w:val="en-US" w:eastAsia="zh-CN"/>
              </w:rPr>
              <w:br w:type="textWrapping"/>
            </w:r>
            <w:r>
              <w:rPr>
                <w:rFonts w:hint="eastAsia" w:ascii="仿宋" w:hAnsi="仿宋" w:eastAsia="仿宋" w:cs="仿宋"/>
                <w:i w:val="0"/>
                <w:iCs w:val="0"/>
                <w:color w:val="auto"/>
                <w:sz w:val="21"/>
                <w:szCs w:val="21"/>
                <w:highlight w:val="none"/>
                <w:u w:val="none"/>
                <w:lang w:val="en-US" w:eastAsia="zh-CN"/>
              </w:rPr>
              <w:t>滤波曲线系统，两个USB接口（一个在前面板，另一个在后面板）和RS-232接口可用于Ashly的控制软件（Protea软件）和PC连接。</w:t>
            </w:r>
            <w:r>
              <w:rPr>
                <w:rFonts w:hint="eastAsia" w:ascii="仿宋" w:hAnsi="仿宋" w:eastAsia="仿宋" w:cs="仿宋"/>
                <w:i w:val="0"/>
                <w:iCs w:val="0"/>
                <w:color w:val="auto"/>
                <w:sz w:val="21"/>
                <w:szCs w:val="21"/>
                <w:highlight w:val="none"/>
                <w:u w:val="none"/>
                <w:lang w:val="en-US" w:eastAsia="zh-CN"/>
              </w:rPr>
              <w:br w:type="textWrapping"/>
            </w:r>
            <w:r>
              <w:rPr>
                <w:rFonts w:hint="eastAsia" w:ascii="仿宋" w:hAnsi="仿宋" w:eastAsia="仿宋" w:cs="仿宋"/>
                <w:i w:val="0"/>
                <w:iCs w:val="0"/>
                <w:color w:val="auto"/>
                <w:sz w:val="21"/>
                <w:szCs w:val="21"/>
                <w:highlight w:val="none"/>
                <w:u w:val="none"/>
                <w:lang w:val="en-US" w:eastAsia="zh-CN"/>
              </w:rPr>
              <w:t>提供一个6英尺的USB-A到USB-B电缆。</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5</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会议音箱</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模式Crossover Model:2音路全频2-way full range</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额定功率Power Handling:250W</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阻抗ominal Impedance:8ohms</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频率响应Frequency Response:56Hz-20KHz</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灵敏度Sensitivity:96dB</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扩散角度Nominal Dispersion：90×70</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低音Low Frequency:10＂×1</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高音High Frequency:1.75＂×1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板材Enclosure Material:优质密度板18mm MDF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 xml:space="preserve">表面Finish:黑色耐磨粗点喷漆Black rough spraying paint面罩Grille:  黑色网加声学透气棉Black iron net and nylon net </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尺寸W×D×H 不小于310×330×485</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高频号角可90度旋转</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8路电源时序器</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8路时序器，带电压显示，每路独立控制强有力的系统化装置,具有标准,直通功能,独立的8通道电源输出插座,每个通道的输出容量为30A/220V,配合系统设备进行不同的连接,对整个系统的供电进行时序控制,减少和抑制电网中的各种干扰和浪涌冲击,确保系统设备工作稳定。</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7</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专业会议机柜</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1.结构：2mm冷轧板柜体；</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2.通风:顶部配有2个轴流风扇；</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3.底部进风口表面处理：去油、脱脂、酸洗、磷化、静电喷塑；</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4.材质：冷轧板；</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5.载重：静态载重能力大于300Kg；</w:t>
            </w:r>
            <w:r>
              <w:rPr>
                <w:rFonts w:hint="eastAsia" w:ascii="仿宋" w:hAnsi="仿宋" w:eastAsia="仿宋" w:cs="仿宋"/>
                <w:i w:val="0"/>
                <w:iCs w:val="0"/>
                <w:color w:val="auto"/>
                <w:sz w:val="21"/>
                <w:szCs w:val="21"/>
                <w:u w:val="none"/>
                <w:lang w:val="en-US" w:eastAsia="zh-CN"/>
              </w:rPr>
              <w:br w:type="textWrapping"/>
            </w:r>
            <w:r>
              <w:rPr>
                <w:rFonts w:hint="eastAsia" w:ascii="仿宋" w:hAnsi="仿宋" w:eastAsia="仿宋" w:cs="仿宋"/>
                <w:i w:val="0"/>
                <w:iCs w:val="0"/>
                <w:color w:val="auto"/>
                <w:sz w:val="21"/>
                <w:szCs w:val="21"/>
                <w:u w:val="none"/>
                <w:lang w:val="en-US" w:eastAsia="zh-CN"/>
              </w:rPr>
              <w:t>6.尺寸（W×D×H）:600×600×1000mm；</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8</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功放</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额定功率350瓦*2</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互调失真(IMD,@Rated Power,8Ω) ≤0.01%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通道分高度(@Rated Power,RL=8Ω,1kHz) ≥75dB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性噪比(S/N Ratio) 105dB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阻尼系数(@3Ω,1f=1kHz) 400</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灵敏度(@Rated Power,8a) 0. 775V</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输入阻抗  和(Balanced/Unbalanced) 20kΩ(Balanced),</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LED指示灯 每通道 Protece/ Clip/Signal / Active Protece/ Clip/Signal / Active</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保护线路 短路保护、过裁保护、软启动、过温、限幅、静音保护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放大电路 Class-AB</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工作电压 ~AC220V/50Hz </w:t>
            </w:r>
          </w:p>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 xml:space="preserve">净尺寸(WxHxD) 484x88x450mm </w:t>
            </w:r>
            <w:r>
              <w:rPr>
                <w:rFonts w:hint="eastAsia" w:ascii="仿宋" w:hAnsi="仿宋" w:eastAsia="仿宋" w:cs="仿宋"/>
                <w:i w:val="0"/>
                <w:iCs w:val="0"/>
                <w:color w:val="auto"/>
                <w:sz w:val="21"/>
                <w:szCs w:val="21"/>
                <w:u w:val="none"/>
                <w:lang w:val="en-US" w:eastAsia="zh-CN"/>
              </w:rPr>
              <w:tab/>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9</w:t>
            </w:r>
          </w:p>
        </w:tc>
        <w:tc>
          <w:tcPr>
            <w:tcW w:w="647"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卡侬公头对卡侬母头音频线</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1"/>
                <w:szCs w:val="21"/>
                <w:u w:val="none"/>
                <w:lang w:val="en-US" w:eastAsia="zh-CN"/>
              </w:rPr>
            </w:pPr>
            <w:r>
              <w:rPr>
                <w:rFonts w:hint="eastAsia" w:ascii="仿宋" w:hAnsi="仿宋" w:eastAsia="仿宋" w:cs="仿宋"/>
                <w:i w:val="0"/>
                <w:iCs w:val="0"/>
                <w:color w:val="auto"/>
                <w:sz w:val="21"/>
                <w:szCs w:val="21"/>
                <w:u w:val="none"/>
                <w:lang w:val="en-US" w:eastAsia="zh-CN"/>
              </w:rPr>
              <w:t>卡侬头（公）对卡侬头（母）音频线，标配1.2米</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00" w:type="pct"/>
            <w:gridSpan w:val="4"/>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b/>
                <w:bCs/>
                <w:i w:val="0"/>
                <w:iCs w:val="0"/>
                <w:color w:val="auto"/>
                <w:kern w:val="0"/>
                <w:sz w:val="21"/>
                <w:szCs w:val="21"/>
                <w:u w:val="none"/>
                <w:lang w:val="en-US" w:eastAsia="zh-CN" w:bidi="ar"/>
              </w:rPr>
              <w:t>综合布线系统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双孔插座面版</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规格：86 墙上弧型双口面板；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材料：所有塑料材料应采用ABS材质耐腐塑料，配有电话和网络标签；适合多类型模块安装。表面带嵌入式图表及标签位置，可识别数据和语音端口，并配有防尘滑门用以保护模块、遮蔽灰尘和污物进入。背面使用交叉加强筋使面部安装后更平整，且具有防误插装置。</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 xml:space="preserve">可以垂直或者45 度安装信息模块，带防尘盖，带电话电脑标记，带有透明标识系统，要求标识条为翻转结构，以方便更换标识条，面板要求与标准RJ45 模块插座配套，可安装各类符合FCC标准的模块；有单口、双口和四口可供选择。 </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颜色：乳白色</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六类信息模块</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规格：180度六类RJ45非屏蔽模块插座；</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标准：TIA/EIA 568B.2-1 及ISO/IEC 11801:2002 Ed2.0或国际通用标准，模块性能指标完全优于现行六类250MHZ标准；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拔插寿命：≥ 1500 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端接寿命：≥250次；</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端子镀金厚度：≥ 50u˝；</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端接（压接）：分离式压接，110打线工具安装。可卡接22～24AWG规格的芯线；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电气特性：介电强度为1000V 60HZ/1分钟，额定电流为1.5Amp，绝缘电阻最小为200mO，接触电阻为1mO，可在-40°C~70°C环境下工作；</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设计：为拆装灵活的8PIN模块式插座，其输入、输出线的线规都符合EIA/TIA568标准，拱形金针结构。信息模块具有任选90度或45度安装方式，同时模块即可安装在模块式配线架上又可以安装于工作区域的面板内，具备T568A和T568B两种通用线序，标签清晰标注于模块端接保护帽上，端接保护帽采用扣锁式设计。具有向后兼容性，可向下兼容更低类别的系统。</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六类24口配线架</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规格：六类24口模块化非屏蔽配线架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标准：ISO/IEC 11801 ，TIA/EIA-568-B.2，满足或优于现行的六类传输标准，性能超越六类250MHZ连接硬件指标。具有向后兼容性可向下兼容CAT5e及更低类别的系统。</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内置模块配线架模块参数及要求需符合标准要求，模块自带防尘门。</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设计：配线架能直接安装在19英寸标准机架或机柜上，内置螺丝设计，带有透明标识系统，配有加厚型后理线支架，保证弯曲半径和避免线缆挤压，带有便于扎带捆绑孔。提供符合T568A和T568B两种端接标准，可互换色标标签；保证至少1500次插接和250次的重复端接。</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理线架</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规格：网络理线架</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单面槽理线架按19英寸机架标准设计，适用于配线架及设备跳线的水平和垂直方向的线缆管理；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设计简洁、对于各种线缆提供灵活、有效和安全的管理，使布线系统整洁美观，提供24个管理环；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采用滑槽式封闭结构，全金属材质，管理跳线数≥50，满足跳线或交叉线弯曲半径的合理性。</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六类非屏蔽双绞线</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规格：23AWG六类非屏蔽双绞线</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标准：UL 444, EIA/TIA 568-B.2和ISO/IEC 11801, IEC61156-5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传输：100米范围内≥250MHz条件下的传输要求</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材料：填充物聚乙烯提供出色的十字隔离防串扰隔离技术从而保障良好的传输性能,护套（PVC）聚氯乙烯</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电气特性：1-250MHZ输入阻抗100±6Ω，1-250MHZ时延偏离≦45ns/100M,20℃条件下的导线最大直流电阻73.2Ω/KM不平衡直流电阻≦5%</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结构：导线直径0.565，外直径6.5±0.2mm，绝缘层聚乙烯平均厚度0.28，护套PVC平均厚度0.5±0.05mm</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性能：最大张力为10KG，工作温度为-20~60℃</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六类RJ45跳线</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highlight w:val="none"/>
                <w:u w:val="none"/>
                <w:lang w:val="en-US" w:eastAsia="zh-CN" w:bidi="ar-SA"/>
              </w:rPr>
            </w:pPr>
            <w:r>
              <w:rPr>
                <w:rFonts w:hint="eastAsia" w:ascii="仿宋" w:hAnsi="仿宋" w:eastAsia="仿宋" w:cs="仿宋"/>
                <w:i w:val="0"/>
                <w:iCs w:val="0"/>
                <w:color w:val="auto"/>
                <w:kern w:val="0"/>
                <w:sz w:val="21"/>
                <w:szCs w:val="21"/>
                <w:highlight w:val="none"/>
                <w:u w:val="none"/>
                <w:lang w:val="en-US" w:eastAsia="zh-CN" w:bidi="ar"/>
              </w:rPr>
              <w:t>规格：2米六类 UTP 4对标准RJ45至RJ45跳线，PVC护套，符合UL防火标准；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标准：符合ANSI/TIA/EIA 568B.2-1、ISO/IEC 11801第二版、EN50173-1第二版标准，跳线性能指标完全优于现行六类250MHZ标准；</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跳线内部7*0.2多芯软线结构；</w:t>
            </w:r>
            <w:r>
              <w:rPr>
                <w:rFonts w:hint="eastAsia" w:ascii="仿宋" w:hAnsi="仿宋" w:eastAsia="仿宋" w:cs="仿宋"/>
                <w:i w:val="0"/>
                <w:iCs w:val="0"/>
                <w:color w:val="auto"/>
                <w:kern w:val="0"/>
                <w:sz w:val="21"/>
                <w:szCs w:val="21"/>
                <w:highlight w:val="none"/>
                <w:u w:val="none"/>
                <w:lang w:val="en-US" w:eastAsia="zh-CN" w:bidi="ar"/>
              </w:rPr>
              <w:br w:type="textWrapping"/>
            </w:r>
            <w:r>
              <w:rPr>
                <w:rFonts w:hint="eastAsia" w:ascii="仿宋" w:hAnsi="仿宋" w:eastAsia="仿宋" w:cs="仿宋"/>
                <w:i w:val="0"/>
                <w:iCs w:val="0"/>
                <w:color w:val="auto"/>
                <w:kern w:val="0"/>
                <w:sz w:val="21"/>
                <w:szCs w:val="21"/>
                <w:highlight w:val="none"/>
                <w:u w:val="none"/>
                <w:lang w:val="en-US" w:eastAsia="zh-CN" w:bidi="ar"/>
              </w:rPr>
              <w:t>跳线尾部采用模具注塑的尾套，RJ45头、护套、线缆一体化，确保多次插拔，以保证产品可靠性。</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7</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安装底盒</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1.名称:安装底盒</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2.规格:86型</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3.安装形式:安装</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8</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电线管</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r>
              <w:rPr>
                <w:rFonts w:hint="eastAsia" w:ascii="仿宋" w:hAnsi="仿宋" w:eastAsia="仿宋" w:cs="仿宋"/>
                <w:i w:val="0"/>
                <w:iCs w:val="0"/>
                <w:color w:val="auto"/>
                <w:kern w:val="0"/>
                <w:sz w:val="21"/>
                <w:szCs w:val="21"/>
                <w:u w:val="none"/>
                <w:lang w:val="en-US" w:eastAsia="zh-CN" w:bidi="ar"/>
              </w:rPr>
              <w:t xml:space="preserve">1.名称:弱电配管 </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2.规格:JDG20</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3.配置形式:暗敷</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5000" w:type="pct"/>
            <w:gridSpan w:val="4"/>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2"/>
                <w:sz w:val="21"/>
                <w:szCs w:val="21"/>
                <w:u w:val="none"/>
                <w:lang w:val="en-US" w:eastAsia="zh-CN" w:bidi="ar-SA"/>
              </w:rPr>
            </w:pPr>
            <w:r>
              <w:rPr>
                <w:rFonts w:hint="eastAsia" w:ascii="仿宋" w:hAnsi="仿宋" w:eastAsia="仿宋" w:cs="仿宋"/>
                <w:b/>
                <w:bCs/>
                <w:i w:val="0"/>
                <w:iCs w:val="0"/>
                <w:color w:val="auto"/>
                <w:kern w:val="2"/>
                <w:sz w:val="21"/>
                <w:szCs w:val="21"/>
                <w:u w:val="none"/>
                <w:lang w:val="en-US" w:eastAsia="zh-CN" w:bidi="ar-SA"/>
              </w:rPr>
              <w:t>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1</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辅材</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项目施工中所需的辅材</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62" w:type="pct"/>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2</w:t>
            </w:r>
          </w:p>
        </w:tc>
        <w:tc>
          <w:tcPr>
            <w:tcW w:w="647" w:type="pct"/>
            <w:tcBorders>
              <w:tl2br w:val="nil"/>
              <w:tr2bl w:val="nil"/>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安装调试费</w:t>
            </w:r>
          </w:p>
        </w:tc>
        <w:tc>
          <w:tcPr>
            <w:tcW w:w="3611" w:type="pct"/>
            <w:tcBorders>
              <w:tl2br w:val="nil"/>
              <w:tr2bl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项目软硬件施工调试费</w:t>
            </w:r>
          </w:p>
        </w:tc>
        <w:tc>
          <w:tcPr>
            <w:tcW w:w="379" w:type="pct"/>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2"/>
                <w:sz w:val="21"/>
                <w:szCs w:val="21"/>
                <w:u w:val="none"/>
                <w:lang w:val="en-US" w:eastAsia="zh-CN" w:bidi="ar-SA"/>
              </w:rPr>
            </w:pPr>
          </w:p>
        </w:tc>
      </w:tr>
    </w:tbl>
    <w:p>
      <w:pPr>
        <w:pStyle w:val="13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仿宋" w:hAnsi="仿宋" w:eastAsia="仿宋" w:cs="仿宋"/>
          <w:b/>
          <w:color w:val="auto"/>
          <w:sz w:val="21"/>
          <w:szCs w:val="21"/>
          <w:highlight w:val="none"/>
          <w:lang w:val="en-US" w:eastAsia="zh-CN"/>
        </w:rPr>
      </w:pPr>
    </w:p>
    <w:p>
      <w:pPr>
        <w:pStyle w:val="134"/>
        <w:keepNext w:val="0"/>
        <w:keepLines w:val="0"/>
        <w:pageBreakBefore w:val="0"/>
        <w:widowControl w:val="0"/>
        <w:kinsoku/>
        <w:wordWrap/>
        <w:overflowPunct/>
        <w:topLinePunct w:val="0"/>
        <w:autoSpaceDE/>
        <w:autoSpaceDN/>
        <w:bidi w:val="0"/>
        <w:adjustRightInd w:val="0"/>
        <w:snapToGrid w:val="0"/>
        <w:spacing w:before="0" w:line="360" w:lineRule="auto"/>
        <w:ind w:firstLine="0" w:firstLineChars="0"/>
        <w:textAlignment w:val="auto"/>
        <w:rPr>
          <w:rFonts w:hint="eastAsia" w:ascii="仿宋" w:hAnsi="仿宋" w:eastAsia="仿宋" w:cs="仿宋"/>
          <w:b/>
          <w:color w:val="auto"/>
          <w:sz w:val="21"/>
          <w:szCs w:val="21"/>
          <w:highlight w:val="none"/>
          <w:lang w:val="en-US" w:eastAsia="zh-CN"/>
        </w:rPr>
      </w:pPr>
      <w:r>
        <w:rPr>
          <w:rFonts w:hint="eastAsia" w:ascii="微软雅黑" w:hAnsi="微软雅黑" w:eastAsia="微软雅黑" w:cs="微软雅黑"/>
          <w:b/>
          <w:color w:val="auto"/>
          <w:sz w:val="21"/>
          <w:szCs w:val="21"/>
          <w:highlight w:val="none"/>
          <w:lang w:val="en-US" w:eastAsia="zh-CN"/>
        </w:rPr>
        <w:t>▲</w:t>
      </w:r>
      <w:r>
        <w:rPr>
          <w:rFonts w:hint="eastAsia" w:ascii="仿宋" w:hAnsi="仿宋" w:eastAsia="仿宋" w:cs="仿宋"/>
          <w:b/>
          <w:color w:val="auto"/>
          <w:sz w:val="21"/>
          <w:szCs w:val="21"/>
          <w:highlight w:val="none"/>
          <w:lang w:val="en-US" w:eastAsia="zh-CN"/>
        </w:rPr>
        <w:t>注：本次采购的产品中</w:t>
      </w:r>
      <w:r>
        <w:rPr>
          <w:rFonts w:hint="eastAsia" w:ascii="仿宋" w:hAnsi="仿宋" w:eastAsia="仿宋" w:cs="仿宋"/>
          <w:b/>
          <w:color w:val="auto"/>
          <w:sz w:val="21"/>
          <w:szCs w:val="21"/>
          <w:highlight w:val="none"/>
          <w:u w:val="single"/>
          <w:lang w:val="en-US" w:eastAsia="zh-CN"/>
        </w:rPr>
        <w:t xml:space="preserve"> LED显示屏 </w:t>
      </w:r>
      <w:r>
        <w:rPr>
          <w:rFonts w:hint="eastAsia" w:ascii="仿宋" w:hAnsi="仿宋" w:eastAsia="仿宋" w:cs="仿宋"/>
          <w:b/>
          <w:color w:val="auto"/>
          <w:sz w:val="21"/>
          <w:szCs w:val="21"/>
          <w:highlight w:val="none"/>
          <w:lang w:val="en-US" w:eastAsia="zh-CN"/>
        </w:rPr>
        <w:t>属于政府强制采购节能产品，投标供应商必须选用符合要求的产品并按要求提供相关证明材料，否则按无效投标处理。</w:t>
      </w: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五、其他要求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w:t>
      </w:r>
      <w:r>
        <w:rPr>
          <w:rFonts w:hint="eastAsia" w:ascii="仿宋" w:hAnsi="仿宋" w:eastAsia="仿宋" w:cs="仿宋"/>
          <w:color w:val="auto"/>
        </w:rPr>
        <w:t>质保期及售后服务内容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1.1</w:t>
      </w:r>
      <w:r>
        <w:rPr>
          <w:rFonts w:hint="eastAsia" w:ascii="仿宋" w:hAnsi="仿宋" w:eastAsia="仿宋" w:cs="仿宋"/>
          <w:color w:val="auto"/>
        </w:rPr>
        <w:t>投标产品提供不少于</w:t>
      </w:r>
      <w:r>
        <w:rPr>
          <w:rFonts w:hint="eastAsia" w:ascii="仿宋" w:hAnsi="仿宋" w:eastAsia="仿宋" w:cs="仿宋"/>
          <w:color w:val="auto"/>
          <w:lang w:val="en-US" w:eastAsia="zh-CN"/>
        </w:rPr>
        <w:t>1</w:t>
      </w:r>
      <w:r>
        <w:rPr>
          <w:rFonts w:hint="eastAsia" w:ascii="仿宋" w:hAnsi="仿宋" w:eastAsia="仿宋" w:cs="仿宋"/>
          <w:color w:val="auto"/>
        </w:rPr>
        <w:t>年质保，并提供软件升级迭代服务（不包含功能开发工作），质保期自验收合格次日起计算，质保期严格按照国家三包规定执行。</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1.2</w:t>
      </w:r>
      <w:r>
        <w:rPr>
          <w:rFonts w:hint="eastAsia" w:ascii="仿宋" w:hAnsi="仿宋" w:eastAsia="仿宋" w:cs="仿宋"/>
          <w:color w:val="auto"/>
        </w:rPr>
        <w:t>投标人应明确承诺售后服务各项内容和措施，提供详细的服务地点、联系人、电话等有关资料。</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1.3</w:t>
      </w:r>
      <w:r>
        <w:rPr>
          <w:rFonts w:hint="eastAsia" w:ascii="仿宋" w:hAnsi="仿宋" w:eastAsia="仿宋" w:cs="仿宋"/>
          <w:color w:val="auto"/>
        </w:rPr>
        <w:t>在质保期内，软件的维护和升级发生的一切费用均由</w:t>
      </w:r>
      <w:r>
        <w:rPr>
          <w:rFonts w:hint="eastAsia" w:ascii="仿宋" w:hAnsi="仿宋" w:eastAsia="仿宋" w:cs="仿宋"/>
          <w:color w:val="auto"/>
          <w:lang w:val="en-US" w:eastAsia="zh-CN"/>
        </w:rPr>
        <w:t>中标供应商</w:t>
      </w:r>
      <w:r>
        <w:rPr>
          <w:rFonts w:hint="eastAsia" w:ascii="仿宋" w:hAnsi="仿宋" w:eastAsia="仿宋" w:cs="仿宋"/>
          <w:color w:val="auto"/>
        </w:rPr>
        <w:t>承担。质保期满后只收取维护及升级的成本费。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1.4</w:t>
      </w:r>
      <w:r>
        <w:rPr>
          <w:rFonts w:hint="eastAsia" w:ascii="仿宋" w:hAnsi="仿宋" w:eastAsia="仿宋" w:cs="仿宋"/>
          <w:color w:val="auto"/>
        </w:rPr>
        <w:t>提供电话技术支持服务要求：7*24小时。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1.5</w:t>
      </w:r>
      <w:r>
        <w:rPr>
          <w:rFonts w:hint="eastAsia" w:ascii="仿宋" w:hAnsi="仿宋" w:eastAsia="仿宋" w:cs="仿宋"/>
          <w:color w:val="auto"/>
        </w:rPr>
        <w:t>运维响应：提供工作时间运维响应时间应在</w:t>
      </w:r>
      <w:r>
        <w:rPr>
          <w:rFonts w:hint="eastAsia" w:ascii="仿宋" w:hAnsi="仿宋" w:eastAsia="仿宋" w:cs="仿宋"/>
          <w:color w:val="auto"/>
          <w:lang w:val="en-US" w:eastAsia="zh-CN"/>
        </w:rPr>
        <w:t>1</w:t>
      </w:r>
      <w:r>
        <w:rPr>
          <w:rFonts w:hint="eastAsia" w:ascii="仿宋" w:hAnsi="仿宋" w:eastAsia="仿宋" w:cs="仿宋"/>
          <w:color w:val="auto"/>
        </w:rPr>
        <w:t>小时以内，非工作时间运维响应时间在</w:t>
      </w:r>
      <w:r>
        <w:rPr>
          <w:rFonts w:hint="eastAsia" w:ascii="仿宋" w:hAnsi="仿宋" w:eastAsia="仿宋" w:cs="仿宋"/>
          <w:color w:val="auto"/>
          <w:lang w:val="en-US" w:eastAsia="zh-CN"/>
        </w:rPr>
        <w:t>2</w:t>
      </w:r>
      <w:r>
        <w:rPr>
          <w:rFonts w:hint="eastAsia" w:ascii="仿宋" w:hAnsi="仿宋" w:eastAsia="仿宋" w:cs="仿宋"/>
          <w:color w:val="auto"/>
        </w:rPr>
        <w:t>小时以内；如有问题，需将在接到运维请求后的4个小时以内赶到用户现场。</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1.6</w:t>
      </w:r>
      <w:r>
        <w:rPr>
          <w:rFonts w:hint="eastAsia" w:ascii="仿宋" w:hAnsi="仿宋" w:eastAsia="仿宋" w:cs="仿宋"/>
          <w:color w:val="auto"/>
        </w:rPr>
        <w:t>现场技术服务方式：如应用软件系统出现重大故障导致业务中止时，需将派技术人员运程协助</w:t>
      </w:r>
      <w:r>
        <w:rPr>
          <w:rFonts w:hint="eastAsia" w:ascii="仿宋" w:hAnsi="仿宋" w:eastAsia="仿宋" w:cs="仿宋"/>
          <w:color w:val="auto"/>
          <w:lang w:val="en-US" w:eastAsia="zh-CN"/>
        </w:rPr>
        <w:t>采购人</w:t>
      </w:r>
      <w:r>
        <w:rPr>
          <w:rFonts w:hint="eastAsia" w:ascii="仿宋" w:hAnsi="仿宋" w:eastAsia="仿宋" w:cs="仿宋"/>
          <w:color w:val="auto"/>
        </w:rPr>
        <w:t>技术、业务人员一起对故障进行分析，提出解决方案，在征得</w:t>
      </w:r>
      <w:r>
        <w:rPr>
          <w:rFonts w:hint="eastAsia" w:ascii="仿宋" w:hAnsi="仿宋" w:eastAsia="仿宋" w:cs="仿宋"/>
          <w:color w:val="auto"/>
          <w:lang w:val="en-US" w:eastAsia="zh-CN"/>
        </w:rPr>
        <w:t>使用</w:t>
      </w:r>
      <w:r>
        <w:rPr>
          <w:rFonts w:hint="eastAsia" w:ascii="仿宋" w:hAnsi="仿宋" w:eastAsia="仿宋" w:cs="仿宋"/>
          <w:color w:val="auto"/>
        </w:rPr>
        <w:t>方同意后对故障进行处理和排除</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1.7</w:t>
      </w:r>
      <w:r>
        <w:rPr>
          <w:rFonts w:hint="eastAsia" w:ascii="仿宋" w:hAnsi="仿宋" w:eastAsia="仿宋" w:cs="仿宋"/>
          <w:color w:val="auto"/>
        </w:rPr>
        <w:t>远程维护方式：需提供电话、电子邮件、传真或远程访问等方式进行系统故障的处理、技术支持、咨询服务等工作。</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2.售后</w:t>
      </w:r>
      <w:r>
        <w:rPr>
          <w:rFonts w:hint="eastAsia" w:ascii="仿宋" w:hAnsi="仿宋" w:eastAsia="仿宋" w:cs="仿宋"/>
          <w:color w:val="auto"/>
        </w:rPr>
        <w:t>日常服务</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lang w:eastAsia="zh-CN"/>
        </w:rPr>
      </w:pPr>
      <w:r>
        <w:rPr>
          <w:rFonts w:hint="eastAsia" w:ascii="仿宋" w:hAnsi="仿宋" w:eastAsia="仿宋" w:cs="仿宋"/>
          <w:color w:val="auto"/>
          <w:lang w:val="en-US" w:eastAsia="zh-CN"/>
        </w:rPr>
        <w:t>2.1</w:t>
      </w:r>
      <w:r>
        <w:rPr>
          <w:rFonts w:hint="eastAsia" w:ascii="仿宋" w:hAnsi="仿宋" w:eastAsia="仿宋" w:cs="仿宋"/>
          <w:color w:val="auto"/>
        </w:rPr>
        <w:t>提供现场指导：如对可能出现的故障提出解决预案及系统功能改进等方面的技术咨询工作</w:t>
      </w:r>
      <w:r>
        <w:rPr>
          <w:rFonts w:hint="eastAsia" w:ascii="仿宋" w:hAnsi="仿宋" w:eastAsia="仿宋" w:cs="仿宋"/>
          <w:color w:val="auto"/>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2.2</w:t>
      </w:r>
      <w:r>
        <w:rPr>
          <w:rFonts w:hint="eastAsia" w:ascii="仿宋" w:hAnsi="仿宋" w:eastAsia="仿宋" w:cs="仿宋"/>
          <w:color w:val="auto"/>
        </w:rPr>
        <w:t>在现场对</w:t>
      </w:r>
      <w:r>
        <w:rPr>
          <w:rFonts w:hint="eastAsia" w:ascii="仿宋" w:hAnsi="仿宋" w:eastAsia="仿宋" w:cs="仿宋"/>
          <w:color w:val="auto"/>
          <w:lang w:val="en-US" w:eastAsia="zh-CN"/>
        </w:rPr>
        <w:t>使用</w:t>
      </w:r>
      <w:r>
        <w:rPr>
          <w:rFonts w:hint="eastAsia" w:ascii="仿宋" w:hAnsi="仿宋" w:eastAsia="仿宋" w:cs="仿宋"/>
          <w:color w:val="auto"/>
        </w:rPr>
        <w:t xml:space="preserve">方进行设备使用操作及相关技术方面的培训。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项目培训要求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3.1中标供应商应提供培训服务具体内容及方式、培训时间、培训地点、培训课程计划、培训人员配备情况等信息。</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3.2</w:t>
      </w:r>
      <w:r>
        <w:rPr>
          <w:rFonts w:hint="eastAsia" w:ascii="仿宋" w:hAnsi="仿宋" w:eastAsia="仿宋" w:cs="仿宋"/>
          <w:color w:val="auto"/>
        </w:rPr>
        <w:t>在项目的实施开展中，对</w:t>
      </w:r>
      <w:r>
        <w:rPr>
          <w:rFonts w:hint="eastAsia" w:ascii="仿宋" w:hAnsi="仿宋" w:eastAsia="仿宋" w:cs="仿宋"/>
          <w:color w:val="auto"/>
          <w:lang w:val="en-US" w:eastAsia="zh-CN"/>
        </w:rPr>
        <w:t>采购人</w:t>
      </w:r>
      <w:r>
        <w:rPr>
          <w:rFonts w:hint="eastAsia" w:ascii="仿宋" w:hAnsi="仿宋" w:eastAsia="仿宋" w:cs="仿宋"/>
          <w:color w:val="auto"/>
        </w:rPr>
        <w:t>进行现场集中专业培训，增强相关人员的理论知识和实际操作水平。提供不少于10个工作日培训时长，由相关行业资深专家授课，使主要使用者达到熟练操作相关业务功能，有能力独立分析问题、处理较简单的系统故障，能完成相关智能化设备基本参数配置</w:t>
      </w:r>
      <w:r>
        <w:rPr>
          <w:rFonts w:hint="eastAsia" w:ascii="仿宋" w:hAnsi="仿宋" w:eastAsia="仿宋" w:cs="仿宋"/>
          <w:color w:val="auto"/>
          <w:lang w:val="en-US" w:eastAsia="zh-CN"/>
        </w:rPr>
        <w:t>的水平</w:t>
      </w:r>
      <w:r>
        <w:rPr>
          <w:rFonts w:hint="eastAsia" w:ascii="仿宋" w:hAnsi="仿宋" w:eastAsia="仿宋" w:cs="仿宋"/>
          <w:color w:val="auto"/>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4.</w:t>
      </w:r>
      <w:r>
        <w:rPr>
          <w:rFonts w:hint="eastAsia" w:ascii="仿宋" w:hAnsi="仿宋" w:eastAsia="仿宋" w:cs="仿宋"/>
          <w:color w:val="auto"/>
        </w:rPr>
        <w:t>知识产权</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4.1</w:t>
      </w:r>
      <w:r>
        <w:rPr>
          <w:rFonts w:hint="eastAsia" w:ascii="仿宋" w:hAnsi="仿宋" w:eastAsia="仿宋" w:cs="仿宋"/>
          <w:color w:val="auto"/>
        </w:rPr>
        <w:t>中标</w:t>
      </w:r>
      <w:r>
        <w:rPr>
          <w:rFonts w:hint="eastAsia" w:ascii="仿宋" w:hAnsi="仿宋" w:eastAsia="仿宋" w:cs="仿宋"/>
          <w:color w:val="auto"/>
          <w:lang w:val="en-US" w:eastAsia="zh-CN"/>
        </w:rPr>
        <w:t>供应商</w:t>
      </w:r>
      <w:r>
        <w:rPr>
          <w:rFonts w:hint="eastAsia" w:ascii="仿宋" w:hAnsi="仿宋" w:eastAsia="仿宋" w:cs="仿宋"/>
          <w:color w:val="auto"/>
        </w:rPr>
        <w:t>声明并</w:t>
      </w:r>
      <w:r>
        <w:rPr>
          <w:rFonts w:hint="eastAsia" w:ascii="仿宋" w:hAnsi="仿宋" w:eastAsia="仿宋" w:cs="仿宋"/>
          <w:color w:val="auto"/>
          <w:lang w:val="en-US" w:eastAsia="zh-CN"/>
        </w:rPr>
        <w:t>承诺</w:t>
      </w:r>
      <w:r>
        <w:rPr>
          <w:rFonts w:hint="eastAsia" w:ascii="仿宋" w:hAnsi="仿宋" w:eastAsia="仿宋" w:cs="仿宋"/>
          <w:color w:val="auto"/>
        </w:rPr>
        <w:t>向采购</w:t>
      </w:r>
      <w:r>
        <w:rPr>
          <w:rFonts w:hint="eastAsia" w:ascii="仿宋" w:hAnsi="仿宋" w:eastAsia="仿宋" w:cs="仿宋"/>
          <w:color w:val="auto"/>
          <w:lang w:val="en-US" w:eastAsia="zh-CN"/>
        </w:rPr>
        <w:t>人</w:t>
      </w:r>
      <w:r>
        <w:rPr>
          <w:rFonts w:hint="eastAsia" w:ascii="仿宋" w:hAnsi="仿宋" w:eastAsia="仿宋" w:cs="仿宋"/>
          <w:color w:val="auto"/>
        </w:rPr>
        <w:t>提供的产品及服务等合法有效，且并未直接或间接侵害采购</w:t>
      </w:r>
      <w:r>
        <w:rPr>
          <w:rFonts w:hint="eastAsia" w:ascii="仿宋" w:hAnsi="仿宋" w:eastAsia="仿宋" w:cs="仿宋"/>
          <w:color w:val="auto"/>
          <w:lang w:val="en-US" w:eastAsia="zh-CN"/>
        </w:rPr>
        <w:t>人</w:t>
      </w:r>
      <w:r>
        <w:rPr>
          <w:rFonts w:hint="eastAsia" w:ascii="仿宋" w:hAnsi="仿宋" w:eastAsia="仿宋" w:cs="仿宋"/>
          <w:color w:val="auto"/>
        </w:rPr>
        <w:t>或第三人任何知识产权</w:t>
      </w:r>
      <w:r>
        <w:rPr>
          <w:rFonts w:hint="eastAsia" w:ascii="仿宋" w:hAnsi="仿宋" w:eastAsia="仿宋" w:cs="仿宋"/>
          <w:color w:val="auto"/>
          <w:lang w:eastAsia="zh-CN"/>
        </w:rPr>
        <w:t>，</w:t>
      </w:r>
      <w:r>
        <w:rPr>
          <w:rFonts w:hint="eastAsia" w:ascii="仿宋" w:hAnsi="仿宋" w:eastAsia="仿宋" w:cs="仿宋"/>
          <w:color w:val="auto"/>
        </w:rPr>
        <w:t>采购</w:t>
      </w:r>
      <w:r>
        <w:rPr>
          <w:rFonts w:hint="eastAsia" w:ascii="仿宋" w:hAnsi="仿宋" w:eastAsia="仿宋" w:cs="仿宋"/>
          <w:color w:val="auto"/>
          <w:lang w:val="en-US" w:eastAsia="zh-CN"/>
        </w:rPr>
        <w:t>人</w:t>
      </w:r>
      <w:r>
        <w:rPr>
          <w:rFonts w:hint="eastAsia" w:ascii="仿宋" w:hAnsi="仿宋" w:eastAsia="仿宋" w:cs="仿宋"/>
          <w:color w:val="auto"/>
        </w:rPr>
        <w:t>有合法使用本合同所有产品的权利，后续不得增收任何费用。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4.2</w:t>
      </w:r>
      <w:r>
        <w:rPr>
          <w:rFonts w:hint="eastAsia" w:ascii="仿宋" w:hAnsi="仿宋" w:eastAsia="仿宋" w:cs="仿宋"/>
          <w:color w:val="auto"/>
        </w:rPr>
        <w:t>若中标</w:t>
      </w:r>
      <w:r>
        <w:rPr>
          <w:rFonts w:hint="eastAsia" w:ascii="仿宋" w:hAnsi="仿宋" w:eastAsia="仿宋" w:cs="仿宋"/>
          <w:color w:val="auto"/>
          <w:lang w:val="en-US" w:eastAsia="zh-CN"/>
        </w:rPr>
        <w:t>供应商</w:t>
      </w:r>
      <w:r>
        <w:rPr>
          <w:rFonts w:hint="eastAsia" w:ascii="仿宋" w:hAnsi="仿宋" w:eastAsia="仿宋" w:cs="仿宋"/>
          <w:color w:val="auto"/>
        </w:rPr>
        <w:t>交付的软件涉及使用中标</w:t>
      </w:r>
      <w:r>
        <w:rPr>
          <w:rFonts w:hint="eastAsia" w:ascii="仿宋" w:hAnsi="仿宋" w:eastAsia="仿宋" w:cs="仿宋"/>
          <w:color w:val="auto"/>
          <w:lang w:val="en-US" w:eastAsia="zh-CN"/>
        </w:rPr>
        <w:t>供应商</w:t>
      </w:r>
      <w:r>
        <w:rPr>
          <w:rFonts w:hint="eastAsia" w:ascii="仿宋" w:hAnsi="仿宋" w:eastAsia="仿宋" w:cs="仿宋"/>
          <w:color w:val="auto"/>
        </w:rPr>
        <w:t>已有知识产权，中标</w:t>
      </w:r>
      <w:r>
        <w:rPr>
          <w:rFonts w:hint="eastAsia" w:ascii="仿宋" w:hAnsi="仿宋" w:eastAsia="仿宋" w:cs="仿宋"/>
          <w:color w:val="auto"/>
          <w:lang w:val="en-US" w:eastAsia="zh-CN"/>
        </w:rPr>
        <w:t>供应商</w:t>
      </w:r>
      <w:r>
        <w:rPr>
          <w:rFonts w:hint="eastAsia" w:ascii="仿宋" w:hAnsi="仿宋" w:eastAsia="仿宋" w:cs="仿宋"/>
          <w:color w:val="auto"/>
        </w:rPr>
        <w:t>无偿授权许可采购</w:t>
      </w:r>
      <w:r>
        <w:rPr>
          <w:rFonts w:hint="eastAsia" w:ascii="仿宋" w:hAnsi="仿宋" w:eastAsia="仿宋" w:cs="仿宋"/>
          <w:color w:val="auto"/>
          <w:lang w:val="en-US" w:eastAsia="zh-CN"/>
        </w:rPr>
        <w:t>人</w:t>
      </w:r>
      <w:r>
        <w:rPr>
          <w:rFonts w:hint="eastAsia" w:ascii="仿宋" w:hAnsi="仿宋" w:eastAsia="仿宋" w:cs="仿宋"/>
          <w:color w:val="auto"/>
        </w:rPr>
        <w:t>及采购</w:t>
      </w:r>
      <w:r>
        <w:rPr>
          <w:rFonts w:hint="eastAsia" w:ascii="仿宋" w:hAnsi="仿宋" w:eastAsia="仿宋" w:cs="仿宋"/>
          <w:color w:val="auto"/>
          <w:lang w:val="en-US" w:eastAsia="zh-CN"/>
        </w:rPr>
        <w:t>人</w:t>
      </w:r>
      <w:r>
        <w:rPr>
          <w:rFonts w:hint="eastAsia" w:ascii="仿宋" w:hAnsi="仿宋" w:eastAsia="仿宋" w:cs="仿宋"/>
          <w:color w:val="auto"/>
        </w:rPr>
        <w:t>授权用户使用。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rPr>
      </w:pPr>
      <w:r>
        <w:rPr>
          <w:rFonts w:hint="eastAsia" w:ascii="仿宋" w:hAnsi="仿宋" w:eastAsia="仿宋" w:cs="仿宋"/>
          <w:color w:val="auto"/>
          <w:lang w:val="en-US" w:eastAsia="zh-CN"/>
        </w:rPr>
        <w:t>4.3</w:t>
      </w:r>
      <w:r>
        <w:rPr>
          <w:rFonts w:hint="eastAsia" w:ascii="仿宋" w:hAnsi="仿宋" w:eastAsia="仿宋" w:cs="仿宋"/>
          <w:color w:val="auto"/>
        </w:rPr>
        <w:t>若有任何知识产权争议，中标</w:t>
      </w:r>
      <w:r>
        <w:rPr>
          <w:rFonts w:hint="eastAsia" w:ascii="仿宋" w:hAnsi="仿宋" w:eastAsia="仿宋" w:cs="仿宋"/>
          <w:color w:val="auto"/>
          <w:lang w:val="en-US" w:eastAsia="zh-CN"/>
        </w:rPr>
        <w:t>供应商</w:t>
      </w:r>
      <w:r>
        <w:rPr>
          <w:rFonts w:hint="eastAsia" w:ascii="仿宋" w:hAnsi="仿宋" w:eastAsia="仿宋" w:cs="仿宋"/>
          <w:color w:val="auto"/>
        </w:rPr>
        <w:t>承担所有法律责任。中标</w:t>
      </w:r>
      <w:r>
        <w:rPr>
          <w:rFonts w:hint="eastAsia" w:ascii="仿宋" w:hAnsi="仿宋" w:eastAsia="仿宋" w:cs="仿宋"/>
          <w:color w:val="auto"/>
          <w:lang w:val="en-US" w:eastAsia="zh-CN"/>
        </w:rPr>
        <w:t>供应商</w:t>
      </w:r>
      <w:r>
        <w:rPr>
          <w:rFonts w:hint="eastAsia" w:ascii="仿宋" w:hAnsi="仿宋" w:eastAsia="仿宋" w:cs="仿宋"/>
          <w:color w:val="auto"/>
        </w:rPr>
        <w:t>同意负责所有关于知识产权争议的协商、和解谈判、抗辩与防卫行为，并赔偿及负担采购</w:t>
      </w:r>
      <w:r>
        <w:rPr>
          <w:rFonts w:hint="eastAsia" w:ascii="仿宋" w:hAnsi="仿宋" w:eastAsia="仿宋" w:cs="仿宋"/>
          <w:color w:val="auto"/>
          <w:lang w:val="en-US" w:eastAsia="zh-CN"/>
        </w:rPr>
        <w:t>人</w:t>
      </w:r>
      <w:r>
        <w:rPr>
          <w:rFonts w:hint="eastAsia" w:ascii="仿宋" w:hAnsi="仿宋" w:eastAsia="仿宋" w:cs="仿宋"/>
          <w:color w:val="auto"/>
        </w:rPr>
        <w:t>因第三人主张知识产权争议衍生之所受损害及所支付所有费用。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5.集成要求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5.1本招标项目对每项硬件集成均要求包括上门服务，即中标供应商在设备交付后应在采购人指定的时间、地点安排专业人员进行现场安装和调试。所提供产品应与采购人现有环境无缝平滑对接，对于用户为交钥匙工程，对接费用全部由供应商承担，采购人无需另外支付任何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5.2制定完整的项目集成实施及服务方案，包括设备到货安装、调试，说明项目的实施计划、实施过程及流程、质量控制措施、项目保障措施、项目完成后交付的成果文档以及其它认为需要说明的内容。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5.3完成设备的到货、安装、配置、调试等工作，至少包含以下内容：</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（1）提供原厂的设备安装、上电、测试、初始化、配置规划等服务，需满足客户环境的实际需求。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（2）中标供应商需确保新购设备或许可，能与采购人现有环境兼容，并满足项目功能需求。</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仿宋" w:hAnsi="仿宋" w:eastAsia="仿宋" w:cs="仿宋"/>
          <w:color w:val="auto"/>
          <w:lang w:val="en-US" w:eastAsia="zh-CN"/>
        </w:rPr>
      </w:pPr>
      <w:r>
        <w:rPr>
          <w:rFonts w:hint="eastAsia" w:ascii="仿宋" w:hAnsi="仿宋" w:eastAsia="仿宋" w:cs="仿宋"/>
          <w:color w:val="auto"/>
          <w:highlight w:val="none"/>
          <w:lang w:val="en-US" w:eastAsia="zh-CN"/>
        </w:rPr>
        <w:t>（3）项目集成实施所涉及的所有网线、光纤线、模块等相关辅料及配件由中标供应商提供，采购人无需另外支付任何费用。</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仿宋" w:hAnsi="仿宋" w:eastAsia="仿宋" w:cs="仿宋"/>
          <w:color w:val="auto"/>
          <w:lang w:val="en-US" w:eastAsia="zh-CN"/>
        </w:rPr>
      </w:pPr>
      <w:r>
        <w:rPr>
          <w:rFonts w:hint="eastAsia" w:ascii="仿宋" w:hAnsi="仿宋" w:eastAsia="仿宋" w:cs="仿宋"/>
          <w:color w:val="auto"/>
          <w:lang w:val="en-US" w:eastAsia="zh-CN"/>
        </w:rPr>
        <w:t>6.验收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6.1初验：设备到货、安装、上电调测完成之后开始初验准备工作，双方须按技术需求对设备逐个进行全面的技术指标和功能验收，并作详细记录，确认无误后双方共同签署系统初验报告。如设备指标未达到中标供应商投标文件承诺，中标供应商应在一个月内进行整改或换货，再次验收仍达不到承诺的，验收不予通过的，采购人有权上报相关部门处理，并保留追究中标供应商违约责任的权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6.2终验：完成设备安装、配置、实现业务端访问正常等工作后，对环境进行可靠性测试，验证功能、性能等，进行</w:t>
      </w:r>
      <w:r>
        <w:rPr>
          <w:rFonts w:hint="default" w:ascii="仿宋" w:hAnsi="仿宋" w:eastAsia="仿宋" w:cs="仿宋"/>
          <w:color w:val="auto"/>
          <w:lang w:val="en-US" w:eastAsia="zh-CN"/>
        </w:rPr>
        <w:t>1</w:t>
      </w:r>
      <w:r>
        <w:rPr>
          <w:rFonts w:hint="eastAsia" w:ascii="仿宋" w:hAnsi="仿宋" w:eastAsia="仿宋" w:cs="仿宋"/>
          <w:color w:val="auto"/>
          <w:lang w:val="en-US" w:eastAsia="zh-CN"/>
        </w:rPr>
        <w:t>个月的试运行。若完全实现项目技术性能要求，无质量差错，按采购人要求提供全部验收材料，方可进行最终验收，并由双方签署最终验收文件。</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7.包装运输</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lang w:val="en-US" w:eastAsia="zh-CN"/>
        </w:rPr>
      </w:pPr>
      <w:r>
        <w:rPr>
          <w:rFonts w:hint="eastAsia" w:ascii="仿宋" w:hAnsi="仿宋" w:eastAsia="仿宋" w:cs="仿宋"/>
          <w:color w:val="auto"/>
          <w:lang w:val="en-US" w:eastAsia="zh-CN"/>
        </w:rPr>
        <w:t>7.1所有设备均应适当保护，设备和部件必须包装完好，送至现场完成检查工作后，须更换被损坏和有缺陷的设备，直至安装调试完成为止。</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color w:val="auto"/>
          <w:lang w:val="en-US" w:eastAsia="zh-CN"/>
        </w:rPr>
        <w:t>7.2中标供应商应该与设备生产厂家联系安排设备的运送时间以使设备达到现场后能予以尽快的安装而尽可能地减少在现场的存放时间。</w:t>
      </w:r>
    </w:p>
    <w:p>
      <w:pPr>
        <w:pStyle w:val="134"/>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firstLine="0" w:firstLineChars="0"/>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六、商务要求表</w:t>
      </w:r>
    </w:p>
    <w:tbl>
      <w:tblPr>
        <w:tblStyle w:val="64"/>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6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82" w:type="dxa"/>
            <w:vAlign w:val="center"/>
          </w:tcPr>
          <w:p>
            <w:pPr>
              <w:spacing w:line="340" w:lineRule="exact"/>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交货时间及地点</w:t>
            </w:r>
          </w:p>
        </w:tc>
        <w:tc>
          <w:tcPr>
            <w:tcW w:w="6733" w:type="dxa"/>
            <w:vAlign w:val="center"/>
          </w:tcPr>
          <w:p>
            <w:pPr>
              <w:pStyle w:val="20"/>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bCs/>
                <w:color w:val="auto"/>
                <w:kern w:val="0"/>
                <w:sz w:val="21"/>
                <w:szCs w:val="21"/>
                <w:highlight w:val="none"/>
                <w:lang w:val="en-US" w:eastAsia="zh-CN" w:bidi="ar-SA"/>
              </w:rPr>
              <w:t>交货时间：接到采购人进场通知之日起45天内完成。</w:t>
            </w:r>
          </w:p>
          <w:p>
            <w:pPr>
              <w:spacing w:line="340" w:lineRule="exact"/>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 w:val="21"/>
                <w:szCs w:val="21"/>
                <w:highlight w:val="none"/>
                <w:lang w:val="en-US" w:eastAsia="zh-CN" w:bidi="ar-SA"/>
              </w:rPr>
              <w:t>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782"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仿宋" w:hAnsi="仿宋" w:eastAsia="仿宋" w:cs="仿宋"/>
                <w:color w:val="auto"/>
                <w:szCs w:val="21"/>
                <w:highlight w:val="yellow"/>
              </w:rPr>
            </w:pPr>
            <w:r>
              <w:rPr>
                <w:rFonts w:hint="eastAsia" w:ascii="仿宋" w:hAnsi="仿宋" w:eastAsia="仿宋" w:cs="仿宋"/>
                <w:color w:val="auto"/>
                <w:szCs w:val="21"/>
                <w:highlight w:val="none"/>
              </w:rPr>
              <w:t>履约保证金</w:t>
            </w:r>
          </w:p>
        </w:tc>
        <w:tc>
          <w:tcPr>
            <w:tcW w:w="6733" w:type="dxa"/>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仿宋" w:hAnsi="仿宋" w:eastAsia="仿宋" w:cs="仿宋"/>
                <w:bCs/>
                <w:color w:val="auto"/>
                <w:kern w:val="0"/>
                <w:szCs w:val="21"/>
                <w:highlight w:val="yellow"/>
                <w:lang w:val="en-US" w:eastAsia="zh-CN"/>
              </w:rPr>
            </w:pPr>
            <w:r>
              <w:rPr>
                <w:rFonts w:hint="eastAsia" w:ascii="仿宋" w:hAnsi="仿宋" w:eastAsia="仿宋" w:cs="仿宋"/>
                <w:color w:val="auto"/>
                <w:kern w:val="0"/>
                <w:sz w:val="21"/>
                <w:szCs w:val="21"/>
                <w:highlight w:val="none"/>
                <w:lang w:val="zh-CN"/>
              </w:rPr>
              <w:t>合同金额的1%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782" w:type="dxa"/>
            <w:vAlign w:val="center"/>
          </w:tcPr>
          <w:p>
            <w:pPr>
              <w:spacing w:line="34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报价要求</w:t>
            </w:r>
          </w:p>
        </w:tc>
        <w:tc>
          <w:tcPr>
            <w:tcW w:w="6733" w:type="dxa"/>
            <w:vAlign w:val="center"/>
          </w:tcPr>
          <w:p>
            <w:pPr>
              <w:spacing w:line="340" w:lineRule="exact"/>
              <w:rPr>
                <w:rFonts w:hint="eastAsia"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1.本次采购，供应商以本清单为依据进行投标报价。本项目安装所需的线缆及安装辅材、配件等采用包干方式，不论招标文件清单中所列的数量是否准确，项目实施过程中合同单价不予调整，供应商应现场勘察，以求得准确的报价依据，供应商自行承担报价风险。</w:t>
            </w:r>
          </w:p>
          <w:p>
            <w:pPr>
              <w:spacing w:line="340" w:lineRule="exact"/>
              <w:rPr>
                <w:rFonts w:hint="default" w:ascii="仿宋" w:hAnsi="仿宋" w:eastAsia="仿宋" w:cs="仿宋"/>
                <w:bCs/>
                <w:color w:val="auto"/>
                <w:kern w:val="0"/>
                <w:szCs w:val="21"/>
                <w:highlight w:val="none"/>
                <w:lang w:val="en-US" w:eastAsia="zh-CN"/>
              </w:rPr>
            </w:pPr>
            <w:r>
              <w:rPr>
                <w:rFonts w:hint="eastAsia" w:ascii="仿宋" w:hAnsi="仿宋" w:eastAsia="仿宋" w:cs="仿宋"/>
                <w:bCs/>
                <w:color w:val="auto"/>
                <w:kern w:val="0"/>
                <w:szCs w:val="21"/>
                <w:highlight w:val="none"/>
                <w:lang w:val="en-US" w:eastAsia="zh-CN"/>
              </w:rPr>
              <w:t>2.供应商应将项目实施过程中涉及破除和修复工作所需的费用充分考虑在报价内，并承担报价风险。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82" w:type="dxa"/>
            <w:vAlign w:val="center"/>
          </w:tcPr>
          <w:p>
            <w:pPr>
              <w:spacing w:line="340" w:lineRule="exac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付款方式</w:t>
            </w:r>
          </w:p>
        </w:tc>
        <w:tc>
          <w:tcPr>
            <w:tcW w:w="6733" w:type="dxa"/>
            <w:vAlign w:val="center"/>
          </w:tcPr>
          <w:p>
            <w:pPr>
              <w:numPr>
                <w:ilvl w:val="0"/>
                <w:numId w:val="0"/>
              </w:numPr>
              <w:spacing w:line="340" w:lineRule="exact"/>
              <w:ind w:leftChars="0"/>
              <w:rPr>
                <w:rFonts w:hint="eastAsia" w:ascii="仿宋" w:hAnsi="仿宋" w:eastAsia="仿宋" w:cs="仿宋"/>
                <w:bCs/>
                <w:color w:val="auto"/>
                <w:kern w:val="0"/>
                <w:szCs w:val="21"/>
                <w:highlight w:val="none"/>
                <w:lang w:val="en-US"/>
              </w:rPr>
            </w:pPr>
            <w:r>
              <w:rPr>
                <w:rFonts w:hint="eastAsia" w:ascii="仿宋" w:hAnsi="仿宋" w:eastAsia="仿宋" w:cs="仿宋"/>
                <w:bCs/>
                <w:color w:val="auto"/>
                <w:kern w:val="0"/>
                <w:szCs w:val="21"/>
                <w:highlight w:val="none"/>
                <w:lang w:val="en-US" w:eastAsia="zh-CN"/>
              </w:rPr>
              <w:t>项目到货后支付</w:t>
            </w:r>
            <w:r>
              <w:rPr>
                <w:rFonts w:hint="eastAsia" w:ascii="仿宋" w:hAnsi="仿宋" w:eastAsia="仿宋" w:cs="仿宋"/>
                <w:bCs/>
                <w:color w:val="auto"/>
                <w:kern w:val="0"/>
                <w:szCs w:val="21"/>
                <w:highlight w:val="none"/>
              </w:rPr>
              <w:t>至合同价的</w:t>
            </w:r>
            <w:r>
              <w:rPr>
                <w:rFonts w:hint="default" w:ascii="仿宋" w:hAnsi="仿宋" w:eastAsia="仿宋" w:cs="仿宋"/>
                <w:bCs/>
                <w:color w:val="auto"/>
                <w:kern w:val="0"/>
                <w:szCs w:val="21"/>
                <w:highlight w:val="none"/>
                <w:lang w:val="en-US" w:eastAsia="zh-CN"/>
              </w:rPr>
              <w:t>4</w:t>
            </w:r>
            <w:r>
              <w:rPr>
                <w:rFonts w:hint="eastAsia" w:ascii="仿宋" w:hAnsi="仿宋" w:eastAsia="仿宋" w:cs="仿宋"/>
                <w:bCs/>
                <w:color w:val="auto"/>
                <w:kern w:val="0"/>
                <w:szCs w:val="21"/>
                <w:highlight w:val="none"/>
                <w:lang w:val="en-US" w:eastAsia="zh-CN"/>
              </w:rPr>
              <w:t>0</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eastAsia="zh-CN"/>
              </w:rPr>
              <w:t>，</w:t>
            </w:r>
            <w:r>
              <w:rPr>
                <w:rFonts w:hint="eastAsia" w:ascii="仿宋" w:hAnsi="仿宋" w:eastAsia="仿宋" w:cs="仿宋"/>
                <w:bCs/>
                <w:color w:val="auto"/>
                <w:kern w:val="0"/>
                <w:szCs w:val="21"/>
                <w:highlight w:val="none"/>
                <w:lang w:val="en-US" w:eastAsia="zh-CN"/>
              </w:rPr>
              <w:t>终验通过</w:t>
            </w:r>
            <w:r>
              <w:rPr>
                <w:rFonts w:hint="eastAsia" w:ascii="仿宋" w:hAnsi="仿宋" w:eastAsia="仿宋" w:cs="仿宋"/>
                <w:bCs/>
                <w:color w:val="auto"/>
                <w:kern w:val="0"/>
                <w:szCs w:val="21"/>
                <w:highlight w:val="none"/>
              </w:rPr>
              <w:t>后支付至合同价的</w:t>
            </w:r>
            <w:r>
              <w:rPr>
                <w:rFonts w:hint="eastAsia" w:ascii="仿宋" w:hAnsi="仿宋" w:eastAsia="仿宋" w:cs="仿宋"/>
                <w:bCs/>
                <w:color w:val="auto"/>
                <w:kern w:val="0"/>
                <w:szCs w:val="21"/>
                <w:highlight w:val="none"/>
                <w:lang w:val="en-US" w:eastAsia="zh-CN"/>
              </w:rPr>
              <w:t>80</w:t>
            </w:r>
            <w:r>
              <w:rPr>
                <w:rFonts w:hint="eastAsia" w:ascii="仿宋" w:hAnsi="仿宋" w:eastAsia="仿宋" w:cs="仿宋"/>
                <w:bCs/>
                <w:color w:val="auto"/>
                <w:kern w:val="0"/>
                <w:szCs w:val="21"/>
                <w:highlight w:val="none"/>
              </w:rPr>
              <w:t>%，</w:t>
            </w:r>
            <w:r>
              <w:rPr>
                <w:rFonts w:hint="eastAsia" w:ascii="仿宋" w:hAnsi="仿宋" w:eastAsia="仿宋" w:cs="仿宋"/>
                <w:bCs/>
                <w:color w:val="auto"/>
                <w:kern w:val="0"/>
                <w:szCs w:val="21"/>
                <w:highlight w:val="none"/>
                <w:lang w:val="en-US" w:eastAsia="zh-CN"/>
              </w:rPr>
              <w:t>审计结算后支付至审定价的100%。</w:t>
            </w:r>
          </w:p>
        </w:tc>
      </w:tr>
    </w:tbl>
    <w:p>
      <w:pPr>
        <w:pStyle w:val="84"/>
        <w:wordWrap w:val="0"/>
        <w:ind w:left="0" w:leftChars="0" w:firstLine="0" w:firstLineChars="0"/>
        <w:rPr>
          <w:rFonts w:hint="eastAsia" w:ascii="仿宋" w:hAnsi="仿宋" w:eastAsia="仿宋" w:cs="仿宋"/>
          <w:color w:val="auto"/>
          <w:sz w:val="21"/>
          <w:szCs w:val="21"/>
          <w:highlight w:val="none"/>
        </w:rPr>
      </w:pPr>
    </w:p>
    <w:p>
      <w:pPr>
        <w:pStyle w:val="84"/>
        <w:wordWrap w:val="0"/>
        <w:ind w:left="0" w:leftChars="0" w:firstLine="0" w:firstLineChars="0"/>
        <w:jc w:val="center"/>
        <w:rPr>
          <w:rFonts w:hint="eastAsia" w:ascii="仿宋" w:hAnsi="仿宋" w:eastAsia="仿宋" w:cs="仿宋"/>
          <w:b/>
          <w:color w:val="auto"/>
          <w:highlight w:val="none"/>
        </w:rPr>
        <w:sectPr>
          <w:headerReference r:id="rId8" w:type="first"/>
          <w:footerReference r:id="rId10" w:type="first"/>
          <w:headerReference r:id="rId7" w:type="default"/>
          <w:footerReference r:id="rId9" w:type="default"/>
          <w:pgSz w:w="11905" w:h="16838"/>
          <w:pgMar w:top="1417" w:right="1417" w:bottom="1417" w:left="1417" w:header="851" w:footer="992" w:gutter="283"/>
          <w:pgBorders>
            <w:top w:val="none" w:sz="0" w:space="0"/>
            <w:left w:val="none" w:sz="0" w:space="0"/>
            <w:bottom w:val="none" w:sz="0" w:space="0"/>
            <w:right w:val="none" w:sz="0" w:space="0"/>
          </w:pgBorders>
          <w:cols w:space="0" w:num="1"/>
          <w:titlePg/>
          <w:rtlGutter w:val="0"/>
          <w:docGrid w:linePitch="312" w:charSpace="0"/>
        </w:sectPr>
      </w:pPr>
      <w:r>
        <w:rPr>
          <w:rFonts w:hint="eastAsia" w:ascii="仿宋" w:hAnsi="仿宋" w:eastAsia="仿宋" w:cs="仿宋"/>
          <w:b/>
          <w:color w:val="auto"/>
          <w:highlight w:val="none"/>
        </w:rPr>
        <w:br w:type="page"/>
      </w:r>
    </w:p>
    <w:p>
      <w:pPr>
        <w:pStyle w:val="84"/>
        <w:keepNext w:val="0"/>
        <w:keepLines w:val="0"/>
        <w:pageBreakBefore w:val="0"/>
        <w:widowControl w:val="0"/>
        <w:kinsoku/>
        <w:wordWrap w:val="0"/>
        <w:overflowPunct/>
        <w:topLinePunct w:val="0"/>
        <w:autoSpaceDE/>
        <w:autoSpaceDN/>
        <w:bidi w:val="0"/>
        <w:spacing w:before="0" w:beforeLines="100" w:after="0" w:afterLines="100" w:line="240" w:lineRule="auto"/>
        <w:ind w:left="0" w:leftChars="0" w:firstLine="0" w:firstLineChars="0"/>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w:t>
      </w:r>
      <w:bookmarkStart w:id="27" w:name="_Toc184312073"/>
      <w:bookmarkEnd w:id="27"/>
      <w:bookmarkStart w:id="28" w:name="_Toc184312108"/>
      <w:bookmarkEnd w:id="28"/>
      <w:bookmarkStart w:id="29" w:name="_Toc184312137"/>
      <w:bookmarkEnd w:id="29"/>
      <w:bookmarkStart w:id="30" w:name="_Toc184314428"/>
      <w:bookmarkEnd w:id="30"/>
      <w:bookmarkStart w:id="31" w:name="_Toc184308040"/>
      <w:bookmarkEnd w:id="31"/>
      <w:bookmarkStart w:id="32" w:name="_Toc184308049"/>
      <w:bookmarkEnd w:id="32"/>
      <w:bookmarkStart w:id="33" w:name="_Toc184308038"/>
      <w:bookmarkEnd w:id="33"/>
      <w:bookmarkStart w:id="34" w:name="_Toc184310298"/>
      <w:bookmarkEnd w:id="34"/>
      <w:bookmarkStart w:id="35" w:name="_Toc184313297"/>
      <w:bookmarkEnd w:id="35"/>
      <w:bookmarkStart w:id="36" w:name="_Toc184308068"/>
      <w:bookmarkEnd w:id="36"/>
      <w:bookmarkStart w:id="37" w:name="_Toc184308073"/>
      <w:bookmarkEnd w:id="37"/>
      <w:bookmarkStart w:id="38" w:name="_Toc184312092"/>
      <w:bookmarkEnd w:id="38"/>
      <w:bookmarkStart w:id="39" w:name="_Toc184310285"/>
      <w:bookmarkEnd w:id="39"/>
      <w:bookmarkStart w:id="40" w:name="_Toc184310338"/>
      <w:bookmarkEnd w:id="40"/>
      <w:bookmarkStart w:id="41" w:name="_Toc184314438"/>
      <w:bookmarkEnd w:id="41"/>
      <w:bookmarkStart w:id="42" w:name="_Toc184314478"/>
      <w:bookmarkEnd w:id="42"/>
      <w:bookmarkStart w:id="43" w:name="_Toc184313256"/>
      <w:bookmarkEnd w:id="43"/>
      <w:bookmarkStart w:id="44" w:name="_Toc184308047"/>
      <w:bookmarkEnd w:id="44"/>
      <w:bookmarkStart w:id="45" w:name="_Toc184313246"/>
      <w:bookmarkEnd w:id="45"/>
      <w:bookmarkStart w:id="46" w:name="_Toc184314421"/>
      <w:bookmarkEnd w:id="46"/>
      <w:bookmarkStart w:id="47" w:name="_Toc184312111"/>
      <w:bookmarkEnd w:id="47"/>
      <w:bookmarkStart w:id="48" w:name="_Toc184314448"/>
      <w:bookmarkEnd w:id="48"/>
      <w:bookmarkStart w:id="49" w:name="_Toc184314415"/>
      <w:bookmarkEnd w:id="49"/>
      <w:bookmarkStart w:id="50" w:name="_Toc184313255"/>
      <w:bookmarkEnd w:id="50"/>
      <w:bookmarkStart w:id="51" w:name="_Toc184308066"/>
      <w:bookmarkEnd w:id="51"/>
      <w:bookmarkStart w:id="52" w:name="_Toc184308050"/>
      <w:bookmarkEnd w:id="52"/>
      <w:bookmarkStart w:id="53" w:name="_Toc184310323"/>
      <w:bookmarkEnd w:id="53"/>
      <w:bookmarkStart w:id="54" w:name="_Toc184310304"/>
      <w:bookmarkEnd w:id="54"/>
      <w:bookmarkStart w:id="55" w:name="_Toc184308076"/>
      <w:bookmarkEnd w:id="55"/>
      <w:bookmarkStart w:id="56" w:name="_Toc184313269"/>
      <w:bookmarkEnd w:id="56"/>
      <w:bookmarkStart w:id="57" w:name="_Toc184308060"/>
      <w:bookmarkEnd w:id="57"/>
      <w:bookmarkStart w:id="58" w:name="_Toc184312127"/>
      <w:bookmarkEnd w:id="58"/>
      <w:bookmarkStart w:id="59" w:name="_Toc184308089"/>
      <w:bookmarkEnd w:id="59"/>
      <w:bookmarkStart w:id="60" w:name="_Toc184310322"/>
      <w:bookmarkEnd w:id="60"/>
      <w:bookmarkStart w:id="61" w:name="_Toc184312103"/>
      <w:bookmarkEnd w:id="61"/>
      <w:bookmarkStart w:id="62" w:name="_Toc184314451"/>
      <w:bookmarkEnd w:id="62"/>
      <w:bookmarkStart w:id="63" w:name="_Toc184310320"/>
      <w:bookmarkEnd w:id="63"/>
      <w:bookmarkStart w:id="64" w:name="_Toc184312113"/>
      <w:bookmarkEnd w:id="64"/>
      <w:bookmarkStart w:id="65" w:name="_Toc184308055"/>
      <w:bookmarkEnd w:id="65"/>
      <w:bookmarkStart w:id="66" w:name="_Toc184314433"/>
      <w:bookmarkEnd w:id="66"/>
      <w:bookmarkStart w:id="67" w:name="_Toc184312124"/>
      <w:bookmarkEnd w:id="67"/>
      <w:bookmarkStart w:id="68" w:name="_Toc184313286"/>
      <w:bookmarkEnd w:id="68"/>
      <w:bookmarkStart w:id="69" w:name="_Toc184308098"/>
      <w:bookmarkEnd w:id="69"/>
      <w:bookmarkStart w:id="70" w:name="_Toc184312119"/>
      <w:bookmarkEnd w:id="70"/>
      <w:bookmarkStart w:id="71" w:name="_Toc184314431"/>
      <w:bookmarkEnd w:id="71"/>
      <w:bookmarkStart w:id="72" w:name="_Toc184313305"/>
      <w:bookmarkEnd w:id="72"/>
      <w:bookmarkStart w:id="73" w:name="_Toc184314436"/>
      <w:bookmarkEnd w:id="73"/>
      <w:bookmarkStart w:id="74" w:name="_Toc184308102"/>
      <w:bookmarkEnd w:id="74"/>
      <w:bookmarkStart w:id="75" w:name="_Toc184312135"/>
      <w:bookmarkEnd w:id="75"/>
      <w:bookmarkStart w:id="76" w:name="_Toc184308096"/>
      <w:bookmarkEnd w:id="76"/>
      <w:bookmarkStart w:id="77" w:name="_Toc184313287"/>
      <w:bookmarkEnd w:id="77"/>
      <w:bookmarkStart w:id="78" w:name="_Toc184312132"/>
      <w:bookmarkEnd w:id="78"/>
      <w:bookmarkStart w:id="79" w:name="_Toc184310283"/>
      <w:bookmarkEnd w:id="79"/>
      <w:bookmarkStart w:id="80" w:name="_Toc184310275"/>
      <w:bookmarkEnd w:id="80"/>
      <w:bookmarkStart w:id="81" w:name="_Toc184310287"/>
      <w:bookmarkEnd w:id="81"/>
      <w:bookmarkStart w:id="82" w:name="_Toc184308093"/>
      <w:bookmarkEnd w:id="82"/>
      <w:bookmarkStart w:id="83" w:name="_Toc184308082"/>
      <w:bookmarkEnd w:id="83"/>
      <w:bookmarkStart w:id="84" w:name="_Toc184310325"/>
      <w:bookmarkEnd w:id="84"/>
      <w:bookmarkStart w:id="85" w:name="_Toc184308108"/>
      <w:bookmarkEnd w:id="85"/>
      <w:bookmarkStart w:id="86" w:name="_Toc184314424"/>
      <w:bookmarkEnd w:id="86"/>
      <w:bookmarkStart w:id="87" w:name="_Toc184314426"/>
      <w:bookmarkEnd w:id="87"/>
      <w:bookmarkStart w:id="88" w:name="_Toc184313260"/>
      <w:bookmarkEnd w:id="88"/>
      <w:bookmarkStart w:id="89" w:name="_Toc184308063"/>
      <w:bookmarkEnd w:id="89"/>
      <w:bookmarkStart w:id="90" w:name="_Toc184308065"/>
      <w:bookmarkEnd w:id="90"/>
      <w:bookmarkStart w:id="91" w:name="_Toc184310311"/>
      <w:bookmarkEnd w:id="91"/>
      <w:bookmarkStart w:id="92" w:name="_Toc184313308"/>
      <w:bookmarkEnd w:id="92"/>
      <w:bookmarkStart w:id="93" w:name="_Toc184308051"/>
      <w:bookmarkEnd w:id="93"/>
      <w:bookmarkStart w:id="94" w:name="_Toc184310330"/>
      <w:bookmarkEnd w:id="94"/>
      <w:bookmarkStart w:id="95" w:name="_Toc184308079"/>
      <w:bookmarkEnd w:id="95"/>
      <w:bookmarkStart w:id="96" w:name="_Toc184308039"/>
      <w:bookmarkEnd w:id="96"/>
      <w:bookmarkStart w:id="97" w:name="_Toc184313266"/>
      <w:bookmarkEnd w:id="97"/>
      <w:bookmarkStart w:id="98" w:name="_Toc184314423"/>
      <w:bookmarkEnd w:id="98"/>
      <w:bookmarkStart w:id="99" w:name="_Toc184314477"/>
      <w:bookmarkEnd w:id="99"/>
      <w:bookmarkStart w:id="100" w:name="_Toc184308085"/>
      <w:bookmarkEnd w:id="100"/>
      <w:bookmarkStart w:id="101" w:name="_Toc184313241"/>
      <w:bookmarkEnd w:id="101"/>
      <w:bookmarkStart w:id="102" w:name="_Toc184314479"/>
      <w:bookmarkEnd w:id="102"/>
      <w:bookmarkStart w:id="103" w:name="_Toc184308062"/>
      <w:bookmarkEnd w:id="103"/>
      <w:bookmarkStart w:id="104" w:name="_Toc184310341"/>
      <w:bookmarkEnd w:id="104"/>
      <w:bookmarkStart w:id="105" w:name="_Toc184312120"/>
      <w:bookmarkEnd w:id="105"/>
      <w:bookmarkStart w:id="106" w:name="_Toc184313294"/>
      <w:bookmarkEnd w:id="106"/>
      <w:bookmarkStart w:id="107" w:name="_Toc184314420"/>
      <w:bookmarkEnd w:id="107"/>
      <w:bookmarkStart w:id="108" w:name="_Toc184314482"/>
      <w:bookmarkEnd w:id="108"/>
      <w:bookmarkStart w:id="109" w:name="_Toc184313249"/>
      <w:bookmarkEnd w:id="109"/>
      <w:bookmarkStart w:id="110" w:name="_Toc184312099"/>
      <w:bookmarkEnd w:id="110"/>
      <w:bookmarkStart w:id="111" w:name="_Toc184310321"/>
      <w:bookmarkEnd w:id="111"/>
      <w:bookmarkStart w:id="112" w:name="_Toc184313274"/>
      <w:bookmarkEnd w:id="112"/>
      <w:bookmarkStart w:id="113" w:name="_Toc184313238"/>
      <w:bookmarkEnd w:id="113"/>
      <w:bookmarkStart w:id="114" w:name="_Toc184312110"/>
      <w:bookmarkEnd w:id="114"/>
      <w:bookmarkStart w:id="115" w:name="_Toc184314442"/>
      <w:bookmarkEnd w:id="115"/>
      <w:bookmarkStart w:id="116" w:name="_Toc184314411"/>
      <w:bookmarkEnd w:id="116"/>
      <w:bookmarkStart w:id="117" w:name="_Toc184312079"/>
      <w:bookmarkEnd w:id="117"/>
      <w:bookmarkStart w:id="118" w:name="_Toc184313248"/>
      <w:bookmarkEnd w:id="118"/>
      <w:bookmarkStart w:id="119" w:name="_Toc184310336"/>
      <w:bookmarkEnd w:id="119"/>
      <w:bookmarkStart w:id="120" w:name="_Toc184314462"/>
      <w:bookmarkEnd w:id="120"/>
      <w:bookmarkStart w:id="121" w:name="_Toc184312123"/>
      <w:bookmarkEnd w:id="121"/>
      <w:bookmarkStart w:id="122" w:name="_Toc184308103"/>
      <w:bookmarkEnd w:id="122"/>
      <w:bookmarkStart w:id="123" w:name="_Toc184312116"/>
      <w:bookmarkEnd w:id="123"/>
      <w:bookmarkStart w:id="124" w:name="_Toc184310296"/>
      <w:bookmarkEnd w:id="124"/>
      <w:bookmarkStart w:id="125" w:name="_Toc184313275"/>
      <w:bookmarkEnd w:id="125"/>
      <w:bookmarkStart w:id="126" w:name="_Toc184310302"/>
      <w:bookmarkEnd w:id="126"/>
      <w:bookmarkStart w:id="127" w:name="_Toc184308059"/>
      <w:bookmarkEnd w:id="127"/>
      <w:bookmarkStart w:id="128" w:name="_Toc184313301"/>
      <w:bookmarkEnd w:id="128"/>
      <w:bookmarkStart w:id="129" w:name="_Toc184313251"/>
      <w:bookmarkEnd w:id="129"/>
      <w:bookmarkStart w:id="130" w:name="_Toc184310309"/>
      <w:bookmarkEnd w:id="130"/>
      <w:bookmarkStart w:id="131" w:name="_Toc184314476"/>
      <w:bookmarkEnd w:id="131"/>
      <w:bookmarkStart w:id="132" w:name="_Toc184312107"/>
      <w:bookmarkEnd w:id="132"/>
      <w:bookmarkStart w:id="133" w:name="_Toc184308054"/>
      <w:bookmarkEnd w:id="133"/>
      <w:bookmarkStart w:id="134" w:name="_Toc184314474"/>
      <w:bookmarkEnd w:id="134"/>
      <w:bookmarkStart w:id="135" w:name="_Toc184312087"/>
      <w:bookmarkEnd w:id="135"/>
      <w:bookmarkStart w:id="136" w:name="_Toc184314419"/>
      <w:bookmarkEnd w:id="136"/>
      <w:bookmarkStart w:id="137" w:name="_Toc184310279"/>
      <w:bookmarkEnd w:id="137"/>
      <w:bookmarkStart w:id="138" w:name="_Toc184314458"/>
      <w:bookmarkEnd w:id="138"/>
      <w:bookmarkStart w:id="139" w:name="_Toc184310303"/>
      <w:bookmarkEnd w:id="139"/>
      <w:bookmarkStart w:id="140" w:name="_Toc184314434"/>
      <w:bookmarkEnd w:id="140"/>
      <w:bookmarkStart w:id="141" w:name="_Toc184312075"/>
      <w:bookmarkEnd w:id="141"/>
      <w:bookmarkStart w:id="142" w:name="_Toc184314475"/>
      <w:bookmarkEnd w:id="142"/>
      <w:bookmarkStart w:id="143" w:name="_Toc184313263"/>
      <w:bookmarkEnd w:id="143"/>
      <w:bookmarkStart w:id="144" w:name="_Toc184308104"/>
      <w:bookmarkEnd w:id="144"/>
      <w:bookmarkStart w:id="145" w:name="_Toc184312133"/>
      <w:bookmarkEnd w:id="145"/>
      <w:bookmarkStart w:id="146" w:name="_Toc184314460"/>
      <w:bookmarkEnd w:id="146"/>
      <w:bookmarkStart w:id="147" w:name="_Toc184312100"/>
      <w:bookmarkEnd w:id="147"/>
      <w:bookmarkStart w:id="148" w:name="_Toc184308087"/>
      <w:bookmarkEnd w:id="148"/>
      <w:bookmarkStart w:id="149" w:name="_Toc184314437"/>
      <w:bookmarkEnd w:id="149"/>
      <w:bookmarkStart w:id="150" w:name="_Toc184312071"/>
      <w:bookmarkEnd w:id="150"/>
      <w:bookmarkStart w:id="151" w:name="_Toc184314441"/>
      <w:bookmarkEnd w:id="151"/>
      <w:bookmarkStart w:id="152" w:name="_Toc184314439"/>
      <w:bookmarkEnd w:id="152"/>
      <w:bookmarkStart w:id="153" w:name="_Toc184310286"/>
      <w:bookmarkEnd w:id="153"/>
      <w:bookmarkStart w:id="154" w:name="_Toc184310278"/>
      <w:bookmarkEnd w:id="154"/>
      <w:bookmarkStart w:id="155" w:name="_Toc184314414"/>
      <w:bookmarkEnd w:id="155"/>
      <w:bookmarkStart w:id="156" w:name="_Toc184310281"/>
      <w:bookmarkEnd w:id="156"/>
      <w:bookmarkStart w:id="157" w:name="_Toc184312072"/>
      <w:bookmarkEnd w:id="157"/>
      <w:bookmarkStart w:id="158" w:name="_Toc184314480"/>
      <w:bookmarkEnd w:id="158"/>
      <w:bookmarkStart w:id="159" w:name="_Toc184310318"/>
      <w:bookmarkEnd w:id="159"/>
      <w:bookmarkStart w:id="160" w:name="_Toc184312069"/>
      <w:bookmarkEnd w:id="160"/>
      <w:bookmarkStart w:id="161" w:name="_Toc184312067"/>
      <w:bookmarkEnd w:id="161"/>
      <w:bookmarkStart w:id="162" w:name="_Toc184312118"/>
      <w:bookmarkEnd w:id="162"/>
      <w:bookmarkStart w:id="163" w:name="_Toc184310332"/>
      <w:bookmarkEnd w:id="163"/>
      <w:bookmarkStart w:id="164" w:name="_Toc184314432"/>
      <w:bookmarkEnd w:id="164"/>
      <w:bookmarkStart w:id="165" w:name="_Toc184313259"/>
      <w:bookmarkEnd w:id="165"/>
      <w:bookmarkStart w:id="166" w:name="_Toc184312093"/>
      <w:bookmarkEnd w:id="166"/>
      <w:bookmarkStart w:id="167" w:name="_Toc184314471"/>
      <w:bookmarkEnd w:id="167"/>
      <w:bookmarkStart w:id="168" w:name="_Toc184308046"/>
      <w:bookmarkEnd w:id="168"/>
      <w:bookmarkStart w:id="169" w:name="_Toc184310297"/>
      <w:bookmarkEnd w:id="169"/>
      <w:bookmarkStart w:id="170" w:name="_Toc184312104"/>
      <w:bookmarkEnd w:id="170"/>
      <w:bookmarkStart w:id="171" w:name="_Toc184313254"/>
      <w:bookmarkEnd w:id="171"/>
      <w:bookmarkStart w:id="172" w:name="_Toc184308071"/>
      <w:bookmarkEnd w:id="172"/>
      <w:bookmarkStart w:id="173" w:name="_Toc184313271"/>
      <w:bookmarkEnd w:id="173"/>
      <w:bookmarkStart w:id="174" w:name="_Toc184314425"/>
      <w:bookmarkEnd w:id="174"/>
      <w:bookmarkStart w:id="175" w:name="_Toc184313244"/>
      <w:bookmarkEnd w:id="175"/>
      <w:bookmarkStart w:id="176" w:name="_Toc184308048"/>
      <w:bookmarkEnd w:id="176"/>
      <w:bookmarkStart w:id="177" w:name="_Toc184313280"/>
      <w:bookmarkEnd w:id="177"/>
      <w:bookmarkStart w:id="178" w:name="_Toc184314444"/>
      <w:bookmarkEnd w:id="178"/>
      <w:bookmarkStart w:id="179" w:name="_Toc184312091"/>
      <w:bookmarkEnd w:id="179"/>
      <w:bookmarkStart w:id="180" w:name="_Toc184313240"/>
      <w:bookmarkEnd w:id="180"/>
      <w:bookmarkStart w:id="181" w:name="_Toc184308043"/>
      <w:bookmarkEnd w:id="181"/>
      <w:bookmarkStart w:id="182" w:name="_Toc184313243"/>
      <w:bookmarkEnd w:id="182"/>
      <w:bookmarkStart w:id="183" w:name="_Toc184312088"/>
      <w:bookmarkEnd w:id="183"/>
      <w:bookmarkStart w:id="184" w:name="_Toc184313270"/>
      <w:bookmarkEnd w:id="184"/>
      <w:bookmarkStart w:id="185" w:name="_Toc184313304"/>
      <w:bookmarkEnd w:id="185"/>
      <w:bookmarkStart w:id="186" w:name="_Toc184310277"/>
      <w:bookmarkEnd w:id="186"/>
      <w:bookmarkStart w:id="187" w:name="_Toc184312098"/>
      <w:bookmarkEnd w:id="187"/>
      <w:bookmarkStart w:id="188" w:name="_Toc184312117"/>
      <w:bookmarkEnd w:id="188"/>
      <w:bookmarkStart w:id="189" w:name="_Toc184314455"/>
      <w:bookmarkEnd w:id="189"/>
      <w:bookmarkStart w:id="190" w:name="_Toc184312077"/>
      <w:bookmarkEnd w:id="190"/>
      <w:bookmarkStart w:id="191" w:name="_Toc184313303"/>
      <w:bookmarkEnd w:id="191"/>
      <w:bookmarkStart w:id="192" w:name="_Toc184312083"/>
      <w:bookmarkEnd w:id="192"/>
      <w:bookmarkStart w:id="193" w:name="_Toc184310319"/>
      <w:bookmarkEnd w:id="193"/>
      <w:bookmarkStart w:id="194" w:name="_Toc184314457"/>
      <w:bookmarkEnd w:id="194"/>
      <w:bookmarkStart w:id="195" w:name="_Toc184312080"/>
      <w:bookmarkEnd w:id="195"/>
      <w:bookmarkStart w:id="196" w:name="_Toc184312139"/>
      <w:bookmarkEnd w:id="196"/>
      <w:bookmarkStart w:id="197" w:name="_Toc184314445"/>
      <w:bookmarkEnd w:id="197"/>
      <w:bookmarkStart w:id="198" w:name="_Toc184308084"/>
      <w:bookmarkEnd w:id="198"/>
      <w:bookmarkStart w:id="199" w:name="_Toc184310292"/>
      <w:bookmarkEnd w:id="199"/>
      <w:bookmarkStart w:id="200" w:name="_Toc184313245"/>
      <w:bookmarkEnd w:id="200"/>
      <w:bookmarkStart w:id="201" w:name="_Toc184312070"/>
      <w:bookmarkEnd w:id="201"/>
      <w:bookmarkStart w:id="202" w:name="_Toc184308078"/>
      <w:bookmarkEnd w:id="202"/>
      <w:bookmarkStart w:id="203" w:name="_Toc184308097"/>
      <w:bookmarkEnd w:id="203"/>
      <w:bookmarkStart w:id="204" w:name="_Toc184313291"/>
      <w:bookmarkEnd w:id="204"/>
      <w:bookmarkStart w:id="205" w:name="_Toc184308064"/>
      <w:bookmarkEnd w:id="205"/>
      <w:bookmarkStart w:id="206" w:name="_Toc184314412"/>
      <w:bookmarkEnd w:id="206"/>
      <w:bookmarkStart w:id="207" w:name="_Toc184308072"/>
      <w:bookmarkEnd w:id="207"/>
      <w:bookmarkStart w:id="208" w:name="_Toc184312121"/>
      <w:bookmarkEnd w:id="208"/>
      <w:bookmarkStart w:id="209" w:name="_Toc184313252"/>
      <w:bookmarkEnd w:id="209"/>
      <w:bookmarkStart w:id="210" w:name="_Toc184313268"/>
      <w:bookmarkEnd w:id="210"/>
      <w:bookmarkStart w:id="211" w:name="_Toc184314416"/>
      <w:bookmarkEnd w:id="211"/>
      <w:bookmarkStart w:id="212" w:name="_Toc184308036"/>
      <w:bookmarkEnd w:id="212"/>
      <w:bookmarkStart w:id="213" w:name="_Toc184310301"/>
      <w:bookmarkEnd w:id="213"/>
      <w:bookmarkStart w:id="214" w:name="_Toc184313264"/>
      <w:bookmarkEnd w:id="214"/>
      <w:bookmarkStart w:id="215" w:name="_Toc184313307"/>
      <w:bookmarkEnd w:id="215"/>
      <w:bookmarkStart w:id="216" w:name="_Toc184314459"/>
      <w:bookmarkEnd w:id="216"/>
      <w:bookmarkStart w:id="217" w:name="_Toc184314446"/>
      <w:bookmarkEnd w:id="217"/>
      <w:bookmarkStart w:id="218" w:name="_Toc184308042"/>
      <w:bookmarkEnd w:id="218"/>
      <w:bookmarkStart w:id="219" w:name="_Toc184310337"/>
      <w:bookmarkEnd w:id="219"/>
      <w:bookmarkStart w:id="220" w:name="_Toc184312114"/>
      <w:bookmarkEnd w:id="220"/>
      <w:bookmarkStart w:id="221" w:name="_Toc184313298"/>
      <w:bookmarkEnd w:id="221"/>
      <w:bookmarkStart w:id="222" w:name="_Toc184313278"/>
      <w:bookmarkEnd w:id="222"/>
      <w:bookmarkStart w:id="223" w:name="_Toc184310291"/>
      <w:bookmarkEnd w:id="223"/>
      <w:bookmarkStart w:id="224" w:name="_Toc184308091"/>
      <w:bookmarkEnd w:id="224"/>
      <w:bookmarkStart w:id="225" w:name="_Toc184308088"/>
      <w:bookmarkEnd w:id="225"/>
      <w:bookmarkStart w:id="226" w:name="_Toc184310280"/>
      <w:bookmarkEnd w:id="226"/>
      <w:bookmarkStart w:id="227" w:name="_Toc184308041"/>
      <w:bookmarkEnd w:id="227"/>
      <w:bookmarkStart w:id="228" w:name="_Toc184310324"/>
      <w:bookmarkEnd w:id="228"/>
      <w:bookmarkStart w:id="229" w:name="_Toc184314453"/>
      <w:bookmarkEnd w:id="229"/>
      <w:bookmarkStart w:id="230" w:name="_Toc184313276"/>
      <w:bookmarkEnd w:id="230"/>
      <w:bookmarkStart w:id="231" w:name="_Toc184308052"/>
      <w:bookmarkEnd w:id="231"/>
      <w:bookmarkStart w:id="232" w:name="_Toc184310328"/>
      <w:bookmarkEnd w:id="232"/>
      <w:bookmarkStart w:id="233" w:name="_Toc184310340"/>
      <w:bookmarkEnd w:id="233"/>
      <w:bookmarkStart w:id="234" w:name="_Toc184308069"/>
      <w:bookmarkEnd w:id="234"/>
      <w:bookmarkStart w:id="235" w:name="_Toc184310276"/>
      <w:bookmarkEnd w:id="235"/>
      <w:bookmarkStart w:id="236" w:name="_Toc184308092"/>
      <w:bookmarkEnd w:id="236"/>
      <w:bookmarkStart w:id="237" w:name="_Toc184314468"/>
      <w:bookmarkEnd w:id="237"/>
      <w:bookmarkStart w:id="238" w:name="_Toc184313265"/>
      <w:bookmarkEnd w:id="238"/>
      <w:bookmarkStart w:id="239" w:name="_Toc184308077"/>
      <w:bookmarkEnd w:id="239"/>
      <w:bookmarkStart w:id="240" w:name="_Toc184313292"/>
      <w:bookmarkEnd w:id="240"/>
      <w:bookmarkStart w:id="241" w:name="_Toc184312095"/>
      <w:bookmarkEnd w:id="241"/>
      <w:bookmarkStart w:id="242" w:name="_Toc184312096"/>
      <w:bookmarkEnd w:id="242"/>
      <w:bookmarkStart w:id="243" w:name="_Toc184310342"/>
      <w:bookmarkEnd w:id="243"/>
      <w:bookmarkStart w:id="244" w:name="_Toc184313281"/>
      <w:bookmarkEnd w:id="244"/>
      <w:bookmarkStart w:id="245" w:name="_Toc184313253"/>
      <w:bookmarkEnd w:id="245"/>
      <w:bookmarkStart w:id="246" w:name="_Toc184310344"/>
      <w:bookmarkEnd w:id="246"/>
      <w:bookmarkStart w:id="247" w:name="_Toc184312086"/>
      <w:bookmarkEnd w:id="247"/>
      <w:bookmarkStart w:id="248" w:name="_Toc184312090"/>
      <w:bookmarkEnd w:id="248"/>
      <w:bookmarkStart w:id="249" w:name="_Toc184314463"/>
      <w:bookmarkEnd w:id="249"/>
      <w:bookmarkStart w:id="250" w:name="_Toc184310290"/>
      <w:bookmarkEnd w:id="250"/>
      <w:bookmarkStart w:id="251" w:name="_Toc184312131"/>
      <w:bookmarkEnd w:id="251"/>
      <w:bookmarkStart w:id="252" w:name="_Toc184314418"/>
      <w:bookmarkEnd w:id="252"/>
      <w:bookmarkStart w:id="253" w:name="_Toc184313250"/>
      <w:bookmarkEnd w:id="253"/>
      <w:bookmarkStart w:id="254" w:name="_Toc184310339"/>
      <w:bookmarkEnd w:id="254"/>
      <w:bookmarkStart w:id="255" w:name="_Toc184312109"/>
      <w:bookmarkEnd w:id="255"/>
      <w:bookmarkStart w:id="256" w:name="_Toc184310294"/>
      <w:bookmarkEnd w:id="256"/>
      <w:bookmarkStart w:id="257" w:name="_Toc184308080"/>
      <w:bookmarkEnd w:id="257"/>
      <w:bookmarkStart w:id="258" w:name="_Toc184308106"/>
      <w:bookmarkEnd w:id="258"/>
      <w:bookmarkStart w:id="259" w:name="_Toc184314449"/>
      <w:bookmarkEnd w:id="259"/>
      <w:bookmarkStart w:id="260" w:name="_Toc184312085"/>
      <w:bookmarkEnd w:id="260"/>
      <w:bookmarkStart w:id="261" w:name="_Toc184308057"/>
      <w:bookmarkEnd w:id="261"/>
      <w:bookmarkStart w:id="262" w:name="_Toc184310300"/>
      <w:bookmarkEnd w:id="262"/>
      <w:bookmarkStart w:id="263" w:name="_Toc184313277"/>
      <w:bookmarkEnd w:id="263"/>
      <w:bookmarkStart w:id="264" w:name="_Toc184308058"/>
      <w:bookmarkEnd w:id="264"/>
      <w:bookmarkStart w:id="265" w:name="_Toc184310305"/>
      <w:bookmarkEnd w:id="265"/>
      <w:bookmarkStart w:id="266" w:name="_Toc184314429"/>
      <w:bookmarkEnd w:id="266"/>
      <w:bookmarkStart w:id="267" w:name="_Toc184313288"/>
      <w:bookmarkEnd w:id="267"/>
      <w:bookmarkStart w:id="268" w:name="_Toc184310272"/>
      <w:bookmarkEnd w:id="268"/>
      <w:bookmarkStart w:id="269" w:name="_Toc184308081"/>
      <w:bookmarkEnd w:id="269"/>
      <w:bookmarkStart w:id="270" w:name="_Toc184313261"/>
      <w:bookmarkEnd w:id="270"/>
      <w:bookmarkStart w:id="271" w:name="_Toc184313247"/>
      <w:bookmarkEnd w:id="271"/>
      <w:bookmarkStart w:id="272" w:name="_Toc184310299"/>
      <w:bookmarkEnd w:id="272"/>
      <w:bookmarkStart w:id="273" w:name="_Toc184308067"/>
      <w:bookmarkEnd w:id="273"/>
      <w:bookmarkStart w:id="274" w:name="_Toc184314469"/>
      <w:bookmarkEnd w:id="274"/>
      <w:bookmarkStart w:id="275" w:name="_Toc184312126"/>
      <w:bookmarkEnd w:id="275"/>
      <w:bookmarkStart w:id="276" w:name="_Toc184314456"/>
      <w:bookmarkEnd w:id="276"/>
      <w:bookmarkStart w:id="277" w:name="_Toc184312084"/>
      <w:bookmarkEnd w:id="277"/>
      <w:bookmarkStart w:id="278" w:name="_Toc184308056"/>
      <w:bookmarkEnd w:id="278"/>
      <w:bookmarkStart w:id="279" w:name="_Toc184312138"/>
      <w:bookmarkEnd w:id="279"/>
      <w:bookmarkStart w:id="280" w:name="_Toc184310293"/>
      <w:bookmarkEnd w:id="280"/>
      <w:bookmarkStart w:id="281" w:name="_Toc184312074"/>
      <w:bookmarkEnd w:id="281"/>
      <w:bookmarkStart w:id="282" w:name="_Toc184310314"/>
      <w:bookmarkEnd w:id="282"/>
      <w:bookmarkStart w:id="283" w:name="_Toc184312094"/>
      <w:bookmarkEnd w:id="283"/>
      <w:bookmarkStart w:id="284" w:name="_Toc184310282"/>
      <w:bookmarkEnd w:id="284"/>
      <w:bookmarkStart w:id="285" w:name="_Toc184313267"/>
      <w:bookmarkEnd w:id="285"/>
      <w:bookmarkStart w:id="286" w:name="_Toc184314481"/>
      <w:bookmarkEnd w:id="286"/>
      <w:bookmarkStart w:id="287" w:name="_Toc184308099"/>
      <w:bookmarkEnd w:id="287"/>
      <w:bookmarkStart w:id="288" w:name="_Toc184313285"/>
      <w:bookmarkEnd w:id="288"/>
      <w:bookmarkStart w:id="289" w:name="_Toc184312136"/>
      <w:bookmarkEnd w:id="289"/>
      <w:bookmarkStart w:id="290" w:name="_Toc184310334"/>
      <w:bookmarkEnd w:id="290"/>
      <w:bookmarkStart w:id="291" w:name="_Toc184313310"/>
      <w:bookmarkEnd w:id="291"/>
      <w:bookmarkStart w:id="292" w:name="_Toc184314472"/>
      <w:bookmarkEnd w:id="292"/>
      <w:bookmarkStart w:id="293" w:name="_Toc184314464"/>
      <w:bookmarkEnd w:id="293"/>
      <w:bookmarkStart w:id="294" w:name="_Toc184310312"/>
      <w:bookmarkEnd w:id="294"/>
      <w:bookmarkStart w:id="295" w:name="_Toc184308061"/>
      <w:bookmarkEnd w:id="295"/>
      <w:bookmarkStart w:id="296" w:name="_Toc184310315"/>
      <w:bookmarkEnd w:id="296"/>
      <w:bookmarkStart w:id="297" w:name="_Toc184308100"/>
      <w:bookmarkEnd w:id="297"/>
      <w:bookmarkStart w:id="298" w:name="_Toc184313257"/>
      <w:bookmarkEnd w:id="298"/>
      <w:bookmarkStart w:id="299" w:name="_Toc184310329"/>
      <w:bookmarkEnd w:id="299"/>
      <w:bookmarkStart w:id="300" w:name="_Toc184310307"/>
      <w:bookmarkEnd w:id="300"/>
      <w:bookmarkStart w:id="301" w:name="_Toc184314447"/>
      <w:bookmarkEnd w:id="301"/>
      <w:bookmarkStart w:id="302" w:name="_Toc184310326"/>
      <w:bookmarkEnd w:id="302"/>
      <w:bookmarkStart w:id="303" w:name="_Toc184314450"/>
      <w:bookmarkEnd w:id="303"/>
      <w:bookmarkStart w:id="304" w:name="_Toc184308105"/>
      <w:bookmarkEnd w:id="304"/>
      <w:bookmarkStart w:id="305" w:name="_Toc184312082"/>
      <w:bookmarkEnd w:id="305"/>
      <w:bookmarkStart w:id="306" w:name="_Toc184310295"/>
      <w:bookmarkEnd w:id="306"/>
      <w:bookmarkStart w:id="307" w:name="_Toc184310308"/>
      <w:bookmarkEnd w:id="307"/>
      <w:bookmarkStart w:id="308" w:name="_Toc184310343"/>
      <w:bookmarkEnd w:id="308"/>
      <w:bookmarkStart w:id="309" w:name="_Toc184310288"/>
      <w:bookmarkEnd w:id="309"/>
      <w:bookmarkStart w:id="310" w:name="_Toc184312101"/>
      <w:bookmarkEnd w:id="310"/>
      <w:bookmarkStart w:id="311" w:name="_Toc184313279"/>
      <w:bookmarkEnd w:id="311"/>
      <w:bookmarkStart w:id="312" w:name="_Toc184312068"/>
      <w:bookmarkEnd w:id="312"/>
      <w:bookmarkStart w:id="313" w:name="_Toc184310317"/>
      <w:bookmarkEnd w:id="313"/>
      <w:bookmarkStart w:id="314" w:name="_Toc184308090"/>
      <w:bookmarkEnd w:id="314"/>
      <w:bookmarkStart w:id="315" w:name="_Toc184314467"/>
      <w:bookmarkEnd w:id="315"/>
      <w:bookmarkStart w:id="316" w:name="_Toc184314470"/>
      <w:bookmarkEnd w:id="316"/>
      <w:bookmarkStart w:id="317" w:name="_Toc184314452"/>
      <w:bookmarkEnd w:id="317"/>
      <w:bookmarkStart w:id="318" w:name="_Toc184313273"/>
      <w:bookmarkEnd w:id="318"/>
      <w:bookmarkStart w:id="319" w:name="_Toc184313293"/>
      <w:bookmarkEnd w:id="319"/>
      <w:bookmarkStart w:id="320" w:name="_Toc184312122"/>
      <w:bookmarkEnd w:id="320"/>
      <w:bookmarkStart w:id="321" w:name="_Toc184313282"/>
      <w:bookmarkEnd w:id="321"/>
      <w:bookmarkStart w:id="322" w:name="_Toc184312106"/>
      <w:bookmarkEnd w:id="322"/>
      <w:bookmarkStart w:id="323" w:name="_Toc184312134"/>
      <w:bookmarkEnd w:id="323"/>
      <w:bookmarkStart w:id="324" w:name="_Toc184313306"/>
      <w:bookmarkEnd w:id="324"/>
      <w:bookmarkStart w:id="325" w:name="_Toc184310316"/>
      <w:bookmarkEnd w:id="325"/>
      <w:bookmarkStart w:id="326" w:name="_Toc184312112"/>
      <w:bookmarkEnd w:id="326"/>
      <w:bookmarkStart w:id="327" w:name="_Toc184312125"/>
      <w:bookmarkEnd w:id="327"/>
      <w:bookmarkStart w:id="328" w:name="_Toc184313239"/>
      <w:bookmarkEnd w:id="328"/>
      <w:bookmarkStart w:id="329" w:name="_Toc184308101"/>
      <w:bookmarkEnd w:id="329"/>
      <w:bookmarkStart w:id="330" w:name="_Toc184313262"/>
      <w:bookmarkEnd w:id="330"/>
      <w:bookmarkStart w:id="331" w:name="_Toc184312076"/>
      <w:bookmarkEnd w:id="331"/>
      <w:bookmarkStart w:id="332" w:name="_Toc184314417"/>
      <w:bookmarkEnd w:id="332"/>
      <w:bookmarkStart w:id="333" w:name="_Toc184312130"/>
      <w:bookmarkEnd w:id="333"/>
      <w:bookmarkStart w:id="334" w:name="_Toc184313258"/>
      <w:bookmarkEnd w:id="334"/>
      <w:bookmarkStart w:id="335" w:name="_Toc184312128"/>
      <w:bookmarkEnd w:id="335"/>
      <w:bookmarkStart w:id="336" w:name="_Toc184312115"/>
      <w:bookmarkEnd w:id="336"/>
      <w:bookmarkStart w:id="337" w:name="_Toc184312078"/>
      <w:bookmarkEnd w:id="337"/>
      <w:bookmarkStart w:id="338" w:name="_Toc184313302"/>
      <w:bookmarkEnd w:id="338"/>
      <w:bookmarkStart w:id="339" w:name="_Toc184308037"/>
      <w:bookmarkEnd w:id="339"/>
      <w:bookmarkStart w:id="340" w:name="_Toc184308044"/>
      <w:bookmarkEnd w:id="340"/>
      <w:bookmarkStart w:id="341" w:name="_Toc184310327"/>
      <w:bookmarkEnd w:id="341"/>
      <w:bookmarkStart w:id="342" w:name="_Toc184310335"/>
      <w:bookmarkEnd w:id="342"/>
      <w:bookmarkStart w:id="343" w:name="_Toc184314440"/>
      <w:bookmarkEnd w:id="343"/>
      <w:bookmarkStart w:id="344" w:name="_Toc184312129"/>
      <w:bookmarkEnd w:id="344"/>
      <w:bookmarkStart w:id="345" w:name="_Toc184310331"/>
      <w:bookmarkEnd w:id="345"/>
      <w:bookmarkStart w:id="346" w:name="_Toc184314473"/>
      <w:bookmarkEnd w:id="346"/>
      <w:bookmarkStart w:id="347" w:name="_Toc184313289"/>
      <w:bookmarkEnd w:id="347"/>
      <w:bookmarkStart w:id="348" w:name="_Toc184314413"/>
      <w:bookmarkEnd w:id="348"/>
      <w:bookmarkStart w:id="349" w:name="_Toc184310306"/>
      <w:bookmarkEnd w:id="349"/>
      <w:bookmarkStart w:id="350" w:name="_Toc184314435"/>
      <w:bookmarkEnd w:id="350"/>
      <w:bookmarkStart w:id="351" w:name="_Toc184314443"/>
      <w:bookmarkEnd w:id="351"/>
      <w:bookmarkStart w:id="352" w:name="_Toc184313290"/>
      <w:bookmarkEnd w:id="352"/>
      <w:bookmarkStart w:id="353" w:name="_Toc184314410"/>
      <w:bookmarkEnd w:id="353"/>
      <w:bookmarkStart w:id="354" w:name="_Toc184314465"/>
      <w:bookmarkEnd w:id="354"/>
      <w:bookmarkStart w:id="355" w:name="_Toc184314422"/>
      <w:bookmarkEnd w:id="355"/>
      <w:bookmarkStart w:id="356" w:name="_Toc184314466"/>
      <w:bookmarkEnd w:id="356"/>
      <w:bookmarkStart w:id="357" w:name="_Toc184313284"/>
      <w:bookmarkEnd w:id="357"/>
      <w:bookmarkStart w:id="358" w:name="_Toc184313300"/>
      <w:bookmarkEnd w:id="358"/>
      <w:bookmarkStart w:id="359" w:name="_Toc184310274"/>
      <w:bookmarkEnd w:id="359"/>
      <w:bookmarkStart w:id="360" w:name="_Toc184313283"/>
      <w:bookmarkEnd w:id="360"/>
      <w:bookmarkStart w:id="361" w:name="_Toc184308095"/>
      <w:bookmarkEnd w:id="361"/>
      <w:bookmarkStart w:id="362" w:name="_Toc184312089"/>
      <w:bookmarkEnd w:id="362"/>
      <w:bookmarkStart w:id="363" w:name="_Toc184308074"/>
      <w:bookmarkEnd w:id="363"/>
      <w:bookmarkStart w:id="364" w:name="_Toc184310289"/>
      <w:bookmarkEnd w:id="364"/>
      <w:bookmarkStart w:id="365" w:name="_Toc184312102"/>
      <w:bookmarkEnd w:id="365"/>
      <w:bookmarkStart w:id="366" w:name="_Toc184314427"/>
      <w:bookmarkEnd w:id="366"/>
      <w:bookmarkStart w:id="367" w:name="_Toc184314461"/>
      <w:bookmarkEnd w:id="367"/>
      <w:bookmarkStart w:id="368" w:name="_Toc184313272"/>
      <w:bookmarkEnd w:id="368"/>
      <w:bookmarkStart w:id="369" w:name="_Toc184313309"/>
      <w:bookmarkEnd w:id="369"/>
      <w:bookmarkStart w:id="370" w:name="_Toc184310273"/>
      <w:bookmarkEnd w:id="370"/>
      <w:bookmarkStart w:id="371" w:name="_Toc184310284"/>
      <w:bookmarkEnd w:id="371"/>
      <w:bookmarkStart w:id="372" w:name="_Toc184314454"/>
      <w:bookmarkEnd w:id="372"/>
      <w:bookmarkStart w:id="373" w:name="_Toc184308094"/>
      <w:bookmarkEnd w:id="373"/>
      <w:bookmarkStart w:id="374" w:name="_Toc184308070"/>
      <w:bookmarkEnd w:id="374"/>
      <w:bookmarkStart w:id="375" w:name="_Toc184314430"/>
      <w:bookmarkEnd w:id="375"/>
      <w:bookmarkStart w:id="376" w:name="_Toc184308053"/>
      <w:bookmarkEnd w:id="376"/>
      <w:bookmarkStart w:id="377" w:name="_Toc184313299"/>
      <w:bookmarkEnd w:id="377"/>
      <w:bookmarkStart w:id="378" w:name="_Toc184310313"/>
      <w:bookmarkEnd w:id="378"/>
      <w:bookmarkStart w:id="379" w:name="_Toc184312097"/>
      <w:bookmarkEnd w:id="379"/>
      <w:bookmarkStart w:id="380" w:name="_Toc184313295"/>
      <w:bookmarkEnd w:id="380"/>
      <w:bookmarkStart w:id="381" w:name="_Toc184308086"/>
      <w:bookmarkEnd w:id="381"/>
      <w:bookmarkStart w:id="382" w:name="_Toc184312105"/>
      <w:bookmarkEnd w:id="382"/>
      <w:bookmarkStart w:id="383" w:name="_Toc184310333"/>
      <w:bookmarkEnd w:id="383"/>
      <w:bookmarkStart w:id="384" w:name="_Toc184313242"/>
      <w:bookmarkEnd w:id="384"/>
      <w:bookmarkStart w:id="385" w:name="_Toc184308045"/>
      <w:bookmarkEnd w:id="385"/>
      <w:bookmarkStart w:id="386" w:name="_Toc184313296"/>
      <w:bookmarkEnd w:id="386"/>
      <w:bookmarkStart w:id="387" w:name="_Toc184308075"/>
      <w:bookmarkEnd w:id="387"/>
      <w:bookmarkStart w:id="388" w:name="_Toc184308083"/>
      <w:bookmarkEnd w:id="388"/>
      <w:bookmarkStart w:id="389" w:name="_Toc184312081"/>
      <w:bookmarkEnd w:id="389"/>
      <w:bookmarkStart w:id="390" w:name="_Toc184308107"/>
      <w:bookmarkEnd w:id="390"/>
      <w:bookmarkStart w:id="391" w:name="_Toc184310310"/>
      <w:bookmarkEnd w:id="391"/>
      <w:r>
        <w:rPr>
          <w:rFonts w:hint="eastAsia" w:ascii="仿宋" w:hAnsi="仿宋" w:eastAsia="仿宋" w:cs="仿宋"/>
          <w:b/>
          <w:color w:val="auto"/>
          <w:sz w:val="36"/>
          <w:szCs w:val="36"/>
          <w:highlight w:val="none"/>
        </w:rPr>
        <w:t>评标办法</w:t>
      </w:r>
    </w:p>
    <w:p>
      <w:pPr>
        <w:keepNext w:val="0"/>
        <w:keepLines w:val="0"/>
        <w:pageBreakBefore w:val="0"/>
        <w:widowControl w:val="0"/>
        <w:kinsoku/>
        <w:overflowPunct/>
        <w:topLinePunct w:val="0"/>
        <w:autoSpaceDE/>
        <w:autoSpaceDN/>
        <w:bidi w:val="0"/>
        <w:snapToGrid w:val="0"/>
        <w:spacing w:before="0" w:beforeLines="100" w:after="0" w:afterLines="100" w:line="240" w:lineRule="auto"/>
        <w:jc w:val="center"/>
        <w:textAlignment w:val="auto"/>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5"/>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546"/>
        <w:gridCol w:w="4094"/>
        <w:gridCol w:w="715"/>
        <w:gridCol w:w="1039"/>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781" w:type="dxa"/>
            <w:vAlign w:val="center"/>
          </w:tcPr>
          <w:p>
            <w:pPr>
              <w:snapToGrid w:val="0"/>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序号</w:t>
            </w:r>
          </w:p>
        </w:tc>
        <w:tc>
          <w:tcPr>
            <w:tcW w:w="1546" w:type="dxa"/>
            <w:vAlign w:val="center"/>
          </w:tcPr>
          <w:p>
            <w:pPr>
              <w:snapToGrid w:val="0"/>
              <w:jc w:val="center"/>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评分内容</w:t>
            </w:r>
          </w:p>
        </w:tc>
        <w:tc>
          <w:tcPr>
            <w:tcW w:w="4094" w:type="dxa"/>
            <w:vAlign w:val="center"/>
          </w:tcPr>
          <w:p>
            <w:pPr>
              <w:snapToGrid w:val="0"/>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评标标准</w:t>
            </w:r>
          </w:p>
        </w:tc>
        <w:tc>
          <w:tcPr>
            <w:tcW w:w="715" w:type="dxa"/>
            <w:vAlign w:val="center"/>
          </w:tcPr>
          <w:p>
            <w:pPr>
              <w:snapToGrid w:val="0"/>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权值</w:t>
            </w:r>
          </w:p>
        </w:tc>
        <w:tc>
          <w:tcPr>
            <w:tcW w:w="1039" w:type="dxa"/>
            <w:vAlign w:val="center"/>
          </w:tcPr>
          <w:p>
            <w:pPr>
              <w:snapToGrid w:val="0"/>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主观分/客观分属性</w:t>
            </w:r>
          </w:p>
        </w:tc>
        <w:tc>
          <w:tcPr>
            <w:tcW w:w="1718" w:type="dxa"/>
            <w:vAlign w:val="center"/>
          </w:tcPr>
          <w:p>
            <w:pPr>
              <w:snapToGrid w:val="0"/>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1546"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投标人实力</w:t>
            </w:r>
          </w:p>
        </w:tc>
        <w:tc>
          <w:tcPr>
            <w:tcW w:w="4094" w:type="dxa"/>
            <w:vAlign w:val="center"/>
          </w:tcPr>
          <w:p>
            <w:pPr>
              <w:keepNext w:val="0"/>
              <w:keepLines w:val="0"/>
              <w:pageBreakBefore w:val="0"/>
              <w:widowControl w:val="0"/>
              <w:kinsoku/>
              <w:wordWrap w:val="0"/>
              <w:overflowPunct/>
              <w:topLinePunct w:val="0"/>
              <w:autoSpaceDE/>
              <w:autoSpaceDN/>
              <w:bidi w:val="0"/>
              <w:adjustRightInd w:val="0"/>
              <w:snapToGrid w:val="0"/>
              <w:spacing w:line="340" w:lineRule="exact"/>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投标人具有质量管理体系认证、环境管理体系认证、职业健康安全管理体系认证、信息安全管理体系认证的，以上证书每提供一个得0.5分，最高得2分。</w:t>
            </w:r>
          </w:p>
        </w:tc>
        <w:tc>
          <w:tcPr>
            <w:tcW w:w="715"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2</w:t>
            </w:r>
          </w:p>
        </w:tc>
        <w:tc>
          <w:tcPr>
            <w:tcW w:w="1039"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客观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1546"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投标产品质量</w:t>
            </w:r>
          </w:p>
        </w:tc>
        <w:tc>
          <w:tcPr>
            <w:tcW w:w="4094" w:type="dxa"/>
            <w:vAlign w:val="center"/>
          </w:tcPr>
          <w:p>
            <w:pPr>
              <w:keepNext w:val="0"/>
              <w:keepLines w:val="0"/>
              <w:pageBreakBefore w:val="0"/>
              <w:widowControl w:val="0"/>
              <w:kinsoku/>
              <w:wordWrap w:val="0"/>
              <w:overflowPunct/>
              <w:topLinePunct w:val="0"/>
              <w:autoSpaceDE/>
              <w:autoSpaceDN/>
              <w:bidi w:val="0"/>
              <w:adjustRightInd w:val="0"/>
              <w:snapToGrid w:val="0"/>
              <w:spacing w:line="340" w:lineRule="exact"/>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投标人或所投产品厂家具有“智慧办案区管理软件”软件著作权证书和“人脸、指纹门禁授权控制软件”软件著作权证书，每具有一个得2分，最高分得4分。</w:t>
            </w:r>
          </w:p>
        </w:tc>
        <w:tc>
          <w:tcPr>
            <w:tcW w:w="715"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4</w:t>
            </w:r>
          </w:p>
        </w:tc>
        <w:tc>
          <w:tcPr>
            <w:tcW w:w="1039" w:type="dxa"/>
            <w:vAlign w:val="center"/>
          </w:tcPr>
          <w:p>
            <w:pPr>
              <w:snapToGrid w:val="0"/>
              <w:spacing w:line="340" w:lineRule="exact"/>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客观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1546"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投标人业绩</w:t>
            </w:r>
          </w:p>
        </w:tc>
        <w:tc>
          <w:tcPr>
            <w:tcW w:w="4094" w:type="dxa"/>
            <w:vAlign w:val="center"/>
          </w:tcPr>
          <w:p>
            <w:pPr>
              <w:keepNext w:val="0"/>
              <w:keepLines w:val="0"/>
              <w:pageBreakBefore w:val="0"/>
              <w:widowControl w:val="0"/>
              <w:kinsoku/>
              <w:wordWrap w:val="0"/>
              <w:overflowPunct/>
              <w:topLinePunct w:val="0"/>
              <w:autoSpaceDE/>
              <w:autoSpaceDN/>
              <w:bidi w:val="0"/>
              <w:adjustRightInd w:val="0"/>
              <w:snapToGrid w:val="0"/>
              <w:spacing w:line="340" w:lineRule="exact"/>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自2021年1月1日起，投标人具有同类项目业绩的，每个得1分，最高得3分。（提供合同复印件、验收报告并加盖公章）</w:t>
            </w:r>
          </w:p>
        </w:tc>
        <w:tc>
          <w:tcPr>
            <w:tcW w:w="715"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w:t>
            </w:r>
          </w:p>
        </w:tc>
        <w:tc>
          <w:tcPr>
            <w:tcW w:w="1039" w:type="dxa"/>
            <w:vAlign w:val="center"/>
          </w:tcPr>
          <w:p>
            <w:pPr>
              <w:snapToGrid w:val="0"/>
              <w:spacing w:line="340" w:lineRule="exact"/>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客观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546"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技术参数</w:t>
            </w:r>
          </w:p>
        </w:tc>
        <w:tc>
          <w:tcPr>
            <w:tcW w:w="4094" w:type="dxa"/>
            <w:vAlign w:val="center"/>
          </w:tcPr>
          <w:p>
            <w:pPr>
              <w:keepNext w:val="0"/>
              <w:keepLines w:val="0"/>
              <w:pageBreakBefore w:val="0"/>
              <w:widowControl/>
              <w:kinsoku/>
              <w:wordWrap w:val="0"/>
              <w:overflowPunct/>
              <w:topLinePunct w:val="0"/>
              <w:autoSpaceDE/>
              <w:autoSpaceDN/>
              <w:bidi w:val="0"/>
              <w:adjustRightInd/>
              <w:snapToGrid w:val="0"/>
              <w:spacing w:line="340" w:lineRule="exact"/>
              <w:jc w:val="left"/>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1.“▲”系指实质性要求条款，任何一项实质性指标低于招标需求，将作无效标处理。</w:t>
            </w:r>
          </w:p>
          <w:p>
            <w:pPr>
              <w:keepNext w:val="0"/>
              <w:keepLines w:val="0"/>
              <w:pageBreakBefore w:val="0"/>
              <w:widowControl/>
              <w:kinsoku/>
              <w:wordWrap w:val="0"/>
              <w:overflowPunct/>
              <w:topLinePunct w:val="0"/>
              <w:autoSpaceDE/>
              <w:autoSpaceDN/>
              <w:bidi w:val="0"/>
              <w:adjustRightInd/>
              <w:snapToGrid w:val="0"/>
              <w:spacing w:line="340" w:lineRule="exact"/>
              <w:jc w:val="left"/>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系</w:t>
            </w:r>
            <w:r>
              <w:rPr>
                <w:rFonts w:hint="eastAsia" w:ascii="仿宋" w:hAnsi="仿宋" w:eastAsia="仿宋" w:cs="仿宋"/>
                <w:color w:val="auto"/>
                <w:sz w:val="21"/>
                <w:szCs w:val="21"/>
                <w:highlight w:val="none"/>
              </w:rPr>
              <w:t>关键技术指标，指标负偏离或不能提供所要求的证明材料的，每项扣</w:t>
            </w:r>
            <w:r>
              <w:rPr>
                <w:rFonts w:hint="default" w:ascii="仿宋" w:hAnsi="仿宋" w:eastAsia="仿宋" w:cs="仿宋"/>
                <w:color w:val="auto"/>
                <w:sz w:val="21"/>
                <w:szCs w:val="21"/>
                <w:highlight w:val="none"/>
                <w:lang w:val="en-US"/>
              </w:rPr>
              <w:t>2</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非“★”的指标要求为一般性技术指标，每负偏离一项扣</w:t>
            </w:r>
            <w:r>
              <w:rPr>
                <w:rFonts w:hint="default" w:ascii="仿宋" w:hAnsi="仿宋" w:eastAsia="仿宋" w:cs="仿宋"/>
                <w:color w:val="auto"/>
                <w:sz w:val="21"/>
                <w:szCs w:val="21"/>
                <w:highlight w:val="none"/>
                <w:lang w:val="en-US"/>
              </w:rPr>
              <w:t>1</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“★”项参数不满足的优先扣分，共</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分，扣完为止。</w:t>
            </w:r>
          </w:p>
        </w:tc>
        <w:tc>
          <w:tcPr>
            <w:tcW w:w="715"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w:t>
            </w:r>
            <w:r>
              <w:rPr>
                <w:rFonts w:hint="default" w:ascii="仿宋" w:hAnsi="仿宋" w:eastAsia="仿宋" w:cs="仿宋"/>
                <w:b w:val="0"/>
                <w:bCs w:val="0"/>
                <w:color w:val="auto"/>
                <w:kern w:val="2"/>
                <w:sz w:val="21"/>
                <w:szCs w:val="21"/>
                <w:highlight w:val="none"/>
                <w:lang w:val="en-US" w:eastAsia="zh-CN" w:bidi="ar-SA"/>
              </w:rPr>
              <w:t>5</w:t>
            </w:r>
          </w:p>
        </w:tc>
        <w:tc>
          <w:tcPr>
            <w:tcW w:w="1039"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客观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546"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实施方案</w:t>
            </w:r>
          </w:p>
        </w:tc>
        <w:tc>
          <w:tcPr>
            <w:tcW w:w="4094" w:type="dxa"/>
            <w:vAlign w:val="center"/>
          </w:tcPr>
          <w:p>
            <w:pPr>
              <w:snapToGrid w:val="0"/>
              <w:spacing w:line="34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根据投标人对项目的理解情况，方案的可行性、合理性、科学性、先进性等进行评分：</w:t>
            </w:r>
          </w:p>
          <w:p>
            <w:pPr>
              <w:snapToGrid w:val="0"/>
              <w:spacing w:line="340" w:lineRule="exact"/>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1.</w:t>
            </w:r>
            <w:r>
              <w:rPr>
                <w:rFonts w:hint="eastAsia" w:ascii="仿宋" w:hAnsi="仿宋" w:eastAsia="仿宋" w:cs="仿宋"/>
                <w:color w:val="auto"/>
                <w:szCs w:val="21"/>
                <w:highlight w:val="none"/>
                <w:lang w:val="en-US" w:eastAsia="zh-CN"/>
              </w:rPr>
              <w:t>总体设计</w:t>
            </w:r>
            <w:r>
              <w:rPr>
                <w:rFonts w:hint="eastAsia" w:ascii="仿宋" w:hAnsi="仿宋" w:eastAsia="仿宋" w:cs="仿宋"/>
                <w:color w:val="auto"/>
                <w:lang w:val="en-US" w:eastAsia="zh-CN"/>
              </w:rPr>
              <w:t>（0-4分）；</w:t>
            </w:r>
          </w:p>
          <w:p>
            <w:pPr>
              <w:snapToGrid w:val="0"/>
              <w:spacing w:line="340" w:lineRule="exact"/>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2.测试、试运行和验收（0-4分）；</w:t>
            </w:r>
          </w:p>
          <w:p>
            <w:pPr>
              <w:snapToGrid w:val="0"/>
              <w:spacing w:line="340" w:lineRule="exact"/>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3.项目实施规划（0-2分）；</w:t>
            </w:r>
          </w:p>
          <w:p>
            <w:pPr>
              <w:snapToGrid w:val="0"/>
              <w:spacing w:line="340" w:lineRule="exact"/>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4.组织施工和安装调试（0-2分）；</w:t>
            </w:r>
          </w:p>
          <w:p>
            <w:pPr>
              <w:snapToGrid w:val="0"/>
              <w:spacing w:line="34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5.进度计划及保障措施（0-4分）。</w:t>
            </w:r>
          </w:p>
        </w:tc>
        <w:tc>
          <w:tcPr>
            <w:tcW w:w="715"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16</w:t>
            </w:r>
          </w:p>
        </w:tc>
        <w:tc>
          <w:tcPr>
            <w:tcW w:w="1039"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主观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546" w:type="dxa"/>
            <w:vAlign w:val="center"/>
          </w:tcPr>
          <w:p>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售后保障</w:t>
            </w:r>
          </w:p>
        </w:tc>
        <w:tc>
          <w:tcPr>
            <w:tcW w:w="4094" w:type="dxa"/>
            <w:vAlign w:val="center"/>
          </w:tcPr>
          <w:p>
            <w:pPr>
              <w:snapToGrid w:val="0"/>
              <w:spacing w:line="34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根据投标人的售后服务措施和售后服务方案进行评分：</w:t>
            </w:r>
          </w:p>
          <w:p>
            <w:pPr>
              <w:snapToGrid w:val="0"/>
              <w:spacing w:line="34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1.服务人员的配备和技术力量（0-2分）；</w:t>
            </w:r>
          </w:p>
          <w:p>
            <w:pPr>
              <w:snapToGrid w:val="0"/>
              <w:spacing w:line="34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2.售后机构完善程度、响应时间和程度、解决问题的能力（0-2分）。</w:t>
            </w:r>
          </w:p>
        </w:tc>
        <w:tc>
          <w:tcPr>
            <w:tcW w:w="715"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4</w:t>
            </w:r>
          </w:p>
        </w:tc>
        <w:tc>
          <w:tcPr>
            <w:tcW w:w="1039" w:type="dxa"/>
            <w:vAlign w:val="center"/>
          </w:tcPr>
          <w:p>
            <w:pPr>
              <w:snapToGrid w:val="0"/>
              <w:spacing w:line="340" w:lineRule="exact"/>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主观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546"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培训方案</w:t>
            </w:r>
          </w:p>
        </w:tc>
        <w:tc>
          <w:tcPr>
            <w:tcW w:w="4094" w:type="dxa"/>
            <w:vAlign w:val="center"/>
          </w:tcPr>
          <w:p>
            <w:pPr>
              <w:snapToGrid w:val="0"/>
              <w:spacing w:line="34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根据投标人提供的培训方案进行评分，内容包括但不限于培训目标、培训对象、培训内容、培训计划、培训保障、培训流程的合理性（0-4分）。</w:t>
            </w:r>
          </w:p>
        </w:tc>
        <w:tc>
          <w:tcPr>
            <w:tcW w:w="715"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4</w:t>
            </w:r>
          </w:p>
        </w:tc>
        <w:tc>
          <w:tcPr>
            <w:tcW w:w="1039" w:type="dxa"/>
            <w:vAlign w:val="center"/>
          </w:tcPr>
          <w:p>
            <w:pPr>
              <w:snapToGrid w:val="0"/>
              <w:spacing w:line="340" w:lineRule="exact"/>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主观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546"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功能演示</w:t>
            </w:r>
          </w:p>
        </w:tc>
        <w:tc>
          <w:tcPr>
            <w:tcW w:w="4094" w:type="dxa"/>
            <w:vAlign w:val="center"/>
          </w:tcPr>
          <w:p>
            <w:pPr>
              <w:widowControl/>
              <w:snapToGrid w:val="0"/>
              <w:spacing w:line="340" w:lineRule="exact"/>
              <w:jc w:val="left"/>
              <w:rPr>
                <w:rFonts w:hint="eastAsia" w:ascii="仿宋" w:hAnsi="仿宋" w:eastAsia="仿宋" w:cs="仿宋"/>
                <w:b w:val="0"/>
                <w:color w:val="auto"/>
                <w:szCs w:val="24"/>
              </w:rPr>
            </w:pPr>
            <w:r>
              <w:rPr>
                <w:rFonts w:hint="eastAsia" w:ascii="仿宋" w:hAnsi="仿宋" w:eastAsia="仿宋" w:cs="仿宋"/>
                <w:color w:val="auto"/>
                <w:szCs w:val="24"/>
                <w:lang w:val="en-US" w:eastAsia="zh-CN"/>
              </w:rPr>
              <w:t>投标人</w:t>
            </w:r>
            <w:r>
              <w:rPr>
                <w:rFonts w:hint="eastAsia" w:ascii="仿宋" w:hAnsi="仿宋" w:eastAsia="仿宋" w:cs="仿宋"/>
                <w:color w:val="auto"/>
                <w:szCs w:val="24"/>
              </w:rPr>
              <w:t>提供拟投入本项目中软件具体功能演示，根据现场演示材料，各个系统的完整性、合理性进行综合评审</w:t>
            </w:r>
            <w:r>
              <w:rPr>
                <w:rFonts w:hint="eastAsia" w:ascii="仿宋" w:hAnsi="仿宋" w:eastAsia="仿宋" w:cs="仿宋"/>
                <w:b w:val="0"/>
                <w:color w:val="auto"/>
                <w:szCs w:val="24"/>
              </w:rPr>
              <w:t>（注：各供应商自行录制讲解视频</w:t>
            </w:r>
            <w:r>
              <w:rPr>
                <w:rFonts w:hint="eastAsia" w:ascii="仿宋" w:hAnsi="仿宋" w:eastAsia="仿宋" w:cs="仿宋"/>
                <w:b w:val="0"/>
                <w:color w:val="auto"/>
                <w:szCs w:val="24"/>
                <w:lang w:val="en-US" w:eastAsia="zh-CN"/>
              </w:rPr>
              <w:t>，不接受</w:t>
            </w:r>
            <w:r>
              <w:rPr>
                <w:rFonts w:hint="eastAsia" w:ascii="仿宋" w:hAnsi="仿宋" w:eastAsia="仿宋" w:cs="仿宋"/>
                <w:b w:val="0"/>
                <w:color w:val="auto"/>
                <w:szCs w:val="24"/>
                <w:lang w:val="en-US"/>
              </w:rPr>
              <w:t>ppt</w:t>
            </w:r>
            <w:r>
              <w:rPr>
                <w:rFonts w:hint="eastAsia" w:ascii="仿宋" w:hAnsi="仿宋" w:eastAsia="仿宋" w:cs="仿宋"/>
                <w:b w:val="0"/>
                <w:color w:val="auto"/>
                <w:szCs w:val="24"/>
                <w:lang w:val="en-US" w:eastAsia="zh-CN"/>
              </w:rPr>
              <w:t>演示</w:t>
            </w:r>
            <w:r>
              <w:rPr>
                <w:rFonts w:hint="eastAsia" w:ascii="仿宋" w:hAnsi="仿宋" w:eastAsia="仿宋" w:cs="仿宋"/>
                <w:b w:val="0"/>
                <w:color w:val="auto"/>
                <w:szCs w:val="24"/>
              </w:rPr>
              <w:t>（含讲解原声），并制作成MP4、AVI、WMV等常规格式后存入U盘，</w:t>
            </w:r>
            <w:r>
              <w:rPr>
                <w:rFonts w:hint="eastAsia" w:ascii="仿宋" w:hAnsi="仿宋" w:eastAsia="仿宋" w:cs="仿宋"/>
                <w:b w:val="0"/>
                <w:color w:val="auto"/>
                <w:sz w:val="21"/>
                <w:szCs w:val="24"/>
              </w:rPr>
              <w:t>不提供不得分</w:t>
            </w:r>
            <w:r>
              <w:rPr>
                <w:rFonts w:hint="eastAsia" w:ascii="仿宋" w:hAnsi="仿宋" w:eastAsia="仿宋" w:cs="仿宋"/>
                <w:b w:val="0"/>
                <w:color w:val="auto"/>
                <w:szCs w:val="24"/>
              </w:rPr>
              <w:t>。）</w:t>
            </w:r>
          </w:p>
          <w:p>
            <w:pPr>
              <w:snapToGrid w:val="0"/>
              <w:spacing w:line="34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针对本项目中的智慧办案区管理系统进行功能演示：</w:t>
            </w:r>
          </w:p>
          <w:p>
            <w:pPr>
              <w:snapToGrid w:val="0"/>
              <w:spacing w:line="340" w:lineRule="exact"/>
              <w:jc w:val="left"/>
              <w:rPr>
                <w:rFonts w:hint="eastAsia" w:ascii="仿宋" w:hAnsi="仿宋" w:eastAsia="仿宋" w:cs="仿宋"/>
                <w:color w:val="auto"/>
                <w:lang w:val="en-US" w:eastAsia="zh-CN"/>
              </w:rPr>
            </w:pPr>
            <w:bookmarkStart w:id="519" w:name="_GoBack"/>
            <w:bookmarkEnd w:id="519"/>
            <w:r>
              <w:rPr>
                <w:rFonts w:hint="eastAsia" w:ascii="仿宋" w:hAnsi="仿宋" w:eastAsia="仿宋" w:cs="仿宋"/>
                <w:color w:val="auto"/>
                <w:lang w:val="en-US" w:eastAsia="zh-CN"/>
              </w:rPr>
              <w:t>(1)管理员首页功能:可实时展示登记室、安全检查室、询问室、候问室容量以及使用情况，并且系统能够查看各功能室实时视频，并能在线通过切换房间或者摄像头的形式进行切换视频画面（0-4分）；</w:t>
            </w:r>
          </w:p>
          <w:p>
            <w:pPr>
              <w:snapToGrid w:val="0"/>
              <w:spacing w:line="34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(2)办案区预约功能：支持通过PC进行办案区使用预约，支持预约时，需要说明案件和人员基本信息，并在系统中记录（0-4分）；</w:t>
            </w:r>
          </w:p>
          <w:p>
            <w:pPr>
              <w:snapToGrid w:val="0"/>
              <w:spacing w:line="340" w:lineRule="exact"/>
              <w:jc w:val="left"/>
              <w:rPr>
                <w:rFonts w:hint="eastAsia" w:ascii="仿宋" w:hAnsi="仿宋" w:eastAsia="仿宋" w:cs="仿宋"/>
                <w:color w:val="auto"/>
                <w:lang w:val="en-US" w:eastAsia="zh-CN"/>
              </w:rPr>
            </w:pPr>
            <w:r>
              <w:rPr>
                <w:rFonts w:hint="eastAsia" w:ascii="仿宋" w:hAnsi="仿宋" w:eastAsia="仿宋" w:cs="仿宋"/>
                <w:color w:val="auto"/>
                <w:lang w:val="en-US" w:eastAsia="zh-CN"/>
              </w:rPr>
              <w:t>(3)预约管理：可查看预约信息、审核预约信息、编辑预约信息、提交预约信息、取消预约登记（0-4分）。</w:t>
            </w:r>
          </w:p>
        </w:tc>
        <w:tc>
          <w:tcPr>
            <w:tcW w:w="715"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12</w:t>
            </w:r>
          </w:p>
        </w:tc>
        <w:tc>
          <w:tcPr>
            <w:tcW w:w="1039" w:type="dxa"/>
            <w:vAlign w:val="center"/>
          </w:tcPr>
          <w:p>
            <w:pPr>
              <w:snapToGrid w:val="0"/>
              <w:spacing w:line="340" w:lineRule="exact"/>
              <w:jc w:val="center"/>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主观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restart"/>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546" w:type="dxa"/>
            <w:vMerge w:val="restart"/>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实施团队</w:t>
            </w:r>
          </w:p>
        </w:tc>
        <w:tc>
          <w:tcPr>
            <w:tcW w:w="4094" w:type="dxa"/>
            <w:vAlign w:val="center"/>
          </w:tcPr>
          <w:p>
            <w:pPr>
              <w:keepNext w:val="0"/>
              <w:keepLines w:val="0"/>
              <w:pageBreakBefore w:val="0"/>
              <w:widowControl w:val="0"/>
              <w:kinsoku/>
              <w:wordWrap w:val="0"/>
              <w:overflowPunct/>
              <w:topLinePunct w:val="0"/>
              <w:autoSpaceDE/>
              <w:autoSpaceDN/>
              <w:bidi w:val="0"/>
              <w:adjustRightInd w:val="0"/>
              <w:snapToGrid w:val="0"/>
              <w:spacing w:line="340" w:lineRule="exact"/>
              <w:jc w:val="both"/>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项目负责人具有计算机软件高级工程师的得1.5分，具有软件系统分析员专业资格认证的得1.5分，本项最高得3分。</w:t>
            </w:r>
          </w:p>
          <w:p>
            <w:pPr>
              <w:keepNext w:val="0"/>
              <w:keepLines w:val="0"/>
              <w:pageBreakBefore w:val="0"/>
              <w:widowControl w:val="0"/>
              <w:kinsoku/>
              <w:wordWrap w:val="0"/>
              <w:overflowPunct/>
              <w:topLinePunct w:val="0"/>
              <w:autoSpaceDE/>
              <w:autoSpaceDN/>
              <w:bidi w:val="0"/>
              <w:adjustRightInd w:val="0"/>
              <w:snapToGrid w:val="0"/>
              <w:spacing w:line="340" w:lineRule="exact"/>
              <w:jc w:val="both"/>
              <w:textAlignment w:val="auto"/>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注：提供证书复印件（加盖单位公章）及本项目招标公告发布之日起投标人所属社保部门出具的项目负责人社保缴费证明。</w:t>
            </w:r>
          </w:p>
        </w:tc>
        <w:tc>
          <w:tcPr>
            <w:tcW w:w="715" w:type="dxa"/>
            <w:vAlign w:val="center"/>
          </w:tcPr>
          <w:p>
            <w:pPr>
              <w:snapToGrid w:val="0"/>
              <w:spacing w:line="340" w:lineRule="exact"/>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w:t>
            </w:r>
          </w:p>
        </w:tc>
        <w:tc>
          <w:tcPr>
            <w:tcW w:w="1039" w:type="dxa"/>
            <w:vAlign w:val="center"/>
          </w:tcPr>
          <w:p>
            <w:pPr>
              <w:snapToGrid w:val="0"/>
              <w:spacing w:line="340" w:lineRule="exact"/>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客观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Merge w:val="continue"/>
            <w:vAlign w:val="center"/>
          </w:tcPr>
          <w:p>
            <w:pPr>
              <w:snapToGrid w:val="0"/>
              <w:jc w:val="center"/>
              <w:rPr>
                <w:rFonts w:hint="eastAsia" w:ascii="仿宋" w:hAnsi="仿宋" w:eastAsia="仿宋" w:cs="仿宋"/>
                <w:color w:val="auto"/>
                <w:szCs w:val="21"/>
                <w:highlight w:val="none"/>
                <w:lang w:val="en-US" w:eastAsia="zh-CN"/>
              </w:rPr>
            </w:pPr>
          </w:p>
        </w:tc>
        <w:tc>
          <w:tcPr>
            <w:tcW w:w="1546" w:type="dxa"/>
            <w:vMerge w:val="continue"/>
            <w:vAlign w:val="center"/>
          </w:tcPr>
          <w:p>
            <w:pPr>
              <w:snapToGrid w:val="0"/>
              <w:jc w:val="center"/>
              <w:rPr>
                <w:rFonts w:hint="eastAsia" w:ascii="仿宋" w:hAnsi="仿宋" w:eastAsia="仿宋" w:cs="仿宋"/>
                <w:color w:val="auto"/>
                <w:szCs w:val="21"/>
                <w:highlight w:val="none"/>
                <w:lang w:val="en-US" w:eastAsia="zh-CN"/>
              </w:rPr>
            </w:pPr>
          </w:p>
        </w:tc>
        <w:tc>
          <w:tcPr>
            <w:tcW w:w="4094" w:type="dxa"/>
            <w:vAlign w:val="center"/>
          </w:tcPr>
          <w:p>
            <w:pPr>
              <w:keepNext w:val="0"/>
              <w:keepLines w:val="0"/>
              <w:pageBreakBefore w:val="0"/>
              <w:widowControl w:val="0"/>
              <w:kinsoku/>
              <w:wordWrap w:val="0"/>
              <w:overflowPunct/>
              <w:topLinePunct w:val="0"/>
              <w:autoSpaceDE/>
              <w:autoSpaceDN/>
              <w:bidi w:val="0"/>
              <w:adjustRightInd w:val="0"/>
              <w:snapToGrid w:val="0"/>
              <w:spacing w:line="340" w:lineRule="exact"/>
              <w:jc w:val="both"/>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项目组成人员（项目负责人除外）具有软件设计师、计算机软件程序员、信息技术中级工程师、</w:t>
            </w:r>
            <w:r>
              <w:rPr>
                <w:rFonts w:hint="eastAsia" w:ascii="仿宋" w:hAnsi="仿宋" w:eastAsia="仿宋" w:cs="仿宋"/>
                <w:color w:val="auto"/>
                <w:szCs w:val="21"/>
                <w:highlight w:val="none"/>
              </w:rPr>
              <w:t>电子工程高级工程师</w:t>
            </w:r>
            <w:r>
              <w:rPr>
                <w:rFonts w:hint="eastAsia" w:ascii="仿宋" w:hAnsi="仿宋" w:eastAsia="仿宋" w:cs="仿宋"/>
                <w:color w:val="auto"/>
                <w:szCs w:val="21"/>
                <w:highlight w:val="none"/>
                <w:lang w:eastAsia="zh-CN"/>
              </w:rPr>
              <w:t>、</w:t>
            </w:r>
            <w:r>
              <w:rPr>
                <w:rFonts w:hint="eastAsia" w:ascii="仿宋" w:hAnsi="仿宋" w:eastAsia="仿宋" w:cs="仿宋"/>
                <w:b w:val="0"/>
                <w:bCs w:val="0"/>
                <w:color w:val="auto"/>
                <w:szCs w:val="21"/>
                <w:highlight w:val="none"/>
                <w:lang w:val="en-US" w:eastAsia="zh-CN"/>
              </w:rPr>
              <w:t>系统集成项目管理工程师、通信工程师、CISP证书的，每提供1项证书得1分，最高得</w:t>
            </w:r>
            <w:r>
              <w:rPr>
                <w:rFonts w:hint="default" w:ascii="仿宋" w:hAnsi="仿宋" w:eastAsia="仿宋" w:cs="仿宋"/>
                <w:b w:val="0"/>
                <w:bCs w:val="0"/>
                <w:color w:val="auto"/>
                <w:szCs w:val="21"/>
                <w:highlight w:val="none"/>
                <w:lang w:val="en-US" w:eastAsia="zh-CN"/>
              </w:rPr>
              <w:t>7</w:t>
            </w:r>
            <w:r>
              <w:rPr>
                <w:rFonts w:hint="eastAsia" w:ascii="仿宋" w:hAnsi="仿宋" w:eastAsia="仿宋" w:cs="仿宋"/>
                <w:b w:val="0"/>
                <w:bCs w:val="0"/>
                <w:color w:val="auto"/>
                <w:szCs w:val="21"/>
                <w:highlight w:val="none"/>
                <w:lang w:val="en-US" w:eastAsia="zh-CN"/>
              </w:rPr>
              <w:t>分。</w:t>
            </w:r>
          </w:p>
          <w:p>
            <w:pPr>
              <w:keepNext w:val="0"/>
              <w:keepLines w:val="0"/>
              <w:pageBreakBefore w:val="0"/>
              <w:widowControl w:val="0"/>
              <w:kinsoku/>
              <w:wordWrap w:val="0"/>
              <w:overflowPunct/>
              <w:topLinePunct w:val="0"/>
              <w:autoSpaceDE/>
              <w:autoSpaceDN/>
              <w:bidi w:val="0"/>
              <w:adjustRightInd w:val="0"/>
              <w:snapToGrid w:val="0"/>
              <w:spacing w:line="340" w:lineRule="exact"/>
              <w:jc w:val="both"/>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注：以上同一人员不可多次计分，提供证书复印件（加盖单位公章）及本项目招标公告发布之日起投标人所属社保部门出具的项目组成员社保缴费证明。</w:t>
            </w:r>
          </w:p>
        </w:tc>
        <w:tc>
          <w:tcPr>
            <w:tcW w:w="715" w:type="dxa"/>
            <w:vAlign w:val="center"/>
          </w:tcPr>
          <w:p>
            <w:pPr>
              <w:snapToGrid w:val="0"/>
              <w:spacing w:line="340" w:lineRule="exact"/>
              <w:jc w:val="center"/>
              <w:rPr>
                <w:rFonts w:hint="default" w:ascii="仿宋" w:hAnsi="仿宋" w:eastAsia="仿宋" w:cs="仿宋"/>
                <w:b w:val="0"/>
                <w:bCs w:val="0"/>
                <w:color w:val="auto"/>
                <w:szCs w:val="21"/>
                <w:highlight w:val="none"/>
                <w:lang w:val="en-US" w:eastAsia="zh-CN"/>
              </w:rPr>
            </w:pPr>
            <w:r>
              <w:rPr>
                <w:rFonts w:hint="default" w:ascii="仿宋" w:hAnsi="仿宋" w:eastAsia="仿宋" w:cs="仿宋"/>
                <w:b w:val="0"/>
                <w:bCs w:val="0"/>
                <w:color w:val="auto"/>
                <w:szCs w:val="21"/>
                <w:highlight w:val="none"/>
                <w:lang w:val="en-US" w:eastAsia="zh-CN"/>
              </w:rPr>
              <w:t>7</w:t>
            </w:r>
          </w:p>
        </w:tc>
        <w:tc>
          <w:tcPr>
            <w:tcW w:w="1039" w:type="dxa"/>
            <w:vAlign w:val="center"/>
          </w:tcPr>
          <w:p>
            <w:pPr>
              <w:snapToGrid w:val="0"/>
              <w:spacing w:line="340" w:lineRule="exact"/>
              <w:jc w:val="center"/>
              <w:rPr>
                <w:rFonts w:hint="default"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主观</w:t>
            </w:r>
          </w:p>
        </w:tc>
        <w:tc>
          <w:tcPr>
            <w:tcW w:w="1718" w:type="dxa"/>
            <w:vAlign w:val="center"/>
          </w:tcPr>
          <w:p>
            <w:pPr>
              <w:snapToGrid w:val="0"/>
              <w:spacing w:line="340" w:lineRule="exact"/>
              <w:jc w:val="center"/>
              <w:rPr>
                <w:rFonts w:hint="eastAsia" w:ascii="仿宋" w:hAnsi="仿宋" w:eastAsia="仿宋" w:cs="仿宋"/>
                <w:b w:val="0"/>
                <w:bCs w:val="0"/>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pPr>
              <w:snapToGrid w:val="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546" w:type="dxa"/>
            <w:vAlign w:val="center"/>
          </w:tcPr>
          <w:p>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报价</w:t>
            </w:r>
            <w:r>
              <w:rPr>
                <w:rFonts w:hint="eastAsia" w:ascii="仿宋" w:hAnsi="仿宋" w:eastAsia="仿宋" w:cs="仿宋"/>
                <w:color w:val="auto"/>
                <w:szCs w:val="21"/>
                <w:highlight w:val="none"/>
                <w:lang w:val="en-US" w:eastAsia="zh-CN"/>
              </w:rPr>
              <w:t>部分</w:t>
            </w:r>
          </w:p>
          <w:p>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0分）</w:t>
            </w:r>
          </w:p>
        </w:tc>
        <w:tc>
          <w:tcPr>
            <w:tcW w:w="4094" w:type="dxa"/>
            <w:vAlign w:val="center"/>
          </w:tcPr>
          <w:p>
            <w:pPr>
              <w:widowControl/>
              <w:snapToGrid w:val="0"/>
              <w:spacing w:line="340" w:lineRule="exact"/>
              <w:textAlignment w:val="center"/>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有效投标报价的最低价作为评标基准价，其最低报价为满分；按［投标报价得分=（评标基准价/投标报价）*权重］的计算公式计算。</w:t>
            </w:r>
          </w:p>
          <w:p>
            <w:pPr>
              <w:widowControl/>
              <w:snapToGrid w:val="0"/>
              <w:spacing w:line="340" w:lineRule="exact"/>
              <w:textAlignment w:val="center"/>
              <w:rPr>
                <w:rFonts w:hint="eastAsia" w:ascii="仿宋" w:hAnsi="仿宋" w:eastAsia="仿宋" w:cs="仿宋"/>
                <w:color w:val="auto"/>
              </w:rPr>
            </w:pPr>
            <w:r>
              <w:rPr>
                <w:rFonts w:hint="eastAsia" w:ascii="仿宋" w:hAnsi="仿宋" w:eastAsia="仿宋" w:cs="仿宋"/>
                <w:b w:val="0"/>
                <w:bCs w:val="0"/>
                <w:color w:val="auto"/>
                <w:szCs w:val="21"/>
                <w:highlight w:val="none"/>
                <w:lang w:val="en-US" w:eastAsia="zh-CN"/>
              </w:rPr>
              <w:t>评标过程中，不得去掉报价中的最高报价和最低报价。</w:t>
            </w:r>
          </w:p>
        </w:tc>
        <w:tc>
          <w:tcPr>
            <w:tcW w:w="715" w:type="dxa"/>
            <w:vAlign w:val="center"/>
          </w:tcPr>
          <w:p>
            <w:pPr>
              <w:widowControl/>
              <w:snapToGrid w:val="0"/>
              <w:spacing w:line="34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30</w:t>
            </w:r>
          </w:p>
        </w:tc>
        <w:tc>
          <w:tcPr>
            <w:tcW w:w="1039" w:type="dxa"/>
            <w:vAlign w:val="center"/>
          </w:tcPr>
          <w:p>
            <w:pPr>
              <w:widowControl/>
              <w:snapToGrid w:val="0"/>
              <w:spacing w:line="340" w:lineRule="exact"/>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c>
          <w:tcPr>
            <w:tcW w:w="1718" w:type="dxa"/>
            <w:vAlign w:val="center"/>
          </w:tcPr>
          <w:p>
            <w:pPr>
              <w:widowControl/>
              <w:snapToGrid w:val="0"/>
              <w:spacing w:line="340" w:lineRule="exact"/>
              <w:jc w:val="center"/>
              <w:textAlignment w:val="center"/>
              <w:rPr>
                <w:rFonts w:hint="eastAsia" w:ascii="仿宋" w:hAnsi="仿宋" w:eastAsia="仿宋" w:cs="仿宋"/>
                <w:color w:val="auto"/>
                <w:szCs w:val="21"/>
                <w:highlight w:val="none"/>
              </w:rPr>
            </w:pPr>
          </w:p>
        </w:tc>
      </w:tr>
    </w:tbl>
    <w:p>
      <w:pPr>
        <w:snapToGrid w:val="0"/>
        <w:spacing w:line="360" w:lineRule="auto"/>
        <w:rPr>
          <w:rFonts w:hint="eastAsia" w:ascii="仿宋" w:hAnsi="仿宋" w:eastAsia="仿宋" w:cs="仿宋"/>
          <w:b/>
          <w:color w:val="auto"/>
          <w:szCs w:val="21"/>
          <w:highlight w:val="none"/>
          <w:u w:val="none"/>
        </w:rPr>
      </w:pPr>
      <w:r>
        <w:rPr>
          <w:rFonts w:hint="eastAsia" w:ascii="仿宋" w:hAnsi="仿宋" w:eastAsia="仿宋" w:cs="仿宋"/>
          <w:color w:val="auto"/>
          <w:szCs w:val="21"/>
          <w:highlight w:val="none"/>
          <w:u w:val="none"/>
          <w:shd w:val="clear" w:color="auto" w:fill="FFFFFF"/>
        </w:rPr>
        <w:t>*</w:t>
      </w:r>
      <w:r>
        <w:rPr>
          <w:rFonts w:hint="eastAsia" w:ascii="仿宋" w:hAnsi="仿宋" w:eastAsia="仿宋" w:cs="仿宋"/>
          <w:b/>
          <w:color w:val="auto"/>
          <w:szCs w:val="21"/>
          <w:highlight w:val="none"/>
          <w:u w:val="none"/>
        </w:rPr>
        <w:t>备注：</w:t>
      </w:r>
      <w:r>
        <w:rPr>
          <w:rFonts w:hint="eastAsia" w:ascii="仿宋" w:hAnsi="仿宋" w:eastAsia="仿宋" w:cs="仿宋"/>
          <w:b/>
          <w:bCs w:val="0"/>
          <w:color w:val="auto"/>
          <w:szCs w:val="21"/>
          <w:highlight w:val="none"/>
          <w:u w:val="none"/>
        </w:rPr>
        <w:t>上述内容缺项不得分，投标人编制投标文件（商务技术文件部分）时，建议按此目录（序号和内容）提供评标标准相应的商务技术资料。 </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一、评标方法</w:t>
      </w:r>
    </w:p>
    <w:p>
      <w:pPr>
        <w:adjustRightInd/>
        <w:spacing w:line="360" w:lineRule="auto"/>
        <w:ind w:firstLine="413" w:firstLineChars="196"/>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1.本项目采用综合评分法。</w:t>
      </w:r>
      <w:r>
        <w:rPr>
          <w:rFonts w:hint="eastAsia" w:ascii="仿宋" w:hAnsi="仿宋" w:eastAsia="仿宋" w:cs="仿宋"/>
          <w:color w:val="auto"/>
          <w:kern w:val="0"/>
          <w:szCs w:val="21"/>
          <w:highlight w:val="none"/>
        </w:rPr>
        <w:t>综合评分法，是指投标文件满足招标文件全部实质性要求，且按照评审因素的量化指标评审得分由高到低顺序推荐中标候选人的评标方法。</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二、评标标准</w:t>
      </w:r>
    </w:p>
    <w:p>
      <w:pPr>
        <w:spacing w:line="360" w:lineRule="auto"/>
        <w:ind w:firstLine="413" w:firstLineChars="196"/>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2.评标标准：</w:t>
      </w:r>
      <w:r>
        <w:rPr>
          <w:rFonts w:hint="eastAsia" w:ascii="仿宋" w:hAnsi="仿宋" w:eastAsia="仿宋" w:cs="仿宋"/>
          <w:color w:val="auto"/>
          <w:kern w:val="0"/>
          <w:szCs w:val="21"/>
          <w:highlight w:val="none"/>
        </w:rPr>
        <w:t>见评标办法前附表。</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三、评标程序</w:t>
      </w:r>
    </w:p>
    <w:p>
      <w:pPr>
        <w:spacing w:line="360" w:lineRule="auto"/>
        <w:ind w:firstLine="413" w:firstLineChars="196"/>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3.1符合性审查。</w:t>
      </w:r>
      <w:r>
        <w:rPr>
          <w:rFonts w:hint="eastAsia" w:ascii="仿宋" w:hAnsi="仿宋" w:eastAsia="仿宋" w:cs="仿宋"/>
          <w:color w:val="auto"/>
          <w:kern w:val="0"/>
          <w:szCs w:val="21"/>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13" w:firstLineChars="196"/>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3.2 比较与评价。</w:t>
      </w:r>
      <w:r>
        <w:rPr>
          <w:rFonts w:hint="eastAsia" w:ascii="仿宋" w:hAnsi="仿宋" w:eastAsia="仿宋" w:cs="仿宋"/>
          <w:color w:val="auto"/>
          <w:kern w:val="0"/>
          <w:szCs w:val="21"/>
          <w:highlight w:val="none"/>
        </w:rPr>
        <w:t>评标委员会应当按照招标文件中规定的评标方法和标准，对符合性审查合格的投标文件进行商务和技术评估，综合比较与评价。</w:t>
      </w:r>
    </w:p>
    <w:p>
      <w:pPr>
        <w:spacing w:line="360" w:lineRule="auto"/>
        <w:ind w:firstLine="413" w:firstLineChars="196"/>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3.3汇总商务技术得分。</w:t>
      </w:r>
      <w:r>
        <w:rPr>
          <w:rFonts w:hint="eastAsia" w:ascii="仿宋" w:hAnsi="仿宋" w:eastAsia="仿宋" w:cs="仿宋"/>
          <w:color w:val="auto"/>
          <w:kern w:val="0"/>
          <w:szCs w:val="21"/>
          <w:highlight w:val="none"/>
        </w:rPr>
        <w:t>评标委员会各成员应当独立对每个投标人的商务和技术文件进行评价，并汇总商务技术得分情况。</w:t>
      </w:r>
    </w:p>
    <w:p>
      <w:pPr>
        <w:spacing w:line="360" w:lineRule="auto"/>
        <w:ind w:firstLine="413" w:firstLineChars="196"/>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3.4报价评审。</w:t>
      </w:r>
    </w:p>
    <w:p>
      <w:pPr>
        <w:pStyle w:val="134"/>
        <w:spacing w:before="0"/>
        <w:ind w:firstLine="445" w:firstLineChars="212"/>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3.4.1投标文件报价出现前后不一致的，按照下列规定修正：</w:t>
      </w:r>
    </w:p>
    <w:p>
      <w:pPr>
        <w:pStyle w:val="134"/>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3.4.1.1投标文件中开标一览表(报价表)内容与投标文件中相应内容不一致的，以开标一览表(报价表)为准;</w:t>
      </w:r>
    </w:p>
    <w:p>
      <w:pPr>
        <w:pStyle w:val="134"/>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3.4.1.2大写金额和小写金额不一致的，以大写金额为准;</w:t>
      </w:r>
    </w:p>
    <w:p>
      <w:pPr>
        <w:pStyle w:val="134"/>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3.4.1.3单价金额小数点或者百分比有明显错位的，以开标一览表的总价为准，并修改单价;</w:t>
      </w:r>
    </w:p>
    <w:p>
      <w:pPr>
        <w:pStyle w:val="134"/>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3.4.1.4总价金额与按单价汇总金额不一致的，以单价金额计算结果为准。</w:t>
      </w:r>
    </w:p>
    <w:p>
      <w:pPr>
        <w:pStyle w:val="134"/>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3.4.2投标文件出现不是唯一的、有选择性投标报价的，投标无效。</w:t>
      </w:r>
    </w:p>
    <w:p>
      <w:pPr>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3.4.3投标报价超过招标文件中规定的预算金额或者最高限价的，投标无效。</w:t>
      </w:r>
    </w:p>
    <w:p>
      <w:pPr>
        <w:pStyle w:val="134"/>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4"/>
        <w:spacing w:before="0"/>
        <w:ind w:firstLine="42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3.4.5对于未预留份额专门面向中小企业的政府采购</w:t>
      </w:r>
      <w:r>
        <w:rPr>
          <w:rFonts w:hint="eastAsia" w:ascii="仿宋" w:hAnsi="仿宋" w:eastAsia="仿宋" w:cs="仿宋"/>
          <w:color w:val="auto"/>
          <w:kern w:val="0"/>
          <w:sz w:val="21"/>
          <w:szCs w:val="21"/>
          <w:highlight w:val="none"/>
          <w:lang w:val="en-US" w:eastAsia="zh-CN"/>
        </w:rPr>
        <w:t>货物</w:t>
      </w:r>
      <w:r>
        <w:rPr>
          <w:rFonts w:hint="eastAsia" w:ascii="仿宋" w:hAnsi="仿宋" w:eastAsia="仿宋" w:cs="仿宋"/>
          <w:color w:val="auto"/>
          <w:kern w:val="0"/>
          <w:sz w:val="21"/>
          <w:szCs w:val="21"/>
          <w:highlight w:val="none"/>
        </w:rPr>
        <w:t>项目，以及预留份额政府采购</w:t>
      </w:r>
      <w:r>
        <w:rPr>
          <w:rFonts w:hint="eastAsia" w:ascii="仿宋" w:hAnsi="仿宋" w:eastAsia="仿宋" w:cs="仿宋"/>
          <w:color w:val="auto"/>
          <w:kern w:val="0"/>
          <w:sz w:val="21"/>
          <w:szCs w:val="21"/>
          <w:highlight w:val="none"/>
          <w:lang w:val="en-US" w:eastAsia="zh-CN"/>
        </w:rPr>
        <w:t>货物</w:t>
      </w:r>
      <w:r>
        <w:rPr>
          <w:rFonts w:hint="eastAsia" w:ascii="仿宋" w:hAnsi="仿宋" w:eastAsia="仿宋" w:cs="仿宋"/>
          <w:color w:val="auto"/>
          <w:kern w:val="0"/>
          <w:sz w:val="21"/>
          <w:szCs w:val="21"/>
          <w:highlight w:val="none"/>
        </w:rPr>
        <w:t>项目中的非预留部分标项，对小型和微型企业的投标报价给予20%的扣除，用扣除后的价格参与评审。接受大中型企业与小微企业组成联合体或者允许大中型企业向一家或者多家小微企业分包的政府采购</w:t>
      </w:r>
      <w:r>
        <w:rPr>
          <w:rFonts w:hint="eastAsia" w:ascii="仿宋" w:hAnsi="仿宋" w:eastAsia="仿宋" w:cs="仿宋"/>
          <w:color w:val="auto"/>
          <w:kern w:val="0"/>
          <w:sz w:val="21"/>
          <w:szCs w:val="21"/>
          <w:highlight w:val="none"/>
          <w:lang w:val="en-US" w:eastAsia="zh-CN"/>
        </w:rPr>
        <w:t>货物</w:t>
      </w:r>
      <w:r>
        <w:rPr>
          <w:rFonts w:hint="eastAsia" w:ascii="仿宋" w:hAnsi="仿宋" w:eastAsia="仿宋" w:cs="仿宋"/>
          <w:color w:val="auto"/>
          <w:kern w:val="0"/>
          <w:sz w:val="21"/>
          <w:szCs w:val="21"/>
          <w:highlight w:val="none"/>
        </w:rPr>
        <w:t>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22" w:firstLineChars="200"/>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3.5排序与推荐。</w:t>
      </w:r>
      <w:r>
        <w:rPr>
          <w:rFonts w:hint="eastAsia" w:ascii="仿宋" w:hAnsi="仿宋" w:eastAsia="仿宋" w:cs="仿宋"/>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firstLineChars="200"/>
        <w:rPr>
          <w:rFonts w:hint="eastAsia" w:ascii="仿宋" w:hAnsi="仿宋" w:eastAsia="仿宋" w:cs="仿宋"/>
          <w:b/>
          <w:color w:val="auto"/>
          <w:kern w:val="0"/>
          <w:szCs w:val="21"/>
          <w:highlight w:val="none"/>
        </w:rPr>
      </w:pPr>
      <w:r>
        <w:rPr>
          <w:rFonts w:hint="eastAsia" w:ascii="仿宋" w:hAnsi="仿宋" w:eastAsia="仿宋" w:cs="仿宋"/>
          <w:color w:val="auto"/>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13" w:firstLineChars="196"/>
        <w:rPr>
          <w:rFonts w:hint="eastAsia" w:ascii="仿宋" w:hAnsi="仿宋" w:eastAsia="仿宋" w:cs="仿宋"/>
          <w:color w:val="auto"/>
          <w:kern w:val="0"/>
          <w:szCs w:val="21"/>
          <w:highlight w:val="none"/>
        </w:rPr>
      </w:pPr>
      <w:r>
        <w:rPr>
          <w:rFonts w:hint="eastAsia" w:ascii="仿宋" w:hAnsi="仿宋" w:eastAsia="仿宋" w:cs="仿宋"/>
          <w:b/>
          <w:color w:val="auto"/>
          <w:kern w:val="0"/>
          <w:szCs w:val="21"/>
          <w:highlight w:val="none"/>
        </w:rPr>
        <w:t>3.6编写评标报告。</w:t>
      </w:r>
      <w:r>
        <w:rPr>
          <w:rFonts w:hint="eastAsia" w:ascii="仿宋" w:hAnsi="仿宋" w:eastAsia="仿宋" w:cs="仿宋"/>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四、评标中的其他事项</w:t>
      </w:r>
    </w:p>
    <w:p>
      <w:pPr>
        <w:pStyle w:val="134"/>
        <w:spacing w:before="0"/>
        <w:ind w:firstLine="422"/>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4.1投标人澄清、说明或者补正。</w:t>
      </w:r>
      <w:r>
        <w:rPr>
          <w:rFonts w:hint="eastAsia" w:ascii="仿宋" w:hAnsi="仿宋" w:eastAsia="仿宋" w:cs="仿宋"/>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6"/>
        <w:spacing w:line="360" w:lineRule="auto"/>
        <w:ind w:firstLine="422"/>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4.2投标无效。</w:t>
      </w:r>
      <w:r>
        <w:rPr>
          <w:rFonts w:hint="eastAsia" w:ascii="仿宋" w:hAnsi="仿宋" w:eastAsia="仿宋" w:cs="仿宋"/>
          <w:color w:val="auto"/>
          <w:sz w:val="21"/>
          <w:szCs w:val="21"/>
          <w:highlight w:val="none"/>
        </w:rPr>
        <w:t>有下列情况之一的，投标无效：</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4.2.1投标人不具备招标文件中规定的资格要求的（投标人未提供有效的资格文件的，视为投标人不具备招标文件中规定的资格要求）；</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4.2.2投标文件未按照招标文件要求签署、盖章的；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4.2.4投标文件含有采购人不能接受的附加条件的；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4.2.5投标文件中承诺的投标有效期少于招标文件中载明的投标有效期的；</w:t>
      </w:r>
    </w:p>
    <w:p>
      <w:pPr>
        <w:snapToGrid w:val="0"/>
        <w:spacing w:line="360" w:lineRule="auto"/>
        <w:ind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4.2.6投标文件出现不是唯一的、有选择性投标报价的;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4.2.7投标报价超过招标文件中规定的预算金额或者最高限价的;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4.2.9投标人对根据修正原则修正后的报价不确认的；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4.2.10投标人提供虚假材料投标的；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4.2.11投标人有恶意串通、妨碍其他投标人的竞争行为、损害采购人或者其他投标人的合法权益情形的；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4.2.12投标人仅提交备份投标文件，未在电子交易平台传输递交投标文件的，投标无效；</w:t>
      </w:r>
    </w:p>
    <w:p>
      <w:pPr>
        <w:pStyle w:val="4"/>
        <w:ind w:left="0" w:firstLine="420" w:firstLineChars="200"/>
        <w:rPr>
          <w:rFonts w:hint="eastAsia" w:ascii="仿宋" w:hAnsi="仿宋" w:eastAsia="仿宋" w:cs="仿宋"/>
          <w:b w:val="0"/>
          <w:bCs w:val="0"/>
          <w:color w:val="auto"/>
          <w:kern w:val="0"/>
          <w:sz w:val="21"/>
          <w:szCs w:val="21"/>
          <w:highlight w:val="none"/>
          <w:lang w:val="en-US"/>
        </w:rPr>
      </w:pPr>
      <w:r>
        <w:rPr>
          <w:rFonts w:hint="eastAsia" w:ascii="仿宋" w:hAnsi="仿宋" w:eastAsia="仿宋" w:cs="仿宋"/>
          <w:b w:val="0"/>
          <w:bCs w:val="0"/>
          <w:color w:val="auto"/>
          <w:kern w:val="0"/>
          <w:sz w:val="21"/>
          <w:szCs w:val="21"/>
          <w:highlight w:val="none"/>
          <w:lang w:val="en-US"/>
        </w:rPr>
        <w:t>4.2.13投标文件不满足招标文件的其它实质性要求的；</w:t>
      </w:r>
    </w:p>
    <w:p>
      <w:pPr>
        <w:spacing w:line="360" w:lineRule="auto"/>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4.2.14法律、法规、规章（适用本市的）及省级以上规范性文件（适用本市的）规定的其他无效情形。</w:t>
      </w:r>
    </w:p>
    <w:p>
      <w:pPr>
        <w:pStyle w:val="16"/>
        <w:snapToGrid w:val="0"/>
        <w:spacing w:line="360" w:lineRule="auto"/>
        <w:ind w:firstLine="422"/>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5.废标。</w:t>
      </w:r>
      <w:r>
        <w:rPr>
          <w:rFonts w:hint="eastAsia" w:ascii="仿宋" w:hAnsi="仿宋" w:eastAsia="仿宋" w:cs="仿宋"/>
          <w:color w:val="auto"/>
          <w:sz w:val="21"/>
          <w:szCs w:val="21"/>
          <w:highlight w:val="none"/>
        </w:rPr>
        <w:t>根据《中华人民共和国政府采购法》第三十六条之规定，在采购中，出现下列情形之一的，应予废标：</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5.1符合专业条件的供应商或者对招标文件作实质响应的供应商不足3家的；</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5.2出现影响采购公正的违法、违规行为的；</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5.3投标人的报价均超过了采购预算，采购人不能支付的；</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5.4因重大变故，采购任务取消的。</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废标后，采购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机构应当将废标理由通知所有投标人。</w:t>
      </w:r>
    </w:p>
    <w:p>
      <w:pPr>
        <w:pStyle w:val="16"/>
        <w:snapToGrid w:val="0"/>
        <w:spacing w:line="360" w:lineRule="auto"/>
        <w:ind w:firstLine="422"/>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6.修改招标文件，重新组织采购活动。</w:t>
      </w:r>
      <w:r>
        <w:rPr>
          <w:rFonts w:hint="eastAsia" w:ascii="仿宋" w:hAnsi="仿宋" w:eastAsia="仿宋" w:cs="仿宋"/>
          <w:color w:val="auto"/>
          <w:sz w:val="21"/>
          <w:szCs w:val="21"/>
          <w:highlight w:val="none"/>
        </w:rPr>
        <w:t>评标委员会发现招标文件存在歧义、重大缺陷导致评标工作无法进行，或者招标文件内容违反国家有关强制性规定的，将停止评标工作，并与采购人、采购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机构沟通并作书面记录。采购人、采购</w:t>
      </w:r>
      <w:r>
        <w:rPr>
          <w:rFonts w:hint="eastAsia" w:ascii="仿宋" w:hAnsi="仿宋" w:eastAsia="仿宋" w:cs="仿宋"/>
          <w:color w:val="auto"/>
          <w:sz w:val="21"/>
          <w:szCs w:val="21"/>
          <w:highlight w:val="none"/>
          <w:lang w:val="en-US" w:eastAsia="zh-CN"/>
        </w:rPr>
        <w:t>代理</w:t>
      </w:r>
      <w:r>
        <w:rPr>
          <w:rFonts w:hint="eastAsia" w:ascii="仿宋" w:hAnsi="仿宋" w:eastAsia="仿宋" w:cs="仿宋"/>
          <w:color w:val="auto"/>
          <w:sz w:val="21"/>
          <w:szCs w:val="21"/>
          <w:highlight w:val="none"/>
        </w:rPr>
        <w:t>机构确认后，将修改招标文件，重新组织采购活动。</w:t>
      </w:r>
    </w:p>
    <w:p>
      <w:pPr>
        <w:pStyle w:val="16"/>
        <w:snapToGrid w:val="0"/>
        <w:spacing w:line="360" w:lineRule="auto"/>
        <w:ind w:firstLine="422"/>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7.重新开展采购。</w:t>
      </w:r>
      <w:r>
        <w:rPr>
          <w:rFonts w:hint="eastAsia" w:ascii="仿宋" w:hAnsi="仿宋" w:eastAsia="仿宋" w:cs="仿宋"/>
          <w:color w:val="auto"/>
          <w:sz w:val="21"/>
          <w:szCs w:val="21"/>
          <w:highlight w:val="none"/>
        </w:rPr>
        <w:t>有政府采购法第七十一条、第七十二条规定的违法行为之一，影响或者可能影响中标、成交结果的，依照下列规定处理：</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7.1未确定中标供应商的，终止本次政府采购活动，重新开展政府采购活动。</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7.3政府采购合同已签订但尚未履行的，撤销合同，从合格的中标候选人中另行确定中标供应商；没有合格的中标候选人的，重新开展政府采购活动。</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7.4政府采购合同已经履行，给采购人、供应商造成损失的，由责任人承担赔偿责任。</w:t>
      </w:r>
    </w:p>
    <w:p>
      <w:pPr>
        <w:pStyle w:val="16"/>
        <w:snapToGrid w:val="0"/>
        <w:spacing w:line="360" w:lineRule="auto"/>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15"/>
        <w:rPr>
          <w:rFonts w:hint="eastAsia" w:ascii="仿宋" w:hAnsi="仿宋" w:eastAsia="仿宋" w:cs="仿宋"/>
          <w:color w:val="auto"/>
        </w:rPr>
      </w:pPr>
    </w:p>
    <w:p>
      <w:pPr>
        <w:pStyle w:val="16"/>
        <w:snapToGrid w:val="0"/>
        <w:spacing w:line="360" w:lineRule="auto"/>
        <w:ind w:firstLine="0" w:firstLineChars="0"/>
        <w:rPr>
          <w:rFonts w:hint="eastAsia" w:ascii="仿宋" w:hAnsi="仿宋" w:eastAsia="仿宋" w:cs="仿宋"/>
          <w:color w:val="auto"/>
          <w:highlight w:val="none"/>
        </w:rPr>
      </w:pPr>
    </w:p>
    <w:p>
      <w:pPr>
        <w:rPr>
          <w:rFonts w:hint="eastAsia"/>
          <w:color w:val="auto"/>
        </w:rPr>
      </w:pPr>
    </w:p>
    <w:bookmarkEnd w:id="26"/>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bookmarkStart w:id="392" w:name="第五部分"/>
      <w:bookmarkStart w:id="393" w:name="_Toc86217003"/>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ind w:left="0" w:leftChars="0" w:firstLine="0" w:firstLineChars="0"/>
        <w:jc w:val="center"/>
        <w:textAlignment w:val="auto"/>
        <w:outlineLvl w:val="0"/>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第五部分</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拟签订的合同文本</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合同编号：</w:t>
      </w:r>
      <w:r>
        <w:rPr>
          <w:rFonts w:hint="eastAsia" w:ascii="仿宋" w:hAnsi="仿宋" w:eastAsia="仿宋" w:cs="仿宋"/>
          <w:b/>
          <w:i/>
          <w:color w:val="auto"/>
          <w:sz w:val="32"/>
          <w:szCs w:val="32"/>
          <w:u w:val="single"/>
          <w:lang w:val="en-US" w:eastAsia="zh-CN"/>
        </w:rPr>
        <w:t xml:space="preserve">               </w:t>
      </w:r>
    </w:p>
    <w:p>
      <w:pPr>
        <w:spacing w:line="360" w:lineRule="auto"/>
        <w:rPr>
          <w:rFonts w:hint="eastAsia" w:ascii="仿宋" w:hAnsi="仿宋" w:eastAsia="仿宋" w:cs="仿宋"/>
          <w:color w:val="auto"/>
          <w:sz w:val="28"/>
        </w:rPr>
      </w:pPr>
    </w:p>
    <w:p>
      <w:pPr>
        <w:spacing w:line="360" w:lineRule="auto"/>
        <w:rPr>
          <w:rFonts w:hint="eastAsia" w:ascii="仿宋" w:hAnsi="仿宋" w:eastAsia="仿宋" w:cs="仿宋"/>
          <w:color w:val="auto"/>
          <w:sz w:val="28"/>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政府采购合同参考范本</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货物类</w:t>
      </w:r>
      <w:r>
        <w:rPr>
          <w:rFonts w:hint="eastAsia" w:ascii="仿宋" w:hAnsi="仿宋" w:eastAsia="仿宋" w:cs="仿宋"/>
          <w:b/>
          <w:color w:val="auto"/>
          <w:sz w:val="32"/>
          <w:szCs w:val="32"/>
        </w:rPr>
        <w:t>）</w:t>
      </w:r>
    </w:p>
    <w:p>
      <w:pPr>
        <w:spacing w:line="360" w:lineRule="auto"/>
        <w:rPr>
          <w:rFonts w:hint="eastAsia" w:ascii="仿宋" w:hAnsi="仿宋" w:eastAsia="仿宋" w:cs="仿宋"/>
          <w:color w:val="auto"/>
          <w:sz w:val="28"/>
        </w:rPr>
      </w:pPr>
    </w:p>
    <w:p>
      <w:pPr>
        <w:pStyle w:val="49"/>
        <w:keepNext w:val="0"/>
        <w:keepLines w:val="0"/>
        <w:pageBreakBefore w:val="0"/>
        <w:widowControl w:val="0"/>
        <w:kinsoku/>
        <w:wordWrap/>
        <w:overflowPunct/>
        <w:topLinePunct w:val="0"/>
        <w:autoSpaceDE/>
        <w:autoSpaceDN/>
        <w:bidi w:val="0"/>
        <w:adjustRightInd w:val="0"/>
        <w:snapToGrid w:val="0"/>
        <w:spacing w:before="20" w:after="20"/>
        <w:textAlignment w:val="auto"/>
        <w:rPr>
          <w:rFonts w:hint="eastAsia" w:ascii="仿宋" w:hAnsi="仿宋" w:eastAsia="仿宋" w:cs="仿宋"/>
          <w:color w:val="auto"/>
          <w:sz w:val="32"/>
          <w:szCs w:val="32"/>
        </w:rPr>
      </w:pPr>
      <w:bookmarkStart w:id="394" w:name="_Toc117259210"/>
      <w:bookmarkStart w:id="395" w:name="_Toc97118341"/>
      <w:bookmarkStart w:id="396" w:name="_Toc97118735"/>
      <w:bookmarkStart w:id="397" w:name="_Toc104208269"/>
      <w:bookmarkStart w:id="398" w:name="_Toc132308033"/>
      <w:r>
        <w:rPr>
          <w:rFonts w:hint="eastAsia" w:ascii="仿宋" w:hAnsi="仿宋" w:eastAsia="仿宋" w:cs="仿宋"/>
          <w:color w:val="auto"/>
          <w:sz w:val="32"/>
          <w:szCs w:val="32"/>
        </w:rPr>
        <w:t>第一部分 合同书</w:t>
      </w:r>
      <w:bookmarkEnd w:id="394"/>
      <w:bookmarkEnd w:id="395"/>
      <w:bookmarkEnd w:id="396"/>
      <w:bookmarkEnd w:id="397"/>
      <w:bookmarkEnd w:id="398"/>
    </w:p>
    <w:p>
      <w:pPr>
        <w:spacing w:line="360" w:lineRule="auto"/>
        <w:rPr>
          <w:rFonts w:hint="eastAsia" w:ascii="仿宋" w:hAnsi="仿宋" w:eastAsia="仿宋" w:cs="仿宋"/>
          <w:color w:val="auto"/>
          <w:sz w:val="28"/>
        </w:rPr>
      </w:pPr>
    </w:p>
    <w:p>
      <w:pPr>
        <w:spacing w:line="360" w:lineRule="auto"/>
        <w:rPr>
          <w:rFonts w:hint="eastAsia" w:ascii="仿宋" w:hAnsi="仿宋" w:eastAsia="仿宋" w:cs="仿宋"/>
          <w:color w:val="auto"/>
          <w:sz w:val="28"/>
        </w:rPr>
      </w:pPr>
    </w:p>
    <w:tbl>
      <w:tblPr>
        <w:tblStyle w:val="64"/>
        <w:tblW w:w="8505" w:type="dxa"/>
        <w:jc w:val="center"/>
        <w:tblLayout w:type="fixed"/>
        <w:tblCellMar>
          <w:top w:w="0" w:type="dxa"/>
          <w:left w:w="108" w:type="dxa"/>
          <w:bottom w:w="0" w:type="dxa"/>
          <w:right w:w="108" w:type="dxa"/>
        </w:tblCellMar>
      </w:tblPr>
      <w:tblGrid>
        <w:gridCol w:w="8505"/>
      </w:tblGrid>
      <w:tr>
        <w:tblPrEx>
          <w:tblCellMar>
            <w:top w:w="0" w:type="dxa"/>
            <w:left w:w="108" w:type="dxa"/>
            <w:bottom w:w="0" w:type="dxa"/>
            <w:right w:w="108" w:type="dxa"/>
          </w:tblCellMar>
        </w:tblPrEx>
        <w:trPr>
          <w:trHeight w:val="680" w:hRule="atLeast"/>
          <w:jc w:val="center"/>
        </w:trPr>
        <w:tc>
          <w:tcPr>
            <w:tcW w:w="8505" w:type="dxa"/>
            <w:vAlign w:val="center"/>
          </w:tcPr>
          <w:p>
            <w:pPr>
              <w:rPr>
                <w:rFonts w:hint="eastAsia" w:ascii="仿宋" w:hAnsi="仿宋" w:eastAsia="仿宋" w:cs="仿宋"/>
                <w:color w:val="auto"/>
                <w:sz w:val="28"/>
                <w:lang w:eastAsia="zh-CN"/>
              </w:rPr>
            </w:pPr>
            <w:r>
              <w:rPr>
                <w:rFonts w:hint="eastAsia" w:ascii="仿宋" w:hAnsi="仿宋" w:eastAsia="仿宋" w:cs="仿宋"/>
                <w:color w:val="auto"/>
                <w:sz w:val="28"/>
              </w:rPr>
              <w:t>项目名称：</w:t>
            </w:r>
          </w:p>
        </w:tc>
      </w:tr>
      <w:tr>
        <w:tblPrEx>
          <w:tblCellMar>
            <w:top w:w="0" w:type="dxa"/>
            <w:left w:w="108" w:type="dxa"/>
            <w:bottom w:w="0" w:type="dxa"/>
            <w:right w:w="108" w:type="dxa"/>
          </w:tblCellMar>
        </w:tblPrEx>
        <w:trPr>
          <w:trHeight w:val="680" w:hRule="atLeast"/>
          <w:jc w:val="center"/>
        </w:trPr>
        <w:tc>
          <w:tcPr>
            <w:tcW w:w="8505" w:type="dxa"/>
            <w:vAlign w:val="center"/>
          </w:tcPr>
          <w:p>
            <w:pPr>
              <w:rPr>
                <w:rFonts w:hint="eastAsia" w:ascii="仿宋" w:hAnsi="仿宋" w:eastAsia="仿宋" w:cs="仿宋"/>
                <w:color w:val="auto"/>
                <w:sz w:val="28"/>
              </w:rPr>
            </w:pPr>
            <w:r>
              <w:rPr>
                <w:rFonts w:hint="eastAsia" w:ascii="仿宋" w:hAnsi="仿宋" w:eastAsia="仿宋" w:cs="仿宋"/>
                <w:color w:val="auto"/>
                <w:sz w:val="28"/>
              </w:rPr>
              <w:t xml:space="preserve">甲    方：                    </w:t>
            </w:r>
          </w:p>
        </w:tc>
      </w:tr>
      <w:tr>
        <w:tblPrEx>
          <w:tblCellMar>
            <w:top w:w="0" w:type="dxa"/>
            <w:left w:w="108" w:type="dxa"/>
            <w:bottom w:w="0" w:type="dxa"/>
            <w:right w:w="108" w:type="dxa"/>
          </w:tblCellMar>
        </w:tblPrEx>
        <w:trPr>
          <w:trHeight w:val="680" w:hRule="atLeast"/>
          <w:jc w:val="center"/>
        </w:trPr>
        <w:tc>
          <w:tcPr>
            <w:tcW w:w="8505" w:type="dxa"/>
            <w:vAlign w:val="center"/>
          </w:tcPr>
          <w:p>
            <w:pPr>
              <w:rPr>
                <w:rFonts w:hint="eastAsia" w:ascii="仿宋" w:hAnsi="仿宋" w:eastAsia="仿宋" w:cs="仿宋"/>
                <w:color w:val="auto"/>
                <w:sz w:val="28"/>
                <w:lang w:val="en-US" w:eastAsia="zh-CN"/>
              </w:rPr>
            </w:pPr>
            <w:r>
              <w:rPr>
                <w:rFonts w:hint="eastAsia" w:ascii="仿宋" w:hAnsi="仿宋" w:eastAsia="仿宋" w:cs="仿宋"/>
                <w:color w:val="auto"/>
                <w:sz w:val="28"/>
              </w:rPr>
              <w:t>乙    方：</w:t>
            </w:r>
            <w:r>
              <w:rPr>
                <w:rFonts w:hint="eastAsia" w:ascii="仿宋" w:hAnsi="仿宋" w:eastAsia="仿宋" w:cs="仿宋"/>
                <w:i/>
                <w:color w:val="auto"/>
                <w:sz w:val="28"/>
                <w:u w:val="single"/>
              </w:rPr>
              <w:t>（中标人名称）</w:t>
            </w:r>
            <w:r>
              <w:rPr>
                <w:rFonts w:hint="eastAsia" w:ascii="仿宋" w:hAnsi="仿宋" w:eastAsia="仿宋" w:cs="仿宋"/>
                <w:i/>
                <w:color w:val="auto"/>
                <w:sz w:val="28"/>
                <w:u w:val="single"/>
                <w:lang w:val="en-US" w:eastAsia="zh-CN"/>
              </w:rPr>
              <w:t xml:space="preserve">                 </w:t>
            </w:r>
          </w:p>
        </w:tc>
      </w:tr>
      <w:tr>
        <w:tblPrEx>
          <w:tblCellMar>
            <w:top w:w="0" w:type="dxa"/>
            <w:left w:w="108" w:type="dxa"/>
            <w:bottom w:w="0" w:type="dxa"/>
            <w:right w:w="108" w:type="dxa"/>
          </w:tblCellMar>
        </w:tblPrEx>
        <w:trPr>
          <w:trHeight w:val="680" w:hRule="atLeast"/>
          <w:jc w:val="center"/>
        </w:trPr>
        <w:tc>
          <w:tcPr>
            <w:tcW w:w="8505" w:type="dxa"/>
            <w:vAlign w:val="center"/>
          </w:tcPr>
          <w:p>
            <w:pPr>
              <w:rPr>
                <w:rFonts w:hint="eastAsia" w:ascii="仿宋" w:hAnsi="仿宋" w:eastAsia="仿宋" w:cs="仿宋"/>
                <w:color w:val="auto"/>
                <w:sz w:val="28"/>
                <w:u w:val="single"/>
                <w:lang w:val="en-US" w:eastAsia="zh-CN"/>
              </w:rPr>
            </w:pPr>
            <w:r>
              <w:rPr>
                <w:rFonts w:hint="eastAsia" w:ascii="仿宋" w:hAnsi="仿宋" w:eastAsia="仿宋" w:cs="仿宋"/>
                <w:color w:val="auto"/>
                <w:sz w:val="28"/>
              </w:rPr>
              <w:t>签 订 地：</w:t>
            </w:r>
            <w:r>
              <w:rPr>
                <w:rFonts w:hint="eastAsia" w:ascii="仿宋" w:hAnsi="仿宋" w:eastAsia="仿宋" w:cs="仿宋"/>
                <w:color w:val="auto"/>
                <w:sz w:val="28"/>
                <w:u w:val="single"/>
                <w:lang w:val="en-US" w:eastAsia="zh-CN"/>
              </w:rPr>
              <w:t xml:space="preserve">                               </w:t>
            </w:r>
          </w:p>
        </w:tc>
      </w:tr>
      <w:tr>
        <w:tblPrEx>
          <w:tblCellMar>
            <w:top w:w="0" w:type="dxa"/>
            <w:left w:w="108" w:type="dxa"/>
            <w:bottom w:w="0" w:type="dxa"/>
            <w:right w:w="108" w:type="dxa"/>
          </w:tblCellMar>
        </w:tblPrEx>
        <w:trPr>
          <w:trHeight w:val="680" w:hRule="atLeast"/>
          <w:jc w:val="center"/>
        </w:trPr>
        <w:tc>
          <w:tcPr>
            <w:tcW w:w="8505" w:type="dxa"/>
            <w:vAlign w:val="center"/>
          </w:tcPr>
          <w:p>
            <w:pPr>
              <w:rPr>
                <w:rFonts w:hint="eastAsia" w:ascii="仿宋" w:hAnsi="仿宋" w:eastAsia="仿宋" w:cs="仿宋"/>
                <w:color w:val="auto"/>
                <w:sz w:val="28"/>
              </w:rPr>
            </w:pPr>
            <w:r>
              <w:rPr>
                <w:rFonts w:hint="eastAsia" w:ascii="仿宋" w:hAnsi="仿宋" w:eastAsia="仿宋" w:cs="仿宋"/>
                <w:color w:val="auto"/>
                <w:sz w:val="28"/>
              </w:rPr>
              <w:t>签订日期：</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8"/>
              </w:rPr>
              <w:t>年</w:t>
            </w:r>
            <w:r>
              <w:rPr>
                <w:rFonts w:hint="eastAsia" w:ascii="仿宋" w:hAnsi="仿宋" w:eastAsia="仿宋" w:cs="仿宋"/>
                <w:color w:val="auto"/>
                <w:u w:val="single"/>
                <w:lang w:val="en-US" w:eastAsia="zh-CN"/>
              </w:rPr>
              <w:t xml:space="preserve">     </w:t>
            </w:r>
            <w:r>
              <w:rPr>
                <w:rFonts w:hint="eastAsia" w:ascii="仿宋" w:hAnsi="仿宋" w:eastAsia="仿宋" w:cs="仿宋"/>
                <w:color w:val="auto"/>
                <w:sz w:val="28"/>
              </w:rPr>
              <w:t>月</w:t>
            </w:r>
            <w:r>
              <w:rPr>
                <w:rFonts w:hint="eastAsia" w:ascii="仿宋" w:hAnsi="仿宋" w:eastAsia="仿宋" w:cs="仿宋"/>
                <w:color w:val="auto"/>
                <w:u w:val="single"/>
                <w:lang w:val="en-US" w:eastAsia="zh-CN"/>
              </w:rPr>
              <w:t xml:space="preserve">     </w:t>
            </w:r>
            <w:r>
              <w:rPr>
                <w:rFonts w:hint="eastAsia" w:ascii="仿宋" w:hAnsi="仿宋" w:eastAsia="仿宋" w:cs="仿宋"/>
                <w:color w:val="auto"/>
                <w:sz w:val="28"/>
              </w:rPr>
              <w:t>日</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rPr>
        <w:br w:type="page"/>
      </w:r>
      <w:bookmarkStart w:id="399" w:name="_Toc1814"/>
      <w:bookmarkStart w:id="400" w:name="_Toc10340"/>
      <w:bookmarkStart w:id="401" w:name="_Toc22618"/>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lang w:val="zh-CN"/>
        </w:rPr>
        <w:t>年</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lang w:val="zh-CN"/>
        </w:rPr>
        <w:t>月</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lang w:val="zh-CN"/>
        </w:rPr>
        <w:t>日</w:t>
      </w:r>
      <w:r>
        <w:rPr>
          <w:rFonts w:hint="eastAsia" w:ascii="仿宋" w:hAnsi="仿宋" w:eastAsia="仿宋" w:cs="仿宋"/>
          <w:color w:val="auto"/>
          <w:sz w:val="21"/>
          <w:szCs w:val="21"/>
        </w:rPr>
        <w:t>，</w:t>
      </w:r>
      <w:r>
        <w:rPr>
          <w:rFonts w:hint="eastAsia" w:ascii="仿宋" w:hAnsi="仿宋" w:eastAsia="仿宋" w:cs="仿宋"/>
          <w:color w:val="auto"/>
          <w:sz w:val="21"/>
          <w:szCs w:val="21"/>
          <w:u w:val="single"/>
        </w:rPr>
        <w:t xml:space="preserve">   （采购人）   </w:t>
      </w:r>
      <w:r>
        <w:rPr>
          <w:rFonts w:hint="eastAsia" w:ascii="仿宋" w:hAnsi="仿宋" w:eastAsia="仿宋" w:cs="仿宋"/>
          <w:color w:val="auto"/>
          <w:sz w:val="21"/>
          <w:szCs w:val="21"/>
        </w:rPr>
        <w:t>以</w:t>
      </w:r>
      <w:r>
        <w:rPr>
          <w:rFonts w:hint="eastAsia" w:ascii="仿宋" w:hAnsi="仿宋" w:eastAsia="仿宋" w:cs="仿宋"/>
          <w:color w:val="auto"/>
          <w:sz w:val="21"/>
          <w:szCs w:val="21"/>
          <w:u w:val="single"/>
        </w:rPr>
        <w:t xml:space="preserve">   （政府采购方式）  </w:t>
      </w:r>
      <w:r>
        <w:rPr>
          <w:rFonts w:hint="eastAsia" w:ascii="仿宋" w:hAnsi="仿宋" w:eastAsia="仿宋" w:cs="仿宋"/>
          <w:color w:val="auto"/>
          <w:sz w:val="21"/>
          <w:szCs w:val="21"/>
        </w:rPr>
        <w:t>对</w:t>
      </w:r>
      <w:r>
        <w:rPr>
          <w:rFonts w:hint="eastAsia" w:ascii="仿宋" w:hAnsi="仿宋" w:eastAsia="仿宋" w:cs="仿宋"/>
          <w:color w:val="auto"/>
          <w:sz w:val="21"/>
          <w:szCs w:val="21"/>
          <w:u w:val="single"/>
        </w:rPr>
        <w:t xml:space="preserve">  （项目名称）    </w:t>
      </w:r>
      <w:r>
        <w:rPr>
          <w:rFonts w:hint="eastAsia" w:ascii="仿宋" w:hAnsi="仿宋" w:eastAsia="仿宋" w:cs="仿宋"/>
          <w:color w:val="auto"/>
          <w:sz w:val="21"/>
          <w:szCs w:val="21"/>
        </w:rPr>
        <w:t>项目进行了采购。经</w:t>
      </w:r>
      <w:r>
        <w:rPr>
          <w:rFonts w:hint="eastAsia" w:ascii="仿宋" w:hAnsi="仿宋" w:eastAsia="仿宋" w:cs="仿宋"/>
          <w:color w:val="auto"/>
          <w:sz w:val="21"/>
          <w:szCs w:val="21"/>
          <w:u w:val="single"/>
        </w:rPr>
        <w:t xml:space="preserve">   （相关评定主体名称）   </w:t>
      </w:r>
      <w:r>
        <w:rPr>
          <w:rFonts w:hint="eastAsia" w:ascii="仿宋" w:hAnsi="仿宋" w:eastAsia="仿宋" w:cs="仿宋"/>
          <w:color w:val="auto"/>
          <w:sz w:val="21"/>
          <w:szCs w:val="21"/>
        </w:rPr>
        <w:t>评定，</w:t>
      </w:r>
      <w:r>
        <w:rPr>
          <w:rFonts w:hint="eastAsia" w:ascii="仿宋" w:hAnsi="仿宋" w:eastAsia="仿宋" w:cs="仿宋"/>
          <w:color w:val="auto"/>
          <w:sz w:val="21"/>
          <w:szCs w:val="21"/>
          <w:u w:val="single"/>
        </w:rPr>
        <w:t xml:space="preserve">   （中标或者成交供应商名称） </w:t>
      </w:r>
      <w:r>
        <w:rPr>
          <w:rFonts w:hint="eastAsia" w:ascii="仿宋" w:hAnsi="仿宋" w:eastAsia="仿宋" w:cs="仿宋"/>
          <w:color w:val="auto"/>
          <w:sz w:val="21"/>
          <w:szCs w:val="21"/>
        </w:rPr>
        <w:t>为该项目中标或者成交供应商。</w:t>
      </w:r>
      <w:r>
        <w:rPr>
          <w:rFonts w:hint="eastAsia" w:ascii="仿宋" w:hAnsi="仿宋" w:eastAsia="仿宋" w:cs="仿宋"/>
          <w:color w:val="auto"/>
          <w:sz w:val="21"/>
          <w:szCs w:val="21"/>
          <w:highlight w:val="none"/>
        </w:rPr>
        <w:t>现于中标或者成交通知书发出之日起</w:t>
      </w:r>
      <w:r>
        <w:rPr>
          <w:rFonts w:hint="eastAsia" w:ascii="仿宋" w:hAnsi="仿宋" w:eastAsia="仿宋" w:cs="仿宋"/>
          <w:color w:val="auto"/>
          <w:sz w:val="21"/>
          <w:szCs w:val="21"/>
          <w:highlight w:val="none"/>
          <w:lang w:val="en-US" w:eastAsia="zh-CN"/>
        </w:rPr>
        <w:t>30</w:t>
      </w:r>
      <w:r>
        <w:rPr>
          <w:rFonts w:hint="eastAsia" w:ascii="仿宋" w:hAnsi="仿宋" w:eastAsia="仿宋" w:cs="仿宋"/>
          <w:color w:val="auto"/>
          <w:sz w:val="21"/>
          <w:szCs w:val="21"/>
          <w:highlight w:val="none"/>
        </w:rPr>
        <w:t>个工作日内，按照采购文件确定的事项签订本合同。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4"/>
        </w:rPr>
      </w:pPr>
      <w:r>
        <w:rPr>
          <w:rFonts w:hint="eastAsia" w:ascii="仿宋" w:hAnsi="仿宋" w:eastAsia="仿宋" w:cs="仿宋"/>
          <w:color w:val="auto"/>
          <w:sz w:val="21"/>
          <w:szCs w:val="21"/>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1"/>
          <w:szCs w:val="21"/>
          <w:u w:val="single"/>
        </w:rPr>
        <w:t xml:space="preserve">   （采购人）   </w:t>
      </w:r>
      <w:r>
        <w:rPr>
          <w:rFonts w:hint="eastAsia" w:ascii="仿宋" w:hAnsi="仿宋" w:eastAsia="仿宋" w:cs="仿宋"/>
          <w:color w:val="auto"/>
          <w:sz w:val="21"/>
          <w:szCs w:val="21"/>
          <w:lang w:val="zh-CN"/>
        </w:rPr>
        <w:t>(以下简称：甲方)和</w:t>
      </w:r>
      <w:r>
        <w:rPr>
          <w:rFonts w:hint="eastAsia" w:ascii="仿宋" w:hAnsi="仿宋" w:eastAsia="仿宋" w:cs="仿宋"/>
          <w:color w:val="auto"/>
          <w:sz w:val="21"/>
          <w:szCs w:val="21"/>
          <w:u w:val="single"/>
        </w:rPr>
        <w:t xml:space="preserve">   （中或者成交标供应商名称）   </w:t>
      </w:r>
      <w:r>
        <w:rPr>
          <w:rFonts w:hint="eastAsia" w:ascii="仿宋" w:hAnsi="仿宋" w:eastAsia="仿宋" w:cs="仿宋"/>
          <w:color w:val="auto"/>
          <w:sz w:val="21"/>
          <w:szCs w:val="21"/>
          <w:lang w:val="zh-CN"/>
        </w:rPr>
        <w:t>(以下简称：乙方)协商一致，约定以下合同</w:t>
      </w:r>
      <w:r>
        <w:rPr>
          <w:rFonts w:hint="eastAsia" w:ascii="仿宋" w:hAnsi="仿宋" w:eastAsia="仿宋" w:cs="仿宋"/>
          <w:color w:val="auto"/>
          <w:sz w:val="21"/>
          <w:szCs w:val="21"/>
        </w:rPr>
        <w:t>条款，以兹共同遵守、全面履行。</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02" w:name="_Toc28855"/>
      <w:bookmarkStart w:id="403" w:name="_Toc19273"/>
      <w:bookmarkStart w:id="404" w:name="_Toc20421"/>
      <w:bookmarkStart w:id="405" w:name="_Toc22967"/>
      <w:bookmarkStart w:id="406" w:name="_Toc15367"/>
      <w:r>
        <w:rPr>
          <w:rFonts w:hint="eastAsia" w:ascii="仿宋" w:hAnsi="仿宋" w:eastAsia="仿宋" w:cs="仿宋"/>
          <w:color w:val="auto"/>
          <w:sz w:val="21"/>
          <w:szCs w:val="21"/>
        </w:rPr>
        <w:t>1.1 合同组成部分</w:t>
      </w:r>
      <w:bookmarkEnd w:id="402"/>
      <w:bookmarkEnd w:id="403"/>
      <w:bookmarkEnd w:id="404"/>
      <w:bookmarkEnd w:id="405"/>
      <w:bookmarkEnd w:id="40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本合同及其补充合同、变更协议；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中标或者成交通知书；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1.1.3</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投标或者响应文件（含澄清或者说明文件）；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1.1.4</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采购文件（含澄清或者修改文件）；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4"/>
        </w:rPr>
      </w:pPr>
      <w:r>
        <w:rPr>
          <w:rFonts w:hint="eastAsia" w:ascii="仿宋" w:hAnsi="仿宋" w:eastAsia="仿宋" w:cs="仿宋"/>
          <w:color w:val="auto"/>
          <w:sz w:val="21"/>
          <w:szCs w:val="21"/>
        </w:rPr>
        <w:t>1.1.5</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其他相关采购文件。</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lang w:eastAsia="zh-CN"/>
        </w:rPr>
      </w:pPr>
      <w:bookmarkStart w:id="407" w:name="_Toc18585"/>
      <w:bookmarkStart w:id="408" w:name="_Toc6773"/>
      <w:bookmarkStart w:id="409" w:name="_Toc22185"/>
      <w:bookmarkStart w:id="410" w:name="_Toc6311"/>
      <w:bookmarkStart w:id="411" w:name="_Toc2918"/>
      <w:r>
        <w:rPr>
          <w:rFonts w:hint="eastAsia" w:ascii="仿宋" w:hAnsi="仿宋" w:eastAsia="仿宋" w:cs="仿宋"/>
          <w:color w:val="auto"/>
          <w:sz w:val="21"/>
          <w:szCs w:val="21"/>
        </w:rPr>
        <w:t xml:space="preserve">1.2 </w:t>
      </w:r>
      <w:bookmarkEnd w:id="407"/>
      <w:bookmarkEnd w:id="408"/>
      <w:bookmarkEnd w:id="409"/>
      <w:bookmarkEnd w:id="410"/>
      <w:bookmarkEnd w:id="411"/>
      <w:r>
        <w:rPr>
          <w:rFonts w:hint="eastAsia" w:ascii="仿宋" w:hAnsi="仿宋" w:eastAsia="仿宋" w:cs="仿宋"/>
          <w:color w:val="auto"/>
          <w:sz w:val="21"/>
          <w:szCs w:val="21"/>
          <w:lang w:val="en-US" w:eastAsia="zh-CN"/>
        </w:rPr>
        <w:t>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货物名称、品牌、规格型号、花色：</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货物数量：</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1.2.3</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货物质量：</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12" w:name="_Toc13918"/>
      <w:bookmarkStart w:id="413" w:name="_Toc1386"/>
      <w:bookmarkStart w:id="414" w:name="_Toc5635"/>
      <w:bookmarkStart w:id="415" w:name="_Toc4929"/>
      <w:bookmarkStart w:id="416" w:name="_Toc21124"/>
      <w:r>
        <w:rPr>
          <w:rFonts w:hint="eastAsia" w:ascii="仿宋" w:hAnsi="仿宋" w:eastAsia="仿宋" w:cs="仿宋"/>
          <w:color w:val="auto"/>
          <w:sz w:val="21"/>
          <w:szCs w:val="21"/>
        </w:rPr>
        <w:t>1.3 价款</w:t>
      </w:r>
      <w:bookmarkEnd w:id="412"/>
      <w:bookmarkEnd w:id="413"/>
      <w:bookmarkEnd w:id="414"/>
      <w:bookmarkEnd w:id="415"/>
      <w:bookmarkEnd w:id="416"/>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本合同总价（含税）为：￥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元（大写：</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元人民币）。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1"/>
          <w:szCs w:val="21"/>
        </w:rPr>
        <w:t>分项价格：</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874"/>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90" w:type="dxa"/>
            <w:vAlign w:val="center"/>
          </w:tcPr>
          <w:p>
            <w:pPr>
              <w:pStyle w:val="3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序号</w:t>
            </w:r>
          </w:p>
        </w:tc>
        <w:tc>
          <w:tcPr>
            <w:tcW w:w="2874" w:type="dxa"/>
            <w:vAlign w:val="center"/>
          </w:tcPr>
          <w:p>
            <w:pPr>
              <w:pStyle w:val="323"/>
              <w:keepNext w:val="0"/>
              <w:keepLines w:val="0"/>
              <w:pageBreakBefore w:val="0"/>
              <w:widowControl w:val="0"/>
              <w:kinsoku/>
              <w:wordWrap/>
              <w:overflowPunct/>
              <w:topLinePunct w:val="0"/>
              <w:autoSpaceDE/>
              <w:autoSpaceDN/>
              <w:bidi w:val="0"/>
              <w:adjustRightInd/>
              <w:snapToGrid/>
              <w:spacing w:line="240" w:lineRule="auto"/>
              <w:ind w:firstLine="20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分项名称</w:t>
            </w:r>
          </w:p>
        </w:tc>
        <w:tc>
          <w:tcPr>
            <w:tcW w:w="3250" w:type="dxa"/>
            <w:vAlign w:val="center"/>
          </w:tcPr>
          <w:p>
            <w:pPr>
              <w:pStyle w:val="32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90"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c>
          <w:tcPr>
            <w:tcW w:w="2874"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c>
          <w:tcPr>
            <w:tcW w:w="3250"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90"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c>
          <w:tcPr>
            <w:tcW w:w="2874"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c>
          <w:tcPr>
            <w:tcW w:w="3250"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90"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c>
          <w:tcPr>
            <w:tcW w:w="2874"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c>
          <w:tcPr>
            <w:tcW w:w="3250"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464" w:type="dxa"/>
            <w:gridSpan w:val="2"/>
            <w:vAlign w:val="center"/>
          </w:tcPr>
          <w:p>
            <w:pPr>
              <w:pStyle w:val="323"/>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auto"/>
                <w:sz w:val="21"/>
                <w:szCs w:val="21"/>
              </w:rPr>
            </w:pPr>
            <w:r>
              <w:rPr>
                <w:rFonts w:hint="eastAsia" w:ascii="仿宋" w:hAnsi="仿宋" w:eastAsia="仿宋" w:cs="仿宋"/>
                <w:b w:val="0"/>
                <w:bCs w:val="0"/>
                <w:color w:val="auto"/>
                <w:sz w:val="21"/>
                <w:szCs w:val="21"/>
              </w:rPr>
              <w:t>总价</w:t>
            </w:r>
          </w:p>
        </w:tc>
        <w:tc>
          <w:tcPr>
            <w:tcW w:w="3250" w:type="dxa"/>
            <w:vAlign w:val="center"/>
          </w:tcPr>
          <w:p>
            <w:pPr>
              <w:pStyle w:val="323"/>
              <w:spacing w:line="560" w:lineRule="exact"/>
              <w:ind w:firstLine="200"/>
              <w:jc w:val="center"/>
              <w:rPr>
                <w:rFonts w:hint="eastAsia" w:ascii="仿宋" w:hAnsi="仿宋" w:eastAsia="仿宋" w:cs="仿宋"/>
                <w:b w:val="0"/>
                <w:bCs w:val="0"/>
                <w:color w:val="auto"/>
                <w:sz w:val="21"/>
                <w:szCs w:val="21"/>
              </w:rPr>
            </w:pPr>
          </w:p>
        </w:tc>
      </w:tr>
    </w:tbl>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17" w:name="_Toc8772"/>
      <w:bookmarkStart w:id="418" w:name="_Toc31421"/>
      <w:bookmarkStart w:id="419" w:name="_Toc4760"/>
      <w:bookmarkStart w:id="420" w:name="_Toc3625"/>
      <w:bookmarkStart w:id="421" w:name="_Toc11108"/>
      <w:r>
        <w:rPr>
          <w:rFonts w:hint="eastAsia" w:ascii="仿宋" w:hAnsi="仿宋" w:eastAsia="仿宋" w:cs="仿宋"/>
          <w:color w:val="auto"/>
          <w:sz w:val="21"/>
          <w:szCs w:val="21"/>
        </w:rPr>
        <w:t>1.4履约保证金</w:t>
      </w:r>
    </w:p>
    <w:p>
      <w:pPr>
        <w:pStyle w:val="961"/>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乙方</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（是/否）需要支付履约保证金。若需要支付履约保证金的，则：</w:t>
      </w:r>
    </w:p>
    <w:p>
      <w:pPr>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1.4.1</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履约保证金的比例为合同金额的</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w:t>
      </w:r>
    </w:p>
    <w:p>
      <w:pPr>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1.4.2</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履约保证金支付方式详见</w:t>
      </w:r>
      <w:r>
        <w:rPr>
          <w:rFonts w:hint="eastAsia" w:ascii="仿宋" w:hAnsi="仿宋" w:eastAsia="仿宋" w:cs="仿宋"/>
          <w:color w:val="auto"/>
          <w:kern w:val="0"/>
          <w:sz w:val="21"/>
          <w:szCs w:val="21"/>
          <w:u w:val="single"/>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w:t>
      </w:r>
    </w:p>
    <w:p>
      <w:pPr>
        <w:pStyle w:val="4"/>
        <w:keepNext/>
        <w:keepLines/>
        <w:pageBreakBefore w:val="0"/>
        <w:widowControl w:val="0"/>
        <w:tabs>
          <w:tab w:val="left" w:pos="0"/>
        </w:tabs>
        <w:kinsoku/>
        <w:wordWrap/>
        <w:overflowPunct/>
        <w:topLinePunct w:val="0"/>
        <w:autoSpaceDE/>
        <w:autoSpaceDN/>
        <w:bidi w:val="0"/>
        <w:adjustRightInd/>
        <w:snapToGrid/>
        <w:spacing w:before="0" w:line="360" w:lineRule="auto"/>
        <w:ind w:left="0" w:firstLine="420" w:firstLineChars="200"/>
        <w:textAlignment w:val="auto"/>
        <w:rPr>
          <w:rFonts w:hint="eastAsia" w:ascii="仿宋" w:hAnsi="仿宋" w:eastAsia="仿宋" w:cs="仿宋"/>
          <w:color w:val="auto"/>
          <w:sz w:val="21"/>
          <w:szCs w:val="21"/>
          <w:lang w:val="en-US"/>
        </w:rPr>
      </w:pPr>
      <w:r>
        <w:rPr>
          <w:rFonts w:hint="eastAsia" w:ascii="仿宋" w:hAnsi="仿宋" w:eastAsia="仿宋" w:cs="仿宋"/>
          <w:b w:val="0"/>
          <w:bCs w:val="0"/>
          <w:color w:val="auto"/>
          <w:kern w:val="0"/>
          <w:sz w:val="21"/>
          <w:szCs w:val="21"/>
          <w:lang w:val="en-US"/>
        </w:rPr>
        <w:t>1.4.3</w:t>
      </w:r>
      <w:r>
        <w:rPr>
          <w:rFonts w:hint="eastAsia" w:ascii="仿宋" w:hAnsi="仿宋" w:eastAsia="仿宋" w:cs="仿宋"/>
          <w:b w:val="0"/>
          <w:bCs w:val="0"/>
          <w:color w:val="auto"/>
          <w:kern w:val="0"/>
          <w:sz w:val="21"/>
          <w:szCs w:val="21"/>
          <w:lang w:val="en-US" w:eastAsia="zh-CN"/>
        </w:rPr>
        <w:t xml:space="preserve"> </w:t>
      </w:r>
      <w:r>
        <w:rPr>
          <w:rFonts w:hint="eastAsia" w:ascii="仿宋" w:hAnsi="仿宋" w:eastAsia="仿宋" w:cs="仿宋"/>
          <w:b w:val="0"/>
          <w:bCs w:val="0"/>
          <w:color w:val="auto"/>
          <w:kern w:val="0"/>
          <w:sz w:val="21"/>
          <w:szCs w:val="21"/>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仿宋" w:hAnsi="仿宋" w:eastAsia="仿宋" w:cs="仿宋"/>
          <w:color w:val="auto"/>
          <w:kern w:val="0"/>
          <w:sz w:val="24"/>
        </w:rPr>
      </w:pPr>
      <w:r>
        <w:rPr>
          <w:rFonts w:hint="eastAsia" w:ascii="仿宋" w:hAnsi="仿宋" w:eastAsia="仿宋" w:cs="仿宋"/>
          <w:color w:val="auto"/>
          <w:kern w:val="0"/>
          <w:sz w:val="21"/>
          <w:szCs w:val="21"/>
        </w:rPr>
        <w:t>1.4.4</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甲方在项目验收结束后及时退还履约保证金。甲方在项目通过验收之日起</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1"/>
          <w:szCs w:val="21"/>
          <w:u w:val="single"/>
        </w:rPr>
        <w:t xml:space="preserve">  0.05  </w:t>
      </w:r>
      <w:r>
        <w:rPr>
          <w:rFonts w:hint="eastAsia" w:ascii="仿宋" w:hAnsi="仿宋" w:eastAsia="仿宋" w:cs="仿宋"/>
          <w:color w:val="auto"/>
          <w:kern w:val="0"/>
          <w:sz w:val="21"/>
          <w:szCs w:val="21"/>
        </w:rPr>
        <w:t>%计算，最高限额为本合同履约保证金的</w:t>
      </w:r>
      <w:r>
        <w:rPr>
          <w:rFonts w:hint="eastAsia" w:ascii="仿宋" w:hAnsi="仿宋" w:eastAsia="仿宋" w:cs="仿宋"/>
          <w:color w:val="auto"/>
          <w:kern w:val="0"/>
          <w:sz w:val="21"/>
          <w:szCs w:val="21"/>
          <w:u w:val="single"/>
        </w:rPr>
        <w:t xml:space="preserve">  20  </w:t>
      </w:r>
      <w:r>
        <w:rPr>
          <w:rFonts w:hint="eastAsia" w:ascii="仿宋" w:hAnsi="仿宋" w:eastAsia="仿宋" w:cs="仿宋"/>
          <w:color w:val="auto"/>
          <w:kern w:val="0"/>
          <w:sz w:val="21"/>
          <w:szCs w:val="21"/>
        </w:rPr>
        <w:t>%。</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1.5预付款</w:t>
      </w:r>
    </w:p>
    <w:p>
      <w:pPr>
        <w:pStyle w:val="96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甲方</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（是/否）需要支付预付款。若需要支付预付款的，则：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1.5.1</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rPr>
        <w:t>预付款比例、支付方式、时间详见</w:t>
      </w:r>
      <w:r>
        <w:rPr>
          <w:rFonts w:hint="eastAsia" w:ascii="仿宋" w:hAnsi="仿宋" w:eastAsia="仿宋" w:cs="仿宋"/>
          <w:color w:val="auto"/>
          <w:kern w:val="0"/>
          <w:sz w:val="21"/>
          <w:szCs w:val="21"/>
          <w:u w:val="single"/>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w:t>
      </w:r>
    </w:p>
    <w:p>
      <w:pPr>
        <w:pStyle w:val="96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预付款的扣回方式详见</w:t>
      </w:r>
      <w:r>
        <w:rPr>
          <w:rFonts w:hint="eastAsia" w:ascii="仿宋" w:hAnsi="仿宋" w:eastAsia="仿宋" w:cs="仿宋"/>
          <w:color w:val="auto"/>
          <w:sz w:val="21"/>
          <w:szCs w:val="21"/>
          <w:u w:val="single"/>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pPr>
        <w:pStyle w:val="96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s="仿宋"/>
          <w:color w:val="auto"/>
          <w:u w:val="single"/>
        </w:rPr>
      </w:pPr>
      <w:r>
        <w:rPr>
          <w:rFonts w:hint="eastAsia" w:ascii="仿宋" w:hAnsi="仿宋" w:eastAsia="仿宋" w:cs="仿宋"/>
          <w:color w:val="auto"/>
          <w:sz w:val="21"/>
          <w:szCs w:val="21"/>
        </w:rPr>
        <w:t>1.5.3</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预付款的担保措施详见</w:t>
      </w:r>
      <w:r>
        <w:rPr>
          <w:rFonts w:hint="eastAsia" w:ascii="仿宋" w:hAnsi="仿宋" w:eastAsia="仿宋" w:cs="仿宋"/>
          <w:color w:val="auto"/>
          <w:sz w:val="21"/>
          <w:szCs w:val="21"/>
          <w:u w:val="single"/>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1.6资金支付</w:t>
      </w:r>
    </w:p>
    <w:p>
      <w:pPr>
        <w:pStyle w:val="96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1.6.1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outlineLvl w:val="0"/>
        <w:rPr>
          <w:rFonts w:hint="eastAsia" w:ascii="仿宋" w:hAnsi="仿宋" w:eastAsia="仿宋" w:cs="仿宋"/>
          <w:color w:val="auto"/>
          <w:sz w:val="21"/>
          <w:szCs w:val="21"/>
        </w:rPr>
      </w:pPr>
      <w:r>
        <w:rPr>
          <w:rFonts w:hint="eastAsia" w:ascii="仿宋" w:hAnsi="仿宋" w:eastAsia="仿宋" w:cs="仿宋"/>
          <w:color w:val="auto"/>
          <w:sz w:val="21"/>
          <w:szCs w:val="21"/>
        </w:rPr>
        <w:t>1.6.2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资金支付的方式、时间和条件详见</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b/>
          <w:i/>
          <w:color w:val="auto"/>
          <w:sz w:val="21"/>
          <w:szCs w:val="21"/>
          <w:u w:val="single"/>
          <w:lang w:val="en-US" w:eastAsia="zh-CN"/>
        </w:rPr>
        <w:t xml:space="preserve"> </w:t>
      </w:r>
      <w:r>
        <w:rPr>
          <w:rFonts w:hint="eastAsia" w:ascii="仿宋" w:hAnsi="仿宋" w:eastAsia="仿宋" w:cs="仿宋"/>
          <w:color w:val="auto"/>
          <w:sz w:val="21"/>
          <w:szCs w:val="21"/>
        </w:rPr>
        <w:t>。</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1.7 </w:t>
      </w:r>
      <w:bookmarkEnd w:id="417"/>
      <w:bookmarkEnd w:id="418"/>
      <w:bookmarkEnd w:id="419"/>
      <w:bookmarkEnd w:id="420"/>
      <w:bookmarkEnd w:id="421"/>
      <w:r>
        <w:rPr>
          <w:rFonts w:hint="eastAsia" w:ascii="仿宋" w:hAnsi="仿宋" w:eastAsia="仿宋" w:cs="仿宋"/>
          <w:color w:val="auto"/>
          <w:sz w:val="21"/>
          <w:szCs w:val="21"/>
        </w:rPr>
        <w:t>货物交付期限、地点和方式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u w:val="single"/>
        </w:rPr>
      </w:pPr>
      <w:bookmarkStart w:id="422" w:name="_Toc3079"/>
      <w:bookmarkStart w:id="423" w:name="_Toc24662"/>
      <w:bookmarkStart w:id="424" w:name="_Toc8586"/>
      <w:bookmarkStart w:id="425" w:name="_Toc2375"/>
      <w:bookmarkStart w:id="426" w:name="_Toc5698"/>
      <w:r>
        <w:rPr>
          <w:rFonts w:hint="eastAsia" w:ascii="仿宋" w:hAnsi="仿宋" w:eastAsia="仿宋" w:cs="仿宋"/>
          <w:color w:val="auto"/>
          <w:sz w:val="21"/>
          <w:szCs w:val="21"/>
        </w:rPr>
        <w:t>1.7.1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交付期限：详见</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b/>
          <w:i/>
          <w:color w:val="auto"/>
          <w:sz w:val="21"/>
          <w:szCs w:val="21"/>
          <w:u w:val="single"/>
          <w:lang w:val="en-US" w:eastAsia="zh-CN"/>
        </w:rPr>
        <w:t xml:space="preserve"> </w:t>
      </w:r>
      <w:r>
        <w:rPr>
          <w:rFonts w:hint="eastAsia" w:ascii="仿宋" w:hAnsi="仿宋" w:eastAsia="仿宋" w:cs="仿宋"/>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1.7.2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交付地点：</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b/>
          <w:i/>
          <w:color w:val="auto"/>
          <w:sz w:val="21"/>
          <w:szCs w:val="21"/>
          <w:u w:val="single"/>
          <w:lang w:val="en-US" w:eastAsia="zh-CN"/>
        </w:rPr>
        <w:t xml:space="preserve"> </w:t>
      </w:r>
      <w:r>
        <w:rPr>
          <w:rFonts w:hint="eastAsia" w:ascii="仿宋" w:hAnsi="仿宋" w:eastAsia="仿宋" w:cs="仿宋"/>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1.7.3</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交付方式：</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b/>
          <w:i/>
          <w:color w:val="auto"/>
          <w:sz w:val="21"/>
          <w:szCs w:val="21"/>
          <w:u w:val="single"/>
          <w:lang w:val="en-US" w:eastAsia="zh-CN"/>
        </w:rPr>
        <w:t xml:space="preserve"> </w:t>
      </w:r>
      <w:r>
        <w:rPr>
          <w:rFonts w:hint="eastAsia" w:ascii="仿宋" w:hAnsi="仿宋" w:eastAsia="仿宋" w:cs="仿宋"/>
          <w:color w:val="auto"/>
          <w:sz w:val="21"/>
          <w:szCs w:val="21"/>
        </w:rPr>
        <w:t>。</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违约责任</w:t>
      </w:r>
      <w:bookmarkEnd w:id="422"/>
      <w:bookmarkEnd w:id="423"/>
      <w:bookmarkEnd w:id="424"/>
      <w:bookmarkEnd w:id="425"/>
      <w:bookmarkEnd w:id="426"/>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u w:val="single"/>
        </w:rPr>
        <w:t xml:space="preserve">0.05 </w:t>
      </w:r>
      <w:r>
        <w:rPr>
          <w:rFonts w:hint="eastAsia" w:ascii="仿宋" w:hAnsi="仿宋" w:eastAsia="仿宋" w:cs="仿宋"/>
          <w:color w:val="auto"/>
          <w:sz w:val="21"/>
          <w:szCs w:val="21"/>
        </w:rPr>
        <w:t>%计算，最高限额为本合同总价的</w:t>
      </w:r>
      <w:r>
        <w:rPr>
          <w:rFonts w:hint="eastAsia" w:ascii="仿宋" w:hAnsi="仿宋" w:eastAsia="仿宋" w:cs="仿宋"/>
          <w:color w:val="auto"/>
          <w:sz w:val="21"/>
          <w:szCs w:val="21"/>
          <w:u w:val="single"/>
        </w:rPr>
        <w:t xml:space="preserve">  20   </w:t>
      </w:r>
      <w:r>
        <w:rPr>
          <w:rFonts w:hint="eastAsia" w:ascii="仿宋" w:hAnsi="仿宋" w:eastAsia="仿宋" w:cs="仿宋"/>
          <w:color w:val="auto"/>
          <w:sz w:val="21"/>
          <w:szCs w:val="21"/>
        </w:rPr>
        <w:t>%；迟延交付货物的违约金计算数额达到前述最高限额之日起，甲方有权在要求乙方支付违约金的同时，书面通知乙方解除本合同；</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w:t>
      </w:r>
      <w:r>
        <w:rPr>
          <w:rFonts w:hint="eastAsia" w:ascii="仿宋" w:hAnsi="仿宋" w:eastAsia="仿宋" w:cs="仿宋"/>
          <w:color w:val="auto"/>
          <w:sz w:val="21"/>
          <w:szCs w:val="21"/>
          <w:lang w:val="en-US" w:eastAsia="zh-CN"/>
        </w:rPr>
        <w:t xml:space="preserve">2 </w:t>
      </w:r>
      <w:r>
        <w:rPr>
          <w:rFonts w:hint="eastAsia" w:ascii="仿宋" w:hAnsi="仿宋" w:eastAsia="仿宋" w:cs="仿宋"/>
          <w:color w:val="auto"/>
          <w:sz w:val="21"/>
          <w:szCs w:val="21"/>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1"/>
          <w:szCs w:val="21"/>
          <w:u w:val="single"/>
        </w:rPr>
        <w:t xml:space="preserve">   0.05   </w:t>
      </w:r>
      <w:r>
        <w:rPr>
          <w:rFonts w:hint="eastAsia" w:ascii="仿宋" w:hAnsi="仿宋" w:eastAsia="仿宋" w:cs="仿宋"/>
          <w:color w:val="auto"/>
          <w:sz w:val="21"/>
          <w:szCs w:val="21"/>
        </w:rPr>
        <w:t>%计算，最高限额为本合同总价的</w:t>
      </w:r>
      <w:r>
        <w:rPr>
          <w:rFonts w:hint="eastAsia" w:ascii="仿宋" w:hAnsi="仿宋" w:eastAsia="仿宋" w:cs="仿宋"/>
          <w:color w:val="auto"/>
          <w:sz w:val="21"/>
          <w:szCs w:val="21"/>
          <w:u w:val="single"/>
        </w:rPr>
        <w:t xml:space="preserve">   20   </w:t>
      </w:r>
      <w:r>
        <w:rPr>
          <w:rFonts w:hint="eastAsia" w:ascii="仿宋" w:hAnsi="仿宋" w:eastAsia="仿宋" w:cs="仿宋"/>
          <w:color w:val="auto"/>
          <w:sz w:val="21"/>
          <w:szCs w:val="21"/>
        </w:rPr>
        <w:t>%；迟延付款的违约金计算数额达到前述最高限额之日起，乙方有权在要求甲方支付违约金的同时，书面通知甲方解除本合同；</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仿宋" w:hAnsi="仿宋" w:eastAsia="仿宋" w:cs="仿宋"/>
          <w:color w:val="auto"/>
          <w:sz w:val="21"/>
          <w:szCs w:val="21"/>
        </w:rPr>
      </w:pPr>
      <w:bookmarkStart w:id="427" w:name="_Toc32454"/>
      <w:bookmarkStart w:id="428" w:name="_Toc30329"/>
      <w:bookmarkStart w:id="429" w:name="_Toc9497"/>
      <w:bookmarkStart w:id="430" w:name="_Toc18683"/>
      <w:bookmarkStart w:id="431" w:name="_Toc26807"/>
      <w:r>
        <w:rPr>
          <w:rFonts w:hint="eastAsia" w:ascii="仿宋" w:hAnsi="仿宋" w:eastAsia="仿宋" w:cs="仿宋"/>
          <w:color w:val="auto"/>
          <w:sz w:val="21"/>
          <w:szCs w:val="21"/>
        </w:rPr>
        <w:t>1.8.</w:t>
      </w:r>
      <w:r>
        <w:rPr>
          <w:rFonts w:hint="eastAsia" w:ascii="仿宋" w:hAnsi="仿宋" w:eastAsia="仿宋" w:cs="仿宋"/>
          <w:color w:val="auto"/>
          <w:sz w:val="21"/>
          <w:szCs w:val="21"/>
          <w:lang w:val="en-US" w:eastAsia="zh-CN"/>
        </w:rPr>
        <w:t xml:space="preserve">3 </w:t>
      </w:r>
      <w:r>
        <w:rPr>
          <w:rFonts w:hint="eastAsia" w:ascii="仿宋" w:hAnsi="仿宋" w:eastAsia="仿宋" w:cs="仿宋"/>
          <w:color w:val="auto"/>
          <w:sz w:val="21"/>
          <w:szCs w:val="21"/>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w:t>
      </w:r>
      <w:r>
        <w:rPr>
          <w:rFonts w:hint="eastAsia" w:ascii="仿宋" w:hAnsi="仿宋" w:eastAsia="仿宋" w:cs="仿宋"/>
          <w:color w:val="auto"/>
          <w:sz w:val="21"/>
          <w:szCs w:val="21"/>
          <w:lang w:val="en-US" w:eastAsia="zh-CN"/>
        </w:rPr>
        <w:t xml:space="preserve">4 </w:t>
      </w:r>
      <w:r>
        <w:rPr>
          <w:rFonts w:hint="eastAsia" w:ascii="仿宋" w:hAnsi="仿宋" w:eastAsia="仿宋" w:cs="仿宋"/>
          <w:color w:val="auto"/>
          <w:sz w:val="21"/>
          <w:szCs w:val="21"/>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1.8.</w:t>
      </w:r>
      <w:r>
        <w:rPr>
          <w:rFonts w:hint="eastAsia" w:ascii="仿宋" w:hAnsi="仿宋" w:eastAsia="仿宋" w:cs="仿宋"/>
          <w:color w:val="auto"/>
          <w:sz w:val="21"/>
          <w:szCs w:val="21"/>
          <w:lang w:val="en-US" w:eastAsia="zh-CN"/>
        </w:rPr>
        <w:t xml:space="preserve">5 </w:t>
      </w:r>
      <w:r>
        <w:rPr>
          <w:rFonts w:hint="eastAsia" w:ascii="仿宋" w:hAnsi="仿宋" w:eastAsia="仿宋" w:cs="仿宋"/>
          <w:color w:val="auto"/>
          <w:sz w:val="21"/>
          <w:szCs w:val="21"/>
        </w:rPr>
        <w:t>如果出现政府采购监督管理部门在处理投诉事项期间，书面通知甲方暂停采购活动的情形，或者询问或质疑事项可能影响中标或者成交结果的，导致甲方中止履行合同的情形，均不视为甲方违约。</w:t>
      </w:r>
    </w:p>
    <w:p>
      <w:pPr>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仿宋" w:hAnsi="仿宋" w:eastAsia="仿宋" w:cs="仿宋"/>
          <w:color w:val="auto"/>
        </w:rPr>
      </w:pPr>
      <w:r>
        <w:rPr>
          <w:rFonts w:hint="eastAsia" w:ascii="仿宋" w:hAnsi="仿宋" w:eastAsia="仿宋" w:cs="仿宋"/>
          <w:color w:val="auto"/>
          <w:sz w:val="21"/>
          <w:szCs w:val="21"/>
        </w:rPr>
        <w:t>1.8.</w:t>
      </w:r>
      <w:r>
        <w:rPr>
          <w:rFonts w:hint="eastAsia" w:ascii="仿宋" w:hAnsi="仿宋" w:eastAsia="仿宋" w:cs="仿宋"/>
          <w:color w:val="auto"/>
          <w:sz w:val="21"/>
          <w:szCs w:val="21"/>
          <w:lang w:val="en-US" w:eastAsia="zh-CN"/>
        </w:rPr>
        <w:t xml:space="preserve">6 </w:t>
      </w:r>
      <w:r>
        <w:rPr>
          <w:rFonts w:hint="eastAsia" w:ascii="仿宋" w:hAnsi="仿宋" w:eastAsia="仿宋" w:cs="仿宋"/>
          <w:color w:val="auto"/>
          <w:sz w:val="21"/>
          <w:szCs w:val="21"/>
        </w:rPr>
        <w:t>违约责任</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b/>
          <w:i/>
          <w:color w:val="auto"/>
          <w:sz w:val="21"/>
          <w:szCs w:val="21"/>
          <w:u w:val="single"/>
          <w:lang w:val="en-US" w:eastAsia="zh-CN"/>
        </w:rPr>
        <w:t xml:space="preserve"> </w:t>
      </w:r>
      <w:r>
        <w:rPr>
          <w:rFonts w:hint="eastAsia" w:ascii="仿宋" w:hAnsi="仿宋" w:eastAsia="仿宋" w:cs="仿宋"/>
          <w:color w:val="auto"/>
          <w:sz w:val="21"/>
          <w:szCs w:val="21"/>
        </w:rPr>
        <w:t>另有约定的，从其约定。</w:t>
      </w:r>
    </w:p>
    <w:bookmarkEnd w:id="427"/>
    <w:bookmarkEnd w:id="428"/>
    <w:bookmarkEnd w:id="429"/>
    <w:bookmarkEnd w:id="430"/>
    <w:bookmarkEnd w:id="431"/>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32" w:name="_Toc28375"/>
      <w:bookmarkStart w:id="433" w:name="_Toc15583"/>
      <w:bookmarkStart w:id="434" w:name="_Toc16021"/>
      <w:r>
        <w:rPr>
          <w:rFonts w:hint="eastAsia" w:ascii="仿宋" w:hAnsi="仿宋" w:eastAsia="仿宋" w:cs="仿宋"/>
          <w:color w:val="auto"/>
          <w:sz w:val="21"/>
          <w:szCs w:val="21"/>
        </w:rPr>
        <w:t>1.9</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合同争议的解决</w:t>
      </w:r>
      <w:bookmarkEnd w:id="432"/>
      <w:bookmarkEnd w:id="433"/>
      <w:bookmarkEnd w:id="434"/>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本合同履行过程中发生的任何争议，双方当事人均可通过和解或者调解解决；不愿和解、调解或者和解、调解不成的，可以选择以下第</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1.9.2</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条款规定的方式解决：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1.9.1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将争议提交</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b/>
          <w:i/>
          <w:color w:val="auto"/>
          <w:sz w:val="21"/>
          <w:szCs w:val="21"/>
          <w:u w:val="single"/>
          <w:lang w:val="en-US" w:eastAsia="zh-CN"/>
        </w:rPr>
        <w:t xml:space="preserve"> </w:t>
      </w:r>
      <w:r>
        <w:rPr>
          <w:rFonts w:hint="eastAsia" w:ascii="仿宋" w:hAnsi="仿宋" w:eastAsia="仿宋" w:cs="仿宋"/>
          <w:color w:val="auto"/>
          <w:sz w:val="21"/>
          <w:szCs w:val="21"/>
        </w:rPr>
        <w:t>仲裁委员会依申请仲裁时其现行有效的仲裁规则裁决；</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仿宋" w:hAnsi="仿宋" w:eastAsia="仿宋" w:cs="仿宋"/>
          <w:color w:val="auto"/>
          <w:sz w:val="24"/>
        </w:rPr>
      </w:pPr>
      <w:r>
        <w:rPr>
          <w:rFonts w:hint="eastAsia" w:ascii="仿宋" w:hAnsi="仿宋" w:eastAsia="仿宋" w:cs="仿宋"/>
          <w:color w:val="auto"/>
          <w:sz w:val="21"/>
          <w:szCs w:val="21"/>
        </w:rPr>
        <w:t>1.9.2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向</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b/>
          <w:i/>
          <w:color w:val="auto"/>
          <w:sz w:val="21"/>
          <w:szCs w:val="21"/>
          <w:u w:val="single"/>
          <w:lang w:val="en-US" w:eastAsia="zh-CN"/>
        </w:rPr>
        <w:t xml:space="preserve"> </w:t>
      </w:r>
      <w:r>
        <w:rPr>
          <w:rFonts w:hint="eastAsia" w:ascii="仿宋" w:hAnsi="仿宋" w:eastAsia="仿宋" w:cs="仿宋"/>
          <w:color w:val="auto"/>
          <w:sz w:val="21"/>
          <w:szCs w:val="21"/>
        </w:rPr>
        <w:t>人民法院起诉。</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35" w:name="_Toc7245"/>
      <w:bookmarkStart w:id="436" w:name="_Toc11173"/>
      <w:bookmarkStart w:id="437" w:name="_Toc15322"/>
      <w:r>
        <w:rPr>
          <w:rFonts w:hint="eastAsia" w:ascii="仿宋" w:hAnsi="仿宋" w:eastAsia="仿宋" w:cs="仿宋"/>
          <w:color w:val="auto"/>
          <w:sz w:val="21"/>
          <w:szCs w:val="21"/>
        </w:rPr>
        <w:t>2.0 合同生效</w:t>
      </w:r>
      <w:bookmarkEnd w:id="435"/>
      <w:bookmarkEnd w:id="436"/>
      <w:bookmarkEnd w:id="437"/>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eastAsia" w:ascii="仿宋" w:hAnsi="仿宋" w:eastAsia="仿宋" w:cs="仿宋"/>
          <w:color w:val="auto"/>
          <w:sz w:val="24"/>
        </w:rPr>
      </w:pPr>
      <w:r>
        <w:rPr>
          <w:rFonts w:hint="eastAsia" w:ascii="仿宋" w:hAnsi="仿宋" w:eastAsia="仿宋" w:cs="仿宋"/>
          <w:color w:val="auto"/>
          <w:sz w:val="21"/>
          <w:szCs w:val="21"/>
        </w:rPr>
        <w:t>本合同自双方当事人盖章签字时生效。</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b/>
          <w:color w:val="auto"/>
          <w:sz w:val="21"/>
          <w:szCs w:val="21"/>
          <w:lang w:val="zh-CN"/>
        </w:rPr>
        <w:t>甲方</w:t>
      </w:r>
      <w:r>
        <w:rPr>
          <w:rFonts w:hint="eastAsia" w:ascii="仿宋" w:hAnsi="仿宋" w:eastAsia="仿宋" w:cs="仿宋"/>
          <w:color w:val="auto"/>
          <w:sz w:val="21"/>
          <w:szCs w:val="21"/>
          <w:lang w:val="zh-CN"/>
        </w:rPr>
        <w:t xml:space="preserve">：                             </w:t>
      </w:r>
      <w:r>
        <w:rPr>
          <w:rFonts w:hint="eastAsia" w:ascii="仿宋" w:hAnsi="仿宋" w:eastAsia="仿宋" w:cs="仿宋"/>
          <w:b/>
          <w:color w:val="auto"/>
          <w:sz w:val="21"/>
          <w:szCs w:val="21"/>
          <w:lang w:val="zh-CN"/>
        </w:rPr>
        <w:t xml:space="preserve">      乙方</w:t>
      </w:r>
      <w:r>
        <w:rPr>
          <w:rFonts w:hint="eastAsia" w:ascii="仿宋" w:hAnsi="仿宋" w:eastAsia="仿宋" w:cs="仿宋"/>
          <w:color w:val="auto"/>
          <w:sz w:val="21"/>
          <w:szCs w:val="21"/>
          <w:lang w:val="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统一社会信用代码：                        统一社会信用代码或身份证号码：</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住所：                                   住所：</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法定代表人或                             法定代表人或</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 xml:space="preserve">授权代表（签字）：                       授权代表（签字）: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联系人：                                 联系人：</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约定送达地址：                           约定送达地址：</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邮政编码：                               邮政编码：</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 xml:space="preserve">电话:                                    电话: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传真:                                    传真:</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zh-CN"/>
        </w:rPr>
        <w:t>电子邮箱：                               电子邮箱：</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开户银行：                               开户银行： </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 xml:space="preserve">开户名称：                               开户名称： </w:t>
      </w:r>
    </w:p>
    <w:p>
      <w:pPr>
        <w:keepNext w:val="0"/>
        <w:keepLines w:val="0"/>
        <w:pageBreakBefore w:val="0"/>
        <w:widowControl w:val="0"/>
        <w:kinsoku/>
        <w:wordWrap/>
        <w:overflowPunct/>
        <w:topLinePunct w:val="0"/>
        <w:bidi w:val="0"/>
        <w:adjustRightInd w:val="0"/>
        <w:snapToGrid/>
        <w:spacing w:line="360" w:lineRule="auto"/>
        <w:textAlignment w:val="auto"/>
        <w:rPr>
          <w:rFonts w:hint="eastAsia" w:ascii="仿宋" w:hAnsi="仿宋" w:eastAsia="仿宋" w:cs="仿宋"/>
          <w:color w:val="auto"/>
        </w:rPr>
      </w:pPr>
      <w:r>
        <w:rPr>
          <w:rFonts w:hint="eastAsia" w:ascii="仿宋" w:hAnsi="仿宋" w:eastAsia="仿宋" w:cs="仿宋"/>
          <w:color w:val="auto"/>
          <w:sz w:val="21"/>
          <w:szCs w:val="21"/>
        </w:rPr>
        <w:t>开户账号：</w:t>
      </w:r>
      <w:r>
        <w:rPr>
          <w:rFonts w:hint="eastAsia" w:ascii="仿宋" w:hAnsi="仿宋" w:eastAsia="仿宋" w:cs="仿宋"/>
          <w:color w:val="auto"/>
          <w:sz w:val="21"/>
          <w:szCs w:val="21"/>
          <w:lang w:val="zh-CN"/>
        </w:rPr>
        <w:t xml:space="preserve">                               </w:t>
      </w:r>
      <w:r>
        <w:rPr>
          <w:rFonts w:hint="eastAsia" w:ascii="仿宋" w:hAnsi="仿宋" w:eastAsia="仿宋" w:cs="仿宋"/>
          <w:color w:val="auto"/>
          <w:sz w:val="21"/>
          <w:szCs w:val="21"/>
        </w:rPr>
        <w:t>开户账号：</w:t>
      </w:r>
    </w:p>
    <w:bookmarkEnd w:id="399"/>
    <w:bookmarkEnd w:id="400"/>
    <w:bookmarkEnd w:id="401"/>
    <w:p>
      <w:pPr>
        <w:pStyle w:val="49"/>
        <w:rPr>
          <w:rFonts w:hint="eastAsia" w:ascii="仿宋" w:hAnsi="仿宋" w:eastAsia="仿宋" w:cs="仿宋"/>
          <w:color w:val="auto"/>
        </w:rPr>
      </w:pPr>
      <w:bookmarkStart w:id="438" w:name="_Toc331685783"/>
      <w:r>
        <w:rPr>
          <w:rFonts w:hint="eastAsia" w:ascii="仿宋" w:hAnsi="仿宋" w:eastAsia="仿宋" w:cs="仿宋"/>
          <w:color w:val="auto"/>
        </w:rPr>
        <w:br w:type="page"/>
      </w:r>
      <w:bookmarkStart w:id="439" w:name="_Toc97118736"/>
      <w:bookmarkStart w:id="440" w:name="_Toc97118342"/>
      <w:bookmarkStart w:id="441" w:name="_Toc126654845"/>
      <w:bookmarkStart w:id="442" w:name="_Toc132308034"/>
      <w:r>
        <w:rPr>
          <w:rFonts w:hint="eastAsia" w:ascii="仿宋" w:hAnsi="仿宋" w:eastAsia="仿宋" w:cs="仿宋"/>
          <w:color w:val="auto"/>
          <w:sz w:val="32"/>
          <w:szCs w:val="32"/>
        </w:rPr>
        <w:t>第二部分 合同一般条款</w:t>
      </w:r>
      <w:bookmarkEnd w:id="438"/>
      <w:bookmarkEnd w:id="439"/>
      <w:bookmarkEnd w:id="440"/>
      <w:bookmarkEnd w:id="441"/>
      <w:bookmarkEnd w:id="442"/>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43" w:name="_Toc14021"/>
      <w:bookmarkStart w:id="444" w:name="_Toc5228"/>
      <w:bookmarkStart w:id="445" w:name="_Toc31297"/>
      <w:bookmarkStart w:id="446" w:name="_Toc19680"/>
      <w:bookmarkStart w:id="447" w:name="_Toc25079"/>
      <w:r>
        <w:rPr>
          <w:rFonts w:hint="eastAsia" w:ascii="仿宋" w:hAnsi="仿宋" w:eastAsia="仿宋" w:cs="仿宋"/>
          <w:color w:val="auto"/>
          <w:sz w:val="21"/>
          <w:szCs w:val="21"/>
        </w:rPr>
        <w:t>2.1 定义</w:t>
      </w:r>
      <w:bookmarkEnd w:id="443"/>
      <w:bookmarkEnd w:id="444"/>
      <w:bookmarkEnd w:id="445"/>
      <w:bookmarkEnd w:id="446"/>
      <w:bookmarkEnd w:id="447"/>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本合同中的下列词语应按以下内容进行解释：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2.1.1 “合同”系指采购人和中标或成交供应商签订的载明双方当事人所达成的协议，并包括所有的附件、附录和构成合同的其他文件。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2.1.2 “合同价”系指根据合同约定，中标或成交供应商在完全履行合同义务后，采购人应支付给中标或成交供应商的价格。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2.1.3 “货物”系指中标或成交供应商根据合同约定应向采购人交付的一切各种形态和种类的物品，包括原材料、燃料、设备、机械、仪表、备件、计算机软件、产品等，并包括工具、手册等其他相关资料。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2.1.4 “甲方”系指与中标或成交供应商签署合同的采购人；采购人委托采购代理机构代表其与乙方签订合同的，采购人的授权委托书作为合同附件。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2.1.5 “乙方”系指根据合同约定交付货物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color w:val="auto"/>
          <w:sz w:val="24"/>
        </w:rPr>
      </w:pPr>
      <w:r>
        <w:rPr>
          <w:rFonts w:hint="eastAsia" w:ascii="仿宋" w:hAnsi="仿宋" w:eastAsia="仿宋" w:cs="仿宋"/>
          <w:color w:val="auto"/>
          <w:sz w:val="21"/>
          <w:szCs w:val="21"/>
        </w:rPr>
        <w:t>2.1.6 “现场”系指合同约定货物将要运至或者安装的地点。</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48" w:name="_Toc3769"/>
      <w:bookmarkStart w:id="449" w:name="_Toc16752"/>
      <w:bookmarkStart w:id="450" w:name="_Toc31402"/>
      <w:bookmarkStart w:id="451" w:name="_Toc23289"/>
      <w:bookmarkStart w:id="452" w:name="_Toc19539"/>
      <w:r>
        <w:rPr>
          <w:rFonts w:hint="eastAsia" w:ascii="仿宋" w:hAnsi="仿宋" w:eastAsia="仿宋" w:cs="仿宋"/>
          <w:color w:val="auto"/>
          <w:sz w:val="21"/>
          <w:szCs w:val="21"/>
        </w:rPr>
        <w:t>2.2 技术规范</w:t>
      </w:r>
      <w:bookmarkEnd w:id="448"/>
      <w:bookmarkEnd w:id="449"/>
      <w:bookmarkEnd w:id="450"/>
      <w:bookmarkEnd w:id="451"/>
      <w:bookmarkEnd w:id="452"/>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53" w:name="_Toc13673"/>
      <w:bookmarkStart w:id="454" w:name="_Toc12412"/>
      <w:bookmarkStart w:id="455" w:name="_Toc9161"/>
      <w:bookmarkStart w:id="456" w:name="_Toc27945"/>
      <w:bookmarkStart w:id="457" w:name="_Toc4133"/>
      <w:r>
        <w:rPr>
          <w:rFonts w:hint="eastAsia" w:ascii="仿宋" w:hAnsi="仿宋" w:eastAsia="仿宋" w:cs="仿宋"/>
          <w:color w:val="auto"/>
          <w:sz w:val="21"/>
          <w:szCs w:val="21"/>
        </w:rPr>
        <w:t>2.3 知识产权</w:t>
      </w:r>
      <w:bookmarkEnd w:id="453"/>
      <w:bookmarkEnd w:id="454"/>
      <w:bookmarkEnd w:id="455"/>
      <w:bookmarkEnd w:id="456"/>
      <w:bookmarkEnd w:id="457"/>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2.3.1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2.3.2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具有知识产权的计算机软件等货物的知识产权归属，详见</w:t>
      </w:r>
      <w:r>
        <w:rPr>
          <w:rFonts w:hint="eastAsia" w:ascii="仿宋" w:hAnsi="仿宋" w:eastAsia="仿宋" w:cs="仿宋"/>
          <w:b/>
          <w:bCs/>
          <w:i/>
          <w:iCs/>
          <w:color w:val="auto"/>
          <w:sz w:val="21"/>
          <w:szCs w:val="21"/>
          <w:u w:val="single"/>
        </w:rPr>
        <w:t>合同专用条款</w:t>
      </w:r>
      <w:r>
        <w:rPr>
          <w:rFonts w:hint="eastAsia" w:ascii="仿宋" w:hAnsi="仿宋" w:eastAsia="仿宋" w:cs="仿宋"/>
          <w:color w:val="auto"/>
          <w:sz w:val="21"/>
          <w:szCs w:val="21"/>
        </w:rPr>
        <w:t>。</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 包装和装运</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除</w:t>
      </w:r>
      <w:r>
        <w:rPr>
          <w:rFonts w:hint="eastAsia" w:ascii="仿宋" w:hAnsi="仿宋" w:eastAsia="仿宋" w:cs="仿宋"/>
          <w:b/>
          <w:bCs/>
          <w:i/>
          <w:iCs/>
          <w:color w:val="auto"/>
          <w:sz w:val="21"/>
          <w:szCs w:val="21"/>
          <w:u w:val="single"/>
        </w:rPr>
        <w:t>合同专用条款</w:t>
      </w:r>
      <w:r>
        <w:rPr>
          <w:rFonts w:hint="eastAsia" w:ascii="仿宋" w:hAnsi="仿宋" w:eastAsia="仿宋" w:cs="仿宋"/>
          <w:color w:val="auto"/>
          <w:sz w:val="21"/>
          <w:szCs w:val="21"/>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 xml:space="preserve">乙方提供产品及相关快递服务的具体包装要求应符合《商品包装政府采购需求标准（试行）》《快递包装政府采购需求标准（试行）》，并作为履约验收的内容，必要时甲方可以要求乙方在履约验收环节出具检测报告。 </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2.4.3 装运货物的要求和通知，详见</w:t>
      </w:r>
      <w:r>
        <w:rPr>
          <w:rFonts w:hint="eastAsia" w:ascii="仿宋" w:hAnsi="仿宋" w:eastAsia="仿宋" w:cs="仿宋"/>
          <w:b/>
          <w:bCs/>
          <w:i/>
          <w:iCs/>
          <w:color w:val="auto"/>
          <w:sz w:val="21"/>
          <w:szCs w:val="21"/>
          <w:u w:val="single"/>
        </w:rPr>
        <w:t>合同专用条款</w:t>
      </w:r>
      <w:r>
        <w:rPr>
          <w:rFonts w:hint="eastAsia" w:ascii="仿宋" w:hAnsi="仿宋" w:eastAsia="仿宋" w:cs="仿宋"/>
          <w:color w:val="auto"/>
          <w:sz w:val="21"/>
          <w:szCs w:val="21"/>
        </w:rPr>
        <w:t>。</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58" w:name="_Toc22011"/>
      <w:bookmarkStart w:id="459" w:name="_Toc26555"/>
      <w:bookmarkStart w:id="460" w:name="_Toc15447"/>
      <w:bookmarkStart w:id="461" w:name="_Toc32670"/>
      <w:bookmarkStart w:id="462" w:name="_Toc31233"/>
      <w:r>
        <w:rPr>
          <w:rFonts w:hint="eastAsia" w:ascii="仿宋" w:hAnsi="仿宋" w:eastAsia="仿宋" w:cs="仿宋"/>
          <w:color w:val="auto"/>
          <w:sz w:val="21"/>
          <w:szCs w:val="21"/>
        </w:rPr>
        <w:t xml:space="preserve">2.5 </w:t>
      </w:r>
      <w:bookmarkEnd w:id="458"/>
      <w:bookmarkEnd w:id="459"/>
      <w:bookmarkEnd w:id="460"/>
      <w:bookmarkEnd w:id="461"/>
      <w:bookmarkEnd w:id="462"/>
      <w:r>
        <w:rPr>
          <w:rFonts w:hint="eastAsia" w:ascii="仿宋" w:hAnsi="仿宋" w:eastAsia="仿宋" w:cs="仿宋"/>
          <w:color w:val="auto"/>
          <w:sz w:val="21"/>
          <w:szCs w:val="21"/>
        </w:rPr>
        <w:t>履约检查和问题反馈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甲方有权在其认为必要时，对乙方是否能够按照合同约定交付货物进行履约检查，以确保乙方所交付的货物能够依约满足甲方之项目需求，但不得因履约检查妨碍乙方的正常工作，乙方应予积极配合；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2.5.2 合同履行期间，甲方有权将履行过程中出现的问题反馈给乙方，双方当事人应以书面形式约定需要完善和改进的内容。</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63" w:name="_Toc13154"/>
      <w:bookmarkStart w:id="464" w:name="_Toc18990"/>
      <w:bookmarkStart w:id="465" w:name="_Toc16163"/>
      <w:bookmarkStart w:id="466" w:name="_Toc13467"/>
      <w:bookmarkStart w:id="467" w:name="_Toc30507"/>
      <w:r>
        <w:rPr>
          <w:rFonts w:hint="eastAsia" w:ascii="仿宋" w:hAnsi="仿宋" w:eastAsia="仿宋" w:cs="仿宋"/>
          <w:color w:val="auto"/>
          <w:sz w:val="21"/>
          <w:szCs w:val="21"/>
        </w:rPr>
        <w:t>2.6 技术资料和保密义务</w:t>
      </w:r>
      <w:bookmarkEnd w:id="463"/>
      <w:bookmarkEnd w:id="464"/>
      <w:bookmarkEnd w:id="465"/>
      <w:bookmarkEnd w:id="466"/>
      <w:bookmarkEnd w:id="467"/>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2.6.1 乙方有权依据合同约定和项目需要，向甲方了解有关情况，调阅有关资料等，甲方应予积极配合；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2.6.2 乙方有义务妥善保管和保护由甲方提供的前款信息和资料等；</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68" w:name="_Toc19069"/>
      <w:r>
        <w:rPr>
          <w:rFonts w:hint="eastAsia" w:ascii="仿宋" w:hAnsi="仿宋" w:eastAsia="仿宋" w:cs="仿宋"/>
          <w:color w:val="auto"/>
          <w:sz w:val="21"/>
          <w:szCs w:val="21"/>
        </w:rPr>
        <w:t>2.7 质量保证</w:t>
      </w:r>
      <w:bookmarkEnd w:id="468"/>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2.7.1 乙方应建立和完善履行合同的内部质量保证体系，并提供相关内部规章制度给甲方，以便甲方进行监督检查；</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2.7.2 乙方应保证履行合同的人员数量和素质、软件和硬件设备的配置、场地、环境和设施等满足全面履行合同的要求，并应接受甲方的监督检查。</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69" w:name="_Toc22267"/>
      <w:r>
        <w:rPr>
          <w:rFonts w:hint="eastAsia" w:ascii="仿宋" w:hAnsi="仿宋" w:eastAsia="仿宋" w:cs="仿宋"/>
          <w:color w:val="auto"/>
          <w:sz w:val="21"/>
          <w:szCs w:val="21"/>
        </w:rPr>
        <w:t xml:space="preserve">2.8 </w:t>
      </w:r>
      <w:bookmarkEnd w:id="469"/>
      <w:r>
        <w:rPr>
          <w:rFonts w:hint="eastAsia" w:ascii="仿宋" w:hAnsi="仿宋" w:eastAsia="仿宋" w:cs="仿宋"/>
          <w:color w:val="auto"/>
          <w:sz w:val="21"/>
          <w:szCs w:val="21"/>
        </w:rPr>
        <w:t>货物的风险负担</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货物或者在途货物或者交付给第一承运人后的货物毁损、灭失的风险负担详见</w:t>
      </w:r>
      <w:r>
        <w:rPr>
          <w:rFonts w:hint="eastAsia" w:ascii="仿宋" w:hAnsi="仿宋" w:eastAsia="仿宋" w:cs="仿宋"/>
          <w:b/>
          <w:bCs/>
          <w:i/>
          <w:iCs/>
          <w:color w:val="auto"/>
          <w:sz w:val="21"/>
          <w:szCs w:val="21"/>
          <w:u w:val="single"/>
        </w:rPr>
        <w:t>合同专用条款</w:t>
      </w:r>
      <w:r>
        <w:rPr>
          <w:rFonts w:hint="eastAsia" w:ascii="仿宋" w:hAnsi="仿宋" w:eastAsia="仿宋" w:cs="仿宋"/>
          <w:color w:val="auto"/>
          <w:sz w:val="21"/>
          <w:szCs w:val="21"/>
        </w:rPr>
        <w:t>。</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lang w:val="en-US" w:eastAsia="zh-CN"/>
        </w:rPr>
      </w:pPr>
      <w:bookmarkStart w:id="470" w:name="_Toc10611"/>
      <w:r>
        <w:rPr>
          <w:rFonts w:hint="eastAsia" w:ascii="仿宋" w:hAnsi="仿宋" w:eastAsia="仿宋" w:cs="仿宋"/>
          <w:color w:val="auto"/>
          <w:sz w:val="21"/>
          <w:szCs w:val="21"/>
          <w:lang w:val="en-US" w:eastAsia="zh-CN"/>
        </w:rPr>
        <w:t>2.9 延迟交货</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 xml:space="preserve"> 合同变更</w:t>
      </w:r>
      <w:bookmarkEnd w:id="470"/>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合同继续履行将损害国家利益和社会公共利益的，双方当事人应当以书面形式变更合同。有过错的一方应当承担赔偿责任，双方当事人都有过错的，各自承担相应的责任。</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71" w:name="_Toc21830"/>
      <w:bookmarkStart w:id="472" w:name="_Toc26689"/>
      <w:bookmarkStart w:id="473" w:name="_Toc23368"/>
      <w:bookmarkStart w:id="474" w:name="_Toc10663"/>
      <w:bookmarkStart w:id="475" w:name="_Toc42"/>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 xml:space="preserve"> 合同转让和分包</w:t>
      </w:r>
      <w:bookmarkEnd w:id="471"/>
      <w:bookmarkEnd w:id="472"/>
      <w:bookmarkEnd w:id="473"/>
      <w:bookmarkEnd w:id="474"/>
      <w:bookmarkEnd w:id="475"/>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2.11.1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2.11.2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乙方采取分包方式履行合同的，甲方可直接向分包供应商支付款项。</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76" w:name="_Toc26633"/>
      <w:bookmarkStart w:id="477" w:name="_Toc14371"/>
      <w:bookmarkStart w:id="478" w:name="_Toc4720"/>
      <w:bookmarkStart w:id="479" w:name="_Toc32494"/>
      <w:bookmarkStart w:id="480" w:name="_Toc25571"/>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 xml:space="preserve"> 不可抗力</w:t>
      </w:r>
      <w:bookmarkEnd w:id="476"/>
      <w:bookmarkEnd w:id="477"/>
      <w:bookmarkEnd w:id="478"/>
      <w:bookmarkEnd w:id="479"/>
      <w:bookmarkEnd w:id="480"/>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2.12.1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如果任何一方遭遇法律规定的不可抗力，致使合同履行受阻时，履行合同的期限应予延长，延长的期限应相当于不可抗力所影响的时间；</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2.12.2 因不可抗力致使不能实现合同目的的，当事人可以解除合同；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2.12.3 因不可抗力致使合同有变更必要的，双方当事人应在</w:t>
      </w:r>
      <w:r>
        <w:rPr>
          <w:rFonts w:hint="eastAsia" w:ascii="仿宋" w:hAnsi="仿宋" w:eastAsia="仿宋" w:cs="仿宋"/>
          <w:b/>
          <w:bCs/>
          <w:i/>
          <w:iCs/>
          <w:color w:val="auto"/>
          <w:sz w:val="21"/>
          <w:szCs w:val="21"/>
          <w:u w:val="single"/>
        </w:rPr>
        <w:t>合同专用条款</w:t>
      </w:r>
      <w:r>
        <w:rPr>
          <w:rFonts w:hint="eastAsia" w:ascii="仿宋" w:hAnsi="仿宋" w:eastAsia="仿宋" w:cs="仿宋"/>
          <w:color w:val="auto"/>
          <w:sz w:val="21"/>
          <w:szCs w:val="21"/>
        </w:rPr>
        <w:t>约定时间内以书面形式变更合同；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2.12.4</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受不可抗力影响的一方在不可抗力发生后，应在</w:t>
      </w:r>
      <w:r>
        <w:rPr>
          <w:rFonts w:hint="eastAsia" w:ascii="仿宋" w:hAnsi="仿宋" w:eastAsia="仿宋" w:cs="仿宋"/>
          <w:b/>
          <w:bCs/>
          <w:i/>
          <w:iCs/>
          <w:color w:val="auto"/>
          <w:sz w:val="21"/>
          <w:szCs w:val="21"/>
          <w:u w:val="single"/>
        </w:rPr>
        <w:t>合同专用条款</w:t>
      </w:r>
      <w:r>
        <w:rPr>
          <w:rFonts w:hint="eastAsia" w:ascii="仿宋" w:hAnsi="仿宋" w:eastAsia="仿宋" w:cs="仿宋"/>
          <w:color w:val="auto"/>
          <w:sz w:val="21"/>
          <w:szCs w:val="21"/>
        </w:rPr>
        <w:t>约定时间内以书面形式通知对方当事人，并在</w:t>
      </w:r>
      <w:r>
        <w:rPr>
          <w:rFonts w:hint="eastAsia" w:ascii="仿宋" w:hAnsi="仿宋" w:eastAsia="仿宋" w:cs="仿宋"/>
          <w:b/>
          <w:bCs/>
          <w:i/>
          <w:iCs/>
          <w:color w:val="auto"/>
          <w:sz w:val="21"/>
          <w:szCs w:val="21"/>
          <w:u w:val="single"/>
        </w:rPr>
        <w:t>合同专用条款</w:t>
      </w:r>
      <w:r>
        <w:rPr>
          <w:rFonts w:hint="eastAsia" w:ascii="仿宋" w:hAnsi="仿宋" w:eastAsia="仿宋" w:cs="仿宋"/>
          <w:color w:val="auto"/>
          <w:sz w:val="21"/>
          <w:szCs w:val="21"/>
        </w:rPr>
        <w:t>约定时间内，将有关部门出具的证明文件送达对方当事人。</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81" w:name="_Toc14115"/>
      <w:bookmarkStart w:id="482" w:name="_Toc3638"/>
      <w:bookmarkStart w:id="483" w:name="_Toc24465"/>
      <w:bookmarkStart w:id="484" w:name="_Toc25783"/>
      <w:bookmarkStart w:id="485" w:name="_Toc23854"/>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 xml:space="preserve"> 税费</w:t>
      </w:r>
      <w:bookmarkEnd w:id="481"/>
      <w:bookmarkEnd w:id="482"/>
      <w:bookmarkEnd w:id="483"/>
      <w:bookmarkEnd w:id="484"/>
      <w:bookmarkEnd w:id="485"/>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与合同有关的一切税费，均按照中华人民共和国法律的相关规定缴纳。</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86" w:name="_Toc14814"/>
      <w:bookmarkStart w:id="487" w:name="_Toc7315"/>
      <w:bookmarkStart w:id="488" w:name="_Toc30105"/>
      <w:bookmarkStart w:id="489" w:name="_Toc26883"/>
      <w:bookmarkStart w:id="490" w:name="_Toc25525"/>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 xml:space="preserve"> 乙方破产</w:t>
      </w:r>
      <w:bookmarkEnd w:id="486"/>
      <w:bookmarkEnd w:id="487"/>
      <w:bookmarkEnd w:id="488"/>
      <w:bookmarkEnd w:id="489"/>
      <w:bookmarkEnd w:id="490"/>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91" w:name="_Toc23323"/>
      <w:bookmarkStart w:id="492" w:name="_Toc1123"/>
      <w:bookmarkStart w:id="493" w:name="_Toc2016"/>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 xml:space="preserve"> 合同中止、终止</w:t>
      </w:r>
      <w:bookmarkEnd w:id="491"/>
      <w:bookmarkEnd w:id="492"/>
      <w:bookmarkEnd w:id="493"/>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2.15.1 双方当事人不得擅自中止或者终止合同；</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2.15.2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合同继续履行将损害国家利益和社会公共利益的，双方当事人应当中止或者终止合同。有过错的一方应当承担赔偿责任，双方当事人都有过错的，各自承担相应的责任。</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94" w:name="_Toc1969"/>
      <w:bookmarkStart w:id="495" w:name="_Toc17363"/>
      <w:bookmarkStart w:id="496" w:name="_Toc14525"/>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 xml:space="preserve"> 检验和验收</w:t>
      </w:r>
      <w:bookmarkEnd w:id="494"/>
      <w:bookmarkEnd w:id="495"/>
      <w:bookmarkEnd w:id="496"/>
    </w:p>
    <w:p>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2.16.1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货物交付前，乙方应对货物的质量、数量等方面进行详细、全面的检验，并向甲方出具证明货物符合合同约定的文件；货物交付时，甲方在</w:t>
      </w:r>
      <w:r>
        <w:rPr>
          <w:rFonts w:hint="eastAsia" w:ascii="仿宋" w:hAnsi="仿宋" w:eastAsia="仿宋" w:cs="仿宋"/>
          <w:b/>
          <w:bCs/>
          <w:i/>
          <w:iCs/>
          <w:color w:val="auto"/>
          <w:sz w:val="21"/>
          <w:szCs w:val="21"/>
          <w:u w:val="single"/>
        </w:rPr>
        <w:t>合同专用条款</w:t>
      </w:r>
      <w:r>
        <w:rPr>
          <w:rFonts w:hint="eastAsia" w:ascii="仿宋" w:hAnsi="仿宋" w:eastAsia="仿宋" w:cs="仿宋"/>
          <w:color w:val="auto"/>
          <w:sz w:val="21"/>
          <w:szCs w:val="21"/>
        </w:rPr>
        <w:t>约定时间内组织验收，并可依法邀请相关方参加，验收应出具验收书。</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2.16.2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pageBreakBefore w:val="0"/>
        <w:widowControl w:val="0"/>
        <w:tabs>
          <w:tab w:val="left" w:pos="360"/>
          <w:tab w:val="left" w:pos="540"/>
          <w:tab w:val="left" w:pos="1080"/>
        </w:tabs>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2.16.3 检验和验收标准、程序等具体内容以及前述验收书的效力详见</w:t>
      </w:r>
      <w:r>
        <w:rPr>
          <w:rFonts w:hint="eastAsia" w:ascii="仿宋" w:hAnsi="仿宋" w:eastAsia="仿宋" w:cs="仿宋"/>
          <w:b/>
          <w:bCs/>
          <w:i/>
          <w:iCs/>
          <w:color w:val="auto"/>
          <w:sz w:val="21"/>
          <w:szCs w:val="21"/>
          <w:u w:val="single"/>
        </w:rPr>
        <w:t>合同专用条款</w:t>
      </w:r>
      <w:r>
        <w:rPr>
          <w:rFonts w:hint="eastAsia" w:ascii="仿宋" w:hAnsi="仿宋" w:eastAsia="仿宋" w:cs="仿宋"/>
          <w:color w:val="auto"/>
          <w:sz w:val="21"/>
          <w:szCs w:val="21"/>
        </w:rPr>
        <w:t>。</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bookmarkStart w:id="497" w:name="_Toc31892"/>
      <w:bookmarkStart w:id="498" w:name="_Toc25198"/>
      <w:bookmarkStart w:id="499" w:name="_Toc9808"/>
      <w:bookmarkStart w:id="500" w:name="_Toc2308"/>
      <w:bookmarkStart w:id="501" w:name="_Toc12666"/>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7</w:t>
      </w:r>
      <w:r>
        <w:rPr>
          <w:rFonts w:hint="eastAsia" w:ascii="仿宋" w:hAnsi="仿宋" w:eastAsia="仿宋" w:cs="仿宋"/>
          <w:color w:val="auto"/>
          <w:sz w:val="21"/>
          <w:szCs w:val="21"/>
        </w:rPr>
        <w:t xml:space="preserve"> 通知和送达</w:t>
      </w:r>
      <w:bookmarkEnd w:id="497"/>
      <w:bookmarkEnd w:id="498"/>
      <w:bookmarkEnd w:id="499"/>
      <w:bookmarkEnd w:id="500"/>
      <w:bookmarkEnd w:id="501"/>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2.17.1</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任何一方因履行合同而以合同第一部分尾部所列明的传真或电子邮件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2.17.2</w:t>
      </w:r>
      <w:r>
        <w:rPr>
          <w:rFonts w:hint="eastAsia" w:ascii="仿宋" w:hAnsi="仿宋" w:eastAsia="仿宋" w:cs="仿宋"/>
          <w:color w:val="auto"/>
          <w:sz w:val="21"/>
          <w:szCs w:val="21"/>
          <w:lang w:val="en-US" w:eastAsia="zh-CN"/>
        </w:rPr>
        <w:t xml:space="preserve"> </w:t>
      </w:r>
      <w:r>
        <w:rPr>
          <w:rFonts w:hint="eastAsia" w:ascii="仿宋" w:hAnsi="仿宋" w:eastAsia="仿宋" w:cs="仿宋"/>
          <w:color w:val="auto"/>
          <w:sz w:val="21"/>
          <w:szCs w:val="21"/>
        </w:rPr>
        <w:t>以当面交付方式送达的，交付之时视为送达；以电子邮件方式送达的，发出电子邮件之时视为送达；以传真方式送达的，发出传真之时视为送达；以邮寄方式送达的，邮件挂号寄出或者交邮之日之次日视为送达。</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lang w:val="en-US" w:eastAsia="zh-CN"/>
        </w:rPr>
      </w:pPr>
      <w:bookmarkStart w:id="502" w:name="_Toc27644"/>
      <w:bookmarkStart w:id="503" w:name="_Toc28906"/>
      <w:bookmarkStart w:id="504" w:name="_Toc20808"/>
      <w:bookmarkStart w:id="505" w:name="_Toc12254"/>
      <w:bookmarkStart w:id="506" w:name="_Toc5063"/>
      <w:r>
        <w:rPr>
          <w:rFonts w:hint="eastAsia" w:ascii="仿宋" w:hAnsi="仿宋" w:eastAsia="仿宋" w:cs="仿宋"/>
          <w:color w:val="auto"/>
          <w:sz w:val="21"/>
          <w:szCs w:val="21"/>
          <w:lang w:val="en-US" w:eastAsia="zh-CN"/>
        </w:rPr>
        <w:t>2.18 计量单位</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0" w:firstLineChars="200"/>
        <w:textAlignment w:val="auto"/>
        <w:rPr>
          <w:rFonts w:hint="eastAsia" w:ascii="仿宋" w:hAnsi="仿宋" w:eastAsia="仿宋" w:cs="仿宋"/>
          <w:b w:val="0"/>
          <w:bCs w:val="0"/>
          <w:color w:val="auto"/>
          <w:kern w:val="2"/>
          <w:sz w:val="21"/>
          <w:szCs w:val="21"/>
          <w:lang w:val="en-US" w:eastAsia="zh-CN" w:bidi="ar-SA"/>
        </w:rPr>
      </w:pPr>
      <w:r>
        <w:rPr>
          <w:rFonts w:hint="eastAsia" w:ascii="仿宋" w:hAnsi="仿宋" w:eastAsia="仿宋" w:cs="仿宋"/>
          <w:b w:val="0"/>
          <w:bCs w:val="0"/>
          <w:color w:val="auto"/>
          <w:kern w:val="2"/>
          <w:sz w:val="21"/>
          <w:szCs w:val="21"/>
          <w:lang w:val="en-US" w:eastAsia="zh-CN" w:bidi="ar-SA"/>
        </w:rPr>
        <w:t>除技术规范中另有规定外,合同的计量单位均使用国家法定计量单位。</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 xml:space="preserve"> 合同使用的文字和适用的法律</w:t>
      </w:r>
      <w:bookmarkEnd w:id="502"/>
      <w:bookmarkEnd w:id="503"/>
      <w:bookmarkEnd w:id="504"/>
      <w:bookmarkEnd w:id="505"/>
      <w:bookmarkEnd w:id="506"/>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.1 合同使用汉语书就、变更和解释；</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2.1</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.2 合同适用中华人民共和国法律。</w:t>
      </w:r>
    </w:p>
    <w:p>
      <w:pPr>
        <w:pStyle w:val="5"/>
        <w:keepNext/>
        <w:keepLines/>
        <w:pageBreakBefore w:val="0"/>
        <w:widowControl w:val="0"/>
        <w:kinsoku/>
        <w:wordWrap/>
        <w:overflowPunct/>
        <w:topLinePunct w:val="0"/>
        <w:autoSpaceDE/>
        <w:autoSpaceDN/>
        <w:bidi w:val="0"/>
        <w:adjustRightInd/>
        <w:snapToGrid/>
        <w:spacing w:before="313" w:beforeLines="100" w:after="313" w:afterLines="100" w:line="240" w:lineRule="auto"/>
        <w:ind w:left="0" w:firstLine="422"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eastAsia="zh-CN"/>
        </w:rPr>
        <w:t xml:space="preserve">20 </w:t>
      </w:r>
      <w:r>
        <w:rPr>
          <w:rFonts w:hint="eastAsia" w:ascii="仿宋" w:hAnsi="仿宋" w:eastAsia="仿宋" w:cs="仿宋"/>
          <w:color w:val="auto"/>
          <w:sz w:val="21"/>
          <w:szCs w:val="21"/>
        </w:rPr>
        <w:t>合同份数</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合同份数按</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b/>
          <w:i/>
          <w:color w:val="auto"/>
          <w:sz w:val="21"/>
          <w:szCs w:val="21"/>
          <w:u w:val="single"/>
        </w:rPr>
        <w:t>合同专用条款</w:t>
      </w:r>
      <w:r>
        <w:rPr>
          <w:rFonts w:hint="eastAsia" w:ascii="仿宋" w:hAnsi="仿宋" w:eastAsia="仿宋" w:cs="仿宋"/>
          <w:b/>
          <w:i/>
          <w:color w:val="auto"/>
          <w:sz w:val="21"/>
          <w:szCs w:val="21"/>
          <w:u w:val="single"/>
          <w:lang w:val="en-US" w:eastAsia="zh-CN"/>
        </w:rPr>
        <w:t xml:space="preserve"> </w:t>
      </w:r>
      <w:r>
        <w:rPr>
          <w:rFonts w:hint="eastAsia" w:ascii="仿宋" w:hAnsi="仿宋" w:eastAsia="仿宋" w:cs="仿宋"/>
          <w:color w:val="auto"/>
          <w:sz w:val="21"/>
          <w:szCs w:val="21"/>
        </w:rPr>
        <w:t>规定，每份均具有同等法律效力。</w:t>
      </w:r>
    </w:p>
    <w:p>
      <w:pPr>
        <w:widowControl/>
        <w:jc w:val="left"/>
        <w:rPr>
          <w:rFonts w:hint="eastAsia" w:ascii="仿宋" w:hAnsi="仿宋" w:eastAsia="仿宋" w:cs="仿宋"/>
          <w:color w:val="auto"/>
          <w:sz w:val="24"/>
          <w:szCs w:val="20"/>
        </w:rPr>
      </w:pPr>
      <w:r>
        <w:rPr>
          <w:rFonts w:hint="eastAsia" w:ascii="仿宋" w:hAnsi="仿宋" w:eastAsia="仿宋" w:cs="仿宋"/>
          <w:color w:val="auto"/>
        </w:rPr>
        <w:br w:type="page"/>
      </w:r>
    </w:p>
    <w:p>
      <w:pPr>
        <w:pStyle w:val="49"/>
        <w:keepNext w:val="0"/>
        <w:keepLines w:val="0"/>
        <w:pageBreakBefore w:val="0"/>
        <w:widowControl w:val="0"/>
        <w:kinsoku/>
        <w:wordWrap/>
        <w:overflowPunct/>
        <w:topLinePunct w:val="0"/>
        <w:autoSpaceDE/>
        <w:autoSpaceDN/>
        <w:bidi w:val="0"/>
        <w:adjustRightInd w:val="0"/>
        <w:snapToGrid w:val="0"/>
        <w:spacing w:before="313" w:beforeLines="100" w:after="313" w:afterLines="100"/>
        <w:textAlignment w:val="auto"/>
        <w:rPr>
          <w:rFonts w:hint="eastAsia" w:ascii="仿宋" w:hAnsi="仿宋" w:eastAsia="仿宋" w:cs="仿宋"/>
          <w:color w:val="auto"/>
          <w:sz w:val="32"/>
          <w:szCs w:val="32"/>
        </w:rPr>
      </w:pPr>
      <w:bookmarkStart w:id="507" w:name="_Toc132308035"/>
      <w:bookmarkStart w:id="508" w:name="_Toc126654846"/>
      <w:r>
        <w:rPr>
          <w:rFonts w:hint="eastAsia" w:ascii="仿宋" w:hAnsi="仿宋" w:eastAsia="仿宋" w:cs="仿宋"/>
          <w:color w:val="auto"/>
          <w:sz w:val="32"/>
          <w:szCs w:val="32"/>
        </w:rPr>
        <w:t>第三部分 合同专用条款</w:t>
      </w:r>
      <w:bookmarkEnd w:id="507"/>
      <w:bookmarkEnd w:id="508"/>
    </w:p>
    <w:p>
      <w:pPr>
        <w:pStyle w:val="34"/>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b/>
          <w:i/>
          <w:color w:val="auto"/>
          <w:sz w:val="24"/>
          <w:szCs w:val="24"/>
          <w:u w:val="single"/>
        </w:rPr>
      </w:pPr>
      <w:r>
        <w:rPr>
          <w:rFonts w:hint="eastAsia" w:ascii="仿宋" w:hAnsi="仿宋" w:eastAsia="仿宋" w:cs="仿宋"/>
          <w:color w:val="auto"/>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20"/>
        <w:gridCol w:w="7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1" w:hRule="atLeas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条款号</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约定内容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9"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1.4.2</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履约保证金支付方式：</w:t>
            </w:r>
            <w:r>
              <w:rPr>
                <w:rFonts w:hint="eastAsia" w:ascii="仿宋" w:hAnsi="仿宋" w:eastAsia="仿宋" w:cs="仿宋"/>
                <w:b w:val="0"/>
                <w:bCs w:val="0"/>
                <w:i w:val="0"/>
                <w:iCs w:val="0"/>
                <w:color w:val="auto"/>
                <w:sz w:val="21"/>
                <w:szCs w:val="21"/>
                <w:highlight w:val="none"/>
                <w:u w:val="single"/>
                <w:lang w:val="en-US" w:eastAsia="zh-CN"/>
              </w:rPr>
              <w:t>支票、汇票、本票、转账或者金融机构、担保机构出具的保函等形式提交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0"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1.6.2</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资金支付的方式、时间和条件：</w:t>
            </w:r>
            <w:r>
              <w:rPr>
                <w:rFonts w:hint="eastAsia" w:ascii="仿宋" w:hAnsi="仿宋" w:eastAsia="仿宋" w:cs="仿宋"/>
                <w:bCs/>
                <w:color w:val="auto"/>
                <w:kern w:val="0"/>
                <w:szCs w:val="21"/>
                <w:highlight w:val="none"/>
                <w:u w:val="single"/>
                <w:lang w:val="en-US" w:eastAsia="zh-CN"/>
              </w:rPr>
              <w:t>项目到货后支付</w:t>
            </w:r>
            <w:r>
              <w:rPr>
                <w:rFonts w:hint="eastAsia" w:ascii="仿宋" w:hAnsi="仿宋" w:eastAsia="仿宋" w:cs="仿宋"/>
                <w:bCs/>
                <w:color w:val="auto"/>
                <w:kern w:val="0"/>
                <w:szCs w:val="21"/>
                <w:highlight w:val="none"/>
                <w:u w:val="single"/>
              </w:rPr>
              <w:t>至合同价的</w:t>
            </w:r>
            <w:r>
              <w:rPr>
                <w:rFonts w:hint="default" w:ascii="仿宋" w:hAnsi="仿宋" w:eastAsia="仿宋" w:cs="仿宋"/>
                <w:bCs/>
                <w:color w:val="auto"/>
                <w:kern w:val="0"/>
                <w:szCs w:val="21"/>
                <w:highlight w:val="none"/>
                <w:u w:val="single"/>
                <w:lang w:val="en-US" w:eastAsia="zh-CN"/>
              </w:rPr>
              <w:t>4</w:t>
            </w:r>
            <w:r>
              <w:rPr>
                <w:rFonts w:hint="eastAsia" w:ascii="仿宋" w:hAnsi="仿宋" w:eastAsia="仿宋" w:cs="仿宋"/>
                <w:bCs/>
                <w:color w:val="auto"/>
                <w:kern w:val="0"/>
                <w:szCs w:val="21"/>
                <w:highlight w:val="none"/>
                <w:u w:val="single"/>
                <w:lang w:val="en-US" w:eastAsia="zh-CN"/>
              </w:rPr>
              <w:t>0</w:t>
            </w:r>
            <w:r>
              <w:rPr>
                <w:rFonts w:hint="eastAsia" w:ascii="仿宋" w:hAnsi="仿宋" w:eastAsia="仿宋" w:cs="仿宋"/>
                <w:bCs/>
                <w:color w:val="auto"/>
                <w:kern w:val="0"/>
                <w:szCs w:val="21"/>
                <w:highlight w:val="none"/>
                <w:u w:val="single"/>
              </w:rPr>
              <w:t>%</w:t>
            </w:r>
            <w:r>
              <w:rPr>
                <w:rFonts w:hint="eastAsia" w:ascii="仿宋" w:hAnsi="仿宋" w:eastAsia="仿宋" w:cs="仿宋"/>
                <w:bCs/>
                <w:color w:val="auto"/>
                <w:kern w:val="0"/>
                <w:szCs w:val="21"/>
                <w:highlight w:val="none"/>
                <w:u w:val="single"/>
                <w:lang w:eastAsia="zh-CN"/>
              </w:rPr>
              <w:t>，</w:t>
            </w:r>
            <w:r>
              <w:rPr>
                <w:rFonts w:hint="eastAsia" w:ascii="仿宋" w:hAnsi="仿宋" w:eastAsia="仿宋" w:cs="仿宋"/>
                <w:bCs/>
                <w:color w:val="auto"/>
                <w:kern w:val="0"/>
                <w:szCs w:val="21"/>
                <w:highlight w:val="none"/>
                <w:u w:val="single"/>
                <w:lang w:val="en-US" w:eastAsia="zh-CN"/>
              </w:rPr>
              <w:t>终验通过</w:t>
            </w:r>
            <w:r>
              <w:rPr>
                <w:rFonts w:hint="eastAsia" w:ascii="仿宋" w:hAnsi="仿宋" w:eastAsia="仿宋" w:cs="仿宋"/>
                <w:bCs/>
                <w:color w:val="auto"/>
                <w:kern w:val="0"/>
                <w:szCs w:val="21"/>
                <w:highlight w:val="none"/>
                <w:u w:val="single"/>
              </w:rPr>
              <w:t>后支付至合同价的</w:t>
            </w:r>
            <w:r>
              <w:rPr>
                <w:rFonts w:hint="eastAsia" w:ascii="仿宋" w:hAnsi="仿宋" w:eastAsia="仿宋" w:cs="仿宋"/>
                <w:bCs/>
                <w:color w:val="auto"/>
                <w:kern w:val="0"/>
                <w:szCs w:val="21"/>
                <w:highlight w:val="none"/>
                <w:u w:val="single"/>
                <w:lang w:val="en-US" w:eastAsia="zh-CN"/>
              </w:rPr>
              <w:t>80</w:t>
            </w:r>
            <w:r>
              <w:rPr>
                <w:rFonts w:hint="eastAsia" w:ascii="仿宋" w:hAnsi="仿宋" w:eastAsia="仿宋" w:cs="仿宋"/>
                <w:bCs/>
                <w:color w:val="auto"/>
                <w:kern w:val="0"/>
                <w:szCs w:val="21"/>
                <w:highlight w:val="none"/>
                <w:u w:val="single"/>
              </w:rPr>
              <w:t>%，</w:t>
            </w:r>
            <w:r>
              <w:rPr>
                <w:rFonts w:hint="eastAsia" w:ascii="仿宋" w:hAnsi="仿宋" w:eastAsia="仿宋" w:cs="仿宋"/>
                <w:bCs/>
                <w:color w:val="auto"/>
                <w:kern w:val="0"/>
                <w:szCs w:val="21"/>
                <w:highlight w:val="none"/>
                <w:u w:val="single"/>
                <w:lang w:val="en-US" w:eastAsia="zh-CN"/>
              </w:rPr>
              <w:t>审计结算后支付至审定价的100%。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1.7.1</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rPr>
              <w:t>交付期限</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接到采购人进场通知之日起45天内完成。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1.7.2</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交付地点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1.7.3</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交付方式</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由乙方负责运输至甲方指定地点现场交货，并安装调试完毕。安装调试完毕交付甲方前发生的风险均由乙方负责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1.8.</w:t>
            </w:r>
            <w:r>
              <w:rPr>
                <w:rFonts w:hint="eastAsia" w:ascii="仿宋" w:hAnsi="仿宋" w:eastAsia="仿宋" w:cs="仿宋"/>
                <w:color w:val="auto"/>
                <w:sz w:val="21"/>
                <w:szCs w:val="21"/>
                <w:highlight w:val="none"/>
                <w:lang w:val="en-US" w:eastAsia="zh-CN"/>
              </w:rPr>
              <w:t>6</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违约责任特殊约定：</w:t>
            </w:r>
            <w:r>
              <w:rPr>
                <w:rFonts w:hint="eastAsia" w:ascii="仿宋" w:hAnsi="仿宋" w:eastAsia="仿宋" w:cs="仿宋"/>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1.9</w:t>
            </w:r>
            <w:r>
              <w:rPr>
                <w:rFonts w:hint="eastAsia" w:ascii="仿宋" w:hAnsi="仿宋" w:eastAsia="仿宋" w:cs="仿宋"/>
                <w:color w:val="auto"/>
                <w:sz w:val="21"/>
                <w:szCs w:val="21"/>
                <w:highlight w:val="none"/>
                <w:lang w:val="en-US" w:eastAsia="zh-CN"/>
              </w:rPr>
              <w:t>.1</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仲裁委员会名称：</w:t>
            </w:r>
            <w:r>
              <w:rPr>
                <w:rFonts w:hint="eastAsia" w:ascii="仿宋" w:hAnsi="仿宋" w:eastAsia="仿宋" w:cs="仿宋"/>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1.9.2</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起诉机构：</w:t>
            </w:r>
            <w:r>
              <w:rPr>
                <w:rFonts w:hint="eastAsia" w:ascii="仿宋" w:hAnsi="仿宋" w:eastAsia="仿宋" w:cs="仿宋"/>
                <w:color w:val="auto"/>
                <w:sz w:val="21"/>
                <w:szCs w:val="21"/>
                <w:highlight w:val="none"/>
                <w:u w:val="single"/>
                <w:lang w:val="en-US" w:eastAsia="zh-CN"/>
              </w:rPr>
              <w:t>甲方所在地人民法院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技术成果的归属和收益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2.4.1</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lang w:val="en-US" w:eastAsia="zh-CN"/>
              </w:rPr>
              <w:t>包装要求：</w:t>
            </w:r>
            <w:r>
              <w:rPr>
                <w:rFonts w:hint="eastAsia" w:ascii="仿宋" w:hAnsi="仿宋" w:eastAsia="仿宋" w:cs="仿宋"/>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2.4.3</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装运要求：</w:t>
            </w:r>
            <w:r>
              <w:rPr>
                <w:rFonts w:hint="eastAsia" w:ascii="仿宋" w:hAnsi="仿宋" w:eastAsia="仿宋" w:cs="仿宋"/>
                <w:color w:val="auto"/>
                <w:sz w:val="21"/>
                <w:szCs w:val="21"/>
                <w:highlight w:val="none"/>
                <w:u w:val="single"/>
                <w:lang w:val="en-US" w:eastAsia="zh-CN"/>
              </w:rPr>
              <w:t>以甲方约定为准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货物的风险负担</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u w:val="single"/>
                <w:lang w:eastAsia="zh-CN"/>
              </w:rPr>
              <w:t>货物或者在途货物或者交付给第一承运人后的货物毁损、灭失的风险由乙方承担一切责任并赔偿甲方损失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9"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2.12.3</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none"/>
                <w:lang w:val="en-US" w:eastAsia="zh-CN"/>
              </w:rPr>
              <w:t>因不可抗力致使合同有变更必要的，双方当事人应在3个工作日内以书面形式变更合同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6"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2.12.4</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1"/>
                <w:szCs w:val="21"/>
                <w:highlight w:val="none"/>
                <w:lang w:val="en-US" w:eastAsia="zh-CN"/>
              </w:rPr>
              <w:t>受不可抗力影响的一方在不可抗力发生后，应在1个工作日内以书面形式通知对方当事人，并在3个工作日约定时间内，将有关部门出具的证明文件送达对方当事人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2.16.1</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Cs/>
                <w:color w:val="auto"/>
                <w:kern w:val="0"/>
                <w:szCs w:val="21"/>
                <w:highlight w:val="none"/>
                <w:lang w:val="en-US" w:eastAsia="zh-CN"/>
              </w:rPr>
              <w:t>安装调试完成且试运行1个月且无质量问题，</w:t>
            </w:r>
            <w:r>
              <w:rPr>
                <w:rFonts w:hint="eastAsia" w:ascii="仿宋" w:hAnsi="仿宋" w:eastAsia="仿宋" w:cs="仿宋"/>
                <w:color w:val="auto"/>
                <w:sz w:val="21"/>
                <w:szCs w:val="21"/>
                <w:highlight w:val="none"/>
              </w:rPr>
              <w:t>甲方</w:t>
            </w:r>
            <w:r>
              <w:rPr>
                <w:rFonts w:hint="eastAsia" w:ascii="仿宋" w:hAnsi="仿宋" w:eastAsia="仿宋" w:cs="仿宋"/>
                <w:color w:val="auto"/>
                <w:sz w:val="21"/>
                <w:szCs w:val="21"/>
                <w:highlight w:val="none"/>
                <w:lang w:val="en-US" w:eastAsia="zh-CN"/>
              </w:rPr>
              <w:t>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2.16.3</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检验和验收标准、程序等具体内容以及前述验收书的效力：</w:t>
            </w:r>
            <w:r>
              <w:rPr>
                <w:rFonts w:hint="eastAsia" w:ascii="仿宋" w:hAnsi="仿宋" w:eastAsia="仿宋" w:cs="仿宋"/>
                <w:color w:val="auto"/>
                <w:sz w:val="21"/>
                <w:szCs w:val="21"/>
                <w:highlight w:val="none"/>
                <w:u w:val="single"/>
                <w:lang w:val="en-US" w:eastAsia="zh-CN"/>
              </w:rPr>
              <w:t>采用本行业通用标准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trPr>
        <w:tc>
          <w:tcPr>
            <w:tcW w:w="63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2.20</w:t>
            </w:r>
          </w:p>
        </w:tc>
        <w:tc>
          <w:tcPr>
            <w:tcW w:w="436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105" w:leftChars="50" w:right="105" w:rightChars="5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合同份数：</w:t>
            </w:r>
            <w:r>
              <w:rPr>
                <w:rFonts w:hint="eastAsia" w:ascii="仿宋" w:hAnsi="仿宋" w:eastAsia="仿宋" w:cs="仿宋"/>
                <w:color w:val="auto"/>
                <w:sz w:val="21"/>
                <w:szCs w:val="21"/>
                <w:highlight w:val="none"/>
                <w:u w:val="single"/>
              </w:rPr>
              <w:t>一式肆份，双方各执贰份</w:t>
            </w:r>
          </w:p>
        </w:tc>
      </w:tr>
    </w:tbl>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2"/>
      <w:bookmarkEnd w:id="393"/>
      <w:r>
        <w:rPr>
          <w:rFonts w:hint="eastAsia" w:ascii="仿宋" w:hAnsi="仿宋" w:eastAsia="仿宋" w:cs="仿宋"/>
          <w:b/>
          <w:color w:val="auto"/>
          <w:sz w:val="36"/>
          <w:szCs w:val="20"/>
          <w:highlight w:val="none"/>
        </w:rPr>
        <w:t xml:space="preserve"> 应提交的有关格式范例</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资格文件部分</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（1）符合参加政府采购活动应当具备的一般条件的承诺函………………（页码）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（2）联合协议…………………………………………………………………（页码）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）落实政府采购政策需满足的资格要求…………………………………（页码）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jc w:val="center"/>
        <w:rPr>
          <w:rFonts w:hint="eastAsia" w:ascii="仿宋" w:hAnsi="仿宋" w:eastAsia="仿宋" w:cs="仿宋"/>
          <w:color w:val="auto"/>
          <w:highlight w:val="none"/>
        </w:rPr>
      </w:pPr>
      <w:r>
        <w:rPr>
          <w:rFonts w:hint="eastAsia" w:ascii="仿宋" w:hAnsi="仿宋" w:eastAsia="仿宋" w:cs="仿宋"/>
          <w:color w:val="auto"/>
          <w:kern w:val="0"/>
          <w:sz w:val="24"/>
          <w:highlight w:val="none"/>
        </w:rPr>
        <w:br w:type="page"/>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 符合参加政府采购活动应当具备的一般条件的承诺函</w:t>
      </w:r>
    </w:p>
    <w:p>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采购人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采购代理机构</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我方参与</w:t>
      </w:r>
      <w:r>
        <w:rPr>
          <w:rFonts w:hint="eastAsia" w:ascii="仿宋" w:hAnsi="仿宋" w:eastAsia="仿宋" w:cs="仿宋"/>
          <w:color w:val="auto"/>
          <w:szCs w:val="21"/>
          <w:highlight w:val="none"/>
          <w:u w:val="none"/>
        </w:rPr>
        <w:t>（项目名称）</w:t>
      </w:r>
      <w:r>
        <w:rPr>
          <w:rFonts w:hint="eastAsia" w:ascii="仿宋" w:hAnsi="仿宋" w:eastAsia="仿宋" w:cs="仿宋"/>
          <w:color w:val="auto"/>
          <w:szCs w:val="21"/>
          <w:highlight w:val="none"/>
        </w:rPr>
        <w:t>【招标编号：</w:t>
      </w:r>
      <w:r>
        <w:rPr>
          <w:rFonts w:hint="eastAsia" w:ascii="仿宋" w:hAnsi="仿宋" w:eastAsia="仿宋" w:cs="仿宋"/>
          <w:color w:val="auto"/>
          <w:szCs w:val="21"/>
          <w:highlight w:val="none"/>
          <w:u w:val="none"/>
        </w:rPr>
        <w:t>（采购编号）</w:t>
      </w:r>
      <w:r>
        <w:rPr>
          <w:rFonts w:hint="eastAsia" w:ascii="仿宋" w:hAnsi="仿宋" w:eastAsia="仿宋" w:cs="仿宋"/>
          <w:color w:val="auto"/>
          <w:szCs w:val="21"/>
          <w:highlight w:val="none"/>
        </w:rPr>
        <w:t>】政府采购活动，郑重承诺：</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（一）具备《中华人民共和国政府采购法》第二十二条第一款规定的条件：</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1、具有独立承担民事责任的能力；</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2、具有良好的商业信誉和健全的财务会计制度； </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3、具有履行合同所必需的设备和专业技术能力；</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4、有依法缴纳税收和社会保障资金的良好记录；</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5、参加政府采购活动前三年内，在经营活动中没有重大违法记录；</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6、具有法律、行政法规规定的其他条件。</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（二）未被信用中国（www.creditchina.gov.cn)、中国政府采购网（www.ccgp.gov.cn）列入失信被执行人、重大税收违法案件当事人名单、政府采购严重违法失信行为记录名单。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（三）不存在以下情况：</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1、单位负责人为同一人或者存在直接控股、管理关系的不同供应商参加同一合同项下的政府采购活动的；</w:t>
      </w:r>
    </w:p>
    <w:p>
      <w:pPr>
        <w:keepNext w:val="0"/>
        <w:keepLines w:val="0"/>
        <w:pageBreakBefore w:val="0"/>
        <w:widowControl w:val="0"/>
        <w:kinsoku/>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2、为采购项目提供整体设计、规范编制或者项目管理、监理、检测等服务后再参加该采购项目的其他采购活动的。</w:t>
      </w:r>
    </w:p>
    <w:p>
      <w:pPr>
        <w:keepNext w:val="0"/>
        <w:keepLines w:val="0"/>
        <w:pageBreakBefore w:val="0"/>
        <w:widowControl w:val="0"/>
        <w:kinsoku/>
        <w:overflowPunct/>
        <w:topLinePunct w:val="0"/>
        <w:autoSpaceDE/>
        <w:autoSpaceDN/>
        <w:bidi w:val="0"/>
        <w:adjustRightInd w:val="0"/>
        <w:snapToGrid w:val="0"/>
        <w:spacing w:line="360" w:lineRule="auto"/>
        <w:ind w:firstLine="4830" w:firstLineChars="2300"/>
        <w:textAlignment w:val="auto"/>
        <w:rPr>
          <w:rFonts w:hint="eastAsia" w:ascii="仿宋" w:hAnsi="仿宋" w:eastAsia="仿宋" w:cs="仿宋"/>
          <w:color w:val="auto"/>
          <w:kern w:val="0"/>
          <w:szCs w:val="21"/>
          <w:highlight w:val="none"/>
          <w:lang w:val="zh-CN"/>
        </w:rPr>
      </w:pPr>
    </w:p>
    <w:p>
      <w:pPr>
        <w:keepNext w:val="0"/>
        <w:keepLines w:val="0"/>
        <w:pageBreakBefore w:val="0"/>
        <w:widowControl w:val="0"/>
        <w:kinsoku/>
        <w:overflowPunct/>
        <w:topLinePunct w:val="0"/>
        <w:autoSpaceDE/>
        <w:autoSpaceDN/>
        <w:bidi w:val="0"/>
        <w:adjustRightInd w:val="0"/>
        <w:snapToGrid w:val="0"/>
        <w:spacing w:line="360" w:lineRule="auto"/>
        <w:ind w:firstLine="4830" w:firstLineChars="23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投标人名称(电子签名)：</w:t>
      </w:r>
    </w:p>
    <w:p>
      <w:pPr>
        <w:keepNext w:val="0"/>
        <w:keepLines w:val="0"/>
        <w:pageBreakBefore w:val="0"/>
        <w:widowControl w:val="0"/>
        <w:kinsoku/>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 xml:space="preserve">：  年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rPr>
        <w:t xml:space="preserve">  </w:t>
      </w:r>
      <w:r>
        <w:rPr>
          <w:rFonts w:hint="eastAsia" w:ascii="仿宋" w:hAnsi="仿宋" w:eastAsia="仿宋" w:cs="仿宋"/>
          <w:color w:val="auto"/>
          <w:kern w:val="0"/>
          <w:szCs w:val="21"/>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kern w:val="0"/>
          <w:highlight w:val="none"/>
        </w:rPr>
      </w:pPr>
    </w:p>
    <w:p>
      <w:pP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kern w:val="0"/>
          <w:highlight w:val="none"/>
        </w:rPr>
      </w:pPr>
    </w:p>
    <w:p>
      <w:pPr>
        <w:rPr>
          <w:rFonts w:hint="eastAsia" w:ascii="仿宋" w:hAnsi="仿宋" w:eastAsia="仿宋" w:cs="仿宋"/>
          <w:b/>
          <w:color w:val="auto"/>
          <w:kern w:val="0"/>
          <w:sz w:val="32"/>
          <w:szCs w:val="32"/>
          <w:highlight w:val="none"/>
        </w:rPr>
      </w:pPr>
    </w:p>
    <w:p>
      <w:pPr>
        <w:pStyle w:val="4"/>
        <w:rPr>
          <w:rFonts w:hint="eastAsia" w:ascii="仿宋" w:hAnsi="仿宋" w:eastAsia="仿宋" w:cs="仿宋"/>
          <w:color w:val="auto"/>
          <w:kern w:val="0"/>
          <w:highlight w:val="none"/>
        </w:rPr>
      </w:pPr>
    </w:p>
    <w:p>
      <w:pP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二、联合协议（如果有）</w:t>
      </w:r>
    </w:p>
    <w:p>
      <w:pPr>
        <w:widowControl/>
        <w:spacing w:line="360" w:lineRule="auto"/>
        <w:jc w:val="left"/>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[以联合体形式投标的，提供联合协议（附件5）；本项目不接受联合体投标或者投标人不以联合体形式投标的，则不需要提供</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仿宋" w:hAnsi="仿宋" w:eastAsia="仿宋" w:cs="仿宋"/>
          <w:b/>
          <w:color w:val="auto"/>
          <w:kern w:val="0"/>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4"/>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63"/>
        <w:rPr>
          <w:rFonts w:hint="eastAsia" w:ascii="仿宋" w:hAnsi="仿宋" w:eastAsia="仿宋" w:cs="仿宋"/>
          <w:b/>
          <w:color w:val="auto"/>
          <w:kern w:val="0"/>
          <w:sz w:val="28"/>
          <w:szCs w:val="28"/>
          <w:highlight w:val="none"/>
        </w:rPr>
      </w:pPr>
    </w:p>
    <w:p>
      <w:pPr>
        <w:rPr>
          <w:rFonts w:hint="eastAsia" w:ascii="仿宋" w:hAnsi="仿宋" w:eastAsia="仿宋" w:cs="仿宋"/>
          <w:b/>
          <w:color w:val="auto"/>
          <w:kern w:val="0"/>
          <w:sz w:val="28"/>
          <w:szCs w:val="28"/>
          <w:highlight w:val="none"/>
        </w:rPr>
      </w:pPr>
    </w:p>
    <w:p>
      <w:pPr>
        <w:pStyle w:val="63"/>
        <w:rPr>
          <w:rFonts w:hint="eastAsia"/>
          <w:color w:val="auto"/>
        </w:rPr>
      </w:pPr>
    </w:p>
    <w:p>
      <w:pPr>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lang w:val="en-US" w:eastAsia="zh-CN"/>
        </w:rPr>
        <w:t>三</w:t>
      </w:r>
      <w:r>
        <w:rPr>
          <w:rFonts w:hint="eastAsia" w:ascii="仿宋" w:hAnsi="仿宋" w:eastAsia="仿宋" w:cs="仿宋"/>
          <w:b/>
          <w:color w:val="auto"/>
          <w:kern w:val="0"/>
          <w:sz w:val="28"/>
          <w:szCs w:val="28"/>
          <w:highlight w:val="none"/>
        </w:rPr>
        <w:t>、落实政府采购政策需满足的资格要求</w:t>
      </w:r>
    </w:p>
    <w:p>
      <w:pPr>
        <w:keepNext w:val="0"/>
        <w:keepLines w:val="0"/>
        <w:pageBreakBefore w:val="0"/>
        <w:kinsoku/>
        <w:wordWrap/>
        <w:overflowPunct/>
        <w:topLinePunct w:val="0"/>
        <w:autoSpaceDE/>
        <w:autoSpaceDN/>
        <w:bidi w:val="0"/>
        <w:adjustRightInd w:val="0"/>
        <w:spacing w:line="360" w:lineRule="auto"/>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根据招标公告落实政府采购政策需满足的资格要求选择提供相应的材料；未要求的，无需提供</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422" w:firstLineChars="200"/>
        <w:jc w:val="left"/>
        <w:textAlignment w:val="auto"/>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A</w:t>
      </w:r>
      <w:r>
        <w:rPr>
          <w:rFonts w:hint="eastAsia" w:ascii="仿宋" w:hAnsi="仿宋" w:eastAsia="仿宋" w:cs="仿宋"/>
          <w:color w:val="auto"/>
          <w:szCs w:val="21"/>
          <w:highlight w:val="none"/>
        </w:rPr>
        <w:t>.专门面向中小企业，服务全部由符合政策要求的中小企业（或小微企业）承接的，提供相应的中小企业声明函（附件</w:t>
      </w: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w:t>
      </w:r>
    </w:p>
    <w:p>
      <w:pPr>
        <w:keepNext w:val="0"/>
        <w:keepLines w:val="0"/>
        <w:pageBreakBefore w:val="0"/>
        <w:widowControl/>
        <w:kinsoku/>
        <w:wordWrap/>
        <w:overflowPunct/>
        <w:topLinePunct w:val="0"/>
        <w:autoSpaceDE/>
        <w:autoSpaceDN/>
        <w:bidi w:val="0"/>
        <w:adjustRightInd w:val="0"/>
        <w:spacing w:line="360" w:lineRule="auto"/>
        <w:ind w:firstLine="420" w:firstLineChars="200"/>
        <w:jc w:val="left"/>
        <w:textAlignment w:val="auto"/>
        <w:rPr>
          <w:rFonts w:hint="eastAsia" w:ascii="仿宋" w:hAnsi="仿宋" w:eastAsia="仿宋" w:cs="仿宋"/>
          <w:color w:val="auto"/>
          <w:szCs w:val="21"/>
          <w:highlight w:val="none"/>
        </w:rPr>
      </w:pPr>
    </w:p>
    <w:p>
      <w:pPr>
        <w:keepNext w:val="0"/>
        <w:keepLines w:val="0"/>
        <w:pageBreakBefore w:val="0"/>
        <w:widowControl/>
        <w:kinsoku/>
        <w:wordWrap/>
        <w:overflowPunct/>
        <w:topLinePunct w:val="0"/>
        <w:autoSpaceDE/>
        <w:autoSpaceDN/>
        <w:bidi w:val="0"/>
        <w:adjustRightInd w:val="0"/>
        <w:spacing w:line="360" w:lineRule="auto"/>
        <w:ind w:firstLine="422" w:firstLineChars="200"/>
        <w:jc w:val="left"/>
        <w:textAlignment w:val="auto"/>
        <w:rPr>
          <w:rFonts w:hint="eastAsia" w:ascii="仿宋" w:hAnsi="仿宋" w:eastAsia="仿宋" w:cs="仿宋"/>
          <w:color w:val="auto"/>
          <w:sz w:val="24"/>
          <w:highlight w:val="none"/>
        </w:rPr>
      </w:pPr>
      <w:r>
        <w:rPr>
          <w:rFonts w:hint="eastAsia" w:ascii="仿宋" w:hAnsi="仿宋" w:eastAsia="仿宋" w:cs="仿宋"/>
          <w:b/>
          <w:color w:val="auto"/>
          <w:szCs w:val="21"/>
          <w:highlight w:val="none"/>
        </w:rPr>
        <w:t>B.</w:t>
      </w:r>
      <w:r>
        <w:rPr>
          <w:rFonts w:hint="eastAsia" w:ascii="仿宋" w:hAnsi="仿宋" w:eastAsia="仿宋" w:cs="仿宋"/>
          <w:color w:val="auto"/>
          <w:szCs w:val="21"/>
          <w:highlight w:val="none"/>
        </w:rPr>
        <w:t>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pPr>
        <w:spacing w:line="360" w:lineRule="auto"/>
        <w:ind w:firstLine="422" w:firstLineChars="200"/>
        <w:rPr>
          <w:rFonts w:hint="eastAsia" w:ascii="仿宋" w:hAnsi="仿宋" w:eastAsia="仿宋" w:cs="仿宋"/>
          <w:b/>
          <w:color w:val="auto"/>
          <w:szCs w:val="21"/>
          <w:highlight w:val="none"/>
        </w:rPr>
      </w:pPr>
    </w:p>
    <w:p>
      <w:pPr>
        <w:spacing w:line="360" w:lineRule="auto"/>
        <w:ind w:firstLine="422" w:firstLineChars="200"/>
        <w:rPr>
          <w:rFonts w:hint="eastAsia" w:ascii="仿宋" w:hAnsi="仿宋" w:eastAsia="仿宋" w:cs="仿宋"/>
          <w:color w:val="auto"/>
          <w:sz w:val="24"/>
          <w:highlight w:val="none"/>
        </w:rPr>
      </w:pPr>
      <w:r>
        <w:rPr>
          <w:rFonts w:hint="eastAsia" w:ascii="仿宋" w:hAnsi="仿宋" w:eastAsia="仿宋" w:cs="仿宋"/>
          <w:b/>
          <w:color w:val="auto"/>
          <w:szCs w:val="21"/>
          <w:highlight w:val="none"/>
        </w:rPr>
        <w:t>C</w:t>
      </w:r>
      <w:r>
        <w:rPr>
          <w:rFonts w:hint="eastAsia" w:ascii="仿宋" w:hAnsi="仿宋" w:eastAsia="仿宋" w:cs="仿宋"/>
          <w:b/>
          <w:color w:val="auto"/>
          <w:szCs w:val="21"/>
          <w:highlight w:val="none"/>
          <w:lang w:eastAsia="zh-CN"/>
        </w:rPr>
        <w:t>.</w:t>
      </w:r>
      <w:r>
        <w:rPr>
          <w:rFonts w:hint="eastAsia" w:ascii="仿宋" w:hAnsi="仿宋" w:eastAsia="仿宋" w:cs="仿宋"/>
          <w:color w:val="auto"/>
          <w:szCs w:val="21"/>
          <w:highlight w:val="none"/>
        </w:rPr>
        <w:t>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pPr>
        <w:spacing w:line="360" w:lineRule="auto"/>
        <w:jc w:val="center"/>
        <w:rPr>
          <w:rFonts w:hint="eastAsia" w:ascii="仿宋" w:hAnsi="仿宋" w:eastAsia="仿宋" w:cs="仿宋"/>
          <w:color w:val="auto"/>
          <w:kern w:val="0"/>
          <w:sz w:val="24"/>
          <w:highlight w:val="none"/>
          <w:lang w:val="zh-CN"/>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p>
    <w:p>
      <w:pPr>
        <w:pStyle w:val="63"/>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240" w:lineRule="auto"/>
        <w:ind w:right="0"/>
        <w:jc w:val="center"/>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四、本项目的特定资格要求</w:t>
      </w:r>
    </w:p>
    <w:p>
      <w:pPr>
        <w:spacing w:line="360" w:lineRule="auto"/>
        <w:jc w:val="both"/>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b w:val="0"/>
          <w:bCs w:val="0"/>
          <w:color w:val="auto"/>
          <w:sz w:val="21"/>
          <w:szCs w:val="21"/>
          <w:highlight w:val="none"/>
        </w:rPr>
        <w:t>根据招标公告本项目的特定资格要求提供相应的材料；未要求的，无需提供</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r>
        <w:rPr>
          <w:rFonts w:hint="eastAsia" w:ascii="仿宋" w:hAnsi="仿宋" w:eastAsia="仿宋" w:cs="仿宋"/>
          <w:b/>
          <w:color w:val="auto"/>
          <w:kern w:val="0"/>
          <w:sz w:val="28"/>
          <w:szCs w:val="28"/>
          <w:highlight w:val="none"/>
          <w:lang w:val="en-US" w:eastAsia="zh-CN"/>
        </w:rPr>
        <w:t>商务技术文件部分</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目录</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（1）投标函…………………………………………………………………………（页码）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（2）授权委托书或法定代表人（单位负责人、自然人本人）身份证明………（页码）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）分包意向协议…………………………………………………………………（页码）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）符合性审查资料………………………………………………………………（页码）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）评标标准相应的商务技术资料………………………………………………（页码）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6</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投标标的清单</w:t>
      </w:r>
      <w:r>
        <w:rPr>
          <w:rFonts w:hint="eastAsia" w:ascii="仿宋" w:hAnsi="仿宋" w:eastAsia="仿宋" w:cs="仿宋"/>
          <w:color w:val="auto"/>
          <w:sz w:val="21"/>
          <w:szCs w:val="21"/>
          <w:highlight w:val="none"/>
        </w:rPr>
        <w:t>…………………………………………………………………（页码）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）商务技术偏离表………………………………………………………………（页码）</w:t>
      </w:r>
    </w:p>
    <w:p>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8</w:t>
      </w:r>
      <w:r>
        <w:rPr>
          <w:rFonts w:hint="eastAsia" w:ascii="仿宋" w:hAnsi="仿宋" w:eastAsia="仿宋" w:cs="仿宋"/>
          <w:color w:val="auto"/>
          <w:sz w:val="21"/>
          <w:szCs w:val="21"/>
          <w:highlight w:val="none"/>
          <w:lang w:val="zh-CN"/>
        </w:rPr>
        <w:t>）政府采购供应商廉洁自律承诺书</w:t>
      </w:r>
      <w:r>
        <w:rPr>
          <w:rFonts w:hint="eastAsia" w:ascii="仿宋" w:hAnsi="仿宋" w:eastAsia="仿宋" w:cs="仿宋"/>
          <w:color w:val="auto"/>
          <w:sz w:val="21"/>
          <w:szCs w:val="21"/>
          <w:highlight w:val="none"/>
        </w:rPr>
        <w:t>……………………………………………（页码）</w:t>
      </w:r>
    </w:p>
    <w:p>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一、投标函</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我方参加你方组织的</w:t>
      </w:r>
      <w:r>
        <w:rPr>
          <w:rFonts w:hint="eastAsia" w:ascii="仿宋" w:hAnsi="仿宋" w:eastAsia="仿宋" w:cs="仿宋"/>
          <w:color w:val="auto"/>
          <w:szCs w:val="21"/>
          <w:highlight w:val="none"/>
          <w:u w:val="none"/>
        </w:rPr>
        <w:t>（项目名称）</w:t>
      </w:r>
      <w:r>
        <w:rPr>
          <w:rFonts w:hint="eastAsia" w:ascii="仿宋" w:hAnsi="仿宋" w:eastAsia="仿宋" w:cs="仿宋"/>
          <w:color w:val="auto"/>
          <w:szCs w:val="21"/>
          <w:highlight w:val="none"/>
        </w:rPr>
        <w:t>【招标编号：</w:t>
      </w:r>
      <w:r>
        <w:rPr>
          <w:rFonts w:hint="eastAsia" w:ascii="仿宋" w:hAnsi="仿宋" w:eastAsia="仿宋" w:cs="仿宋"/>
          <w:color w:val="auto"/>
          <w:szCs w:val="21"/>
          <w:highlight w:val="none"/>
          <w:u w:val="none"/>
        </w:rPr>
        <w:t>（采购编号）</w:t>
      </w:r>
      <w:r>
        <w:rPr>
          <w:rFonts w:hint="eastAsia" w:ascii="仿宋" w:hAnsi="仿宋" w:eastAsia="仿宋" w:cs="仿宋"/>
          <w:color w:val="auto"/>
          <w:szCs w:val="21"/>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1、我方承诺投标有效期从提交投标文件的截止之日起</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天（不少于90天），本投标文件在投标有效期满之前均具有约束力。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2.1.</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承诺函；</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2.1.2联合协议（如果有）；</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2.1.3落实政府采购政策需满足的资格要求（如果有）；</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2.1.4本项目的特定资格要求（如果有）。</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2商务技术</w:t>
      </w:r>
      <w:r>
        <w:rPr>
          <w:rFonts w:hint="eastAsia" w:ascii="仿宋" w:hAnsi="仿宋" w:eastAsia="仿宋" w:cs="仿宋"/>
          <w:color w:val="auto"/>
          <w:szCs w:val="21"/>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2.2.1投标函；</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2.2.3分包意向协议（如果有）；</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2.2.6投标标的清单；</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2.2.7商务技术偏离表；</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8</w:t>
      </w:r>
      <w:r>
        <w:rPr>
          <w:rFonts w:hint="eastAsia" w:ascii="仿宋" w:hAnsi="仿宋" w:eastAsia="仿宋" w:cs="仿宋"/>
          <w:color w:val="auto"/>
          <w:szCs w:val="21"/>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840" w:firstLineChars="4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2.3.3中小企业声明函（如果有</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招标公告中明确本项目专门面向中小企业采购的，此处可不提供</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30" w:firstLine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5、其他补充说明: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keepNext w:val="0"/>
        <w:keepLines w:val="0"/>
        <w:pageBreakBefore w:val="0"/>
        <w:widowControl w:val="0"/>
        <w:kinsoku/>
        <w:wordWrap/>
        <w:overflowPunct/>
        <w:topLinePunct w:val="0"/>
        <w:autoSpaceDE/>
        <w:autoSpaceDN/>
        <w:bidi w:val="0"/>
        <w:adjustRightInd w:val="0"/>
        <w:spacing w:line="336" w:lineRule="auto"/>
        <w:ind w:left="0" w:leftChars="0" w:firstLine="5250" w:firstLineChars="25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投标人名称（电子签名）：</w:t>
      </w:r>
    </w:p>
    <w:p>
      <w:pPr>
        <w:keepNext w:val="0"/>
        <w:keepLines w:val="0"/>
        <w:pageBreakBefore w:val="0"/>
        <w:widowControl w:val="0"/>
        <w:kinsoku/>
        <w:wordWrap/>
        <w:overflowPunct/>
        <w:topLinePunct w:val="0"/>
        <w:autoSpaceDE/>
        <w:autoSpaceDN/>
        <w:bidi w:val="0"/>
        <w:adjustRightInd w:val="0"/>
        <w:spacing w:line="336" w:lineRule="auto"/>
        <w:ind w:left="0" w:leftChars="0" w:firstLine="42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日期：  年   月   日</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422" w:firstLineChars="200"/>
        <w:textAlignment w:val="auto"/>
        <w:rPr>
          <w:rFonts w:hint="eastAsia" w:ascii="仿宋" w:hAnsi="仿宋" w:eastAsia="仿宋" w:cs="仿宋"/>
          <w:b/>
          <w:bCs/>
          <w:color w:val="auto"/>
          <w:szCs w:val="21"/>
          <w:highlight w:val="none"/>
          <w:lang w:val="zh-CN"/>
        </w:rPr>
      </w:pPr>
      <w:r>
        <w:rPr>
          <w:rFonts w:hint="eastAsia" w:ascii="仿宋" w:hAnsi="仿宋" w:eastAsia="仿宋" w:cs="仿宋"/>
          <w:b/>
          <w:bCs/>
          <w:color w:val="auto"/>
          <w:szCs w:val="21"/>
          <w:highlight w:val="none"/>
          <w:lang w:val="zh-CN"/>
        </w:rPr>
        <w:t>注：按本格式和要求提供。</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zh-CN" w:eastAsia="zh-CN"/>
        </w:rPr>
      </w:pPr>
      <w:r>
        <w:rPr>
          <w:rFonts w:hint="eastAsia" w:ascii="仿宋" w:hAnsi="仿宋" w:eastAsia="仿宋" w:cs="仿宋"/>
          <w:b/>
          <w:color w:val="auto"/>
          <w:kern w:val="0"/>
          <w:sz w:val="28"/>
          <w:szCs w:val="28"/>
          <w:highlight w:val="none"/>
          <w:lang w:val="zh-CN" w:eastAsia="zh-CN"/>
        </w:rPr>
        <w:t>二、授权委托书或法定代表人（单位负责人、自然人本人）身份证明</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zh-CN" w:eastAsia="zh-CN"/>
        </w:rPr>
        <w:t>授权委托书（适用于非联合体投标）</w:t>
      </w:r>
    </w:p>
    <w:p>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（采购人）、（采购代理机构）</w:t>
      </w:r>
      <w:r>
        <w:rPr>
          <w:rFonts w:hint="eastAsia" w:ascii="仿宋" w:hAnsi="仿宋" w:eastAsia="仿宋" w:cs="仿宋"/>
          <w:color w:val="auto"/>
          <w:kern w:val="0"/>
          <w:szCs w:val="21"/>
          <w:highlight w:val="none"/>
          <w:lang w:val="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w:t>
      </w:r>
      <w:r>
        <w:rPr>
          <w:rFonts w:hint="eastAsia" w:ascii="仿宋" w:hAnsi="仿宋" w:eastAsia="仿宋" w:cs="仿宋"/>
          <w:color w:val="auto"/>
          <w:kern w:val="0"/>
          <w:szCs w:val="21"/>
          <w:highlight w:val="none"/>
          <w:lang w:val="zh-CN"/>
        </w:rPr>
        <w:t>委托</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（姓名）为我方代理人（身份证号码：</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，手机：</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），以我方名义处理</w:t>
      </w:r>
      <w:r>
        <w:rPr>
          <w:rFonts w:hint="eastAsia" w:ascii="仿宋" w:hAnsi="仿宋" w:eastAsia="仿宋" w:cs="仿宋"/>
          <w:color w:val="auto"/>
          <w:szCs w:val="21"/>
          <w:highlight w:val="none"/>
        </w:rPr>
        <w:t>（项目名称）【招标编号：（采购编号）】</w:t>
      </w:r>
      <w:r>
        <w:rPr>
          <w:rFonts w:hint="eastAsia" w:ascii="仿宋" w:hAnsi="仿宋" w:eastAsia="仿宋" w:cs="仿宋"/>
          <w:color w:val="auto"/>
          <w:kern w:val="0"/>
          <w:szCs w:val="21"/>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委托期限</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zh-CN"/>
        </w:rPr>
        <w:t>自</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lang w:val="zh-CN"/>
        </w:rPr>
        <w:t>日起至</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lang w:val="zh-CN"/>
        </w:rPr>
        <w:t>日止。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特此告知。</w:t>
      </w:r>
    </w:p>
    <w:p>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Cs w:val="21"/>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lang w:val="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zh-CN" w:eastAsia="zh-CN"/>
        </w:rPr>
      </w:pPr>
      <w:r>
        <w:rPr>
          <w:rFonts w:hint="eastAsia" w:ascii="仿宋" w:hAnsi="仿宋" w:eastAsia="仿宋" w:cs="仿宋"/>
          <w:b/>
          <w:color w:val="auto"/>
          <w:kern w:val="0"/>
          <w:sz w:val="28"/>
          <w:szCs w:val="28"/>
          <w:highlight w:val="none"/>
          <w:lang w:val="zh-CN" w:eastAsia="zh-CN"/>
        </w:rPr>
        <w:t>授权委托书（适用于联合体投标）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（采购人）、（采购代理机构）</w:t>
      </w:r>
      <w:r>
        <w:rPr>
          <w:rFonts w:hint="eastAsia" w:ascii="仿宋" w:hAnsi="仿宋" w:eastAsia="仿宋" w:cs="仿宋"/>
          <w:color w:val="auto"/>
          <w:kern w:val="0"/>
          <w:szCs w:val="21"/>
          <w:highlight w:val="none"/>
          <w:lang w:val="zh-CN"/>
        </w:rPr>
        <w:t>：</w:t>
      </w:r>
    </w:p>
    <w:p>
      <w:pPr>
        <w:keepNext w:val="0"/>
        <w:keepLines w:val="0"/>
        <w:pageBreakBefore w:val="0"/>
        <w:widowControl w:val="0"/>
        <w:kinsoku/>
        <w:wordWrap w:val="0"/>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现</w:t>
      </w:r>
      <w:r>
        <w:rPr>
          <w:rFonts w:hint="eastAsia" w:ascii="仿宋" w:hAnsi="仿宋" w:eastAsia="仿宋" w:cs="仿宋"/>
          <w:color w:val="auto"/>
          <w:kern w:val="0"/>
          <w:szCs w:val="21"/>
          <w:highlight w:val="none"/>
          <w:lang w:val="zh-CN"/>
        </w:rPr>
        <w:t>委托</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（姓名）为我方代理人（身份证号码：</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，手机：</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），以我方名义处理</w:t>
      </w:r>
      <w:r>
        <w:rPr>
          <w:rFonts w:hint="eastAsia" w:ascii="仿宋" w:hAnsi="仿宋" w:eastAsia="仿宋" w:cs="仿宋"/>
          <w:color w:val="auto"/>
          <w:szCs w:val="21"/>
          <w:highlight w:val="none"/>
        </w:rPr>
        <w:t>（项目名称）【招标编号：（采购编号）】</w:t>
      </w:r>
      <w:r>
        <w:rPr>
          <w:rFonts w:hint="eastAsia" w:ascii="仿宋" w:hAnsi="仿宋" w:eastAsia="仿宋" w:cs="仿宋"/>
          <w:color w:val="auto"/>
          <w:kern w:val="0"/>
          <w:szCs w:val="21"/>
          <w:highlight w:val="none"/>
          <w:lang w:val="zh-CN"/>
        </w:rPr>
        <w:t>政府采购投标的一切事项，其法律后果由我方承担。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委托期限</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zh-CN"/>
        </w:rPr>
        <w:t>自</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日起至</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年</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月</w:t>
      </w:r>
      <w:r>
        <w:rPr>
          <w:rFonts w:hint="eastAsia" w:ascii="仿宋" w:hAnsi="仿宋" w:eastAsia="仿宋" w:cs="仿宋"/>
          <w:color w:val="auto"/>
          <w:kern w:val="0"/>
          <w:szCs w:val="21"/>
          <w:highlight w:val="none"/>
          <w:u w:val="single"/>
          <w:lang w:val="en-US" w:eastAsia="zh-CN"/>
        </w:rPr>
        <w:t xml:space="preserve">   </w:t>
      </w:r>
      <w:r>
        <w:rPr>
          <w:rFonts w:hint="eastAsia" w:ascii="仿宋" w:hAnsi="仿宋" w:eastAsia="仿宋" w:cs="仿宋"/>
          <w:color w:val="auto"/>
          <w:kern w:val="0"/>
          <w:szCs w:val="21"/>
          <w:highlight w:val="none"/>
          <w:lang w:val="zh-CN"/>
        </w:rPr>
        <w:t>日止。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特此告知。</w:t>
      </w: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b/>
          <w:color w:val="auto"/>
          <w:kern w:val="0"/>
          <w:szCs w:val="21"/>
          <w:highlight w:val="non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b/>
          <w:color w:val="auto"/>
          <w:kern w:val="0"/>
          <w:szCs w:val="21"/>
          <w:highlight w:val="none"/>
        </w:rPr>
      </w:pPr>
    </w:p>
    <w:p>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hint="eastAsia" w:ascii="仿宋" w:hAnsi="仿宋" w:eastAsia="仿宋" w:cs="仿宋"/>
          <w:b/>
          <w:color w:val="auto"/>
          <w:kern w:val="0"/>
          <w:szCs w:val="21"/>
          <w:highlight w:val="none"/>
        </w:rPr>
      </w:pP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410" w:firstLineChars="2100"/>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firstLine="4410" w:firstLineChars="2100"/>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360" w:lineRule="auto"/>
        <w:ind w:firstLine="5040" w:firstLineChars="2400"/>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Cs w:val="21"/>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autoSpaceDE w:val="0"/>
        <w:autoSpaceDN w:val="0"/>
        <w:spacing w:line="360" w:lineRule="auto"/>
        <w:jc w:val="center"/>
        <w:rPr>
          <w:rFonts w:hint="eastAsia" w:ascii="仿宋" w:hAnsi="仿宋" w:eastAsia="仿宋" w:cs="仿宋"/>
          <w:b/>
          <w:color w:val="auto"/>
          <w:kern w:val="0"/>
          <w:sz w:val="32"/>
          <w:szCs w:val="32"/>
          <w:highlight w:val="none"/>
          <w:lang w:val="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zh-CN" w:eastAsia="zh-CN"/>
        </w:rPr>
      </w:pPr>
      <w:r>
        <w:rPr>
          <w:rFonts w:hint="eastAsia" w:ascii="仿宋" w:hAnsi="仿宋" w:eastAsia="仿宋" w:cs="仿宋"/>
          <w:b/>
          <w:color w:val="auto"/>
          <w:kern w:val="0"/>
          <w:sz w:val="28"/>
          <w:szCs w:val="28"/>
          <w:highlight w:val="none"/>
          <w:lang w:val="zh-CN" w:eastAsia="zh-CN"/>
        </w:rPr>
        <w:t>法定代表人、单位负责人或自然人本人的身份证明（适用于法定代表人、单位负责人或者自然人本人代表投标人参加投标）</w:t>
      </w:r>
    </w:p>
    <w:p>
      <w:pPr>
        <w:pStyle w:val="15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身份证件扫描件：</w:t>
      </w:r>
    </w:p>
    <w:tbl>
      <w:tblPr>
        <w:tblStyle w:val="64"/>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5"/>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3925" w:type="dxa"/>
          </w:tcPr>
          <w:p>
            <w:pPr>
              <w:pStyle w:val="152"/>
              <w:adjustRightIn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正面：</w:t>
            </w:r>
            <w:r>
              <w:rPr>
                <w:rFonts w:hint="eastAsia" w:ascii="仿宋" w:hAnsi="仿宋" w:eastAsia="仿宋" w:cs="仿宋"/>
                <w:bCs/>
                <w:color w:val="auto"/>
                <w:sz w:val="21"/>
                <w:szCs w:val="21"/>
                <w:highlight w:val="none"/>
                <w:lang w:val="en-US" w:eastAsia="zh-CN"/>
              </w:rPr>
              <w:t xml:space="preserve">                                </w:t>
            </w:r>
          </w:p>
          <w:p>
            <w:pPr>
              <w:pStyle w:val="152"/>
              <w:adjustRightInd w:val="0"/>
              <w:spacing w:line="360" w:lineRule="auto"/>
              <w:rPr>
                <w:rFonts w:hint="eastAsia" w:ascii="仿宋" w:hAnsi="仿宋" w:eastAsia="仿宋" w:cs="仿宋"/>
                <w:bCs/>
                <w:color w:val="auto"/>
                <w:sz w:val="21"/>
                <w:szCs w:val="21"/>
                <w:highlight w:val="none"/>
              </w:rPr>
            </w:pPr>
          </w:p>
        </w:tc>
        <w:tc>
          <w:tcPr>
            <w:tcW w:w="4303" w:type="dxa"/>
          </w:tcPr>
          <w:p>
            <w:pPr>
              <w:pStyle w:val="152"/>
              <w:adjustRightInd w:val="0"/>
              <w:spacing w:line="360" w:lineRule="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反面：</w:t>
            </w:r>
          </w:p>
        </w:tc>
      </w:tr>
    </w:tbl>
    <w:p>
      <w:pPr>
        <w:snapToGrid w:val="0"/>
        <w:spacing w:line="360" w:lineRule="auto"/>
        <w:ind w:firstLine="576"/>
        <w:jc w:val="center"/>
        <w:rPr>
          <w:rFonts w:hint="eastAsia" w:ascii="仿宋" w:hAnsi="仿宋" w:eastAsia="仿宋" w:cs="仿宋"/>
          <w:color w:val="auto"/>
          <w:kern w:val="0"/>
          <w:szCs w:val="21"/>
          <w:highlight w:val="none"/>
          <w:lang w:val="zh-CN"/>
        </w:rPr>
      </w:pPr>
    </w:p>
    <w:p>
      <w:pPr>
        <w:snapToGrid w:val="0"/>
        <w:spacing w:line="360" w:lineRule="auto"/>
        <w:ind w:firstLine="576"/>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Cs w:val="21"/>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25"/>
        <w:rPr>
          <w:rFonts w:hint="eastAsia" w:ascii="仿宋" w:hAnsi="仿宋" w:eastAsia="仿宋" w:cs="仿宋"/>
          <w:color w:val="auto"/>
          <w:highlight w:val="none"/>
        </w:rPr>
      </w:pPr>
    </w:p>
    <w:p>
      <w:pPr>
        <w:pStyle w:val="26"/>
        <w:rPr>
          <w:rFonts w:hint="eastAsia" w:ascii="仿宋" w:hAnsi="仿宋" w:eastAsia="仿宋" w:cs="仿宋"/>
          <w:color w:val="auto"/>
        </w:rPr>
      </w:pPr>
    </w:p>
    <w:p>
      <w:pPr>
        <w:jc w:val="center"/>
        <w:rPr>
          <w:rFonts w:hint="eastAsia" w:ascii="仿宋" w:hAnsi="仿宋" w:eastAsia="仿宋" w:cs="仿宋"/>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zh-CN" w:eastAsia="zh-CN"/>
        </w:rPr>
      </w:pPr>
      <w:r>
        <w:rPr>
          <w:rFonts w:hint="eastAsia" w:ascii="仿宋" w:hAnsi="仿宋" w:eastAsia="仿宋" w:cs="仿宋"/>
          <w:b/>
          <w:color w:val="auto"/>
          <w:kern w:val="0"/>
          <w:sz w:val="28"/>
          <w:szCs w:val="28"/>
          <w:highlight w:val="none"/>
          <w:lang w:val="en-US" w:eastAsia="zh-CN"/>
        </w:rPr>
        <w:t>三</w:t>
      </w:r>
      <w:r>
        <w:rPr>
          <w:rFonts w:hint="eastAsia" w:ascii="仿宋" w:hAnsi="仿宋" w:eastAsia="仿宋" w:cs="仿宋"/>
          <w:b/>
          <w:color w:val="auto"/>
          <w:kern w:val="0"/>
          <w:sz w:val="28"/>
          <w:szCs w:val="28"/>
          <w:highlight w:val="none"/>
          <w:lang w:val="zh-CN" w:eastAsia="zh-CN"/>
        </w:rPr>
        <w:t>、分包意向协议（</w:t>
      </w:r>
      <w:r>
        <w:rPr>
          <w:rFonts w:hint="eastAsia" w:ascii="仿宋" w:hAnsi="仿宋" w:eastAsia="仿宋" w:cs="仿宋"/>
          <w:b/>
          <w:color w:val="auto"/>
          <w:kern w:val="0"/>
          <w:sz w:val="28"/>
          <w:szCs w:val="28"/>
          <w:highlight w:val="none"/>
          <w:lang w:val="en-US" w:eastAsia="zh-CN"/>
        </w:rPr>
        <w:t>如果有</w:t>
      </w:r>
      <w:r>
        <w:rPr>
          <w:rFonts w:hint="eastAsia" w:ascii="仿宋" w:hAnsi="仿宋" w:eastAsia="仿宋" w:cs="仿宋"/>
          <w:b/>
          <w:color w:val="auto"/>
          <w:kern w:val="0"/>
          <w:sz w:val="28"/>
          <w:szCs w:val="28"/>
          <w:highlight w:val="none"/>
          <w:lang w:val="zh-CN" w:eastAsia="zh-CN"/>
        </w:rPr>
        <w:t>）</w:t>
      </w:r>
    </w:p>
    <w:p>
      <w:pPr>
        <w:keepNext w:val="0"/>
        <w:keepLines w:val="0"/>
        <w:pageBreakBefore w:val="0"/>
        <w:widowControl/>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w:t>
      </w:r>
      <w:r>
        <w:rPr>
          <w:rFonts w:hint="eastAsia" w:ascii="仿宋" w:hAnsi="仿宋" w:eastAsia="仿宋" w:cs="仿宋"/>
          <w:b w:val="0"/>
          <w:bCs w:val="0"/>
          <w:color w:val="auto"/>
          <w:szCs w:val="21"/>
          <w:highlight w:val="none"/>
        </w:rPr>
        <w:t>中标后以分包方式履行合同的，提供分包意向协议</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lang w:val="en-US" w:eastAsia="zh-CN"/>
        </w:rPr>
        <w:t>附件6</w:t>
      </w:r>
      <w:r>
        <w:rPr>
          <w:rFonts w:hint="eastAsia" w:ascii="仿宋" w:hAnsi="仿宋" w:eastAsia="仿宋" w:cs="仿宋"/>
          <w:b w:val="0"/>
          <w:bCs w:val="0"/>
          <w:color w:val="auto"/>
          <w:szCs w:val="21"/>
          <w:highlight w:val="none"/>
          <w:lang w:eastAsia="zh-CN"/>
        </w:rPr>
        <w:t>）</w:t>
      </w:r>
      <w:r>
        <w:rPr>
          <w:rFonts w:hint="eastAsia" w:ascii="仿宋" w:hAnsi="仿宋" w:eastAsia="仿宋" w:cs="仿宋"/>
          <w:b w:val="0"/>
          <w:bCs w:val="0"/>
          <w:color w:val="auto"/>
          <w:szCs w:val="21"/>
          <w:highlight w:val="none"/>
        </w:rPr>
        <w:t>；采购人不同意分包或者投标人中标后不以分包方式履行合同的，则不需要提供。</w:t>
      </w:r>
      <w:r>
        <w:rPr>
          <w:rFonts w:hint="eastAsia" w:ascii="仿宋" w:hAnsi="仿宋" w:eastAsia="仿宋" w:cs="仿宋"/>
          <w:b w:val="0"/>
          <w:bCs w:val="0"/>
          <w:color w:val="auto"/>
          <w:szCs w:val="21"/>
          <w:highlight w:val="none"/>
          <w:lang w:val="en-US" w:eastAsia="zh-CN"/>
        </w:rPr>
        <w:t>]</w:t>
      </w:r>
    </w:p>
    <w:p>
      <w:pPr>
        <w:pageBreakBefore w:val="0"/>
        <w:kinsoku/>
        <w:wordWrap/>
        <w:overflowPunct/>
        <w:topLinePunct w:val="0"/>
        <w:autoSpaceDE/>
        <w:autoSpaceDN/>
        <w:bidi w:val="0"/>
        <w:snapToGrid w:val="0"/>
        <w:spacing w:line="360" w:lineRule="auto"/>
        <w:ind w:left="0" w:leftChars="0"/>
        <w:textAlignment w:val="auto"/>
        <w:rPr>
          <w:rFonts w:hint="eastAsia" w:ascii="仿宋" w:hAnsi="仿宋" w:eastAsia="仿宋" w:cs="仿宋"/>
          <w:color w:val="auto"/>
          <w:kern w:val="0"/>
          <w:sz w:val="24"/>
          <w:highlight w:val="none"/>
          <w:lang w:val="zh-CN"/>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四、符合性审查资料</w:t>
      </w:r>
    </w:p>
    <w:tbl>
      <w:tblPr>
        <w:tblStyle w:val="64"/>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289"/>
        <w:gridCol w:w="2781"/>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54" w:type="dxa"/>
            <w:vAlign w:val="center"/>
          </w:tcPr>
          <w:p>
            <w:pPr>
              <w:snapToGrid w:val="0"/>
              <w:spacing w:line="240" w:lineRule="atLeast"/>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3289" w:type="dxa"/>
            <w:vAlign w:val="center"/>
          </w:tcPr>
          <w:p>
            <w:pPr>
              <w:snapToGrid w:val="0"/>
              <w:spacing w:line="240" w:lineRule="atLeast"/>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实质性要求</w:t>
            </w:r>
          </w:p>
        </w:tc>
        <w:tc>
          <w:tcPr>
            <w:tcW w:w="2781" w:type="dxa"/>
            <w:vAlign w:val="center"/>
          </w:tcPr>
          <w:p>
            <w:pPr>
              <w:snapToGrid w:val="0"/>
              <w:spacing w:line="240" w:lineRule="atLeast"/>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需要提供的符合性审查资料</w:t>
            </w:r>
          </w:p>
        </w:tc>
        <w:tc>
          <w:tcPr>
            <w:tcW w:w="2049" w:type="dxa"/>
            <w:vAlign w:val="center"/>
          </w:tcPr>
          <w:p>
            <w:pPr>
              <w:snapToGrid w:val="0"/>
              <w:spacing w:line="240" w:lineRule="atLeast"/>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投标文件中的</w:t>
            </w:r>
          </w:p>
          <w:p>
            <w:pPr>
              <w:snapToGrid w:val="0"/>
              <w:spacing w:line="240" w:lineRule="atLeast"/>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54" w:type="dxa"/>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3289" w:type="dxa"/>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投标文件按照招标文件要求签署、盖章。</w:t>
            </w:r>
          </w:p>
        </w:tc>
        <w:tc>
          <w:tcPr>
            <w:tcW w:w="2781" w:type="dxa"/>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需要使用电子签名或者签字盖章的投标文件的组成部分</w:t>
            </w:r>
          </w:p>
        </w:tc>
        <w:tc>
          <w:tcPr>
            <w:tcW w:w="2049" w:type="dxa"/>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4" w:type="dxa"/>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3289" w:type="dxa"/>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投标文件中承诺的投标有效期不少于招标文件中载明的投标有效期。</w:t>
            </w:r>
          </w:p>
        </w:tc>
        <w:tc>
          <w:tcPr>
            <w:tcW w:w="2781" w:type="dxa"/>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投标函</w:t>
            </w:r>
          </w:p>
        </w:tc>
        <w:tc>
          <w:tcPr>
            <w:tcW w:w="2049" w:type="dxa"/>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54" w:type="dxa"/>
            <w:vAlign w:val="center"/>
          </w:tcPr>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p>
        </w:tc>
        <w:tc>
          <w:tcPr>
            <w:tcW w:w="3289" w:type="dxa"/>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投标文件满足招标文件的其它实质性要求。</w:t>
            </w:r>
          </w:p>
        </w:tc>
        <w:tc>
          <w:tcPr>
            <w:tcW w:w="2781" w:type="dxa"/>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招标文件其它实质性要求相应的材料（“▲”系指实质性要求条款，招标文件无其它实质性要求的，无需提供）</w:t>
            </w:r>
          </w:p>
        </w:tc>
        <w:tc>
          <w:tcPr>
            <w:tcW w:w="2049" w:type="dxa"/>
            <w:vAlign w:val="center"/>
          </w:tcPr>
          <w:p>
            <w:pPr>
              <w:keepNext w:val="0"/>
              <w:keepLines w:val="0"/>
              <w:pageBreakBefore w:val="0"/>
              <w:widowControl w:val="0"/>
              <w:kinsoku/>
              <w:wordWrap/>
              <w:overflowPunct/>
              <w:topLinePunct w:val="0"/>
              <w:autoSpaceDE/>
              <w:autoSpaceDN/>
              <w:bidi w:val="0"/>
              <w:snapToGrid/>
              <w:spacing w:line="24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见投标文件第</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页</w:t>
            </w:r>
          </w:p>
        </w:tc>
      </w:tr>
    </w:tbl>
    <w:p>
      <w:pPr>
        <w:jc w:val="both"/>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注：按本格式和要求提供。</w:t>
      </w:r>
    </w:p>
    <w:p>
      <w:pPr>
        <w:jc w:val="both"/>
        <w:rPr>
          <w:rFonts w:hint="eastAsia" w:ascii="仿宋" w:hAnsi="仿宋" w:eastAsia="仿宋" w:cs="仿宋"/>
          <w:b/>
          <w:color w:val="auto"/>
          <w:kern w:val="0"/>
          <w:sz w:val="32"/>
          <w:szCs w:val="32"/>
          <w:highlight w:val="none"/>
          <w:lang w:val="en-US" w:eastAsia="zh-CN"/>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五、评标标准相应的商务技术资料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w:t>
      </w:r>
      <w:r>
        <w:rPr>
          <w:rFonts w:hint="eastAsia" w:ascii="仿宋" w:hAnsi="仿宋" w:eastAsia="仿宋" w:cs="仿宋"/>
          <w:b w:val="0"/>
          <w:bCs/>
          <w:color w:val="auto"/>
          <w:sz w:val="21"/>
          <w:szCs w:val="21"/>
          <w:highlight w:val="none"/>
        </w:rPr>
        <w:t>按招标文件第四部分评标办法前附表中“投标文件中评标标准相应的商务技术资料目录”提供资料</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pStyle w:val="34"/>
        <w:spacing w:line="360" w:lineRule="auto"/>
        <w:jc w:val="left"/>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六、投标标的清单</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361"/>
        <w:gridCol w:w="1397"/>
        <w:gridCol w:w="1302"/>
        <w:gridCol w:w="1086"/>
        <w:gridCol w:w="120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79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序号</w:t>
            </w:r>
          </w:p>
        </w:tc>
        <w:tc>
          <w:tcPr>
            <w:tcW w:w="136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名称</w:t>
            </w:r>
          </w:p>
        </w:tc>
        <w:tc>
          <w:tcPr>
            <w:tcW w:w="1397"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服务范围</w:t>
            </w:r>
          </w:p>
        </w:tc>
        <w:tc>
          <w:tcPr>
            <w:tcW w:w="130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服务要求</w:t>
            </w:r>
          </w:p>
        </w:tc>
        <w:tc>
          <w:tcPr>
            <w:tcW w:w="108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服务时间</w:t>
            </w:r>
          </w:p>
        </w:tc>
        <w:tc>
          <w:tcPr>
            <w:tcW w:w="120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服务标准</w:t>
            </w:r>
          </w:p>
        </w:tc>
        <w:tc>
          <w:tcPr>
            <w:tcW w:w="1355"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备注</w:t>
            </w:r>
          </w:p>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2"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1</w:t>
            </w:r>
          </w:p>
        </w:tc>
        <w:tc>
          <w:tcPr>
            <w:tcW w:w="1361"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397"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302"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086"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355"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2"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r>
              <w:rPr>
                <w:rFonts w:hint="eastAsia" w:ascii="仿宋" w:hAnsi="仿宋" w:eastAsia="仿宋" w:cs="仿宋"/>
                <w:b w:val="0"/>
                <w:bCs/>
                <w:color w:val="auto"/>
                <w:kern w:val="0"/>
                <w:sz w:val="21"/>
                <w:szCs w:val="21"/>
                <w:highlight w:val="none"/>
                <w:vertAlign w:val="baseline"/>
                <w:lang w:val="en-US" w:eastAsia="zh-CN"/>
              </w:rPr>
              <w:t>2</w:t>
            </w:r>
          </w:p>
        </w:tc>
        <w:tc>
          <w:tcPr>
            <w:tcW w:w="1361"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397"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302"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086"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c>
          <w:tcPr>
            <w:tcW w:w="1355" w:type="dxa"/>
            <w:vAlign w:val="center"/>
          </w:tcPr>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val="0"/>
                <w:bCs/>
                <w:color w:val="auto"/>
                <w:kern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kern w:val="0"/>
                <w:sz w:val="21"/>
                <w:szCs w:val="21"/>
                <w:highlight w:val="none"/>
                <w:vertAlign w:val="baseline"/>
                <w:lang w:val="en-US" w:eastAsia="zh-CN"/>
              </w:rPr>
            </w:pPr>
            <w:r>
              <w:rPr>
                <w:rFonts w:hint="eastAsia" w:ascii="仿宋" w:hAnsi="仿宋" w:eastAsia="仿宋" w:cs="仿宋"/>
                <w:b w:val="0"/>
                <w:bCs w:val="0"/>
                <w:color w:val="auto"/>
                <w:sz w:val="24"/>
              </w:rPr>
              <w:t>……</w:t>
            </w:r>
          </w:p>
        </w:tc>
        <w:tc>
          <w:tcPr>
            <w:tcW w:w="1361"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kern w:val="0"/>
                <w:sz w:val="21"/>
                <w:szCs w:val="21"/>
                <w:highlight w:val="none"/>
                <w:vertAlign w:val="baseline"/>
                <w:lang w:val="en-US" w:eastAsia="zh-CN"/>
              </w:rPr>
            </w:pPr>
          </w:p>
        </w:tc>
        <w:tc>
          <w:tcPr>
            <w:tcW w:w="1397"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kern w:val="0"/>
                <w:sz w:val="21"/>
                <w:szCs w:val="21"/>
                <w:highlight w:val="none"/>
                <w:vertAlign w:val="baseline"/>
                <w:lang w:val="en-US" w:eastAsia="zh-CN"/>
              </w:rPr>
            </w:pPr>
          </w:p>
        </w:tc>
        <w:tc>
          <w:tcPr>
            <w:tcW w:w="130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kern w:val="0"/>
                <w:sz w:val="21"/>
                <w:szCs w:val="21"/>
                <w:highlight w:val="none"/>
                <w:vertAlign w:val="baseline"/>
                <w:lang w:val="en-US" w:eastAsia="zh-CN"/>
              </w:rPr>
            </w:pPr>
          </w:p>
        </w:tc>
        <w:tc>
          <w:tcPr>
            <w:tcW w:w="1086"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kern w:val="0"/>
                <w:sz w:val="21"/>
                <w:szCs w:val="21"/>
                <w:highlight w:val="none"/>
                <w:vertAlign w:val="baseline"/>
                <w:lang w:val="en-US" w:eastAsia="zh-CN"/>
              </w:rPr>
            </w:pPr>
          </w:p>
        </w:tc>
        <w:tc>
          <w:tcPr>
            <w:tcW w:w="1200"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kern w:val="0"/>
                <w:sz w:val="21"/>
                <w:szCs w:val="21"/>
                <w:highlight w:val="none"/>
                <w:vertAlign w:val="baseline"/>
                <w:lang w:val="en-US" w:eastAsia="zh-CN"/>
              </w:rPr>
            </w:pPr>
          </w:p>
        </w:tc>
        <w:tc>
          <w:tcPr>
            <w:tcW w:w="1355"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仿宋" w:hAnsi="仿宋" w:eastAsia="仿宋" w:cs="仿宋"/>
                <w:b/>
                <w:bCs/>
                <w:color w:val="auto"/>
                <w:kern w:val="0"/>
                <w:sz w:val="21"/>
                <w:szCs w:val="21"/>
                <w:highlight w:val="none"/>
                <w:vertAlign w:val="baseline"/>
                <w:lang w:val="en-US" w:eastAsia="zh-CN"/>
              </w:rPr>
            </w:pPr>
          </w:p>
        </w:tc>
      </w:tr>
    </w:tbl>
    <w:p>
      <w:pPr>
        <w:jc w:val="both"/>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注：按本格式和要求提供。</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p>
    <w:p>
      <w:pPr>
        <w:pStyle w:val="16"/>
        <w:rPr>
          <w:rFonts w:hint="eastAsia"/>
          <w:color w:val="auto"/>
          <w:lang w:val="en-US" w:eastAsia="zh-CN"/>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七、商务技术偏离表</w:t>
      </w:r>
    </w:p>
    <w:tbl>
      <w:tblPr>
        <w:tblStyle w:val="65"/>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3231"/>
        <w:gridCol w:w="299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序号</w:t>
            </w:r>
          </w:p>
        </w:tc>
        <w:tc>
          <w:tcPr>
            <w:tcW w:w="3231" w:type="dxa"/>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招标文件章节及具体内容</w:t>
            </w:r>
          </w:p>
        </w:tc>
        <w:tc>
          <w:tcPr>
            <w:tcW w:w="2995" w:type="dxa"/>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投标文件章节及具体内容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3231" w:type="dxa"/>
            <w:vAlign w:val="center"/>
          </w:tcPr>
          <w:p>
            <w:pPr>
              <w:jc w:val="center"/>
              <w:rPr>
                <w:rFonts w:hint="eastAsia" w:ascii="仿宋" w:hAnsi="仿宋" w:eastAsia="仿宋" w:cs="仿宋"/>
                <w:b/>
                <w:color w:val="auto"/>
                <w:kern w:val="0"/>
                <w:szCs w:val="21"/>
                <w:highlight w:val="none"/>
              </w:rPr>
            </w:pPr>
          </w:p>
        </w:tc>
        <w:tc>
          <w:tcPr>
            <w:tcW w:w="2995" w:type="dxa"/>
            <w:vAlign w:val="center"/>
          </w:tcPr>
          <w:p>
            <w:pPr>
              <w:jc w:val="center"/>
              <w:rPr>
                <w:rFonts w:hint="eastAsia" w:ascii="仿宋" w:hAnsi="仿宋" w:eastAsia="仿宋" w:cs="仿宋"/>
                <w:b/>
                <w:color w:val="auto"/>
                <w:kern w:val="0"/>
                <w:szCs w:val="21"/>
                <w:highlight w:val="none"/>
              </w:rPr>
            </w:pPr>
          </w:p>
        </w:tc>
        <w:tc>
          <w:tcPr>
            <w:tcW w:w="1276" w:type="dxa"/>
            <w:vAlign w:val="center"/>
          </w:tcPr>
          <w:p>
            <w:pPr>
              <w:jc w:val="center"/>
              <w:rPr>
                <w:rFonts w:hint="eastAsia" w:ascii="仿宋" w:hAnsi="仿宋" w:eastAsia="仿宋" w:cs="仿宋"/>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3231" w:type="dxa"/>
            <w:vAlign w:val="center"/>
          </w:tcPr>
          <w:p>
            <w:pPr>
              <w:jc w:val="center"/>
              <w:rPr>
                <w:rFonts w:hint="eastAsia" w:ascii="仿宋" w:hAnsi="仿宋" w:eastAsia="仿宋" w:cs="仿宋"/>
                <w:b/>
                <w:color w:val="auto"/>
                <w:kern w:val="0"/>
                <w:szCs w:val="21"/>
                <w:highlight w:val="none"/>
              </w:rPr>
            </w:pPr>
          </w:p>
        </w:tc>
        <w:tc>
          <w:tcPr>
            <w:tcW w:w="2995" w:type="dxa"/>
            <w:vAlign w:val="center"/>
          </w:tcPr>
          <w:p>
            <w:pPr>
              <w:jc w:val="center"/>
              <w:rPr>
                <w:rFonts w:hint="eastAsia" w:ascii="仿宋" w:hAnsi="仿宋" w:eastAsia="仿宋" w:cs="仿宋"/>
                <w:b/>
                <w:color w:val="auto"/>
                <w:kern w:val="0"/>
                <w:szCs w:val="21"/>
                <w:highlight w:val="none"/>
              </w:rPr>
            </w:pPr>
          </w:p>
        </w:tc>
        <w:tc>
          <w:tcPr>
            <w:tcW w:w="1276" w:type="dxa"/>
            <w:vAlign w:val="center"/>
          </w:tcPr>
          <w:p>
            <w:pPr>
              <w:jc w:val="center"/>
              <w:rPr>
                <w:rFonts w:hint="eastAsia" w:ascii="仿宋" w:hAnsi="仿宋" w:eastAsia="仿宋" w:cs="仿宋"/>
                <w:b/>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62" w:type="dxa"/>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3231" w:type="dxa"/>
            <w:vAlign w:val="center"/>
          </w:tcPr>
          <w:p>
            <w:pPr>
              <w:jc w:val="center"/>
              <w:rPr>
                <w:rFonts w:hint="eastAsia" w:ascii="仿宋" w:hAnsi="仿宋" w:eastAsia="仿宋" w:cs="仿宋"/>
                <w:b/>
                <w:color w:val="auto"/>
                <w:kern w:val="0"/>
                <w:szCs w:val="21"/>
                <w:highlight w:val="none"/>
              </w:rPr>
            </w:pPr>
          </w:p>
        </w:tc>
        <w:tc>
          <w:tcPr>
            <w:tcW w:w="2995" w:type="dxa"/>
            <w:vAlign w:val="center"/>
          </w:tcPr>
          <w:p>
            <w:pPr>
              <w:jc w:val="center"/>
              <w:rPr>
                <w:rFonts w:hint="eastAsia" w:ascii="仿宋" w:hAnsi="仿宋" w:eastAsia="仿宋" w:cs="仿宋"/>
                <w:b/>
                <w:color w:val="auto"/>
                <w:kern w:val="0"/>
                <w:szCs w:val="21"/>
                <w:highlight w:val="none"/>
              </w:rPr>
            </w:pPr>
          </w:p>
        </w:tc>
        <w:tc>
          <w:tcPr>
            <w:tcW w:w="1276" w:type="dxa"/>
            <w:vAlign w:val="center"/>
          </w:tcPr>
          <w:p>
            <w:pPr>
              <w:jc w:val="center"/>
              <w:rPr>
                <w:rFonts w:hint="eastAsia" w:ascii="仿宋" w:hAnsi="仿宋" w:eastAsia="仿宋" w:cs="仿宋"/>
                <w:b/>
                <w:color w:val="auto"/>
                <w:kern w:val="0"/>
                <w:szCs w:val="21"/>
                <w:highlight w:val="none"/>
              </w:rPr>
            </w:pPr>
          </w:p>
        </w:tc>
      </w:tr>
    </w:tbl>
    <w:p>
      <w:pPr>
        <w:pageBreakBefore w:val="0"/>
        <w:widowControl w:val="0"/>
        <w:kinsoku/>
        <w:wordWrap/>
        <w:overflowPunct/>
        <w:topLinePunct w:val="0"/>
        <w:autoSpaceDE/>
        <w:autoSpaceDN/>
        <w:bidi w:val="0"/>
        <w:snapToGrid/>
        <w:spacing w:line="360" w:lineRule="auto"/>
        <w:jc w:val="left"/>
        <w:textAlignment w:val="auto"/>
        <w:rPr>
          <w:rFonts w:hint="eastAsia" w:ascii="仿宋" w:hAnsi="仿宋" w:eastAsia="仿宋" w:cs="仿宋"/>
          <w:b/>
          <w:bCs/>
          <w:color w:val="auto"/>
          <w:kern w:val="0"/>
          <w:sz w:val="21"/>
          <w:szCs w:val="21"/>
          <w:highlight w:val="none"/>
          <w:lang w:eastAsia="zh-CN"/>
        </w:rPr>
      </w:pPr>
      <w:r>
        <w:rPr>
          <w:rFonts w:hint="eastAsia" w:ascii="仿宋" w:hAnsi="仿宋" w:eastAsia="仿宋" w:cs="仿宋"/>
          <w:b/>
          <w:bCs/>
          <w:color w:val="auto"/>
          <w:kern w:val="0"/>
          <w:sz w:val="21"/>
          <w:szCs w:val="21"/>
          <w:highlight w:val="none"/>
        </w:rPr>
        <w:t>投标人保证：除商务技术偏离表列出的偏离外，投标人响应招标文件的全部要求</w:t>
      </w:r>
      <w:r>
        <w:rPr>
          <w:rFonts w:hint="eastAsia" w:ascii="仿宋" w:hAnsi="仿宋" w:eastAsia="仿宋" w:cs="仿宋"/>
          <w:b/>
          <w:bCs/>
          <w:color w:val="auto"/>
          <w:kern w:val="0"/>
          <w:sz w:val="21"/>
          <w:szCs w:val="21"/>
          <w:highlight w:val="none"/>
          <w:lang w:eastAsia="zh-CN"/>
        </w:rPr>
        <w:t>。</w:t>
      </w:r>
    </w:p>
    <w:p>
      <w:pPr>
        <w:pStyle w:val="4"/>
        <w:pageBreakBefore w:val="0"/>
        <w:widowControl w:val="0"/>
        <w:kinsoku/>
        <w:wordWrap/>
        <w:overflowPunct/>
        <w:topLinePunct w:val="0"/>
        <w:autoSpaceDE/>
        <w:autoSpaceDN/>
        <w:bidi w:val="0"/>
        <w:snapToGrid/>
        <w:spacing w:line="360" w:lineRule="auto"/>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注：按本格式和要求提供。</w:t>
      </w:r>
    </w:p>
    <w:p>
      <w:pPr>
        <w:pStyle w:val="4"/>
        <w:rPr>
          <w:rFonts w:hint="eastAsia" w:ascii="仿宋" w:hAnsi="仿宋" w:eastAsia="仿宋" w:cs="仿宋"/>
          <w:color w:val="auto"/>
          <w:lang w:eastAsia="zh-CN"/>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ind w:firstLine="2891" w:firstLineChars="900"/>
        <w:rPr>
          <w:rFonts w:hint="eastAsia" w:ascii="仿宋" w:hAnsi="仿宋" w:eastAsia="仿宋" w:cs="仿宋"/>
          <w:b/>
          <w:bCs/>
          <w:color w:val="auto"/>
          <w:sz w:val="32"/>
          <w:szCs w:val="32"/>
          <w:highlight w:val="none"/>
        </w:rPr>
      </w:pPr>
    </w:p>
    <w:p>
      <w:pPr>
        <w:widowControl/>
        <w:adjustRightInd/>
        <w:jc w:val="left"/>
        <w:rPr>
          <w:rFonts w:hint="eastAsia" w:ascii="仿宋" w:hAnsi="仿宋" w:eastAsia="仿宋" w:cs="仿宋"/>
          <w:b/>
          <w:color w:val="auto"/>
          <w:kern w:val="0"/>
          <w:sz w:val="32"/>
          <w:szCs w:val="32"/>
          <w:highlight w:val="none"/>
        </w:rPr>
      </w:pPr>
    </w:p>
    <w:p>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八、</w:t>
      </w:r>
      <w:r>
        <w:rPr>
          <w:rFonts w:hint="eastAsia" w:ascii="仿宋" w:hAnsi="仿宋" w:eastAsia="仿宋" w:cs="仿宋"/>
          <w:b/>
          <w:color w:val="auto"/>
          <w:kern w:val="0"/>
          <w:sz w:val="28"/>
          <w:szCs w:val="28"/>
          <w:highlight w:val="none"/>
          <w:lang w:val="zh-CN" w:eastAsia="zh-CN"/>
        </w:rPr>
        <w:t>政府采购供应商廉洁自律承诺书</w:t>
      </w:r>
    </w:p>
    <w:p>
      <w:pPr>
        <w:snapToGrid w:val="0"/>
        <w:spacing w:line="360" w:lineRule="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（采购人）、（采购代理机构）：</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我单位响应你单位项目招标要求参加投标。在这次投标过程中和中标后，我们将严格遵守国家法律法规要求，并郑重承诺：</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一、不向项目有关人员及部门赠送礼金礼物、有价证券、回扣以及中介费、介绍费、咨询费等好处费；</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二、不为项目有关人员及部门报销应由你方单位或个人支付的费用；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三、不向项目有关人员及部门提供有可能影响公正的宴请和健身娱乐等活动；</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四、不为项目有关人员及部门出国（境）、旅游等提供方便；</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五、不为项目有关人员个人装修住房、婚丧嫁娶、配偶子女工作安排等提供好处；</w:t>
      </w:r>
    </w:p>
    <w:p>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leftChars="200" w:right="0" w:rightChars="0"/>
        <w:jc w:val="left"/>
        <w:textAlignment w:val="auto"/>
        <w:rPr>
          <w:rFonts w:hint="eastAsia" w:ascii="仿宋" w:hAnsi="仿宋" w:eastAsia="仿宋" w:cs="仿宋"/>
          <w:color w:val="auto"/>
          <w:szCs w:val="21"/>
          <w:highlight w:val="none"/>
          <w:lang w:val="zh-CN"/>
        </w:rPr>
      </w:pPr>
      <w:r>
        <w:rPr>
          <w:rFonts w:hint="eastAsia" w:ascii="仿宋" w:hAnsi="仿宋" w:eastAsia="仿宋" w:cs="仿宋"/>
          <w:color w:val="auto"/>
          <w:kern w:val="0"/>
          <w:szCs w:val="21"/>
          <w:highlight w:val="none"/>
          <w:lang w:val="en-US" w:eastAsia="zh-CN"/>
        </w:rPr>
        <w:t>六、</w:t>
      </w:r>
      <w:r>
        <w:rPr>
          <w:rFonts w:hint="eastAsia" w:ascii="仿宋" w:hAnsi="仿宋" w:eastAsia="仿宋" w:cs="仿宋"/>
          <w:color w:val="auto"/>
          <w:kern w:val="0"/>
          <w:szCs w:val="21"/>
          <w:highlight w:val="none"/>
          <w:lang w:val="zh-CN"/>
        </w:rPr>
        <w:t>严格遵守《</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政府采购法》《</w:t>
      </w:r>
      <w:r>
        <w:rPr>
          <w:rFonts w:hint="eastAsia" w:ascii="仿宋" w:hAnsi="仿宋" w:eastAsia="仿宋" w:cs="仿宋"/>
          <w:color w:val="auto"/>
          <w:szCs w:val="21"/>
          <w:highlight w:val="none"/>
          <w:lang w:val="zh-CN"/>
        </w:rPr>
        <w:t>中华人民共和国</w:t>
      </w:r>
      <w:r>
        <w:rPr>
          <w:rFonts w:hint="eastAsia" w:ascii="仿宋" w:hAnsi="仿宋" w:eastAsia="仿宋" w:cs="仿宋"/>
          <w:color w:val="auto"/>
          <w:kern w:val="0"/>
          <w:szCs w:val="21"/>
          <w:highlight w:val="none"/>
          <w:lang w:val="zh-CN"/>
        </w:rPr>
        <w:t>招标投标法》</w:t>
      </w:r>
      <w:r>
        <w:rPr>
          <w:rFonts w:hint="eastAsia" w:ascii="仿宋" w:hAnsi="仿宋" w:eastAsia="仿宋" w:cs="仿宋"/>
          <w:color w:val="auto"/>
          <w:szCs w:val="21"/>
          <w:highlight w:val="none"/>
          <w:lang w:val="zh-CN"/>
        </w:rPr>
        <w:t>《中华</w:t>
      </w:r>
    </w:p>
    <w:p>
      <w:pPr>
        <w:keepNext w:val="0"/>
        <w:keepLines w:val="0"/>
        <w:pageBreakBefore w:val="0"/>
        <w:widowControl w:val="0"/>
        <w:numPr>
          <w:ilvl w:val="0"/>
          <w:numId w:val="0"/>
        </w:numPr>
        <w:kinsoku/>
        <w:wordWrap w:val="0"/>
        <w:overflowPunct/>
        <w:topLinePunct w:val="0"/>
        <w:autoSpaceDE w:val="0"/>
        <w:autoSpaceDN w:val="0"/>
        <w:bidi w:val="0"/>
        <w:adjustRightInd w:val="0"/>
        <w:snapToGrid/>
        <w:spacing w:line="360" w:lineRule="auto"/>
        <w:ind w:right="0" w:rightChars="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szCs w:val="21"/>
          <w:highlight w:val="none"/>
          <w:lang w:val="zh-CN"/>
        </w:rPr>
        <w:t>人民共和国民法典》</w:t>
      </w:r>
      <w:r>
        <w:rPr>
          <w:rFonts w:hint="eastAsia" w:ascii="仿宋" w:hAnsi="仿宋" w:eastAsia="仿宋" w:cs="仿宋"/>
          <w:color w:val="auto"/>
          <w:kern w:val="0"/>
          <w:szCs w:val="21"/>
          <w:highlight w:val="none"/>
          <w:lang w:val="zh-CN"/>
        </w:rPr>
        <w:t>等法律法规，诚实守信，合法经营，坚决抵制各种违法违纪行为。</w:t>
      </w:r>
    </w:p>
    <w:p>
      <w:pPr>
        <w:keepNext w:val="0"/>
        <w:keepLines w:val="0"/>
        <w:pageBreakBefore w:val="0"/>
        <w:widowControl w:val="0"/>
        <w:kinsoku/>
        <w:wordWrap w:val="0"/>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如违反上述承诺，你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有权立即取消我单位投标、中标或在建项目的建设资格，有权拒绝我单位在一定时期内进入你</w:t>
      </w:r>
      <w:r>
        <w:rPr>
          <w:rFonts w:hint="eastAsia" w:ascii="仿宋" w:hAnsi="仿宋" w:eastAsia="仿宋" w:cs="仿宋"/>
          <w:color w:val="auto"/>
          <w:szCs w:val="21"/>
          <w:highlight w:val="none"/>
        </w:rPr>
        <w:t>单位</w:t>
      </w:r>
      <w:r>
        <w:rPr>
          <w:rFonts w:hint="eastAsia" w:ascii="仿宋" w:hAnsi="仿宋" w:eastAsia="仿宋" w:cs="仿宋"/>
          <w:color w:val="auto"/>
          <w:kern w:val="0"/>
          <w:szCs w:val="21"/>
          <w:highlight w:val="none"/>
          <w:lang w:val="zh-CN"/>
        </w:rPr>
        <w:t>进行项目建设或其他经营活动，并通报市财政局。由此引起的相应损失均由我单位承担。</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20" w:firstLineChars="200"/>
        <w:jc w:val="left"/>
        <w:textAlignment w:val="auto"/>
        <w:rPr>
          <w:rFonts w:hint="eastAsia" w:ascii="仿宋" w:hAnsi="仿宋" w:eastAsia="仿宋" w:cs="仿宋"/>
          <w:color w:val="auto"/>
          <w:kern w:val="0"/>
          <w:szCs w:val="21"/>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firstLine="4620" w:firstLineChars="220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投标人名称（</w:t>
      </w:r>
      <w:r>
        <w:rPr>
          <w:rFonts w:hint="eastAsia" w:ascii="仿宋" w:hAnsi="仿宋" w:eastAsia="仿宋" w:cs="仿宋"/>
          <w:color w:val="auto"/>
          <w:szCs w:val="21"/>
          <w:highlight w:val="none"/>
        </w:rPr>
        <w:t>电子签名</w:t>
      </w:r>
      <w:r>
        <w:rPr>
          <w:rFonts w:hint="eastAsia" w:ascii="仿宋" w:hAnsi="仿宋" w:eastAsia="仿宋" w:cs="仿宋"/>
          <w:color w:val="auto"/>
          <w:kern w:val="0"/>
          <w:szCs w:val="21"/>
          <w:highlight w:val="none"/>
          <w:lang w:val="zh-CN"/>
        </w:rPr>
        <w:t>）：</w:t>
      </w:r>
    </w:p>
    <w:p>
      <w:pPr>
        <w:keepNext w:val="0"/>
        <w:keepLines w:val="0"/>
        <w:pageBreakBefore w:val="0"/>
        <w:widowControl w:val="0"/>
        <w:kinsoku/>
        <w:wordWrap/>
        <w:overflowPunct/>
        <w:topLinePunct w:val="0"/>
        <w:bidi w:val="0"/>
        <w:adjustRightInd w:val="0"/>
        <w:snapToGrid/>
        <w:spacing w:line="360" w:lineRule="auto"/>
        <w:ind w:left="0" w:leftChars="0" w:right="0" w:firstLine="4620" w:firstLineChars="2200"/>
        <w:textAlignment w:val="auto"/>
        <w:rPr>
          <w:rFonts w:hint="eastAsia" w:ascii="仿宋" w:hAnsi="仿宋" w:eastAsia="仿宋" w:cs="仿宋"/>
          <w:color w:val="auto"/>
          <w:sz w:val="24"/>
          <w:highlight w:val="none"/>
        </w:rPr>
      </w:pPr>
      <w:r>
        <w:rPr>
          <w:rFonts w:hint="eastAsia" w:ascii="仿宋" w:hAnsi="仿宋" w:eastAsia="仿宋" w:cs="仿宋"/>
          <w:color w:val="auto"/>
          <w:kern w:val="0"/>
          <w:szCs w:val="21"/>
          <w:highlight w:val="none"/>
          <w:lang w:val="zh-CN"/>
        </w:rPr>
        <w:t>日期</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pStyle w:val="4"/>
        <w:rPr>
          <w:rFonts w:hint="eastAsia" w:ascii="仿宋" w:hAnsi="仿宋" w:eastAsia="仿宋" w:cs="仿宋"/>
          <w:b/>
          <w:bCs/>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仿宋" w:hAnsi="仿宋" w:eastAsia="仿宋" w:cs="仿宋"/>
          <w:b/>
          <w:bCs/>
          <w:color w:val="auto"/>
          <w:sz w:val="21"/>
          <w:szCs w:val="21"/>
        </w:rPr>
      </w:pPr>
      <w:r>
        <w:rPr>
          <w:rFonts w:hint="eastAsia" w:ascii="仿宋" w:hAnsi="仿宋" w:eastAsia="仿宋" w:cs="仿宋"/>
          <w:b/>
          <w:bCs/>
          <w:color w:val="auto"/>
          <w:sz w:val="21"/>
          <w:szCs w:val="21"/>
        </w:rPr>
        <w:t>注：按本格式和要求提供。</w:t>
      </w:r>
    </w:p>
    <w:p>
      <w:pPr>
        <w:spacing w:line="360" w:lineRule="auto"/>
        <w:jc w:val="center"/>
        <w:rPr>
          <w:rFonts w:hint="eastAsia" w:ascii="仿宋" w:hAnsi="仿宋" w:eastAsia="仿宋" w:cs="仿宋"/>
          <w:b/>
          <w:bCs/>
          <w:color w:val="auto"/>
          <w:sz w:val="24"/>
          <w:highlight w:val="none"/>
        </w:rPr>
        <w:sectPr>
          <w:pgSz w:w="11905" w:h="16838"/>
          <w:pgMar w:top="1417" w:right="1417" w:bottom="1417" w:left="1417" w:header="851" w:footer="992" w:gutter="283"/>
          <w:pgBorders>
            <w:top w:val="none" w:sz="0" w:space="0"/>
            <w:left w:val="none" w:sz="0" w:space="0"/>
            <w:bottom w:val="none" w:sz="0" w:space="0"/>
            <w:right w:val="none" w:sz="0" w:space="0"/>
          </w:pgBorders>
          <w:cols w:space="0" w:num="1"/>
          <w:titlePg/>
          <w:rtlGutter w:val="0"/>
          <w:docGrid w:linePitch="312" w:charSpace="0"/>
        </w:sect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报价文件部分</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（1）开标一览表（报价表）………………………………………………………（页码）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）中小企业声明函………………………………………………………………（页码）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Cs w:val="21"/>
          <w:highlight w:val="none"/>
        </w:rPr>
        <w:sectPr>
          <w:headerReference r:id="rId12" w:type="first"/>
          <w:footerReference r:id="rId14" w:type="first"/>
          <w:headerReference r:id="rId11" w:type="default"/>
          <w:footerReference r:id="rId13" w:type="default"/>
          <w:pgSz w:w="11905" w:h="16838"/>
          <w:pgMar w:top="1417" w:right="1417" w:bottom="1417" w:left="1417" w:header="851" w:footer="992" w:gutter="283"/>
          <w:pgBorders>
            <w:top w:val="none" w:sz="0" w:space="0"/>
            <w:left w:val="none" w:sz="0" w:space="0"/>
            <w:bottom w:val="none" w:sz="0" w:space="0"/>
            <w:right w:val="none" w:sz="0" w:space="0"/>
          </w:pgBorders>
          <w:cols w:space="0" w:num="1"/>
          <w:titlePg/>
          <w:rtlGutter w:val="0"/>
          <w:docGrid w:linePitch="312" w:charSpace="0"/>
        </w:sectPr>
      </w:pPr>
    </w:p>
    <w:p>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一、开标一览表（报价表）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zh-CN"/>
        </w:rPr>
        <w:t>（采购人）、（采购代理机构）：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Cs w:val="21"/>
          <w:highlight w:val="none"/>
        </w:rPr>
        <w:t>（项目名称）</w:t>
      </w:r>
      <w:r>
        <w:rPr>
          <w:rFonts w:hint="eastAsia" w:ascii="仿宋" w:hAnsi="仿宋" w:eastAsia="仿宋" w:cs="仿宋"/>
          <w:color w:val="auto"/>
          <w:kern w:val="0"/>
          <w:szCs w:val="21"/>
          <w:highlight w:val="none"/>
          <w:lang w:val="zh-CN"/>
        </w:rPr>
        <w:t>【招标编号：</w:t>
      </w:r>
      <w:r>
        <w:rPr>
          <w:rFonts w:hint="eastAsia" w:ascii="仿宋" w:hAnsi="仿宋" w:eastAsia="仿宋" w:cs="仿宋"/>
          <w:color w:val="auto"/>
          <w:szCs w:val="21"/>
          <w:highlight w:val="none"/>
        </w:rPr>
        <w:t>（采购编号）】的实施</w:t>
      </w:r>
      <w:r>
        <w:rPr>
          <w:rFonts w:hint="eastAsia" w:ascii="仿宋" w:hAnsi="仿宋" w:eastAsia="仿宋" w:cs="仿宋"/>
          <w:color w:val="auto"/>
          <w:kern w:val="0"/>
          <w:szCs w:val="21"/>
          <w:highlight w:val="none"/>
          <w:lang w:val="zh-CN"/>
        </w:rPr>
        <w:t>。</w:t>
      </w:r>
    </w:p>
    <w:p>
      <w:pPr>
        <w:spacing w:line="360" w:lineRule="auto"/>
        <w:jc w:val="center"/>
        <w:rPr>
          <w:rFonts w:hint="eastAsia" w:ascii="仿宋" w:hAnsi="仿宋" w:eastAsia="仿宋" w:cs="仿宋"/>
          <w:b w:val="0"/>
          <w:bCs/>
          <w:color w:val="auto"/>
          <w:kern w:val="0"/>
          <w:szCs w:val="21"/>
          <w:highlight w:val="none"/>
          <w:lang w:val="zh-CN"/>
        </w:rPr>
      </w:pPr>
      <w:r>
        <w:rPr>
          <w:rFonts w:hint="eastAsia" w:ascii="仿宋" w:hAnsi="仿宋" w:eastAsia="仿宋" w:cs="仿宋"/>
          <w:b w:val="0"/>
          <w:bCs/>
          <w:color w:val="auto"/>
          <w:kern w:val="0"/>
          <w:szCs w:val="21"/>
          <w:highlight w:val="none"/>
          <w:lang w:val="zh-CN"/>
        </w:rPr>
        <w:t>开标一览表（报价表）(单位均为人民币元)</w:t>
      </w:r>
    </w:p>
    <w:tbl>
      <w:tblPr>
        <w:tblStyle w:val="64"/>
        <w:tblW w:w="12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267"/>
        <w:gridCol w:w="1353"/>
        <w:gridCol w:w="1330"/>
        <w:gridCol w:w="1620"/>
        <w:gridCol w:w="1556"/>
        <w:gridCol w:w="1130"/>
        <w:gridCol w:w="13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88"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序号</w:t>
            </w:r>
          </w:p>
        </w:tc>
        <w:tc>
          <w:tcPr>
            <w:tcW w:w="2267"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产品名称（采购标的）</w:t>
            </w:r>
          </w:p>
        </w:tc>
        <w:tc>
          <w:tcPr>
            <w:tcW w:w="1353"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产品品牌</w:t>
            </w:r>
          </w:p>
          <w:p>
            <w:pPr>
              <w:jc w:val="center"/>
              <w:rPr>
                <w:rFonts w:ascii="仿宋" w:hAnsi="仿宋" w:eastAsia="仿宋" w:cs="仿宋"/>
                <w:bCs/>
                <w:color w:val="auto"/>
                <w:szCs w:val="21"/>
              </w:rPr>
            </w:pPr>
            <w:r>
              <w:rPr>
                <w:rFonts w:hint="eastAsia" w:ascii="仿宋" w:hAnsi="仿宋" w:eastAsia="仿宋" w:cs="仿宋"/>
                <w:bCs/>
                <w:color w:val="auto"/>
                <w:szCs w:val="21"/>
              </w:rPr>
              <w:t>（如有）</w:t>
            </w:r>
          </w:p>
        </w:tc>
        <w:tc>
          <w:tcPr>
            <w:tcW w:w="133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产品型号（如有）</w:t>
            </w:r>
          </w:p>
        </w:tc>
        <w:tc>
          <w:tcPr>
            <w:tcW w:w="162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数量</w:t>
            </w:r>
          </w:p>
        </w:tc>
        <w:tc>
          <w:tcPr>
            <w:tcW w:w="1556"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单价（元）</w:t>
            </w:r>
          </w:p>
        </w:tc>
        <w:tc>
          <w:tcPr>
            <w:tcW w:w="113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小计（元）</w:t>
            </w:r>
          </w:p>
        </w:tc>
        <w:tc>
          <w:tcPr>
            <w:tcW w:w="137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质保期（年）</w:t>
            </w:r>
          </w:p>
        </w:tc>
        <w:tc>
          <w:tcPr>
            <w:tcW w:w="1370" w:type="dxa"/>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备注（如有）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8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1</w:t>
            </w:r>
          </w:p>
        </w:tc>
        <w:tc>
          <w:tcPr>
            <w:tcW w:w="2267" w:type="dxa"/>
            <w:vAlign w:val="center"/>
          </w:tcPr>
          <w:p>
            <w:pPr>
              <w:snapToGrid w:val="0"/>
              <w:jc w:val="center"/>
              <w:rPr>
                <w:rFonts w:ascii="仿宋" w:hAnsi="仿宋" w:eastAsia="仿宋" w:cs="仿宋"/>
                <w:color w:val="auto"/>
                <w:szCs w:val="21"/>
              </w:rPr>
            </w:pPr>
          </w:p>
        </w:tc>
        <w:tc>
          <w:tcPr>
            <w:tcW w:w="1353" w:type="dxa"/>
            <w:vAlign w:val="center"/>
          </w:tcPr>
          <w:p>
            <w:pPr>
              <w:snapToGrid w:val="0"/>
              <w:jc w:val="center"/>
              <w:rPr>
                <w:rFonts w:ascii="仿宋" w:hAnsi="仿宋" w:eastAsia="仿宋" w:cs="仿宋"/>
                <w:color w:val="auto"/>
                <w:szCs w:val="21"/>
              </w:rPr>
            </w:pPr>
          </w:p>
        </w:tc>
        <w:tc>
          <w:tcPr>
            <w:tcW w:w="1330" w:type="dxa"/>
            <w:vAlign w:val="center"/>
          </w:tcPr>
          <w:p>
            <w:pPr>
              <w:snapToGrid w:val="0"/>
              <w:jc w:val="center"/>
              <w:rPr>
                <w:rFonts w:ascii="仿宋" w:hAnsi="仿宋" w:eastAsia="仿宋" w:cs="仿宋"/>
                <w:color w:val="auto"/>
                <w:szCs w:val="21"/>
              </w:rPr>
            </w:pPr>
          </w:p>
        </w:tc>
        <w:tc>
          <w:tcPr>
            <w:tcW w:w="1620" w:type="dxa"/>
            <w:vAlign w:val="center"/>
          </w:tcPr>
          <w:p>
            <w:pPr>
              <w:snapToGrid w:val="0"/>
              <w:jc w:val="center"/>
              <w:rPr>
                <w:rFonts w:ascii="仿宋" w:hAnsi="仿宋" w:eastAsia="仿宋" w:cs="仿宋"/>
                <w:color w:val="auto"/>
                <w:szCs w:val="21"/>
              </w:rPr>
            </w:pPr>
          </w:p>
        </w:tc>
        <w:tc>
          <w:tcPr>
            <w:tcW w:w="1556" w:type="dxa"/>
            <w:vAlign w:val="center"/>
          </w:tcPr>
          <w:p>
            <w:pPr>
              <w:jc w:val="center"/>
              <w:rPr>
                <w:rFonts w:ascii="仿宋" w:hAnsi="仿宋" w:eastAsia="仿宋" w:cs="仿宋"/>
                <w:color w:val="auto"/>
                <w:szCs w:val="21"/>
              </w:rPr>
            </w:pPr>
          </w:p>
        </w:tc>
        <w:tc>
          <w:tcPr>
            <w:tcW w:w="113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2</w:t>
            </w:r>
          </w:p>
        </w:tc>
        <w:tc>
          <w:tcPr>
            <w:tcW w:w="2267" w:type="dxa"/>
            <w:vAlign w:val="center"/>
          </w:tcPr>
          <w:p>
            <w:pPr>
              <w:snapToGrid w:val="0"/>
              <w:jc w:val="center"/>
              <w:rPr>
                <w:rFonts w:ascii="仿宋" w:hAnsi="仿宋" w:eastAsia="仿宋" w:cs="仿宋"/>
                <w:color w:val="auto"/>
                <w:szCs w:val="21"/>
              </w:rPr>
            </w:pPr>
          </w:p>
        </w:tc>
        <w:tc>
          <w:tcPr>
            <w:tcW w:w="1353" w:type="dxa"/>
            <w:vAlign w:val="center"/>
          </w:tcPr>
          <w:p>
            <w:pPr>
              <w:snapToGrid w:val="0"/>
              <w:jc w:val="center"/>
              <w:rPr>
                <w:rFonts w:ascii="仿宋" w:hAnsi="仿宋" w:eastAsia="仿宋" w:cs="仿宋"/>
                <w:color w:val="auto"/>
                <w:szCs w:val="21"/>
              </w:rPr>
            </w:pPr>
          </w:p>
        </w:tc>
        <w:tc>
          <w:tcPr>
            <w:tcW w:w="1330" w:type="dxa"/>
            <w:vAlign w:val="center"/>
          </w:tcPr>
          <w:p>
            <w:pPr>
              <w:snapToGrid w:val="0"/>
              <w:jc w:val="center"/>
              <w:rPr>
                <w:rFonts w:ascii="仿宋" w:hAnsi="仿宋" w:eastAsia="仿宋" w:cs="仿宋"/>
                <w:color w:val="auto"/>
                <w:szCs w:val="21"/>
              </w:rPr>
            </w:pPr>
          </w:p>
        </w:tc>
        <w:tc>
          <w:tcPr>
            <w:tcW w:w="1620" w:type="dxa"/>
            <w:vAlign w:val="center"/>
          </w:tcPr>
          <w:p>
            <w:pPr>
              <w:snapToGrid w:val="0"/>
              <w:jc w:val="center"/>
              <w:rPr>
                <w:rFonts w:ascii="仿宋" w:hAnsi="仿宋" w:eastAsia="仿宋" w:cs="仿宋"/>
                <w:color w:val="auto"/>
                <w:szCs w:val="21"/>
              </w:rPr>
            </w:pPr>
          </w:p>
        </w:tc>
        <w:tc>
          <w:tcPr>
            <w:tcW w:w="1556" w:type="dxa"/>
            <w:vAlign w:val="center"/>
          </w:tcPr>
          <w:p>
            <w:pPr>
              <w:jc w:val="center"/>
              <w:rPr>
                <w:rFonts w:ascii="仿宋" w:hAnsi="仿宋" w:eastAsia="仿宋" w:cs="仿宋"/>
                <w:color w:val="auto"/>
                <w:szCs w:val="21"/>
              </w:rPr>
            </w:pPr>
          </w:p>
        </w:tc>
        <w:tc>
          <w:tcPr>
            <w:tcW w:w="113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8" w:type="dxa"/>
            <w:vAlign w:val="center"/>
          </w:tcPr>
          <w:p>
            <w:pPr>
              <w:jc w:val="center"/>
              <w:rPr>
                <w:rFonts w:ascii="仿宋" w:hAnsi="仿宋" w:eastAsia="仿宋" w:cs="仿宋"/>
                <w:color w:val="auto"/>
                <w:szCs w:val="21"/>
              </w:rPr>
            </w:pPr>
            <w:r>
              <w:rPr>
                <w:rFonts w:hint="eastAsia" w:ascii="仿宋" w:hAnsi="仿宋" w:eastAsia="仿宋" w:cs="仿宋"/>
                <w:color w:val="auto"/>
                <w:szCs w:val="21"/>
              </w:rPr>
              <w:t>…</w:t>
            </w:r>
          </w:p>
        </w:tc>
        <w:tc>
          <w:tcPr>
            <w:tcW w:w="2267" w:type="dxa"/>
            <w:vAlign w:val="center"/>
          </w:tcPr>
          <w:p>
            <w:pPr>
              <w:snapToGrid w:val="0"/>
              <w:jc w:val="center"/>
              <w:rPr>
                <w:rFonts w:ascii="仿宋" w:hAnsi="仿宋" w:eastAsia="仿宋" w:cs="仿宋"/>
                <w:color w:val="auto"/>
                <w:szCs w:val="21"/>
              </w:rPr>
            </w:pPr>
          </w:p>
        </w:tc>
        <w:tc>
          <w:tcPr>
            <w:tcW w:w="1353" w:type="dxa"/>
            <w:vAlign w:val="center"/>
          </w:tcPr>
          <w:p>
            <w:pPr>
              <w:snapToGrid w:val="0"/>
              <w:jc w:val="center"/>
              <w:rPr>
                <w:rFonts w:ascii="仿宋" w:hAnsi="仿宋" w:eastAsia="仿宋" w:cs="仿宋"/>
                <w:color w:val="auto"/>
                <w:szCs w:val="21"/>
              </w:rPr>
            </w:pPr>
          </w:p>
        </w:tc>
        <w:tc>
          <w:tcPr>
            <w:tcW w:w="1330" w:type="dxa"/>
            <w:vAlign w:val="center"/>
          </w:tcPr>
          <w:p>
            <w:pPr>
              <w:snapToGrid w:val="0"/>
              <w:jc w:val="center"/>
              <w:rPr>
                <w:rFonts w:ascii="仿宋" w:hAnsi="仿宋" w:eastAsia="仿宋" w:cs="仿宋"/>
                <w:color w:val="auto"/>
                <w:szCs w:val="21"/>
              </w:rPr>
            </w:pPr>
          </w:p>
        </w:tc>
        <w:tc>
          <w:tcPr>
            <w:tcW w:w="1620" w:type="dxa"/>
            <w:vAlign w:val="center"/>
          </w:tcPr>
          <w:p>
            <w:pPr>
              <w:snapToGrid w:val="0"/>
              <w:jc w:val="center"/>
              <w:rPr>
                <w:rFonts w:ascii="仿宋" w:hAnsi="仿宋" w:eastAsia="仿宋" w:cs="仿宋"/>
                <w:color w:val="auto"/>
                <w:szCs w:val="21"/>
              </w:rPr>
            </w:pPr>
          </w:p>
        </w:tc>
        <w:tc>
          <w:tcPr>
            <w:tcW w:w="1556" w:type="dxa"/>
            <w:vAlign w:val="center"/>
          </w:tcPr>
          <w:p>
            <w:pPr>
              <w:jc w:val="center"/>
              <w:rPr>
                <w:rFonts w:ascii="仿宋" w:hAnsi="仿宋" w:eastAsia="仿宋" w:cs="仿宋"/>
                <w:color w:val="auto"/>
                <w:szCs w:val="21"/>
              </w:rPr>
            </w:pPr>
          </w:p>
        </w:tc>
        <w:tc>
          <w:tcPr>
            <w:tcW w:w="113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8" w:type="dxa"/>
            <w:vAlign w:val="center"/>
          </w:tcPr>
          <w:p>
            <w:pPr>
              <w:jc w:val="center"/>
              <w:rPr>
                <w:rFonts w:ascii="仿宋" w:hAnsi="仿宋" w:eastAsia="仿宋" w:cs="仿宋"/>
                <w:color w:val="auto"/>
                <w:szCs w:val="21"/>
              </w:rPr>
            </w:pPr>
          </w:p>
        </w:tc>
        <w:tc>
          <w:tcPr>
            <w:tcW w:w="2267" w:type="dxa"/>
            <w:vAlign w:val="center"/>
          </w:tcPr>
          <w:p>
            <w:pPr>
              <w:snapToGrid w:val="0"/>
              <w:jc w:val="center"/>
              <w:rPr>
                <w:rFonts w:ascii="仿宋" w:hAnsi="仿宋" w:eastAsia="仿宋" w:cs="仿宋"/>
                <w:color w:val="auto"/>
                <w:szCs w:val="21"/>
              </w:rPr>
            </w:pPr>
          </w:p>
        </w:tc>
        <w:tc>
          <w:tcPr>
            <w:tcW w:w="1353" w:type="dxa"/>
            <w:vAlign w:val="center"/>
          </w:tcPr>
          <w:p>
            <w:pPr>
              <w:snapToGrid w:val="0"/>
              <w:jc w:val="center"/>
              <w:rPr>
                <w:rFonts w:ascii="仿宋" w:hAnsi="仿宋" w:eastAsia="仿宋" w:cs="仿宋"/>
                <w:color w:val="auto"/>
                <w:szCs w:val="21"/>
              </w:rPr>
            </w:pPr>
          </w:p>
        </w:tc>
        <w:tc>
          <w:tcPr>
            <w:tcW w:w="1330" w:type="dxa"/>
            <w:vAlign w:val="center"/>
          </w:tcPr>
          <w:p>
            <w:pPr>
              <w:snapToGrid w:val="0"/>
              <w:jc w:val="center"/>
              <w:rPr>
                <w:rFonts w:ascii="仿宋" w:hAnsi="仿宋" w:eastAsia="仿宋" w:cs="仿宋"/>
                <w:color w:val="auto"/>
                <w:szCs w:val="21"/>
              </w:rPr>
            </w:pPr>
          </w:p>
        </w:tc>
        <w:tc>
          <w:tcPr>
            <w:tcW w:w="1620" w:type="dxa"/>
            <w:vAlign w:val="center"/>
          </w:tcPr>
          <w:p>
            <w:pPr>
              <w:snapToGrid w:val="0"/>
              <w:jc w:val="center"/>
              <w:rPr>
                <w:rFonts w:ascii="仿宋" w:hAnsi="仿宋" w:eastAsia="仿宋" w:cs="仿宋"/>
                <w:color w:val="auto"/>
                <w:szCs w:val="21"/>
              </w:rPr>
            </w:pPr>
          </w:p>
        </w:tc>
        <w:tc>
          <w:tcPr>
            <w:tcW w:w="1556" w:type="dxa"/>
            <w:vAlign w:val="center"/>
          </w:tcPr>
          <w:p>
            <w:pPr>
              <w:jc w:val="center"/>
              <w:rPr>
                <w:rFonts w:ascii="仿宋" w:hAnsi="仿宋" w:eastAsia="仿宋" w:cs="仿宋"/>
                <w:color w:val="auto"/>
                <w:szCs w:val="21"/>
              </w:rPr>
            </w:pPr>
          </w:p>
        </w:tc>
        <w:tc>
          <w:tcPr>
            <w:tcW w:w="113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88" w:type="dxa"/>
            <w:vAlign w:val="center"/>
          </w:tcPr>
          <w:p>
            <w:pPr>
              <w:jc w:val="center"/>
              <w:rPr>
                <w:rFonts w:ascii="仿宋" w:hAnsi="仿宋" w:eastAsia="仿宋" w:cs="仿宋"/>
                <w:color w:val="auto"/>
                <w:szCs w:val="21"/>
              </w:rPr>
            </w:pPr>
          </w:p>
        </w:tc>
        <w:tc>
          <w:tcPr>
            <w:tcW w:w="2267" w:type="dxa"/>
            <w:vAlign w:val="center"/>
          </w:tcPr>
          <w:p>
            <w:pPr>
              <w:snapToGrid w:val="0"/>
              <w:jc w:val="center"/>
              <w:rPr>
                <w:rFonts w:ascii="仿宋" w:hAnsi="仿宋" w:eastAsia="仿宋" w:cs="仿宋"/>
                <w:color w:val="auto"/>
                <w:szCs w:val="21"/>
              </w:rPr>
            </w:pPr>
          </w:p>
        </w:tc>
        <w:tc>
          <w:tcPr>
            <w:tcW w:w="1353" w:type="dxa"/>
            <w:vAlign w:val="center"/>
          </w:tcPr>
          <w:p>
            <w:pPr>
              <w:snapToGrid w:val="0"/>
              <w:jc w:val="center"/>
              <w:rPr>
                <w:rFonts w:ascii="仿宋" w:hAnsi="仿宋" w:eastAsia="仿宋" w:cs="仿宋"/>
                <w:color w:val="auto"/>
                <w:szCs w:val="21"/>
              </w:rPr>
            </w:pPr>
          </w:p>
        </w:tc>
        <w:tc>
          <w:tcPr>
            <w:tcW w:w="1330" w:type="dxa"/>
            <w:vAlign w:val="center"/>
          </w:tcPr>
          <w:p>
            <w:pPr>
              <w:snapToGrid w:val="0"/>
              <w:jc w:val="center"/>
              <w:rPr>
                <w:rFonts w:ascii="仿宋" w:hAnsi="仿宋" w:eastAsia="仿宋" w:cs="仿宋"/>
                <w:color w:val="auto"/>
                <w:szCs w:val="21"/>
              </w:rPr>
            </w:pPr>
          </w:p>
        </w:tc>
        <w:tc>
          <w:tcPr>
            <w:tcW w:w="1620" w:type="dxa"/>
            <w:vAlign w:val="center"/>
          </w:tcPr>
          <w:p>
            <w:pPr>
              <w:snapToGrid w:val="0"/>
              <w:jc w:val="center"/>
              <w:rPr>
                <w:rFonts w:ascii="仿宋" w:hAnsi="仿宋" w:eastAsia="仿宋" w:cs="仿宋"/>
                <w:color w:val="auto"/>
                <w:szCs w:val="21"/>
              </w:rPr>
            </w:pPr>
          </w:p>
        </w:tc>
        <w:tc>
          <w:tcPr>
            <w:tcW w:w="1556" w:type="dxa"/>
            <w:vAlign w:val="center"/>
          </w:tcPr>
          <w:p>
            <w:pPr>
              <w:jc w:val="center"/>
              <w:rPr>
                <w:rFonts w:ascii="仿宋" w:hAnsi="仿宋" w:eastAsia="仿宋" w:cs="仿宋"/>
                <w:color w:val="auto"/>
                <w:szCs w:val="21"/>
              </w:rPr>
            </w:pPr>
          </w:p>
        </w:tc>
        <w:tc>
          <w:tcPr>
            <w:tcW w:w="113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c>
          <w:tcPr>
            <w:tcW w:w="1370"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738" w:type="dxa"/>
            <w:gridSpan w:val="4"/>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投标报价（小写）</w:t>
            </w:r>
          </w:p>
        </w:tc>
        <w:tc>
          <w:tcPr>
            <w:tcW w:w="7046" w:type="dxa"/>
            <w:gridSpan w:val="5"/>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738" w:type="dxa"/>
            <w:gridSpan w:val="4"/>
            <w:vAlign w:val="center"/>
          </w:tcPr>
          <w:p>
            <w:pPr>
              <w:jc w:val="center"/>
              <w:rPr>
                <w:rFonts w:ascii="仿宋" w:hAnsi="仿宋" w:eastAsia="仿宋" w:cs="仿宋"/>
                <w:bCs/>
                <w:color w:val="auto"/>
                <w:szCs w:val="21"/>
              </w:rPr>
            </w:pPr>
            <w:r>
              <w:rPr>
                <w:rFonts w:hint="eastAsia" w:ascii="仿宋" w:hAnsi="仿宋" w:eastAsia="仿宋" w:cs="仿宋"/>
                <w:bCs/>
                <w:color w:val="auto"/>
                <w:szCs w:val="21"/>
              </w:rPr>
              <w:t>投标报价（大写）</w:t>
            </w:r>
          </w:p>
        </w:tc>
        <w:tc>
          <w:tcPr>
            <w:tcW w:w="7046" w:type="dxa"/>
            <w:gridSpan w:val="5"/>
            <w:vAlign w:val="center"/>
          </w:tcPr>
          <w:p>
            <w:pPr>
              <w:jc w:val="center"/>
              <w:rPr>
                <w:rFonts w:ascii="仿宋" w:hAnsi="仿宋" w:eastAsia="仿宋" w:cs="仿宋"/>
                <w:color w:val="auto"/>
                <w:szCs w:val="21"/>
              </w:rPr>
            </w:pPr>
          </w:p>
        </w:tc>
      </w:tr>
    </w:tbl>
    <w:p>
      <w:pPr>
        <w:snapToGrid w:val="0"/>
        <w:spacing w:line="360" w:lineRule="auto"/>
        <w:ind w:left="480"/>
        <w:rPr>
          <w:rFonts w:hint="eastAsia" w:ascii="仿宋" w:hAnsi="仿宋" w:eastAsia="仿宋" w:cs="仿宋"/>
          <w:b/>
          <w:color w:val="auto"/>
          <w:kern w:val="0"/>
          <w:szCs w:val="21"/>
          <w:highlight w:val="none"/>
          <w:lang w:val="zh-CN"/>
        </w:rPr>
      </w:pPr>
      <w:r>
        <w:rPr>
          <w:rFonts w:hint="eastAsia" w:ascii="仿宋" w:hAnsi="仿宋" w:eastAsia="仿宋" w:cs="仿宋"/>
          <w:b/>
          <w:color w:val="auto"/>
          <w:kern w:val="0"/>
          <w:szCs w:val="21"/>
          <w:highlight w:val="none"/>
          <w:lang w:val="zh-CN"/>
        </w:rPr>
        <w:t>注：</w:t>
      </w:r>
    </w:p>
    <w:p>
      <w:pPr>
        <w:keepNext w:val="0"/>
        <w:keepLines w:val="0"/>
        <w:pageBreakBefore w:val="0"/>
        <w:widowControl w:val="0"/>
        <w:kinsoku/>
        <w:wordWrap/>
        <w:overflowPunct/>
        <w:topLinePunct w:val="0"/>
        <w:autoSpaceDE/>
        <w:autoSpaceDN/>
        <w:bidi w:val="0"/>
        <w:adjustRightInd w:val="0"/>
        <w:spacing w:line="360" w:lineRule="auto"/>
        <w:ind w:left="0" w:leftChars="0" w:firstLine="630" w:firstLineChars="300"/>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1、投标人需按本表格式填写，</w:t>
      </w:r>
      <w:r>
        <w:rPr>
          <w:rFonts w:hint="eastAsia" w:ascii="仿宋" w:hAnsi="仿宋" w:eastAsia="仿宋" w:cs="仿宋"/>
          <w:b/>
          <w:bCs/>
          <w:color w:val="auto"/>
          <w:kern w:val="0"/>
          <w:szCs w:val="21"/>
          <w:highlight w:val="none"/>
          <w:lang w:val="zh-CN"/>
        </w:rPr>
        <w:t>否则视为投标文件含有采购人不能接受的附加条件，投标无效。</w:t>
      </w:r>
    </w:p>
    <w:p>
      <w:pPr>
        <w:keepNext w:val="0"/>
        <w:keepLines w:val="0"/>
        <w:pageBreakBefore w:val="0"/>
        <w:widowControl w:val="0"/>
        <w:kinsoku/>
        <w:wordWrap/>
        <w:overflowPunct/>
        <w:topLinePunct w:val="0"/>
        <w:autoSpaceDE/>
        <w:autoSpaceDN/>
        <w:bidi w:val="0"/>
        <w:adjustRightInd w:val="0"/>
        <w:spacing w:line="360" w:lineRule="auto"/>
        <w:ind w:left="0" w:leftChars="0" w:firstLine="630" w:firstLineChars="300"/>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zh-CN"/>
        </w:rPr>
        <w:t>2、有关本项目实施所涉及的一切费用均计入报价。</w:t>
      </w:r>
      <w:r>
        <w:rPr>
          <w:rFonts w:hint="eastAsia" w:ascii="仿宋" w:hAnsi="仿宋" w:eastAsia="仿宋" w:cs="仿宋"/>
          <w:b/>
          <w:color w:val="auto"/>
          <w:kern w:val="0"/>
          <w:szCs w:val="21"/>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Cs w:val="21"/>
          <w:highlight w:val="none"/>
          <w:lang w:val="zh-CN"/>
        </w:rPr>
        <w:t>，</w:t>
      </w:r>
      <w:r>
        <w:rPr>
          <w:rFonts w:hint="eastAsia" w:ascii="仿宋" w:hAnsi="仿宋" w:eastAsia="仿宋" w:cs="仿宋"/>
          <w:b/>
          <w:color w:val="auto"/>
          <w:kern w:val="0"/>
          <w:szCs w:val="21"/>
          <w:highlight w:val="none"/>
          <w:lang w:val="zh-CN"/>
        </w:rPr>
        <w:t>不得出现“0元”“免费赠送”等形式的无偿报价，</w:t>
      </w:r>
      <w:r>
        <w:rPr>
          <w:rFonts w:hint="eastAsia" w:ascii="仿宋" w:hAnsi="仿宋" w:eastAsia="仿宋" w:cs="仿宋"/>
          <w:b/>
          <w:color w:val="auto"/>
          <w:kern w:val="0"/>
          <w:szCs w:val="21"/>
          <w:highlight w:val="none"/>
        </w:rPr>
        <w:t>否则视为</w:t>
      </w:r>
      <w:r>
        <w:rPr>
          <w:rFonts w:hint="eastAsia" w:ascii="仿宋" w:hAnsi="仿宋" w:eastAsia="仿宋" w:cs="仿宋"/>
          <w:b/>
          <w:color w:val="auto"/>
          <w:szCs w:val="21"/>
          <w:highlight w:val="none"/>
        </w:rPr>
        <w:t>投标文件含有采购人不能接受的附加条件的，投标无效</w:t>
      </w:r>
      <w:r>
        <w:rPr>
          <w:rFonts w:hint="eastAsia" w:ascii="仿宋" w:hAnsi="仿宋" w:eastAsia="仿宋" w:cs="仿宋"/>
          <w:b/>
          <w:color w:val="auto"/>
          <w:kern w:val="0"/>
          <w:szCs w:val="21"/>
          <w:highlight w:val="none"/>
          <w:lang w:val="zh-CN"/>
        </w:rPr>
        <w:t>。采购内容未包含在《开标一览表（报价表）》名称栏中，投标人不能作出合理解释的，视为投标文件含有采购人不能接受的附加条件的，投标无效。</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0" w:firstLineChars="300"/>
        <w:jc w:val="left"/>
        <w:textAlignment w:val="auto"/>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lang w:val="zh-CN"/>
        </w:rPr>
        <w:t>、特别提示：采购</w:t>
      </w:r>
      <w:r>
        <w:rPr>
          <w:rFonts w:hint="eastAsia" w:ascii="仿宋" w:hAnsi="仿宋" w:eastAsia="仿宋" w:cs="仿宋"/>
          <w:color w:val="auto"/>
          <w:kern w:val="0"/>
          <w:szCs w:val="21"/>
          <w:highlight w:val="none"/>
          <w:lang w:val="en-US" w:eastAsia="zh-CN"/>
        </w:rPr>
        <w:t>代理</w:t>
      </w:r>
      <w:r>
        <w:rPr>
          <w:rFonts w:hint="eastAsia" w:ascii="仿宋" w:hAnsi="仿宋" w:eastAsia="仿宋" w:cs="仿宋"/>
          <w:color w:val="auto"/>
          <w:kern w:val="0"/>
          <w:szCs w:val="21"/>
          <w:highlight w:val="none"/>
          <w:lang w:val="zh-CN"/>
        </w:rPr>
        <w:t>机构将对项目名称和项目编号，中标供应商名称、地址和中标金额，主要中标标的名称、服务范围、服务要求、服务时间、服务标准等予以公示。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30" w:firstLineChars="300"/>
        <w:jc w:val="left"/>
        <w:textAlignment w:val="auto"/>
        <w:rPr>
          <w:rFonts w:hint="eastAsia" w:ascii="仿宋" w:hAnsi="仿宋" w:eastAsia="仿宋" w:cs="仿宋"/>
          <w:color w:val="auto"/>
          <w:kern w:val="0"/>
          <w:szCs w:val="21"/>
          <w:highlight w:val="none"/>
          <w:lang w:val="zh-CN"/>
        </w:rPr>
        <w:sectPr>
          <w:pgSz w:w="16838" w:h="11905" w:orient="landscape"/>
          <w:pgMar w:top="1417" w:right="1417" w:bottom="1417" w:left="1417" w:header="851" w:footer="992" w:gutter="283"/>
          <w:pgBorders>
            <w:top w:val="none" w:sz="0" w:space="0"/>
            <w:left w:val="none" w:sz="0" w:space="0"/>
            <w:bottom w:val="none" w:sz="0" w:space="0"/>
            <w:right w:val="none" w:sz="0" w:space="0"/>
          </w:pgBorders>
          <w:cols w:space="0" w:num="1"/>
          <w:titlePg/>
          <w:rtlGutter w:val="0"/>
          <w:docGrid w:linePitch="312" w:charSpace="0"/>
        </w:sectPr>
      </w:pP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二</w:t>
      </w:r>
      <w:r>
        <w:rPr>
          <w:rFonts w:hint="eastAsia" w:ascii="仿宋" w:hAnsi="仿宋" w:eastAsia="仿宋" w:cs="仿宋"/>
          <w:color w:val="auto"/>
          <w:kern w:val="2"/>
          <w:sz w:val="28"/>
          <w:szCs w:val="28"/>
          <w:highlight w:val="none"/>
        </w:rPr>
        <w:t>、中小企业声明函</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lang w:val="en-US" w:eastAsia="zh-CN"/>
        </w:rPr>
        <w:t>如果有</w:t>
      </w:r>
      <w:r>
        <w:rPr>
          <w:rFonts w:hint="eastAsia" w:ascii="仿宋" w:hAnsi="仿宋" w:eastAsia="仿宋" w:cs="仿宋"/>
          <w:color w:val="auto"/>
          <w:kern w:val="2"/>
          <w:sz w:val="28"/>
          <w:szCs w:val="28"/>
          <w:highlight w:val="none"/>
          <w:lang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b w:val="0"/>
          <w:bCs/>
          <w:color w:val="auto"/>
          <w:szCs w:val="21"/>
          <w:highlight w:val="none"/>
        </w:rPr>
      </w:pPr>
      <w:r>
        <w:rPr>
          <w:rFonts w:hint="eastAsia" w:ascii="仿宋" w:hAnsi="仿宋" w:eastAsia="仿宋" w:cs="仿宋"/>
          <w:b w:val="0"/>
          <w:bCs/>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4"/>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3"/>
        <w:keepNext w:val="0"/>
        <w:keepLines w:val="0"/>
        <w:pageBreakBefore/>
        <w:widowControl/>
        <w:kinsoku/>
        <w:wordWrap/>
        <w:overflowPunct/>
        <w:topLinePunct w:val="0"/>
        <w:autoSpaceDE/>
        <w:autoSpaceDN/>
        <w:bidi w:val="0"/>
        <w:adjustRightInd w:val="0"/>
        <w:snapToGrid/>
        <w:spacing w:before="313" w:beforeLines="100" w:beforeAutospacing="0" w:after="313" w:afterLines="100" w:afterAutospacing="0" w:line="240" w:lineRule="auto"/>
        <w:ind w:left="0" w:firstLine="0"/>
        <w:jc w:val="center"/>
        <w:textAlignment w:val="auto"/>
        <w:rPr>
          <w:rFonts w:hint="eastAsia" w:ascii="仿宋" w:hAnsi="仿宋" w:eastAsia="仿宋" w:cs="仿宋"/>
          <w:color w:val="auto"/>
          <w:highlight w:val="none"/>
        </w:rPr>
      </w:pPr>
      <w:bookmarkStart w:id="509" w:name="_Toc465665161"/>
      <w:r>
        <w:rPr>
          <w:rFonts w:hint="eastAsia" w:ascii="仿宋" w:hAnsi="仿宋" w:eastAsia="仿宋" w:cs="仿宋"/>
          <w:color w:val="auto"/>
          <w:highlight w:val="none"/>
        </w:rPr>
        <w:t>附件</w:t>
      </w:r>
      <w:bookmarkEnd w:id="509"/>
    </w:p>
    <w:p>
      <w:pPr>
        <w:keepNext w:val="0"/>
        <w:keepLines w:val="0"/>
        <w:pageBreakBefore w:val="0"/>
        <w:widowControl w:val="0"/>
        <w:kinsoku/>
        <w:wordWrap/>
        <w:overflowPunct/>
        <w:topLinePunct w:val="0"/>
        <w:autoSpaceDE/>
        <w:autoSpaceDN/>
        <w:bidi w:val="0"/>
        <w:adjustRightInd w:val="0"/>
        <w:spacing w:before="313" w:beforeLines="100" w:after="313" w:afterLines="100" w:line="240" w:lineRule="auto"/>
        <w:textAlignment w:val="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附件1：</w:t>
      </w:r>
    </w:p>
    <w:p>
      <w:pPr>
        <w:pStyle w:val="695"/>
        <w:keepNext w:val="0"/>
        <w:keepLines w:val="0"/>
        <w:pageBreakBefore w:val="0"/>
        <w:widowControl w:val="0"/>
        <w:tabs>
          <w:tab w:val="clear" w:pos="720"/>
        </w:tabs>
        <w:kinsoku/>
        <w:wordWrap/>
        <w:overflowPunct/>
        <w:topLinePunct w:val="0"/>
        <w:autoSpaceDE/>
        <w:autoSpaceDN/>
        <w:bidi w:val="0"/>
        <w:adjustRightInd w:val="0"/>
        <w:snapToGrid w:val="0"/>
        <w:spacing w:before="313" w:beforeLines="100" w:after="313" w:afterLines="100" w:line="240" w:lineRule="auto"/>
        <w:ind w:firstLine="0"/>
        <w:textAlignment w:val="auto"/>
        <w:outlineLvl w:val="9"/>
        <w:rPr>
          <w:rFonts w:hint="eastAsia" w:ascii="仿宋" w:hAnsi="仿宋" w:eastAsia="仿宋" w:cs="仿宋"/>
          <w:b/>
          <w:bCs w:val="0"/>
          <w:color w:val="auto"/>
          <w:kern w:val="2"/>
          <w:sz w:val="28"/>
          <w:szCs w:val="28"/>
          <w:highlight w:val="none"/>
          <w:lang w:val="en-US" w:eastAsia="zh-CN"/>
        </w:rPr>
      </w:pPr>
      <w:bookmarkStart w:id="510" w:name="OLE_LINK13"/>
      <w:bookmarkStart w:id="511" w:name="OLE_LINK14"/>
      <w:r>
        <w:rPr>
          <w:rFonts w:hint="eastAsia" w:ascii="仿宋" w:hAnsi="仿宋" w:eastAsia="仿宋" w:cs="仿宋"/>
          <w:b/>
          <w:bCs w:val="0"/>
          <w:color w:val="auto"/>
          <w:kern w:val="2"/>
          <w:sz w:val="28"/>
          <w:szCs w:val="28"/>
          <w:highlight w:val="none"/>
          <w:lang w:val="en-US" w:eastAsia="zh-CN"/>
        </w:rPr>
        <w:t>残疾人福利性单位声明函</w:t>
      </w:r>
    </w:p>
    <w:bookmarkEnd w:id="510"/>
    <w:bookmarkEnd w:id="511"/>
    <w:p>
      <w:pPr>
        <w:spacing w:line="360" w:lineRule="auto"/>
        <w:rPr>
          <w:rFonts w:hint="eastAsia" w:ascii="仿宋" w:hAnsi="仿宋" w:eastAsia="仿宋" w:cs="仿宋"/>
          <w:b/>
          <w:color w:val="auto"/>
          <w:spacing w:val="6"/>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仿宋" w:hAnsi="仿宋" w:eastAsia="仿宋" w:cs="仿宋"/>
          <w:color w:val="auto"/>
          <w:szCs w:val="21"/>
          <w:highlight w:val="none"/>
          <w:u w:val="single"/>
          <w:lang w:val="en-US" w:eastAsia="zh-CN"/>
        </w:rPr>
        <w:t xml:space="preserve">  （采购人）  </w:t>
      </w:r>
      <w:r>
        <w:rPr>
          <w:rFonts w:hint="eastAsia" w:ascii="仿宋" w:hAnsi="仿宋" w:eastAsia="仿宋" w:cs="仿宋"/>
          <w:color w:val="auto"/>
          <w:szCs w:val="21"/>
          <w:highlight w:val="none"/>
        </w:rPr>
        <w:t>单位的</w:t>
      </w:r>
      <w:r>
        <w:rPr>
          <w:rFonts w:hint="eastAsia" w:ascii="仿宋" w:hAnsi="仿宋" w:eastAsia="仿宋" w:cs="仿宋"/>
          <w:color w:val="auto"/>
          <w:szCs w:val="21"/>
          <w:highlight w:val="none"/>
          <w:u w:val="single"/>
          <w:lang w:val="en-US" w:eastAsia="zh-CN"/>
        </w:rPr>
        <w:t xml:space="preserve">   （项目名称）  </w:t>
      </w:r>
      <w:r>
        <w:rPr>
          <w:rFonts w:hint="eastAsia" w:ascii="仿宋" w:hAnsi="仿宋" w:eastAsia="仿宋" w:cs="仿宋"/>
          <w:color w:val="auto"/>
          <w:szCs w:val="21"/>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本单位对上述声明的真实性负责。如有虚假，将依法承担相应责任。</w:t>
      </w:r>
    </w:p>
    <w:p>
      <w:pPr>
        <w:spacing w:line="360" w:lineRule="auto"/>
        <w:ind w:firstLine="420" w:firstLineChars="200"/>
        <w:rPr>
          <w:rFonts w:hint="eastAsia" w:ascii="仿宋" w:hAnsi="仿宋" w:eastAsia="仿宋" w:cs="仿宋"/>
          <w:color w:val="auto"/>
          <w:szCs w:val="21"/>
          <w:highlight w:val="none"/>
        </w:rPr>
      </w:pPr>
    </w:p>
    <w:p>
      <w:pPr>
        <w:spacing w:line="360" w:lineRule="auto"/>
        <w:ind w:firstLine="420" w:firstLineChars="200"/>
        <w:rPr>
          <w:rFonts w:hint="eastAsia" w:ascii="仿宋" w:hAnsi="仿宋" w:eastAsia="仿宋" w:cs="仿宋"/>
          <w:color w:val="auto"/>
          <w:szCs w:val="21"/>
          <w:highlight w:val="none"/>
        </w:rPr>
      </w:pP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lang w:val="en-US" w:eastAsia="zh-CN"/>
        </w:rPr>
        <w:t xml:space="preserve">                             </w:t>
      </w:r>
      <w:r>
        <w:rPr>
          <w:rFonts w:hint="eastAsia" w:ascii="仿宋" w:hAnsi="仿宋" w:eastAsia="仿宋" w:cs="仿宋"/>
          <w:color w:val="auto"/>
          <w:kern w:val="0"/>
          <w:szCs w:val="21"/>
          <w:highlight w:val="none"/>
          <w:lang w:val="zh-CN"/>
        </w:rPr>
        <w:t>投标人名称（电子签名）</w:t>
      </w:r>
      <w:r>
        <w:rPr>
          <w:rFonts w:hint="eastAsia" w:ascii="仿宋" w:hAnsi="仿宋" w:eastAsia="仿宋" w:cs="仿宋"/>
          <w:color w:val="auto"/>
          <w:szCs w:val="21"/>
          <w:highlight w:val="none"/>
        </w:rPr>
        <w:t>：</w:t>
      </w:r>
    </w:p>
    <w:p>
      <w:pPr>
        <w:keepNext w:val="0"/>
        <w:keepLines w:val="0"/>
        <w:pageBreakBefore w:val="0"/>
        <w:widowControl w:val="0"/>
        <w:tabs>
          <w:tab w:val="left" w:pos="4860"/>
        </w:tabs>
        <w:kinsoku/>
        <w:wordWrap/>
        <w:overflowPunct/>
        <w:topLinePunct w:val="0"/>
        <w:autoSpaceDE/>
        <w:autoSpaceDN/>
        <w:bidi w:val="0"/>
        <w:adjustRightInd w:val="0"/>
        <w:snapToGrid/>
        <w:spacing w:line="360" w:lineRule="auto"/>
        <w:ind w:right="0" w:firstLine="0" w:firstLineChars="0"/>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pStyle w:val="4"/>
        <w:rPr>
          <w:rFonts w:hint="eastAsia" w:ascii="仿宋" w:hAnsi="仿宋" w:eastAsia="仿宋" w:cs="仿宋"/>
          <w:color w:val="auto"/>
          <w:sz w:val="24"/>
          <w:highlight w:val="none"/>
        </w:rPr>
      </w:pPr>
    </w:p>
    <w:p>
      <w:pPr>
        <w:rPr>
          <w:rFonts w:hint="eastAsia"/>
          <w:color w:val="auto"/>
        </w:rPr>
      </w:pPr>
    </w:p>
    <w:p>
      <w:pPr>
        <w:rPr>
          <w:rFonts w:hint="eastAsia" w:ascii="仿宋" w:hAnsi="仿宋" w:eastAsia="仿宋" w:cs="仿宋"/>
          <w:b/>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附件2：质疑函范本及制作说明</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质疑函范本</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一、质疑供应商基本信息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lang w:val="en-US" w:eastAsia="zh-CN"/>
        </w:rPr>
      </w:pPr>
      <w:r>
        <w:rPr>
          <w:rFonts w:hint="eastAsia" w:ascii="仿宋" w:hAnsi="仿宋" w:eastAsia="仿宋" w:cs="仿宋"/>
          <w:color w:val="auto"/>
          <w:sz w:val="21"/>
          <w:szCs w:val="21"/>
          <w:highlight w:val="none"/>
        </w:rPr>
        <w:t>质疑供应商：</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lang w:val="en-US" w:eastAsia="zh-CN"/>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二、质疑项目基本情况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质疑项目的名称：</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质疑项目的编号：</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采购文件获取日期：</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三、质疑事项具体内容</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质疑事项1：</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lang w:val="en-US"/>
        </w:rPr>
      </w:pP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质疑事项2</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rPr>
        <w:t>四、与质疑事项相关的质疑请求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日期：</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质疑函制作说明：</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1.供应商提出质疑时，应提交质疑函和必要的证明材料。</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5.质疑函的质疑请求应与质疑事项相关。</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left"/>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附件3：投诉书范本及制作说明</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仿宋" w:hAnsi="仿宋" w:eastAsia="仿宋" w:cs="仿宋"/>
          <w:b/>
          <w:color w:val="auto"/>
          <w:spacing w:val="6"/>
          <w:sz w:val="28"/>
          <w:szCs w:val="28"/>
          <w:highlight w:val="none"/>
        </w:rPr>
      </w:pPr>
      <w:r>
        <w:rPr>
          <w:rFonts w:hint="eastAsia" w:ascii="仿宋" w:hAnsi="仿宋" w:eastAsia="仿宋" w:cs="仿宋"/>
          <w:b/>
          <w:color w:val="auto"/>
          <w:spacing w:val="6"/>
          <w:sz w:val="28"/>
          <w:szCs w:val="28"/>
          <w:highlight w:val="none"/>
        </w:rPr>
        <w:t>投诉书范本</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一、投诉相关主体基本情况</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dotted"/>
          <w:lang w:val="en-US" w:eastAsia="zh-CN"/>
        </w:rPr>
      </w:pPr>
      <w:r>
        <w:rPr>
          <w:rFonts w:hint="eastAsia" w:ascii="仿宋" w:hAnsi="仿宋" w:eastAsia="仿宋" w:cs="仿宋"/>
          <w:color w:val="auto"/>
          <w:sz w:val="21"/>
          <w:szCs w:val="21"/>
          <w:highlight w:val="none"/>
        </w:rPr>
        <w:t>投诉人：</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tabs>
          <w:tab w:val="left" w:pos="6510"/>
        </w:tabs>
        <w:kinsoku/>
        <w:wordWrap/>
        <w:overflowPunct/>
        <w:topLinePunct w:val="0"/>
        <w:autoSpaceDE/>
        <w:autoSpaceDN/>
        <w:bidi w:val="0"/>
        <w:adjustRightInd w:val="0"/>
        <w:snapToGrid/>
        <w:spacing w:line="360" w:lineRule="auto"/>
        <w:ind w:firstLine="0" w:firstLineChars="0"/>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法定代表人/主要负责人：</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tabs>
          <w:tab w:val="left" w:pos="6510"/>
        </w:tabs>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dotted"/>
          <w:lang w:val="en-US"/>
        </w:rPr>
      </w:pP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授权代表：</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none"/>
        </w:rPr>
        <w:t>：</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lang w:val="en-US"/>
        </w:rPr>
      </w:pPr>
      <w:r>
        <w:rPr>
          <w:rFonts w:hint="eastAsia" w:ascii="仿宋" w:hAnsi="仿宋" w:eastAsia="仿宋" w:cs="仿宋"/>
          <w:color w:val="auto"/>
          <w:sz w:val="21"/>
          <w:szCs w:val="21"/>
          <w:highlight w:val="none"/>
        </w:rPr>
        <w:t>被投诉人1：</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被投诉人2</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相关供应商：</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地址：</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邮编：</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联系电话：</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二、投诉项目基本情况</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采购项目名称：</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采购项目编号：</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包号：</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采购人名称：</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代理机构名称：</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采购文件公告: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采购结果公告:</w:t>
      </w:r>
      <w:r>
        <w:rPr>
          <w:rFonts w:hint="eastAsia" w:ascii="仿宋" w:hAnsi="仿宋" w:eastAsia="仿宋" w:cs="仿宋"/>
          <w:color w:val="auto"/>
          <w:sz w:val="21"/>
          <w:szCs w:val="21"/>
          <w:highlight w:val="none"/>
          <w:u w:val="dotted"/>
        </w:rPr>
        <w:t xml:space="preserve">是/否 </w:t>
      </w:r>
      <w:r>
        <w:rPr>
          <w:rFonts w:hint="eastAsia" w:ascii="仿宋" w:hAnsi="仿宋" w:eastAsia="仿宋" w:cs="仿宋"/>
          <w:color w:val="auto"/>
          <w:sz w:val="21"/>
          <w:szCs w:val="21"/>
          <w:highlight w:val="none"/>
        </w:rPr>
        <w:t>公告期限：</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三、质疑基本情况</w:t>
      </w:r>
    </w:p>
    <w:p>
      <w:pPr>
        <w:keepNext w:val="0"/>
        <w:keepLines w:val="0"/>
        <w:pageBreakBefore w:val="0"/>
        <w:widowControl w:val="0"/>
        <w:kinsoku/>
        <w:wordWrap w:val="0"/>
        <w:overflowPunct/>
        <w:topLinePunct w:val="0"/>
        <w:autoSpaceDE/>
        <w:autoSpaceDN/>
        <w:bidi w:val="0"/>
        <w:adjustRightInd w:val="0"/>
        <w:snapToGrid/>
        <w:spacing w:line="360" w:lineRule="auto"/>
        <w:ind w:left="630" w:leftChars="200" w:hanging="210" w:hangingChars="100"/>
        <w:textAlignment w:val="auto"/>
        <w:rPr>
          <w:rFonts w:hint="eastAsia" w:ascii="仿宋" w:hAnsi="仿宋" w:eastAsia="仿宋" w:cs="仿宋"/>
          <w:color w:val="auto"/>
          <w:sz w:val="21"/>
          <w:szCs w:val="21"/>
          <w:highlight w:val="none"/>
          <w:u w:val="dotted"/>
          <w:lang w:val="en-US" w:eastAsia="zh-CN"/>
        </w:rPr>
      </w:pPr>
      <w:r>
        <w:rPr>
          <w:rFonts w:hint="eastAsia" w:ascii="仿宋" w:hAnsi="仿宋" w:eastAsia="仿宋" w:cs="仿宋"/>
          <w:color w:val="auto"/>
          <w:sz w:val="21"/>
          <w:szCs w:val="21"/>
          <w:highlight w:val="none"/>
        </w:rPr>
        <w:t>投诉人于</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日,向</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提出质疑，质疑事项为：</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spacing w:line="360" w:lineRule="auto"/>
        <w:textAlignment w:val="auto"/>
        <w:rPr>
          <w:rFonts w:hint="eastAsia" w:ascii="仿宋" w:hAnsi="仿宋" w:eastAsia="仿宋" w:cs="仿宋"/>
          <w:color w:val="auto"/>
          <w:sz w:val="21"/>
          <w:szCs w:val="21"/>
          <w:highlight w:val="none"/>
          <w:u w:val="dotted"/>
          <w:lang w:val="en-US" w:eastAsia="zh-CN"/>
        </w:rPr>
      </w:pP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dotted"/>
        </w:rPr>
        <w:t>采购人/代理机构</w:t>
      </w:r>
      <w:r>
        <w:rPr>
          <w:rFonts w:hint="eastAsia" w:ascii="仿宋" w:hAnsi="仿宋" w:eastAsia="仿宋" w:cs="仿宋"/>
          <w:color w:val="auto"/>
          <w:sz w:val="21"/>
          <w:szCs w:val="21"/>
          <w:highlight w:val="none"/>
        </w:rPr>
        <w:t>于</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dotted"/>
          <w:lang w:val="en-US" w:eastAsia="zh-CN"/>
        </w:rPr>
        <w:t xml:space="preserve">   </w:t>
      </w:r>
      <w:r>
        <w:rPr>
          <w:rFonts w:hint="eastAsia" w:ascii="仿宋" w:hAnsi="仿宋" w:eastAsia="仿宋" w:cs="仿宋"/>
          <w:color w:val="auto"/>
          <w:sz w:val="21"/>
          <w:szCs w:val="21"/>
          <w:highlight w:val="none"/>
        </w:rPr>
        <w:t>日,就质疑事项作出了答复/没有在法定期限内作出答复。</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四、投诉事项具体内容</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投诉事项1：</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事实依据：</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dotted"/>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rPr>
        <w:t>法律依据：</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投诉事项2</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dotted"/>
        </w:rPr>
      </w:pP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五、与投诉事项相关的投诉请求</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请求：</w:t>
      </w:r>
      <w:r>
        <w:rPr>
          <w:rFonts w:hint="eastAsia" w:ascii="仿宋" w:hAnsi="仿宋" w:eastAsia="仿宋" w:cs="仿宋"/>
          <w:color w:val="auto"/>
          <w:sz w:val="21"/>
          <w:szCs w:val="21"/>
          <w:highlight w:val="none"/>
          <w:u w:val="dotted"/>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u w:val="single"/>
        </w:rPr>
      </w:pP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签字(签章)：                   公章：                      </w:t>
      </w:r>
    </w:p>
    <w:p>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color w:val="auto"/>
          <w:sz w:val="24"/>
          <w:highlight w:val="none"/>
        </w:rPr>
      </w:pPr>
      <w:r>
        <w:rPr>
          <w:rFonts w:hint="eastAsia" w:ascii="仿宋" w:hAnsi="仿宋" w:eastAsia="仿宋" w:cs="仿宋"/>
          <w:color w:val="auto"/>
          <w:sz w:val="21"/>
          <w:szCs w:val="21"/>
          <w:highlight w:val="none"/>
        </w:rPr>
        <w:t>日期：</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投诉书制作说明：</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1.投诉人提起投诉时，应当提交投诉书和必要的证明材料，并按照被投诉人和与投诉事项有关的供应商数量提供投诉书副本。</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3.投诉人若对项目的某一分包进行投诉，投诉书应列明具体分包号。</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4.投诉书应简要列明质疑事项，质疑函、质疑答复等作为附件材料提供。</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5.投诉书的投诉事项应具体、明确，并有必要的事实依据和法律依据。</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6.投诉书的投诉请求应与投诉事项相关。</w:t>
      </w:r>
    </w:p>
    <w:p>
      <w:pPr>
        <w:keepNext w:val="0"/>
        <w:keepLines w:val="0"/>
        <w:pageBreakBefore w:val="0"/>
        <w:widowControl/>
        <w:kinsoku/>
        <w:wordWrap/>
        <w:overflowPunct/>
        <w:topLinePunct w:val="0"/>
        <w:autoSpaceDE/>
        <w:autoSpaceDN/>
        <w:bidi w:val="0"/>
        <w:adjustRightInd w:val="0"/>
        <w:snapToGrid/>
        <w:spacing w:line="360" w:lineRule="auto"/>
        <w:ind w:firstLine="420" w:firstLineChars="200"/>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pStyle w:val="63"/>
        <w:rPr>
          <w:rFonts w:hint="eastAsia"/>
          <w:color w:val="auto"/>
        </w:rPr>
      </w:pP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u w:val="none"/>
        </w:rPr>
        <w:t>（采购人）、（采购代理机构）</w:t>
      </w:r>
      <w:r>
        <w:rPr>
          <w:rFonts w:hint="eastAsia" w:ascii="仿宋" w:hAnsi="仿宋" w:eastAsia="仿宋" w:cs="仿宋"/>
          <w:color w:val="auto"/>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lang w:val="zh-CN"/>
        </w:rPr>
        <w:t>我方</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sz w:val="21"/>
          <w:szCs w:val="21"/>
          <w:highlight w:val="none"/>
        </w:rPr>
        <w:t>(投标人全称)是中华人民共和国依法登记注册的合法企业，</w:t>
      </w:r>
      <w:r>
        <w:rPr>
          <w:rFonts w:hint="eastAsia" w:ascii="仿宋" w:hAnsi="仿宋" w:eastAsia="仿宋" w:cs="仿宋"/>
          <w:bCs/>
          <w:color w:val="auto"/>
          <w:sz w:val="21"/>
          <w:szCs w:val="21"/>
          <w:highlight w:val="none"/>
        </w:rPr>
        <w:t>在参加</w:t>
      </w:r>
      <w:r>
        <w:rPr>
          <w:rFonts w:hint="eastAsia" w:ascii="仿宋" w:hAnsi="仿宋" w:eastAsia="仿宋" w:cs="仿宋"/>
          <w:color w:val="auto"/>
          <w:sz w:val="21"/>
          <w:szCs w:val="21"/>
          <w:highlight w:val="none"/>
        </w:rPr>
        <w:t>你方组织的（项目名称）项目【招标编号：（采购编号）】</w:t>
      </w:r>
      <w:r>
        <w:rPr>
          <w:rFonts w:hint="eastAsia" w:ascii="仿宋" w:hAnsi="仿宋" w:eastAsia="仿宋" w:cs="仿宋"/>
          <w:bCs/>
          <w:color w:val="auto"/>
          <w:sz w:val="21"/>
          <w:szCs w:val="21"/>
          <w:highlight w:val="none"/>
        </w:rPr>
        <w:t>投标活动中作如下说明：</w:t>
      </w:r>
      <w:r>
        <w:rPr>
          <w:rFonts w:hint="eastAsia" w:ascii="仿宋" w:hAnsi="仿宋" w:eastAsia="仿宋" w:cs="仿宋"/>
          <w:color w:val="auto"/>
          <w:sz w:val="21"/>
          <w:szCs w:val="21"/>
          <w:highlight w:val="none"/>
        </w:rPr>
        <w:t>我方所使用的“XX专用章”与法定名称章具有同等的法律效力，对使用“XX专用章”的行为予以完全承认，并愿意承担相应责任。</w:t>
      </w:r>
    </w:p>
    <w:p>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480" w:firstLine="3570" w:firstLineChars="17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投标单位（法定名称章）：</w:t>
      </w:r>
    </w:p>
    <w:p>
      <w:pPr>
        <w:keepNext w:val="0"/>
        <w:keepLines w:val="0"/>
        <w:pageBreakBefore w:val="0"/>
        <w:widowControl w:val="0"/>
        <w:kinsoku/>
        <w:wordWrap/>
        <w:overflowPunct/>
        <w:topLinePunct w:val="0"/>
        <w:autoSpaceDE/>
        <w:autoSpaceDN/>
        <w:bidi w:val="0"/>
        <w:adjustRightInd w:val="0"/>
        <w:snapToGrid/>
        <w:spacing w:line="360" w:lineRule="auto"/>
        <w:ind w:right="1440" w:firstLine="494"/>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日期：       年     月     日</w:t>
      </w:r>
    </w:p>
    <w:p>
      <w:pP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附：</w:t>
      </w:r>
    </w:p>
    <w:p>
      <w:pPr>
        <w:spacing w:line="360" w:lineRule="auto"/>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3Y6j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CLdjqN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val="0"/>
          <w:bCs w:val="0"/>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val="0"/>
          <w:bCs w:val="0"/>
          <w:color w:val="auto"/>
          <w:sz w:val="21"/>
          <w:szCs w:val="21"/>
          <w:highlight w:val="none"/>
        </w:rPr>
        <w:t>投标单位法定名称章（印模）</w:t>
      </w:r>
      <w:r>
        <w:rPr>
          <w:rFonts w:hint="eastAsia" w:ascii="仿宋" w:hAnsi="仿宋" w:eastAsia="仿宋" w:cs="仿宋"/>
          <w:b w:val="0"/>
          <w:bCs w:val="0"/>
          <w:color w:val="auto"/>
          <w:sz w:val="21"/>
          <w:szCs w:val="21"/>
          <w:highlight w:val="none"/>
          <w:lang w:val="en-US" w:eastAsia="zh-CN"/>
        </w:rPr>
        <w:t xml:space="preserve">                   </w:t>
      </w:r>
      <w:r>
        <w:rPr>
          <w:rFonts w:hint="eastAsia" w:ascii="仿宋" w:hAnsi="仿宋" w:eastAsia="仿宋" w:cs="仿宋"/>
          <w:b w:val="0"/>
          <w:bCs w:val="0"/>
          <w:color w:val="auto"/>
          <w:sz w:val="21"/>
          <w:szCs w:val="21"/>
          <w:highlight w:val="none"/>
        </w:rPr>
        <w:t>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pacing w:val="6"/>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360" w:lineRule="auto"/>
        <w:ind w:right="0" w:firstLine="0" w:firstLineChars="0"/>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w:t>
      </w:r>
      <w:r>
        <w:rPr>
          <w:rFonts w:hint="eastAsia" w:ascii="仿宋" w:hAnsi="仿宋" w:eastAsia="仿宋" w:cs="仿宋"/>
          <w:b w:val="0"/>
          <w:bCs/>
          <w:color w:val="auto"/>
          <w:sz w:val="21"/>
          <w:szCs w:val="21"/>
        </w:rPr>
        <w:t>以联合体形式投标的，提供联合协议；本项目不接受联合体投标或者投标人不以联合体形式投标的，则不需要提供</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（联合体所有成员名称）</w:t>
      </w:r>
      <w:r>
        <w:rPr>
          <w:rFonts w:hint="eastAsia" w:ascii="仿宋" w:hAnsi="仿宋" w:eastAsia="仿宋" w:cs="仿宋"/>
          <w:color w:val="auto"/>
          <w:kern w:val="0"/>
          <w:sz w:val="21"/>
          <w:szCs w:val="21"/>
        </w:rPr>
        <w:t>自愿</w:t>
      </w:r>
      <w:r>
        <w:rPr>
          <w:rFonts w:hint="eastAsia" w:ascii="仿宋" w:hAnsi="仿宋" w:eastAsia="仿宋" w:cs="仿宋"/>
          <w:color w:val="auto"/>
          <w:kern w:val="0"/>
          <w:sz w:val="21"/>
          <w:szCs w:val="21"/>
          <w:lang w:val="zh-CN"/>
        </w:rPr>
        <w:t>组成一个联合体，以一个投标人的身份</w:t>
      </w:r>
      <w:r>
        <w:rPr>
          <w:rFonts w:hint="eastAsia" w:ascii="仿宋" w:hAnsi="仿宋" w:eastAsia="仿宋" w:cs="仿宋"/>
          <w:color w:val="auto"/>
          <w:kern w:val="0"/>
          <w:sz w:val="21"/>
          <w:szCs w:val="21"/>
        </w:rPr>
        <w:t>参加</w:t>
      </w:r>
      <w:r>
        <w:rPr>
          <w:rFonts w:hint="eastAsia" w:ascii="仿宋" w:hAnsi="仿宋" w:eastAsia="仿宋" w:cs="仿宋"/>
          <w:color w:val="auto"/>
          <w:sz w:val="21"/>
          <w:szCs w:val="21"/>
        </w:rPr>
        <w:t>（项目名称）【招标编号：（采购编号）】</w:t>
      </w:r>
      <w:r>
        <w:rPr>
          <w:rFonts w:hint="eastAsia" w:ascii="仿宋" w:hAnsi="仿宋" w:eastAsia="仿宋" w:cs="仿宋"/>
          <w:color w:val="auto"/>
          <w:kern w:val="0"/>
          <w:sz w:val="21"/>
          <w:szCs w:val="21"/>
          <w:lang w:val="zh-CN"/>
        </w:rPr>
        <w:t xml:space="preserve">投标。 </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一、各方一致决定，</w:t>
      </w:r>
      <w:r>
        <w:rPr>
          <w:rFonts w:hint="eastAsia" w:ascii="仿宋" w:hAnsi="仿宋" w:eastAsia="仿宋" w:cs="仿宋"/>
          <w:color w:val="auto"/>
          <w:kern w:val="0"/>
          <w:sz w:val="21"/>
          <w:szCs w:val="21"/>
          <w:u w:val="single"/>
        </w:rPr>
        <w:t>（某联合体成员名称）</w:t>
      </w:r>
      <w:r>
        <w:rPr>
          <w:rFonts w:hint="eastAsia" w:ascii="仿宋" w:hAnsi="仿宋" w:eastAsia="仿宋" w:cs="仿宋"/>
          <w:color w:val="auto"/>
          <w:kern w:val="0"/>
          <w:sz w:val="21"/>
          <w:szCs w:val="21"/>
        </w:rPr>
        <w:t>为联合体</w:t>
      </w:r>
      <w:r>
        <w:rPr>
          <w:rFonts w:hint="eastAsia" w:ascii="仿宋" w:hAnsi="仿宋" w:eastAsia="仿宋" w:cs="仿宋"/>
          <w:color w:val="auto"/>
          <w:kern w:val="0"/>
          <w:sz w:val="21"/>
          <w:szCs w:val="21"/>
          <w:lang w:val="zh-CN"/>
        </w:rPr>
        <w:t>牵头人</w:t>
      </w:r>
      <w:r>
        <w:rPr>
          <w:rFonts w:hint="eastAsia" w:ascii="仿宋" w:hAnsi="仿宋" w:eastAsia="仿宋" w:cs="仿宋"/>
          <w:color w:val="auto"/>
          <w:sz w:val="21"/>
          <w:szCs w:val="21"/>
        </w:rPr>
        <w:t>，代表所有联合体成员负责投标和合同实施阶段的主办、协调工作</w:t>
      </w:r>
      <w:r>
        <w:rPr>
          <w:rFonts w:hint="eastAsia" w:ascii="仿宋" w:hAnsi="仿宋" w:eastAsia="仿宋" w:cs="仿宋"/>
          <w:color w:val="auto"/>
          <w:kern w:val="0"/>
          <w:sz w:val="21"/>
          <w:szCs w:val="21"/>
          <w:lang w:val="zh-CN"/>
        </w:rPr>
        <w:t>。</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二、</w:t>
      </w:r>
      <w:r>
        <w:rPr>
          <w:rFonts w:hint="eastAsia" w:ascii="仿宋" w:hAnsi="仿宋" w:eastAsia="仿宋" w:cs="仿宋"/>
          <w:color w:val="auto"/>
          <w:sz w:val="21"/>
          <w:szCs w:val="21"/>
        </w:rPr>
        <w:t>所有联合体成员各方签署授权书，授权书载明的</w:t>
      </w:r>
      <w:r>
        <w:rPr>
          <w:rFonts w:hint="eastAsia" w:ascii="仿宋" w:hAnsi="仿宋" w:eastAsia="仿宋" w:cs="仿宋"/>
          <w:color w:val="auto"/>
          <w:kern w:val="0"/>
          <w:sz w:val="21"/>
          <w:szCs w:val="21"/>
          <w:lang w:val="zh-CN"/>
        </w:rPr>
        <w:t>授权代表根据招标文件规定及投标内容而对采购人、采购代理机构所作的任何合法承诺，包括书面澄清及相应等均对联合投标各方产生约束力。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三、本次联合投标中，分工如下：</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（联合体成员1）</w:t>
      </w:r>
      <w:r>
        <w:rPr>
          <w:rFonts w:hint="eastAsia" w:ascii="仿宋" w:hAnsi="仿宋" w:eastAsia="仿宋" w:cs="仿宋"/>
          <w:color w:val="auto"/>
          <w:kern w:val="0"/>
          <w:sz w:val="21"/>
          <w:szCs w:val="21"/>
          <w:lang w:val="zh-CN"/>
        </w:rPr>
        <w:t>承担的工作和义务为：</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lang w:val="zh-CN"/>
        </w:rPr>
        <w:t>；</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（联合体成员2）</w:t>
      </w:r>
      <w:r>
        <w:rPr>
          <w:rFonts w:hint="eastAsia" w:ascii="仿宋" w:hAnsi="仿宋" w:eastAsia="仿宋" w:cs="仿宋"/>
          <w:color w:val="auto"/>
          <w:kern w:val="0"/>
          <w:sz w:val="21"/>
          <w:szCs w:val="21"/>
          <w:lang w:val="zh-CN"/>
        </w:rPr>
        <w:t>承担的工作和义务为：</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lang w:val="zh-CN"/>
        </w:rPr>
        <w:t>；</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四、联合体成员中小企业合同份额。</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lang w:val="zh-CN"/>
        </w:rPr>
        <w:t>1、</w:t>
      </w:r>
      <w:r>
        <w:rPr>
          <w:rFonts w:hint="eastAsia" w:ascii="仿宋" w:hAnsi="仿宋" w:eastAsia="仿宋" w:cs="仿宋"/>
          <w:color w:val="auto"/>
          <w:kern w:val="0"/>
          <w:sz w:val="21"/>
          <w:szCs w:val="21"/>
          <w:u w:val="single"/>
        </w:rPr>
        <w:t>（</w:t>
      </w:r>
      <w:bookmarkStart w:id="512" w:name="_Hlk101131882"/>
      <w:r>
        <w:rPr>
          <w:rFonts w:hint="eastAsia" w:ascii="仿宋" w:hAnsi="仿宋" w:eastAsia="仿宋" w:cs="仿宋"/>
          <w:color w:val="auto"/>
          <w:kern w:val="0"/>
          <w:sz w:val="21"/>
          <w:szCs w:val="21"/>
          <w:u w:val="single"/>
        </w:rPr>
        <w:t>联合体成员X,……</w:t>
      </w:r>
      <w:bookmarkEnd w:id="512"/>
      <w:r>
        <w:rPr>
          <w:rFonts w:hint="eastAsia" w:ascii="仿宋" w:hAnsi="仿宋" w:eastAsia="仿宋" w:cs="仿宋"/>
          <w:color w:val="auto"/>
          <w:kern w:val="0"/>
          <w:sz w:val="21"/>
          <w:szCs w:val="21"/>
          <w:u w:val="single"/>
        </w:rPr>
        <w:t>）</w:t>
      </w:r>
      <w:r>
        <w:rPr>
          <w:rFonts w:hint="eastAsia" w:ascii="仿宋" w:hAnsi="仿宋" w:eastAsia="仿宋" w:cs="仿宋"/>
          <w:color w:val="auto"/>
          <w:kern w:val="0"/>
          <w:sz w:val="21"/>
          <w:szCs w:val="21"/>
        </w:rPr>
        <w:t>提供的全部货物由小微企业制造，其合同份额占到合同总金额</w:t>
      </w:r>
      <w:r>
        <w:rPr>
          <w:rFonts w:hint="eastAsia" w:ascii="仿宋" w:hAnsi="仿宋" w:eastAsia="仿宋" w:cs="仿宋"/>
          <w:color w:val="auto"/>
          <w:kern w:val="0"/>
          <w:sz w:val="21"/>
          <w:szCs w:val="21"/>
          <w:u w:val="single"/>
        </w:rPr>
        <w:t xml:space="preserve">     </w:t>
      </w:r>
      <w:r>
        <w:rPr>
          <w:rFonts w:hint="eastAsia" w:ascii="仿宋" w:hAnsi="仿宋" w:eastAsia="仿宋" w:cs="仿宋"/>
          <w:color w:val="auto"/>
          <w:kern w:val="0"/>
          <w:sz w:val="21"/>
          <w:szCs w:val="21"/>
        </w:rPr>
        <w:t>%以上</w:t>
      </w:r>
      <w:r>
        <w:rPr>
          <w:rFonts w:hint="eastAsia" w:ascii="仿宋" w:hAnsi="仿宋" w:eastAsia="仿宋" w:cs="仿宋"/>
          <w:color w:val="auto"/>
          <w:kern w:val="0"/>
          <w:sz w:val="21"/>
          <w:szCs w:val="21"/>
          <w:lang w:val="zh-CN"/>
        </w:rPr>
        <w:t>。</w:t>
      </w:r>
      <w:r>
        <w:rPr>
          <w:rFonts w:hint="eastAsia" w:ascii="仿宋" w:hAnsi="仿宋" w:eastAsia="仿宋" w:cs="仿宋"/>
          <w:b/>
          <w:color w:val="auto"/>
          <w:kern w:val="0"/>
          <w:sz w:val="21"/>
          <w:szCs w:val="21"/>
          <w:lang w:val="zh-CN"/>
        </w:rPr>
        <w:t>（</w:t>
      </w:r>
      <w:bookmarkStart w:id="513" w:name="_Hlk101133598"/>
      <w:r>
        <w:rPr>
          <w:rFonts w:hint="eastAsia" w:ascii="仿宋" w:hAnsi="仿宋" w:eastAsia="仿宋" w:cs="仿宋"/>
          <w:b/>
          <w:color w:val="auto"/>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1"/>
          <w:szCs w:val="21"/>
        </w:rPr>
        <w:t>拟享受以上价格扣除政策的，填写有关内容。</w:t>
      </w:r>
      <w:bookmarkEnd w:id="513"/>
      <w:r>
        <w:rPr>
          <w:rFonts w:hint="eastAsia" w:ascii="仿宋" w:hAnsi="仿宋" w:eastAsia="仿宋" w:cs="仿宋"/>
          <w:b/>
          <w:color w:val="auto"/>
          <w:kern w:val="0"/>
          <w:sz w:val="21"/>
          <w:szCs w:val="21"/>
          <w:lang w:val="zh-CN"/>
        </w:rPr>
        <w:t>）</w:t>
      </w:r>
    </w:p>
    <w:p>
      <w:pPr>
        <w:keepNext w:val="0"/>
        <w:keepLines w:val="0"/>
        <w:pageBreakBefore w:val="0"/>
        <w:widowControl w:val="0"/>
        <w:kinsoku/>
        <w:wordWrap/>
        <w:overflowPunct/>
        <w:topLinePunct w:val="0"/>
        <w:autoSpaceDE/>
        <w:autoSpaceDN/>
        <w:bidi w:val="0"/>
        <w:adjustRightInd w:val="0"/>
        <w:spacing w:line="312" w:lineRule="auto"/>
        <w:ind w:right="0" w:firstLine="420" w:firstLineChars="200"/>
        <w:textAlignment w:val="auto"/>
        <w:rPr>
          <w:rFonts w:hint="eastAsia" w:ascii="仿宋" w:hAnsi="仿宋" w:eastAsia="仿宋" w:cs="仿宋"/>
          <w:b/>
          <w:bCs/>
          <w:color w:val="auto"/>
          <w:kern w:val="0"/>
          <w:sz w:val="21"/>
          <w:szCs w:val="21"/>
          <w:lang w:val="zh-CN"/>
        </w:rPr>
      </w:pPr>
      <w:r>
        <w:rPr>
          <w:rFonts w:hint="eastAsia" w:ascii="仿宋" w:hAnsi="仿宋" w:eastAsia="仿宋" w:cs="仿宋"/>
          <w:color w:val="auto"/>
          <w:sz w:val="21"/>
          <w:szCs w:val="21"/>
        </w:rPr>
        <w:t>2、</w:t>
      </w:r>
      <w:bookmarkStart w:id="514" w:name="_Hlk101133173"/>
      <w:r>
        <w:rPr>
          <w:rFonts w:hint="eastAsia" w:ascii="仿宋" w:hAnsi="仿宋" w:eastAsia="仿宋" w:cs="仿宋"/>
          <w:color w:val="auto"/>
          <w:sz w:val="21"/>
          <w:szCs w:val="21"/>
        </w:rPr>
        <w:t>中小企业合同金额达到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w:t>
      </w:r>
      <w:r>
        <w:rPr>
          <w:rFonts w:hint="eastAsia" w:ascii="仿宋" w:hAnsi="仿宋" w:eastAsia="仿宋" w:cs="仿宋"/>
          <w:b/>
          <w:bCs/>
          <w:color w:val="auto"/>
          <w:kern w:val="0"/>
          <w:sz w:val="21"/>
          <w:szCs w:val="21"/>
          <w:lang w:val="zh-CN"/>
        </w:rPr>
        <w:t>（</w:t>
      </w:r>
      <w:r>
        <w:rPr>
          <w:rFonts w:hint="eastAsia" w:ascii="仿宋" w:hAnsi="仿宋" w:eastAsia="仿宋" w:cs="仿宋"/>
          <w:b/>
          <w:bCs/>
          <w:color w:val="auto"/>
          <w:sz w:val="21"/>
          <w:szCs w:val="21"/>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1"/>
          <w:szCs w:val="21"/>
          <w:lang w:val="zh-CN"/>
        </w:rPr>
        <w:t>）</w:t>
      </w:r>
      <w:bookmarkEnd w:id="514"/>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五、如果中标，</w:t>
      </w:r>
      <w:r>
        <w:rPr>
          <w:rFonts w:hint="eastAsia" w:ascii="仿宋" w:hAnsi="仿宋" w:eastAsia="仿宋" w:cs="仿宋"/>
          <w:color w:val="auto"/>
          <w:sz w:val="21"/>
          <w:szCs w:val="21"/>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六、有关本次联合投标的其他事宜：</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3、本协议提交采购人、采购代理机构后，联合体各方不得以任何形式对上述内容进行修改或撤销。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410" w:firstLineChars="21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4410" w:firstLineChars="21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联合体成员名称(电子签名/公章)：</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0" w:firstLineChars="0"/>
        <w:jc w:val="center"/>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right="0" w:firstLine="0" w:firstLineChars="0"/>
        <w:jc w:val="center"/>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lang w:val="zh-CN"/>
        </w:rPr>
        <w:t>日期：  年  月   日</w:t>
      </w:r>
    </w:p>
    <w:p>
      <w:pPr>
        <w:keepNext w:val="0"/>
        <w:keepLines w:val="0"/>
        <w:pageBreakBefore w:val="0"/>
        <w:widowControl w:val="0"/>
        <w:kinsoku/>
        <w:wordWrap/>
        <w:overflowPunct/>
        <w:topLinePunct w:val="0"/>
        <w:autoSpaceDE/>
        <w:autoSpaceDN/>
        <w:bidi w:val="0"/>
        <w:adjustRightInd w:val="0"/>
        <w:snapToGrid/>
        <w:spacing w:line="312" w:lineRule="auto"/>
        <w:ind w:right="0" w:firstLine="0" w:firstLineChars="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21"/>
          <w:szCs w:val="21"/>
        </w:rPr>
        <w:t>注：按本格式和要求提供。</w:t>
      </w: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jc w:val="center"/>
        <w:textAlignment w:val="auto"/>
        <w:rPr>
          <w:rFonts w:hint="eastAsia" w:ascii="仿宋" w:hAnsi="仿宋" w:eastAsia="仿宋" w:cs="仿宋"/>
          <w:b/>
          <w:color w:val="auto"/>
          <w:spacing w:val="6"/>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before="313" w:beforeLines="100" w:after="313" w:afterLines="100"/>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spacing w:val="6"/>
          <w:sz w:val="32"/>
          <w:szCs w:val="32"/>
          <w:highlight w:val="none"/>
          <w:lang w:val="zh-CN"/>
        </w:rPr>
        <w:t>分包意向协议</w:t>
      </w:r>
    </w:p>
    <w:p>
      <w:pPr>
        <w:keepNext w:val="0"/>
        <w:keepLines w:val="0"/>
        <w:pageBreakBefore w:val="0"/>
        <w:widowControl/>
        <w:kinsoku/>
        <w:wordWrap/>
        <w:overflowPunct/>
        <w:topLinePunct w:val="0"/>
        <w:autoSpaceDE/>
        <w:autoSpaceDN/>
        <w:bidi w:val="0"/>
        <w:adjustRightInd w:val="0"/>
        <w:spacing w:line="360" w:lineRule="auto"/>
        <w:ind w:right="0" w:firstLine="0" w:firstLineChars="0"/>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w:t>
      </w:r>
      <w:r>
        <w:rPr>
          <w:rFonts w:hint="eastAsia" w:ascii="仿宋" w:hAnsi="仿宋" w:eastAsia="仿宋" w:cs="仿宋"/>
          <w:b w:val="0"/>
          <w:bCs/>
          <w:color w:val="auto"/>
          <w:sz w:val="21"/>
          <w:szCs w:val="21"/>
        </w:rPr>
        <w:t>中标后以分包方式履行合同的，提供分包意向协议；采购人不同意分包或者投标人中标后不以分包方式履行合同的，则不需要提供。</w:t>
      </w:r>
      <w:r>
        <w:rPr>
          <w:rFonts w:hint="eastAsia" w:ascii="仿宋" w:hAnsi="仿宋" w:eastAsia="仿宋" w:cs="仿宋"/>
          <w:b w:val="0"/>
          <w:bCs/>
          <w:color w:val="auto"/>
          <w:sz w:val="21"/>
          <w:szCs w:val="21"/>
          <w:lang w:val="en-US" w:eastAsia="zh-CN"/>
        </w:rPr>
        <w:t>]</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lang w:val="zh-CN"/>
        </w:rPr>
        <w:t>若成为</w:t>
      </w:r>
      <w:r>
        <w:rPr>
          <w:rFonts w:hint="eastAsia" w:ascii="仿宋" w:hAnsi="仿宋" w:eastAsia="仿宋" w:cs="仿宋"/>
          <w:color w:val="auto"/>
          <w:sz w:val="21"/>
          <w:szCs w:val="21"/>
        </w:rPr>
        <w:t>（项目名称）【招标编号：（采购编号）】</w:t>
      </w:r>
      <w:r>
        <w:rPr>
          <w:rFonts w:hint="eastAsia" w:ascii="仿宋" w:hAnsi="仿宋" w:eastAsia="仿宋" w:cs="仿宋"/>
          <w:color w:val="auto"/>
          <w:kern w:val="0"/>
          <w:sz w:val="21"/>
          <w:szCs w:val="21"/>
          <w:lang w:val="zh-CN"/>
        </w:rPr>
        <w:t>的中标供应商，将依法采取分包方式履行合同。</w:t>
      </w: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rPr>
        <w:t>与</w:t>
      </w:r>
      <w:r>
        <w:rPr>
          <w:rFonts w:hint="eastAsia" w:ascii="仿宋" w:hAnsi="仿宋" w:eastAsia="仿宋" w:cs="仿宋"/>
          <w:color w:val="auto"/>
          <w:kern w:val="0"/>
          <w:sz w:val="21"/>
          <w:szCs w:val="21"/>
          <w:u w:val="single"/>
        </w:rPr>
        <w:t>（所有分包供应商名称）</w:t>
      </w:r>
      <w:r>
        <w:rPr>
          <w:rFonts w:hint="eastAsia" w:ascii="仿宋" w:hAnsi="仿宋" w:eastAsia="仿宋" w:cs="仿宋"/>
          <w:color w:val="auto"/>
          <w:kern w:val="0"/>
          <w:sz w:val="21"/>
          <w:szCs w:val="21"/>
        </w:rPr>
        <w:t>达成分包意向协议</w:t>
      </w:r>
      <w:r>
        <w:rPr>
          <w:rFonts w:hint="eastAsia" w:ascii="仿宋" w:hAnsi="仿宋" w:eastAsia="仿宋" w:cs="仿宋"/>
          <w:color w:val="auto"/>
          <w:kern w:val="0"/>
          <w:sz w:val="21"/>
          <w:szCs w:val="21"/>
          <w:lang w:val="zh-CN"/>
        </w:rPr>
        <w:t xml:space="preserve">。 </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一、分包标的及数量</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u w:val="single"/>
        </w:rPr>
        <w:t>（投标人名称）</w:t>
      </w:r>
      <w:r>
        <w:rPr>
          <w:rFonts w:hint="eastAsia" w:ascii="仿宋" w:hAnsi="仿宋" w:eastAsia="仿宋" w:cs="仿宋"/>
          <w:color w:val="auto"/>
          <w:kern w:val="0"/>
          <w:sz w:val="21"/>
          <w:szCs w:val="21"/>
          <w:lang w:val="zh-CN"/>
        </w:rPr>
        <w:t>将</w:t>
      </w:r>
      <w:r>
        <w:rPr>
          <w:rFonts w:hint="eastAsia" w:ascii="仿宋" w:hAnsi="仿宋" w:eastAsia="仿宋" w:cs="仿宋"/>
          <w:color w:val="auto"/>
          <w:sz w:val="21"/>
          <w:szCs w:val="21"/>
          <w:u w:val="single"/>
        </w:rPr>
        <w:t xml:space="preserve">  </w:t>
      </w:r>
      <w:r>
        <w:rPr>
          <w:rFonts w:hint="eastAsia" w:ascii="仿宋" w:hAnsi="仿宋" w:eastAsia="仿宋" w:cs="仿宋"/>
          <w:color w:val="auto"/>
          <w:kern w:val="0"/>
          <w:sz w:val="21"/>
          <w:szCs w:val="21"/>
          <w:u w:val="single"/>
        </w:rPr>
        <w:t xml:space="preserve"> XX工作内容   </w:t>
      </w:r>
      <w:r>
        <w:rPr>
          <w:rFonts w:hint="eastAsia" w:ascii="仿宋" w:hAnsi="仿宋" w:eastAsia="仿宋" w:cs="仿宋"/>
          <w:color w:val="auto"/>
          <w:sz w:val="21"/>
          <w:szCs w:val="21"/>
        </w:rPr>
        <w:t>分包给</w:t>
      </w:r>
      <w:r>
        <w:rPr>
          <w:rFonts w:hint="eastAsia" w:ascii="仿宋" w:hAnsi="仿宋" w:eastAsia="仿宋" w:cs="仿宋"/>
          <w:color w:val="auto"/>
          <w:kern w:val="0"/>
          <w:sz w:val="21"/>
          <w:szCs w:val="21"/>
          <w:u w:val="single"/>
        </w:rPr>
        <w:t>（分包供应商1名称）</w:t>
      </w:r>
      <w:r>
        <w:rPr>
          <w:rFonts w:hint="eastAsia" w:ascii="仿宋" w:hAnsi="仿宋" w:eastAsia="仿宋" w:cs="仿宋"/>
          <w:color w:val="auto"/>
          <w:kern w:val="0"/>
          <w:sz w:val="21"/>
          <w:szCs w:val="21"/>
          <w:lang w:val="zh-CN"/>
        </w:rPr>
        <w:t>，</w:t>
      </w:r>
      <w:r>
        <w:rPr>
          <w:rFonts w:hint="eastAsia" w:ascii="仿宋" w:hAnsi="仿宋" w:eastAsia="仿宋" w:cs="仿宋"/>
          <w:color w:val="auto"/>
          <w:kern w:val="0"/>
          <w:sz w:val="21"/>
          <w:szCs w:val="21"/>
          <w:u w:val="single"/>
        </w:rPr>
        <w:t>（分包供应商2名称），</w:t>
      </w:r>
      <w:r>
        <w:rPr>
          <w:rFonts w:hint="eastAsia" w:ascii="仿宋" w:hAnsi="仿宋" w:eastAsia="仿宋" w:cs="仿宋"/>
          <w:color w:val="auto"/>
          <w:kern w:val="0"/>
          <w:sz w:val="21"/>
          <w:szCs w:val="21"/>
          <w:lang w:val="zh-CN"/>
        </w:rPr>
        <w:t>具备承</w:t>
      </w:r>
      <w:r>
        <w:rPr>
          <w:rFonts w:hint="eastAsia" w:ascii="仿宋" w:hAnsi="仿宋" w:eastAsia="仿宋" w:cs="仿宋"/>
          <w:color w:val="auto"/>
          <w:kern w:val="0"/>
          <w:sz w:val="21"/>
          <w:szCs w:val="21"/>
        </w:rPr>
        <w:t>担</w:t>
      </w:r>
      <w:r>
        <w:rPr>
          <w:rFonts w:hint="eastAsia" w:ascii="仿宋" w:hAnsi="仿宋" w:eastAsia="仿宋" w:cs="仿宋"/>
          <w:color w:val="auto"/>
          <w:kern w:val="0"/>
          <w:sz w:val="21"/>
          <w:szCs w:val="21"/>
          <w:u w:val="single"/>
          <w:lang w:val="zh-CN"/>
        </w:rPr>
        <w:t>XX工作内容</w:t>
      </w:r>
      <w:r>
        <w:rPr>
          <w:rFonts w:hint="eastAsia" w:ascii="仿宋" w:hAnsi="仿宋" w:eastAsia="仿宋" w:cs="仿宋"/>
          <w:color w:val="auto"/>
          <w:kern w:val="0"/>
          <w:sz w:val="21"/>
          <w:szCs w:val="21"/>
          <w:lang w:val="zh-CN"/>
        </w:rPr>
        <w:t>相应资质条件且不得再次分包；</w:t>
      </w:r>
    </w:p>
    <w:p>
      <w:pPr>
        <w:pStyle w:val="4"/>
        <w:pageBreakBefore w:val="0"/>
        <w:widowControl w:val="0"/>
        <w:kinsoku/>
        <w:wordWrap w:val="0"/>
        <w:overflowPunct/>
        <w:topLinePunct w:val="0"/>
        <w:autoSpaceDE/>
        <w:autoSpaceDN/>
        <w:bidi w:val="0"/>
        <w:spacing w:line="312" w:lineRule="auto"/>
        <w:ind w:left="0" w:leftChars="0" w:firstLine="422" w:firstLineChars="200"/>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w:t>
      </w:r>
    </w:p>
    <w:p>
      <w:pPr>
        <w:pageBreakBefore w:val="0"/>
        <w:widowControl w:val="0"/>
        <w:kinsoku/>
        <w:wordWrap w:val="0"/>
        <w:overflowPunct/>
        <w:topLinePunct w:val="0"/>
        <w:autoSpaceDE/>
        <w:autoSpaceDN/>
        <w:bidi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二、分包供应商中小企业合同份额</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b/>
          <w:color w:val="auto"/>
          <w:kern w:val="0"/>
          <w:sz w:val="21"/>
          <w:szCs w:val="21"/>
          <w:lang w:val="zh-CN"/>
        </w:rPr>
      </w:pPr>
      <w:r>
        <w:rPr>
          <w:rFonts w:hint="eastAsia" w:ascii="仿宋" w:hAnsi="仿宋" w:eastAsia="仿宋" w:cs="仿宋"/>
          <w:color w:val="auto"/>
          <w:kern w:val="0"/>
          <w:sz w:val="21"/>
          <w:szCs w:val="21"/>
        </w:rPr>
        <w:t>1、</w:t>
      </w:r>
      <w:r>
        <w:rPr>
          <w:rFonts w:hint="eastAsia" w:ascii="仿宋" w:hAnsi="仿宋" w:eastAsia="仿宋" w:cs="仿宋"/>
          <w:color w:val="auto"/>
          <w:kern w:val="0"/>
          <w:sz w:val="21"/>
          <w:szCs w:val="21"/>
          <w:u w:val="single"/>
        </w:rPr>
        <w:t>（分包供应商X,……）提供的货物全部由小微企业制造，</w:t>
      </w:r>
      <w:r>
        <w:rPr>
          <w:rFonts w:hint="eastAsia" w:ascii="仿宋" w:hAnsi="仿宋" w:eastAsia="仿宋" w:cs="仿宋"/>
          <w:color w:val="auto"/>
          <w:kern w:val="0"/>
          <w:sz w:val="21"/>
          <w:szCs w:val="21"/>
        </w:rPr>
        <w:t>其合同份额占到合同总金额</w:t>
      </w:r>
      <w:r>
        <w:rPr>
          <w:rFonts w:hint="eastAsia" w:ascii="仿宋" w:hAnsi="仿宋" w:eastAsia="仿宋" w:cs="仿宋"/>
          <w:color w:val="auto"/>
          <w:kern w:val="0"/>
          <w:sz w:val="21"/>
          <w:szCs w:val="21"/>
          <w:u w:val="single"/>
          <w:lang w:val="en-US" w:eastAsia="zh-CN"/>
        </w:rPr>
        <w:t xml:space="preserve">        </w:t>
      </w:r>
      <w:r>
        <w:rPr>
          <w:rFonts w:hint="eastAsia" w:ascii="仿宋" w:hAnsi="仿宋" w:eastAsia="仿宋" w:cs="仿宋"/>
          <w:color w:val="auto"/>
          <w:kern w:val="0"/>
          <w:sz w:val="21"/>
          <w:szCs w:val="21"/>
        </w:rPr>
        <w:t>%以上</w:t>
      </w:r>
      <w:r>
        <w:rPr>
          <w:rFonts w:hint="eastAsia" w:ascii="仿宋" w:hAnsi="仿宋" w:eastAsia="仿宋" w:cs="仿宋"/>
          <w:color w:val="auto"/>
          <w:sz w:val="21"/>
          <w:szCs w:val="21"/>
        </w:rPr>
        <w:t>。</w:t>
      </w:r>
      <w:r>
        <w:rPr>
          <w:rFonts w:hint="eastAsia" w:ascii="仿宋" w:hAnsi="仿宋" w:eastAsia="仿宋" w:cs="仿宋"/>
          <w:b/>
          <w:color w:val="auto"/>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1"/>
          <w:szCs w:val="21"/>
        </w:rPr>
        <w:t>拟享受以上价格扣除政策的，填写有关内容。</w:t>
      </w:r>
      <w:r>
        <w:rPr>
          <w:rFonts w:hint="eastAsia" w:ascii="仿宋" w:hAnsi="仿宋" w:eastAsia="仿宋" w:cs="仿宋"/>
          <w:b/>
          <w:color w:val="auto"/>
          <w:kern w:val="0"/>
          <w:sz w:val="21"/>
          <w:szCs w:val="21"/>
          <w:lang w:val="zh-CN"/>
        </w:rPr>
        <w:t>）</w:t>
      </w:r>
    </w:p>
    <w:p>
      <w:pPr>
        <w:pageBreakBefore w:val="0"/>
        <w:widowControl w:val="0"/>
        <w:kinsoku/>
        <w:wordWrap w:val="0"/>
        <w:overflowPunct/>
        <w:topLinePunct w:val="0"/>
        <w:autoSpaceDE/>
        <w:autoSpaceDN/>
        <w:bidi w:val="0"/>
        <w:spacing w:line="312" w:lineRule="auto"/>
        <w:ind w:left="0" w:leftChars="0" w:firstLine="420" w:firstLineChars="200"/>
        <w:textAlignment w:val="auto"/>
        <w:rPr>
          <w:rFonts w:hint="eastAsia" w:ascii="仿宋" w:hAnsi="仿宋" w:eastAsia="仿宋" w:cs="仿宋"/>
          <w:b/>
          <w:bCs/>
          <w:color w:val="auto"/>
          <w:kern w:val="0"/>
          <w:sz w:val="21"/>
          <w:szCs w:val="21"/>
          <w:lang w:val="zh-CN"/>
        </w:rPr>
      </w:pPr>
      <w:r>
        <w:rPr>
          <w:rFonts w:hint="eastAsia" w:ascii="仿宋" w:hAnsi="仿宋" w:eastAsia="仿宋" w:cs="仿宋"/>
          <w:color w:val="auto"/>
          <w:sz w:val="21"/>
          <w:szCs w:val="21"/>
        </w:rPr>
        <w:t>2、中小企业合同金额达到</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w:t>
      </w:r>
      <w:r>
        <w:rPr>
          <w:rFonts w:hint="eastAsia" w:ascii="仿宋" w:hAnsi="仿宋" w:eastAsia="仿宋" w:cs="仿宋"/>
          <w:b/>
          <w:bCs/>
          <w:color w:val="auto"/>
          <w:kern w:val="0"/>
          <w:sz w:val="21"/>
          <w:szCs w:val="21"/>
          <w:lang w:val="zh-CN"/>
        </w:rPr>
        <w:t>（</w:t>
      </w:r>
      <w:r>
        <w:rPr>
          <w:rFonts w:hint="eastAsia" w:ascii="仿宋" w:hAnsi="仿宋" w:eastAsia="仿宋" w:cs="仿宋"/>
          <w:b/>
          <w:bCs/>
          <w:color w:val="auto"/>
          <w:sz w:val="21"/>
          <w:szCs w:val="21"/>
        </w:rPr>
        <w:t>要求合同分包形式参加的项目或采购包，供应商按招标文件第一部分招标公告申请人的资格要求中规定的</w:t>
      </w:r>
      <w:r>
        <w:rPr>
          <w:rFonts w:hint="eastAsia" w:ascii="仿宋" w:hAnsi="仿宋" w:eastAsia="仿宋" w:cs="仿宋"/>
          <w:b/>
          <w:color w:val="auto"/>
          <w:kern w:val="0"/>
          <w:sz w:val="21"/>
          <w:szCs w:val="21"/>
          <w:lang w:val="zh-CN"/>
        </w:rPr>
        <w:t>分包意向协议</w:t>
      </w:r>
      <w:r>
        <w:rPr>
          <w:rFonts w:hint="eastAsia" w:ascii="仿宋" w:hAnsi="仿宋" w:eastAsia="仿宋" w:cs="仿宋"/>
          <w:b/>
          <w:bCs/>
          <w:color w:val="auto"/>
          <w:sz w:val="21"/>
          <w:szCs w:val="21"/>
        </w:rPr>
        <w:t>中中小企业、小微企业合同金额应当达到的比例要求填写。</w:t>
      </w:r>
      <w:r>
        <w:rPr>
          <w:rFonts w:hint="eastAsia" w:ascii="仿宋" w:hAnsi="仿宋" w:eastAsia="仿宋" w:cs="仿宋"/>
          <w:b/>
          <w:bCs/>
          <w:color w:val="auto"/>
          <w:kern w:val="0"/>
          <w:sz w:val="21"/>
          <w:szCs w:val="21"/>
          <w:lang w:val="zh-CN"/>
        </w:rPr>
        <w:t>）</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三、分包工作履行期限、地点、方式</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 xml:space="preserve">                                                                          </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四、质量</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五、价款或者报酬</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六、违约责任</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七、争议解决的办法</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u w:val="single"/>
        </w:rPr>
        <w:t xml:space="preserve">                                                                          </w:t>
      </w:r>
    </w:p>
    <w:p>
      <w:pPr>
        <w:pageBreakBefore w:val="0"/>
        <w:widowControl w:val="0"/>
        <w:kinsoku/>
        <w:wordWrap w:val="0"/>
        <w:overflowPunct/>
        <w:topLinePunct w:val="0"/>
        <w:autoSpaceDE/>
        <w:autoSpaceDN/>
        <w:bidi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八、其他</w:t>
      </w:r>
    </w:p>
    <w:p>
      <w:pPr>
        <w:keepNext w:val="0"/>
        <w:keepLines w:val="0"/>
        <w:pageBreakBefore w:val="0"/>
        <w:widowControl w:val="0"/>
        <w:kinsoku/>
        <w:wordWrap w:val="0"/>
        <w:overflowPunct/>
        <w:topLinePunct w:val="0"/>
        <w:autoSpaceDE/>
        <w:autoSpaceDN/>
        <w:bidi w:val="0"/>
        <w:adjustRightInd w:val="0"/>
        <w:snapToGrid w:val="0"/>
        <w:spacing w:line="312" w:lineRule="auto"/>
        <w:ind w:left="0" w:leftChars="0" w:firstLine="420" w:firstLineChars="20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sz w:val="21"/>
          <w:szCs w:val="21"/>
        </w:rPr>
        <w:t>中小企业合同金额达到</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%，小微企业合同金额达到</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rPr>
        <w:t>%</w:t>
      </w:r>
      <w:r>
        <w:rPr>
          <w:rFonts w:hint="eastAsia" w:ascii="仿宋" w:hAnsi="仿宋" w:eastAsia="仿宋" w:cs="仿宋"/>
          <w:color w:val="auto"/>
          <w:kern w:val="0"/>
          <w:sz w:val="21"/>
          <w:szCs w:val="21"/>
          <w:lang w:val="zh-CN"/>
        </w:rPr>
        <w:t xml:space="preserve">。                                           </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lang w:val="zh-CN"/>
        </w:rPr>
        <w:t>投标人名称(电子签名)：</w:t>
      </w:r>
    </w:p>
    <w:p>
      <w:pPr>
        <w:keepNext w:val="0"/>
        <w:keepLines w:val="0"/>
        <w:pageBreakBefore w:val="0"/>
        <w:widowControl w:val="0"/>
        <w:kinsoku/>
        <w:overflowPunct/>
        <w:topLinePunct w:val="0"/>
        <w:autoSpaceDE/>
        <w:autoSpaceDN/>
        <w:bidi w:val="0"/>
        <w:adjustRightInd w:val="0"/>
        <w:snapToGrid w:val="0"/>
        <w:spacing w:line="312" w:lineRule="auto"/>
        <w:ind w:left="0" w:leftChars="0" w:firstLine="0" w:firstLineChars="0"/>
        <w:jc w:val="center"/>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lang w:val="zh-CN"/>
        </w:rPr>
        <w:t>分包供应商名称(电子签名/公章)：</w:t>
      </w:r>
    </w:p>
    <w:p>
      <w:pPr>
        <w:keepNext w:val="0"/>
        <w:keepLines w:val="0"/>
        <w:pageBreakBefore w:val="0"/>
        <w:widowControl w:val="0"/>
        <w:kinsoku/>
        <w:overflowPunct/>
        <w:topLinePunct w:val="0"/>
        <w:autoSpaceDE/>
        <w:autoSpaceDN/>
        <w:bidi w:val="0"/>
        <w:adjustRightInd w:val="0"/>
        <w:snapToGrid w:val="0"/>
        <w:spacing w:line="312" w:lineRule="auto"/>
        <w:ind w:left="0" w:leftChars="0"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lang w:val="zh-CN"/>
        </w:rPr>
        <w:t>……</w:t>
      </w:r>
    </w:p>
    <w:p>
      <w:pPr>
        <w:keepNext w:val="0"/>
        <w:keepLines w:val="0"/>
        <w:pageBreakBefore w:val="0"/>
        <w:widowControl w:val="0"/>
        <w:kinsoku/>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color w:val="auto"/>
          <w:kern w:val="0"/>
          <w:sz w:val="21"/>
          <w:szCs w:val="21"/>
          <w:lang w:val="zh-CN"/>
        </w:rPr>
      </w:pPr>
      <w:r>
        <w:rPr>
          <w:rFonts w:hint="eastAsia" w:ascii="仿宋" w:hAnsi="仿宋" w:eastAsia="仿宋" w:cs="仿宋"/>
          <w:color w:val="auto"/>
          <w:kern w:val="0"/>
          <w:sz w:val="21"/>
          <w:szCs w:val="21"/>
          <w:lang w:val="zh-CN"/>
        </w:rPr>
        <w:t xml:space="preserve">                                        日期：  年  月   日</w:t>
      </w:r>
    </w:p>
    <w:p>
      <w:pPr>
        <w:keepNext w:val="0"/>
        <w:keepLines w:val="0"/>
        <w:pageBreakBefore w:val="0"/>
        <w:widowControl w:val="0"/>
        <w:kinsoku/>
        <w:wordWrap/>
        <w:overflowPunct/>
        <w:topLinePunct w:val="0"/>
        <w:autoSpaceDE/>
        <w:autoSpaceDN/>
        <w:bidi w:val="0"/>
        <w:adjustRightInd w:val="0"/>
        <w:snapToGrid/>
        <w:spacing w:line="312" w:lineRule="auto"/>
        <w:ind w:left="0" w:leftChars="0" w:firstLine="0" w:firstLineChars="0"/>
        <w:jc w:val="both"/>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21"/>
          <w:szCs w:val="21"/>
        </w:rPr>
        <w:t>注：按本格式和要求提供。</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both"/>
        <w:textAlignment w:val="auto"/>
        <w:rPr>
          <w:rFonts w:hint="eastAsia" w:ascii="仿宋" w:hAnsi="仿宋" w:eastAsia="仿宋" w:cs="仿宋"/>
          <w:b/>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both"/>
        <w:textAlignment w:val="auto"/>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附件7：</w:t>
      </w: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before="313" w:beforeLines="100" w:after="313" w:afterLines="100" w:line="240" w:lineRule="auto"/>
        <w:jc w:val="center"/>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w:t>
      </w:r>
      <w:r>
        <w:rPr>
          <w:rFonts w:hint="eastAsia" w:ascii="仿宋" w:hAnsi="仿宋" w:eastAsia="仿宋" w:cs="仿宋"/>
          <w:b/>
          <w:color w:val="auto"/>
          <w:sz w:val="32"/>
          <w:szCs w:val="32"/>
          <w:highlight w:val="none"/>
          <w:lang w:val="en-US" w:eastAsia="zh-CN"/>
        </w:rPr>
        <w:t>货物</w:t>
      </w:r>
      <w:r>
        <w:rPr>
          <w:rFonts w:hint="eastAsia" w:ascii="仿宋" w:hAnsi="仿宋" w:eastAsia="仿宋" w:cs="仿宋"/>
          <w:b/>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本公司（联合体）郑重声明，根据《政府采购促进中小企业发展管理办法》（财库﹝2020﹞46号）的规定，本公司（联合体）参加</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u w:val="single"/>
          <w:lang w:val="en-US" w:eastAsia="zh-CN"/>
        </w:rPr>
        <w:t>采购人</w:t>
      </w:r>
      <w:r>
        <w:rPr>
          <w:rFonts w:hint="eastAsia" w:ascii="仿宋" w:hAnsi="仿宋" w:eastAsia="仿宋" w:cs="仿宋"/>
          <w:color w:val="auto"/>
          <w:sz w:val="21"/>
          <w:szCs w:val="21"/>
          <w:highlight w:val="none"/>
          <w:u w:val="single"/>
        </w:rPr>
        <w:t>）</w:t>
      </w:r>
      <w:r>
        <w:rPr>
          <w:rFonts w:hint="eastAsia" w:ascii="仿宋" w:hAnsi="仿宋" w:eastAsia="仿宋" w:cs="仿宋"/>
          <w:color w:val="auto"/>
          <w:sz w:val="21"/>
          <w:szCs w:val="21"/>
          <w:highlight w:val="none"/>
        </w:rPr>
        <w:t>的</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制造商</w:t>
      </w:r>
      <w:r>
        <w:rPr>
          <w:rFonts w:hint="eastAsia" w:ascii="仿宋" w:hAnsi="仿宋" w:eastAsia="仿宋" w:cs="仿宋"/>
          <w:color w:val="auto"/>
          <w:sz w:val="21"/>
          <w:szCs w:val="21"/>
          <w:highlight w:val="none"/>
        </w:rPr>
        <w:t xml:space="preserve">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u w:val="single"/>
        </w:rPr>
        <w:t>（标的名称）</w:t>
      </w:r>
      <w:r>
        <w:rPr>
          <w:rFonts w:hint="eastAsia" w:ascii="仿宋" w:hAnsi="仿宋" w:eastAsia="仿宋" w:cs="仿宋"/>
          <w:color w:val="auto"/>
          <w:sz w:val="21"/>
          <w:szCs w:val="21"/>
          <w:highlight w:val="none"/>
        </w:rPr>
        <w:t>，属于</w:t>
      </w:r>
      <w:r>
        <w:rPr>
          <w:rFonts w:hint="eastAsia" w:ascii="仿宋" w:hAnsi="仿宋" w:eastAsia="仿宋" w:cs="仿宋"/>
          <w:color w:val="auto"/>
          <w:sz w:val="21"/>
          <w:szCs w:val="21"/>
          <w:highlight w:val="none"/>
          <w:u w:val="single"/>
        </w:rPr>
        <w:t>（采购文件中明确的所属行业）</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制造商</w:t>
      </w:r>
      <w:r>
        <w:rPr>
          <w:rFonts w:hint="eastAsia" w:ascii="仿宋" w:hAnsi="仿宋" w:eastAsia="仿宋" w:cs="仿宋"/>
          <w:color w:val="auto"/>
          <w:sz w:val="21"/>
          <w:szCs w:val="21"/>
          <w:highlight w:val="none"/>
        </w:rPr>
        <w:t xml:space="preserve">为 </w:t>
      </w:r>
      <w:r>
        <w:rPr>
          <w:rFonts w:hint="eastAsia" w:ascii="仿宋" w:hAnsi="仿宋" w:eastAsia="仿宋" w:cs="仿宋"/>
          <w:color w:val="auto"/>
          <w:sz w:val="21"/>
          <w:szCs w:val="21"/>
          <w:highlight w:val="none"/>
          <w:u w:val="single"/>
        </w:rPr>
        <w:t>（企业名称）</w:t>
      </w:r>
      <w:r>
        <w:rPr>
          <w:rFonts w:hint="eastAsia" w:ascii="仿宋" w:hAnsi="仿宋" w:eastAsia="仿宋" w:cs="仿宋"/>
          <w:color w:val="auto"/>
          <w:sz w:val="21"/>
          <w:szCs w:val="21"/>
          <w:highlight w:val="none"/>
        </w:rPr>
        <w:t xml:space="preserve"> ，从业人员</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人，营业收入为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万元，资产总额为</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rPr>
        <w:t>万元属于</w:t>
      </w:r>
      <w:r>
        <w:rPr>
          <w:rFonts w:hint="eastAsia" w:ascii="仿宋" w:hAnsi="仿宋" w:eastAsia="仿宋" w:cs="仿宋"/>
          <w:color w:val="auto"/>
          <w:sz w:val="21"/>
          <w:szCs w:val="21"/>
          <w:highlight w:val="none"/>
          <w:u w:val="single"/>
        </w:rPr>
        <w:t xml:space="preserve"> （中型企业、小型企业、微型企业） </w:t>
      </w: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投标人名称（电子签名）：</w:t>
      </w:r>
    </w:p>
    <w:p>
      <w:pPr>
        <w:keepNext w:val="0"/>
        <w:keepLines w:val="0"/>
        <w:pageBreakBefore w:val="0"/>
        <w:widowControl w:val="0"/>
        <w:kinsoku/>
        <w:wordWrap/>
        <w:overflowPunct/>
        <w:topLinePunct w:val="0"/>
        <w:autoSpaceDE/>
        <w:autoSpaceDN/>
        <w:bidi w:val="0"/>
        <w:adjustRightInd w:val="0"/>
        <w:snapToGrid/>
        <w:spacing w:line="360" w:lineRule="auto"/>
        <w:ind w:right="0" w:firstLine="3360" w:firstLineChars="16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日期：</w:t>
      </w:r>
    </w:p>
    <w:p>
      <w:pPr>
        <w:keepNext w:val="0"/>
        <w:keepLines w:val="0"/>
        <w:pageBreakBefore w:val="0"/>
        <w:widowControl w:val="0"/>
        <w:kinsoku/>
        <w:wordWrap/>
        <w:overflowPunct/>
        <w:topLinePunct w:val="0"/>
        <w:autoSpaceDE/>
        <w:autoSpaceDN/>
        <w:bidi w:val="0"/>
        <w:adjustRightInd w:val="0"/>
        <w:snapToGrid/>
        <w:spacing w:line="360" w:lineRule="auto"/>
        <w:ind w:right="0" w:firstLine="422" w:firstLineChars="200"/>
        <w:jc w:val="left"/>
        <w:textAlignment w:val="auto"/>
        <w:rPr>
          <w:rFonts w:hint="eastAsia" w:ascii="仿宋" w:hAnsi="仿宋" w:eastAsia="仿宋" w:cs="仿宋"/>
          <w:b/>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jc w:val="left"/>
        <w:textAlignment w:val="auto"/>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auto"/>
        <w:rPr>
          <w:rFonts w:hint="eastAsia" w:ascii="仿宋" w:hAnsi="仿宋" w:eastAsia="仿宋" w:cs="仿宋"/>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rPr>
        <w:t>填写要求：</w:t>
      </w:r>
      <w:r>
        <w:rPr>
          <w:rFonts w:hint="eastAsia" w:ascii="仿宋" w:hAnsi="仿宋" w:eastAsia="仿宋" w:cs="仿宋"/>
          <w:b/>
          <w:bCs/>
          <w:color w:val="auto"/>
          <w:sz w:val="21"/>
          <w:szCs w:val="21"/>
        </w:rPr>
        <w:t>①“标的名称”、“采购文件中明确的所属行业”依据招标文件第二部分投标人须知前附表中“采购标的及其对应的中小企业划分标准所属行业”的指引逐一填写，不得缺漏；</w:t>
      </w:r>
      <w:r>
        <w:rPr>
          <w:rFonts w:hint="eastAsia" w:ascii="仿宋" w:hAnsi="仿宋" w:eastAsia="仿宋" w:cs="仿宋"/>
          <w:color w:val="auto"/>
          <w:sz w:val="21"/>
          <w:szCs w:val="21"/>
        </w:rPr>
        <w:t>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napToGrid/>
        <w:spacing w:line="360" w:lineRule="auto"/>
        <w:ind w:right="0" w:firstLine="420" w:firstLineChars="200"/>
        <w:textAlignment w:val="auto"/>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6" w:type="first"/>
      <w:footerReference r:id="rId19" w:type="first"/>
      <w:headerReference r:id="rId15" w:type="default"/>
      <w:footerReference r:id="rId17" w:type="default"/>
      <w:footerReference r:id="rId18" w:type="even"/>
      <w:pgSz w:w="11905" w:h="16838"/>
      <w:pgMar w:top="1417" w:right="1417" w:bottom="1417" w:left="1417" w:header="851" w:footer="992" w:gutter="283"/>
      <w:pgBorders>
        <w:top w:val="none" w:sz="0" w:space="0"/>
        <w:left w:val="none" w:sz="0" w:space="0"/>
        <w:bottom w:val="none" w:sz="0" w:space="0"/>
        <w:right w:val="none" w:sz="0" w:space="0"/>
      </w:pgBorders>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36110187"/>
    <w:bookmarkStart w:id="516" w:name="_Toc131845147"/>
    <w:bookmarkStart w:id="517" w:name="_Toc164085800"/>
    <w:bookmarkStart w:id="518" w:name="_Toc91899912"/>
    <w:r>
      <w:rPr>
        <w:rFonts w:hint="eastAsia" w:ascii="仿宋_GB2312" w:eastAsia="仿宋_GB2312"/>
        <w:kern w:val="0"/>
        <w:szCs w:val="21"/>
      </w:rPr>
      <w:t xml:space="preserve"> 页</w:t>
    </w:r>
    <w:bookmarkEnd w:id="515"/>
    <w:bookmarkEnd w:id="516"/>
    <w:bookmarkEnd w:id="517"/>
    <w:bookmarkEnd w:id="518"/>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ind w:left="8288" w:hanging="8312" w:hangingChars="4600"/>
      <w:jc w:val="cente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C7973"/>
    <w:multiLevelType w:val="singleLevel"/>
    <w:tmpl w:val="865C7973"/>
    <w:lvl w:ilvl="0" w:tentative="0">
      <w:start w:val="1"/>
      <w:numFmt w:val="decimal"/>
      <w:lvlText w:val="%1."/>
      <w:lvlJc w:val="left"/>
      <w:pPr>
        <w:tabs>
          <w:tab w:val="left" w:pos="312"/>
        </w:tabs>
      </w:pPr>
    </w:lvl>
  </w:abstractNum>
  <w:abstractNum w:abstractNumId="1">
    <w:nsid w:val="39A23D07"/>
    <w:multiLevelType w:val="singleLevel"/>
    <w:tmpl w:val="39A23D07"/>
    <w:lvl w:ilvl="0" w:tentative="0">
      <w:start w:val="8"/>
      <w:numFmt w:val="decimal"/>
      <w:suff w:val="space"/>
      <w:lvlText w:val="%1."/>
      <w:lvlJc w:val="left"/>
    </w:lvl>
  </w:abstractNum>
  <w:abstractNum w:abstractNumId="2">
    <w:nsid w:val="5F781037"/>
    <w:multiLevelType w:val="singleLevel"/>
    <w:tmpl w:val="5F781037"/>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NzMzYjdkMDc0MjVkNDkzYzJjNDkyMTkzODYzND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1D29"/>
    <w:rsid w:val="0002207B"/>
    <w:rsid w:val="000232FD"/>
    <w:rsid w:val="00023323"/>
    <w:rsid w:val="000233E4"/>
    <w:rsid w:val="00023495"/>
    <w:rsid w:val="0002367D"/>
    <w:rsid w:val="00023777"/>
    <w:rsid w:val="00024130"/>
    <w:rsid w:val="00024584"/>
    <w:rsid w:val="00024962"/>
    <w:rsid w:val="000249AA"/>
    <w:rsid w:val="00024F9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5AF"/>
    <w:rsid w:val="00034FA7"/>
    <w:rsid w:val="0003533D"/>
    <w:rsid w:val="000357E4"/>
    <w:rsid w:val="00035ACA"/>
    <w:rsid w:val="00040447"/>
    <w:rsid w:val="00040494"/>
    <w:rsid w:val="00040B70"/>
    <w:rsid w:val="00042441"/>
    <w:rsid w:val="00042533"/>
    <w:rsid w:val="00042DBB"/>
    <w:rsid w:val="00042E65"/>
    <w:rsid w:val="0004347C"/>
    <w:rsid w:val="00043907"/>
    <w:rsid w:val="00044C9E"/>
    <w:rsid w:val="00044F48"/>
    <w:rsid w:val="00045CE7"/>
    <w:rsid w:val="00047354"/>
    <w:rsid w:val="00050656"/>
    <w:rsid w:val="00050A19"/>
    <w:rsid w:val="000511B6"/>
    <w:rsid w:val="00051B00"/>
    <w:rsid w:val="00051C72"/>
    <w:rsid w:val="00052192"/>
    <w:rsid w:val="0005238F"/>
    <w:rsid w:val="00052787"/>
    <w:rsid w:val="00052BB8"/>
    <w:rsid w:val="00053732"/>
    <w:rsid w:val="00053806"/>
    <w:rsid w:val="0005417A"/>
    <w:rsid w:val="0005450A"/>
    <w:rsid w:val="00054D39"/>
    <w:rsid w:val="0005501B"/>
    <w:rsid w:val="000550F5"/>
    <w:rsid w:val="00055337"/>
    <w:rsid w:val="0005548F"/>
    <w:rsid w:val="000554C7"/>
    <w:rsid w:val="00056145"/>
    <w:rsid w:val="00056402"/>
    <w:rsid w:val="00056791"/>
    <w:rsid w:val="00056868"/>
    <w:rsid w:val="00056876"/>
    <w:rsid w:val="000568DF"/>
    <w:rsid w:val="00057087"/>
    <w:rsid w:val="000578A3"/>
    <w:rsid w:val="00057D4C"/>
    <w:rsid w:val="00060C48"/>
    <w:rsid w:val="00061A3C"/>
    <w:rsid w:val="00061C48"/>
    <w:rsid w:val="00064278"/>
    <w:rsid w:val="000646CA"/>
    <w:rsid w:val="000665C4"/>
    <w:rsid w:val="00067821"/>
    <w:rsid w:val="0006785E"/>
    <w:rsid w:val="00067DA9"/>
    <w:rsid w:val="00067F92"/>
    <w:rsid w:val="00067FA7"/>
    <w:rsid w:val="0007038E"/>
    <w:rsid w:val="00070701"/>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3C2"/>
    <w:rsid w:val="000A1A52"/>
    <w:rsid w:val="000A1F98"/>
    <w:rsid w:val="000A3D58"/>
    <w:rsid w:val="000A3FE3"/>
    <w:rsid w:val="000A47B0"/>
    <w:rsid w:val="000A4851"/>
    <w:rsid w:val="000A49BB"/>
    <w:rsid w:val="000A4F22"/>
    <w:rsid w:val="000A5674"/>
    <w:rsid w:val="000A5A46"/>
    <w:rsid w:val="000A7299"/>
    <w:rsid w:val="000A752E"/>
    <w:rsid w:val="000B0624"/>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0536"/>
    <w:rsid w:val="000D11E5"/>
    <w:rsid w:val="000D19E8"/>
    <w:rsid w:val="000D1FA1"/>
    <w:rsid w:val="000D2834"/>
    <w:rsid w:val="000D2CAC"/>
    <w:rsid w:val="000D34C8"/>
    <w:rsid w:val="000D34FD"/>
    <w:rsid w:val="000D39E2"/>
    <w:rsid w:val="000D3BE5"/>
    <w:rsid w:val="000D3C37"/>
    <w:rsid w:val="000D453A"/>
    <w:rsid w:val="000D4AFA"/>
    <w:rsid w:val="000D5EA6"/>
    <w:rsid w:val="000D5F00"/>
    <w:rsid w:val="000D6C9F"/>
    <w:rsid w:val="000D6E3B"/>
    <w:rsid w:val="000D6F30"/>
    <w:rsid w:val="000D74E4"/>
    <w:rsid w:val="000D7C9D"/>
    <w:rsid w:val="000D7CE0"/>
    <w:rsid w:val="000E07E7"/>
    <w:rsid w:val="000E19B2"/>
    <w:rsid w:val="000E2785"/>
    <w:rsid w:val="000E27BB"/>
    <w:rsid w:val="000E3153"/>
    <w:rsid w:val="000E3484"/>
    <w:rsid w:val="000E386F"/>
    <w:rsid w:val="000E4051"/>
    <w:rsid w:val="000E4139"/>
    <w:rsid w:val="000E4765"/>
    <w:rsid w:val="000E5B7E"/>
    <w:rsid w:val="000E5FF9"/>
    <w:rsid w:val="000E6AE1"/>
    <w:rsid w:val="000E6B69"/>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1C"/>
    <w:rsid w:val="000F4E67"/>
    <w:rsid w:val="000F505B"/>
    <w:rsid w:val="000F5677"/>
    <w:rsid w:val="000F5DDB"/>
    <w:rsid w:val="000F628E"/>
    <w:rsid w:val="000F68A0"/>
    <w:rsid w:val="000F6CC2"/>
    <w:rsid w:val="000F729C"/>
    <w:rsid w:val="000F7D4B"/>
    <w:rsid w:val="0010118C"/>
    <w:rsid w:val="001011C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BAD"/>
    <w:rsid w:val="00106E0E"/>
    <w:rsid w:val="001078A5"/>
    <w:rsid w:val="00107BBD"/>
    <w:rsid w:val="00107BC7"/>
    <w:rsid w:val="00110033"/>
    <w:rsid w:val="001102B5"/>
    <w:rsid w:val="0011052A"/>
    <w:rsid w:val="00110B86"/>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248"/>
    <w:rsid w:val="0012153F"/>
    <w:rsid w:val="0012159D"/>
    <w:rsid w:val="00121804"/>
    <w:rsid w:val="00121EC9"/>
    <w:rsid w:val="001224FE"/>
    <w:rsid w:val="001228EA"/>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716"/>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18D"/>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57DC8"/>
    <w:rsid w:val="00161185"/>
    <w:rsid w:val="001620BA"/>
    <w:rsid w:val="001623AC"/>
    <w:rsid w:val="00162956"/>
    <w:rsid w:val="00162BAA"/>
    <w:rsid w:val="00162DD5"/>
    <w:rsid w:val="00163C40"/>
    <w:rsid w:val="0016488B"/>
    <w:rsid w:val="00165758"/>
    <w:rsid w:val="00165A65"/>
    <w:rsid w:val="00166317"/>
    <w:rsid w:val="00166CC2"/>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3D00"/>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3AE5"/>
    <w:rsid w:val="001A473A"/>
    <w:rsid w:val="001A4ED9"/>
    <w:rsid w:val="001A5785"/>
    <w:rsid w:val="001A5FD7"/>
    <w:rsid w:val="001A66A6"/>
    <w:rsid w:val="001A6BAF"/>
    <w:rsid w:val="001A6BBB"/>
    <w:rsid w:val="001A79A2"/>
    <w:rsid w:val="001B06A6"/>
    <w:rsid w:val="001B13BF"/>
    <w:rsid w:val="001B16F5"/>
    <w:rsid w:val="001B1945"/>
    <w:rsid w:val="001B1C1F"/>
    <w:rsid w:val="001B219B"/>
    <w:rsid w:val="001B2703"/>
    <w:rsid w:val="001B285A"/>
    <w:rsid w:val="001B3DCD"/>
    <w:rsid w:val="001B45B9"/>
    <w:rsid w:val="001B46B2"/>
    <w:rsid w:val="001B4725"/>
    <w:rsid w:val="001B48B2"/>
    <w:rsid w:val="001B49DA"/>
    <w:rsid w:val="001B4CA8"/>
    <w:rsid w:val="001B56F2"/>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26B"/>
    <w:rsid w:val="001C6047"/>
    <w:rsid w:val="001C6698"/>
    <w:rsid w:val="001C6C5B"/>
    <w:rsid w:val="001C7399"/>
    <w:rsid w:val="001C7CE0"/>
    <w:rsid w:val="001D005B"/>
    <w:rsid w:val="001D0947"/>
    <w:rsid w:val="001D11A3"/>
    <w:rsid w:val="001D16F5"/>
    <w:rsid w:val="001D1970"/>
    <w:rsid w:val="001D1D55"/>
    <w:rsid w:val="001D21EF"/>
    <w:rsid w:val="001D29A4"/>
    <w:rsid w:val="001D2B73"/>
    <w:rsid w:val="001D3136"/>
    <w:rsid w:val="001D330D"/>
    <w:rsid w:val="001D3F15"/>
    <w:rsid w:val="001D4AB6"/>
    <w:rsid w:val="001D4AD3"/>
    <w:rsid w:val="001D517B"/>
    <w:rsid w:val="001D5281"/>
    <w:rsid w:val="001D6448"/>
    <w:rsid w:val="001E17E3"/>
    <w:rsid w:val="001E2052"/>
    <w:rsid w:val="001E22D8"/>
    <w:rsid w:val="001E2492"/>
    <w:rsid w:val="001E257C"/>
    <w:rsid w:val="001E286C"/>
    <w:rsid w:val="001E2E42"/>
    <w:rsid w:val="001E2F23"/>
    <w:rsid w:val="001E2F34"/>
    <w:rsid w:val="001E35EE"/>
    <w:rsid w:val="001E36B9"/>
    <w:rsid w:val="001E4B2C"/>
    <w:rsid w:val="001E507F"/>
    <w:rsid w:val="001E532A"/>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F00"/>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6FEA"/>
    <w:rsid w:val="00217E1F"/>
    <w:rsid w:val="002204BC"/>
    <w:rsid w:val="00220966"/>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42B"/>
    <w:rsid w:val="00231B0B"/>
    <w:rsid w:val="00232171"/>
    <w:rsid w:val="00232555"/>
    <w:rsid w:val="00233538"/>
    <w:rsid w:val="00234248"/>
    <w:rsid w:val="0023449F"/>
    <w:rsid w:val="002344F5"/>
    <w:rsid w:val="0023454D"/>
    <w:rsid w:val="00234679"/>
    <w:rsid w:val="002356F8"/>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B76"/>
    <w:rsid w:val="002A4060"/>
    <w:rsid w:val="002A4868"/>
    <w:rsid w:val="002A4A05"/>
    <w:rsid w:val="002A4EB3"/>
    <w:rsid w:val="002A51D9"/>
    <w:rsid w:val="002A525A"/>
    <w:rsid w:val="002A5968"/>
    <w:rsid w:val="002A5CAB"/>
    <w:rsid w:val="002A5D40"/>
    <w:rsid w:val="002A5FCF"/>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550"/>
    <w:rsid w:val="002B51B6"/>
    <w:rsid w:val="002B5AEE"/>
    <w:rsid w:val="002B6177"/>
    <w:rsid w:val="002B650C"/>
    <w:rsid w:val="002B68E6"/>
    <w:rsid w:val="002B6985"/>
    <w:rsid w:val="002B6D7A"/>
    <w:rsid w:val="002B73A8"/>
    <w:rsid w:val="002C02BA"/>
    <w:rsid w:val="002C0301"/>
    <w:rsid w:val="002C0326"/>
    <w:rsid w:val="002C0392"/>
    <w:rsid w:val="002C0A9F"/>
    <w:rsid w:val="002C1AB3"/>
    <w:rsid w:val="002C1BB7"/>
    <w:rsid w:val="002C1FB3"/>
    <w:rsid w:val="002C2665"/>
    <w:rsid w:val="002C28E1"/>
    <w:rsid w:val="002C2EE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3DA8"/>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EA8"/>
    <w:rsid w:val="002E201C"/>
    <w:rsid w:val="002E22CA"/>
    <w:rsid w:val="002E236F"/>
    <w:rsid w:val="002E306C"/>
    <w:rsid w:val="002E37C5"/>
    <w:rsid w:val="002E3956"/>
    <w:rsid w:val="002E3C08"/>
    <w:rsid w:val="002E3CF2"/>
    <w:rsid w:val="002E469E"/>
    <w:rsid w:val="002E4C01"/>
    <w:rsid w:val="002E4D50"/>
    <w:rsid w:val="002E55FF"/>
    <w:rsid w:val="002E587E"/>
    <w:rsid w:val="002E672A"/>
    <w:rsid w:val="002E6853"/>
    <w:rsid w:val="002E763C"/>
    <w:rsid w:val="002E7EC1"/>
    <w:rsid w:val="002E7EE5"/>
    <w:rsid w:val="002F0323"/>
    <w:rsid w:val="002F0DFB"/>
    <w:rsid w:val="002F134F"/>
    <w:rsid w:val="002F1D0B"/>
    <w:rsid w:val="002F1E1D"/>
    <w:rsid w:val="002F1F02"/>
    <w:rsid w:val="002F2736"/>
    <w:rsid w:val="002F27E5"/>
    <w:rsid w:val="002F2D81"/>
    <w:rsid w:val="002F2F66"/>
    <w:rsid w:val="002F39D4"/>
    <w:rsid w:val="002F4567"/>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8B3"/>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3F01"/>
    <w:rsid w:val="0031430C"/>
    <w:rsid w:val="00314919"/>
    <w:rsid w:val="00314C43"/>
    <w:rsid w:val="00314C5A"/>
    <w:rsid w:val="0031531A"/>
    <w:rsid w:val="00315394"/>
    <w:rsid w:val="00315D77"/>
    <w:rsid w:val="00315D8E"/>
    <w:rsid w:val="00316002"/>
    <w:rsid w:val="00316CDE"/>
    <w:rsid w:val="00316F93"/>
    <w:rsid w:val="0031752D"/>
    <w:rsid w:val="00317709"/>
    <w:rsid w:val="00320688"/>
    <w:rsid w:val="00320B75"/>
    <w:rsid w:val="00320D8E"/>
    <w:rsid w:val="0032190A"/>
    <w:rsid w:val="00321DB7"/>
    <w:rsid w:val="00321E7A"/>
    <w:rsid w:val="0032213A"/>
    <w:rsid w:val="0032226D"/>
    <w:rsid w:val="003235E6"/>
    <w:rsid w:val="003237BC"/>
    <w:rsid w:val="00324038"/>
    <w:rsid w:val="00324699"/>
    <w:rsid w:val="00324951"/>
    <w:rsid w:val="003249F6"/>
    <w:rsid w:val="00324B2F"/>
    <w:rsid w:val="00325FCC"/>
    <w:rsid w:val="00326106"/>
    <w:rsid w:val="00326805"/>
    <w:rsid w:val="003269B7"/>
    <w:rsid w:val="00326C0E"/>
    <w:rsid w:val="003272A3"/>
    <w:rsid w:val="003272E4"/>
    <w:rsid w:val="0032754D"/>
    <w:rsid w:val="00327B71"/>
    <w:rsid w:val="0033108B"/>
    <w:rsid w:val="00331461"/>
    <w:rsid w:val="003316A8"/>
    <w:rsid w:val="00331C80"/>
    <w:rsid w:val="00331CC9"/>
    <w:rsid w:val="003320D7"/>
    <w:rsid w:val="00332265"/>
    <w:rsid w:val="00332862"/>
    <w:rsid w:val="00332D52"/>
    <w:rsid w:val="00333337"/>
    <w:rsid w:val="00333A28"/>
    <w:rsid w:val="00333B6C"/>
    <w:rsid w:val="00334565"/>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12"/>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57A7D"/>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095"/>
    <w:rsid w:val="003703BB"/>
    <w:rsid w:val="003705EA"/>
    <w:rsid w:val="00370A56"/>
    <w:rsid w:val="00371213"/>
    <w:rsid w:val="00372842"/>
    <w:rsid w:val="003729A5"/>
    <w:rsid w:val="00372C89"/>
    <w:rsid w:val="00372E9A"/>
    <w:rsid w:val="003735B9"/>
    <w:rsid w:val="00373634"/>
    <w:rsid w:val="00373AB1"/>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74C"/>
    <w:rsid w:val="00385B16"/>
    <w:rsid w:val="00385B96"/>
    <w:rsid w:val="0038637D"/>
    <w:rsid w:val="003868F6"/>
    <w:rsid w:val="003869DC"/>
    <w:rsid w:val="00386C07"/>
    <w:rsid w:val="00386F58"/>
    <w:rsid w:val="0038700D"/>
    <w:rsid w:val="003879CE"/>
    <w:rsid w:val="00387B88"/>
    <w:rsid w:val="00387D37"/>
    <w:rsid w:val="00390B8F"/>
    <w:rsid w:val="00390C0D"/>
    <w:rsid w:val="0039130A"/>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76B"/>
    <w:rsid w:val="003A7E2B"/>
    <w:rsid w:val="003A7E40"/>
    <w:rsid w:val="003A7F19"/>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4E1C"/>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0A7"/>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FC5"/>
    <w:rsid w:val="00406745"/>
    <w:rsid w:val="0040674B"/>
    <w:rsid w:val="00406B32"/>
    <w:rsid w:val="004074FA"/>
    <w:rsid w:val="00407A56"/>
    <w:rsid w:val="00407FCC"/>
    <w:rsid w:val="0041035A"/>
    <w:rsid w:val="004103C1"/>
    <w:rsid w:val="00410DEF"/>
    <w:rsid w:val="00410E76"/>
    <w:rsid w:val="004112D1"/>
    <w:rsid w:val="00411320"/>
    <w:rsid w:val="004113C9"/>
    <w:rsid w:val="00411D1E"/>
    <w:rsid w:val="00411DF2"/>
    <w:rsid w:val="004120DF"/>
    <w:rsid w:val="00412635"/>
    <w:rsid w:val="004126B5"/>
    <w:rsid w:val="00413865"/>
    <w:rsid w:val="00414909"/>
    <w:rsid w:val="00415034"/>
    <w:rsid w:val="00415B1A"/>
    <w:rsid w:val="00415B1B"/>
    <w:rsid w:val="00415DFD"/>
    <w:rsid w:val="00416208"/>
    <w:rsid w:val="0041690F"/>
    <w:rsid w:val="004169D3"/>
    <w:rsid w:val="00416C2B"/>
    <w:rsid w:val="00416D41"/>
    <w:rsid w:val="00416E47"/>
    <w:rsid w:val="00416E70"/>
    <w:rsid w:val="00417264"/>
    <w:rsid w:val="00420D46"/>
    <w:rsid w:val="004210C0"/>
    <w:rsid w:val="004211DD"/>
    <w:rsid w:val="00421762"/>
    <w:rsid w:val="00421D4B"/>
    <w:rsid w:val="00421E50"/>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0B7D"/>
    <w:rsid w:val="00431A2A"/>
    <w:rsid w:val="00432ECA"/>
    <w:rsid w:val="0043554E"/>
    <w:rsid w:val="004355D4"/>
    <w:rsid w:val="004357B1"/>
    <w:rsid w:val="00435821"/>
    <w:rsid w:val="0043583E"/>
    <w:rsid w:val="00436CCE"/>
    <w:rsid w:val="00436EAD"/>
    <w:rsid w:val="004375E1"/>
    <w:rsid w:val="00437A2F"/>
    <w:rsid w:val="00437BF8"/>
    <w:rsid w:val="00440262"/>
    <w:rsid w:val="004406BF"/>
    <w:rsid w:val="00440814"/>
    <w:rsid w:val="0044105D"/>
    <w:rsid w:val="00441424"/>
    <w:rsid w:val="00442421"/>
    <w:rsid w:val="00442731"/>
    <w:rsid w:val="00442C12"/>
    <w:rsid w:val="004434DF"/>
    <w:rsid w:val="0044354B"/>
    <w:rsid w:val="0044493E"/>
    <w:rsid w:val="00444A1F"/>
    <w:rsid w:val="00444FC6"/>
    <w:rsid w:val="00445874"/>
    <w:rsid w:val="00445C38"/>
    <w:rsid w:val="0044686B"/>
    <w:rsid w:val="004475F7"/>
    <w:rsid w:val="00447AE4"/>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154"/>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29C"/>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47B"/>
    <w:rsid w:val="00481D0B"/>
    <w:rsid w:val="004824A9"/>
    <w:rsid w:val="00483091"/>
    <w:rsid w:val="00483140"/>
    <w:rsid w:val="00483984"/>
    <w:rsid w:val="00483BC7"/>
    <w:rsid w:val="00483CF0"/>
    <w:rsid w:val="00484D4D"/>
    <w:rsid w:val="00486516"/>
    <w:rsid w:val="0048664F"/>
    <w:rsid w:val="004868AD"/>
    <w:rsid w:val="0048695F"/>
    <w:rsid w:val="00486D00"/>
    <w:rsid w:val="00487FE1"/>
    <w:rsid w:val="00490707"/>
    <w:rsid w:val="00490815"/>
    <w:rsid w:val="00490F38"/>
    <w:rsid w:val="0049117E"/>
    <w:rsid w:val="00492503"/>
    <w:rsid w:val="00492572"/>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099"/>
    <w:rsid w:val="004B2463"/>
    <w:rsid w:val="004B2B0A"/>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D39"/>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0DA"/>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EB"/>
    <w:rsid w:val="004E777F"/>
    <w:rsid w:val="004F07F2"/>
    <w:rsid w:val="004F07F9"/>
    <w:rsid w:val="004F0A50"/>
    <w:rsid w:val="004F0D1F"/>
    <w:rsid w:val="004F0E82"/>
    <w:rsid w:val="004F1120"/>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F1F"/>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4416"/>
    <w:rsid w:val="005256D6"/>
    <w:rsid w:val="00525AD8"/>
    <w:rsid w:val="00525DD8"/>
    <w:rsid w:val="00526429"/>
    <w:rsid w:val="005266C1"/>
    <w:rsid w:val="005267F4"/>
    <w:rsid w:val="005269D3"/>
    <w:rsid w:val="00527317"/>
    <w:rsid w:val="00527ED6"/>
    <w:rsid w:val="0053024F"/>
    <w:rsid w:val="0053058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1F0F"/>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3FF"/>
    <w:rsid w:val="00547BA2"/>
    <w:rsid w:val="00550AC5"/>
    <w:rsid w:val="00550B7E"/>
    <w:rsid w:val="00551052"/>
    <w:rsid w:val="005524ED"/>
    <w:rsid w:val="0055396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C39"/>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6E0"/>
    <w:rsid w:val="0057200B"/>
    <w:rsid w:val="00572297"/>
    <w:rsid w:val="0057344A"/>
    <w:rsid w:val="0057345D"/>
    <w:rsid w:val="0057347D"/>
    <w:rsid w:val="00573560"/>
    <w:rsid w:val="00574549"/>
    <w:rsid w:val="00574B3F"/>
    <w:rsid w:val="00574E7B"/>
    <w:rsid w:val="00574F36"/>
    <w:rsid w:val="00575211"/>
    <w:rsid w:val="00576B5C"/>
    <w:rsid w:val="005770CC"/>
    <w:rsid w:val="005802F9"/>
    <w:rsid w:val="005806D5"/>
    <w:rsid w:val="00580DFC"/>
    <w:rsid w:val="00581113"/>
    <w:rsid w:val="0058134C"/>
    <w:rsid w:val="005815CD"/>
    <w:rsid w:val="005827A7"/>
    <w:rsid w:val="00583D43"/>
    <w:rsid w:val="005846C3"/>
    <w:rsid w:val="00584F04"/>
    <w:rsid w:val="0058544C"/>
    <w:rsid w:val="00585623"/>
    <w:rsid w:val="005857F7"/>
    <w:rsid w:val="00585A29"/>
    <w:rsid w:val="005865E9"/>
    <w:rsid w:val="005868FD"/>
    <w:rsid w:val="00587D7B"/>
    <w:rsid w:val="005904DB"/>
    <w:rsid w:val="005905ED"/>
    <w:rsid w:val="00590995"/>
    <w:rsid w:val="00590D11"/>
    <w:rsid w:val="00591BA6"/>
    <w:rsid w:val="00592825"/>
    <w:rsid w:val="0059376C"/>
    <w:rsid w:val="00594437"/>
    <w:rsid w:val="00594B70"/>
    <w:rsid w:val="00595290"/>
    <w:rsid w:val="00595CD5"/>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6F8"/>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028"/>
    <w:rsid w:val="005B58F7"/>
    <w:rsid w:val="005B5981"/>
    <w:rsid w:val="005B5994"/>
    <w:rsid w:val="005B6474"/>
    <w:rsid w:val="005B666D"/>
    <w:rsid w:val="005B667A"/>
    <w:rsid w:val="005B6865"/>
    <w:rsid w:val="005B7355"/>
    <w:rsid w:val="005C039B"/>
    <w:rsid w:val="005C059F"/>
    <w:rsid w:val="005C07CE"/>
    <w:rsid w:val="005C0B8F"/>
    <w:rsid w:val="005C1076"/>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BA0"/>
    <w:rsid w:val="005D01C3"/>
    <w:rsid w:val="005D05FF"/>
    <w:rsid w:val="005D0FB4"/>
    <w:rsid w:val="005D1176"/>
    <w:rsid w:val="005D1747"/>
    <w:rsid w:val="005D266D"/>
    <w:rsid w:val="005D306D"/>
    <w:rsid w:val="005D3327"/>
    <w:rsid w:val="005D3CBE"/>
    <w:rsid w:val="005D4854"/>
    <w:rsid w:val="005D5BCF"/>
    <w:rsid w:val="005D65BF"/>
    <w:rsid w:val="005D6CB0"/>
    <w:rsid w:val="005D6D84"/>
    <w:rsid w:val="005D70A1"/>
    <w:rsid w:val="005D7947"/>
    <w:rsid w:val="005D79F2"/>
    <w:rsid w:val="005D7CB1"/>
    <w:rsid w:val="005D7F57"/>
    <w:rsid w:val="005E0067"/>
    <w:rsid w:val="005E0141"/>
    <w:rsid w:val="005E09CA"/>
    <w:rsid w:val="005E1AB4"/>
    <w:rsid w:val="005E255B"/>
    <w:rsid w:val="005E2CF7"/>
    <w:rsid w:val="005E39D7"/>
    <w:rsid w:val="005E4543"/>
    <w:rsid w:val="005E4A1C"/>
    <w:rsid w:val="005E56C9"/>
    <w:rsid w:val="005E5CF7"/>
    <w:rsid w:val="005E5FF0"/>
    <w:rsid w:val="005E642A"/>
    <w:rsid w:val="005E65A7"/>
    <w:rsid w:val="005E6F0F"/>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0CC"/>
    <w:rsid w:val="00603373"/>
    <w:rsid w:val="006036D0"/>
    <w:rsid w:val="00603B1C"/>
    <w:rsid w:val="006042CD"/>
    <w:rsid w:val="00604BBE"/>
    <w:rsid w:val="00605217"/>
    <w:rsid w:val="006054A5"/>
    <w:rsid w:val="006059E4"/>
    <w:rsid w:val="00605D60"/>
    <w:rsid w:val="006062A0"/>
    <w:rsid w:val="00607015"/>
    <w:rsid w:val="0061098D"/>
    <w:rsid w:val="00610B78"/>
    <w:rsid w:val="00611290"/>
    <w:rsid w:val="0061146B"/>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26D"/>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2D4"/>
    <w:rsid w:val="00642C69"/>
    <w:rsid w:val="0064330A"/>
    <w:rsid w:val="00643E90"/>
    <w:rsid w:val="00643F89"/>
    <w:rsid w:val="00644334"/>
    <w:rsid w:val="0064487C"/>
    <w:rsid w:val="00644BED"/>
    <w:rsid w:val="00644E2E"/>
    <w:rsid w:val="006456C7"/>
    <w:rsid w:val="00645A3A"/>
    <w:rsid w:val="00645B87"/>
    <w:rsid w:val="00645CB4"/>
    <w:rsid w:val="00646084"/>
    <w:rsid w:val="006468ED"/>
    <w:rsid w:val="00647664"/>
    <w:rsid w:val="0064780A"/>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078"/>
    <w:rsid w:val="006576BA"/>
    <w:rsid w:val="006600BF"/>
    <w:rsid w:val="00660AF7"/>
    <w:rsid w:val="00660D3E"/>
    <w:rsid w:val="00661691"/>
    <w:rsid w:val="00662D3D"/>
    <w:rsid w:val="00662F1F"/>
    <w:rsid w:val="00663D15"/>
    <w:rsid w:val="0066466C"/>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A2E"/>
    <w:rsid w:val="00686E80"/>
    <w:rsid w:val="0068790B"/>
    <w:rsid w:val="00687AF2"/>
    <w:rsid w:val="00687C55"/>
    <w:rsid w:val="006901AC"/>
    <w:rsid w:val="00690C8D"/>
    <w:rsid w:val="00691890"/>
    <w:rsid w:val="00691AAD"/>
    <w:rsid w:val="00692416"/>
    <w:rsid w:val="00692AFF"/>
    <w:rsid w:val="00692D2D"/>
    <w:rsid w:val="00693B73"/>
    <w:rsid w:val="006945A1"/>
    <w:rsid w:val="00694A53"/>
    <w:rsid w:val="00694D60"/>
    <w:rsid w:val="006951C0"/>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92"/>
    <w:rsid w:val="006A0DC7"/>
    <w:rsid w:val="006A150D"/>
    <w:rsid w:val="006A1B00"/>
    <w:rsid w:val="006A2766"/>
    <w:rsid w:val="006A39D0"/>
    <w:rsid w:val="006A3E91"/>
    <w:rsid w:val="006A4321"/>
    <w:rsid w:val="006A4E20"/>
    <w:rsid w:val="006A4F11"/>
    <w:rsid w:val="006A563C"/>
    <w:rsid w:val="006A5797"/>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3E14"/>
    <w:rsid w:val="006B4CF8"/>
    <w:rsid w:val="006B506B"/>
    <w:rsid w:val="006B54E8"/>
    <w:rsid w:val="006B5FBC"/>
    <w:rsid w:val="006B6ED2"/>
    <w:rsid w:val="006B7F74"/>
    <w:rsid w:val="006C0230"/>
    <w:rsid w:val="006C05C7"/>
    <w:rsid w:val="006C0E4A"/>
    <w:rsid w:val="006C25AB"/>
    <w:rsid w:val="006C2DA6"/>
    <w:rsid w:val="006C3581"/>
    <w:rsid w:val="006C39A0"/>
    <w:rsid w:val="006C3D56"/>
    <w:rsid w:val="006C3EFE"/>
    <w:rsid w:val="006C46C7"/>
    <w:rsid w:val="006C4767"/>
    <w:rsid w:val="006C4A1A"/>
    <w:rsid w:val="006C4D02"/>
    <w:rsid w:val="006C53A4"/>
    <w:rsid w:val="006C54DF"/>
    <w:rsid w:val="006C5D5D"/>
    <w:rsid w:val="006C6171"/>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490"/>
    <w:rsid w:val="006E4667"/>
    <w:rsid w:val="006E46B7"/>
    <w:rsid w:val="006E475A"/>
    <w:rsid w:val="006E486D"/>
    <w:rsid w:val="006E4880"/>
    <w:rsid w:val="006E48BB"/>
    <w:rsid w:val="006E6E71"/>
    <w:rsid w:val="006E727B"/>
    <w:rsid w:val="006E76C8"/>
    <w:rsid w:val="006E7A92"/>
    <w:rsid w:val="006F01FF"/>
    <w:rsid w:val="006F0CB2"/>
    <w:rsid w:val="006F14EF"/>
    <w:rsid w:val="006F1DE9"/>
    <w:rsid w:val="006F2046"/>
    <w:rsid w:val="006F2C79"/>
    <w:rsid w:val="006F2F59"/>
    <w:rsid w:val="006F311E"/>
    <w:rsid w:val="006F3442"/>
    <w:rsid w:val="006F36A5"/>
    <w:rsid w:val="006F41F4"/>
    <w:rsid w:val="006F4576"/>
    <w:rsid w:val="006F5813"/>
    <w:rsid w:val="006F5873"/>
    <w:rsid w:val="006F59A8"/>
    <w:rsid w:val="006F5A1D"/>
    <w:rsid w:val="006F71A6"/>
    <w:rsid w:val="006F7974"/>
    <w:rsid w:val="006F7C2C"/>
    <w:rsid w:val="006F7FD5"/>
    <w:rsid w:val="0070018F"/>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A8A"/>
    <w:rsid w:val="00712BDD"/>
    <w:rsid w:val="00712E1E"/>
    <w:rsid w:val="00712F37"/>
    <w:rsid w:val="00713517"/>
    <w:rsid w:val="00713A6B"/>
    <w:rsid w:val="00713CB5"/>
    <w:rsid w:val="0071499C"/>
    <w:rsid w:val="00714F9D"/>
    <w:rsid w:val="007151FE"/>
    <w:rsid w:val="007154D8"/>
    <w:rsid w:val="00715577"/>
    <w:rsid w:val="0071604D"/>
    <w:rsid w:val="00716C67"/>
    <w:rsid w:val="007170AB"/>
    <w:rsid w:val="0071779C"/>
    <w:rsid w:val="00717808"/>
    <w:rsid w:val="007205DA"/>
    <w:rsid w:val="007208A7"/>
    <w:rsid w:val="00720B6A"/>
    <w:rsid w:val="007210F6"/>
    <w:rsid w:val="0072129A"/>
    <w:rsid w:val="0072139F"/>
    <w:rsid w:val="0072198A"/>
    <w:rsid w:val="00721AD9"/>
    <w:rsid w:val="00721FC3"/>
    <w:rsid w:val="00722072"/>
    <w:rsid w:val="00722A86"/>
    <w:rsid w:val="00722BC6"/>
    <w:rsid w:val="00722C69"/>
    <w:rsid w:val="0072311F"/>
    <w:rsid w:val="0072388C"/>
    <w:rsid w:val="0072454E"/>
    <w:rsid w:val="007249D1"/>
    <w:rsid w:val="00724FE4"/>
    <w:rsid w:val="00725829"/>
    <w:rsid w:val="00725D6A"/>
    <w:rsid w:val="007263A2"/>
    <w:rsid w:val="00726648"/>
    <w:rsid w:val="007266B9"/>
    <w:rsid w:val="00727351"/>
    <w:rsid w:val="00727AC5"/>
    <w:rsid w:val="00727C38"/>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136"/>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BC9"/>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C79"/>
    <w:rsid w:val="007660EC"/>
    <w:rsid w:val="007662C7"/>
    <w:rsid w:val="00766862"/>
    <w:rsid w:val="007675DD"/>
    <w:rsid w:val="007702BF"/>
    <w:rsid w:val="007705F0"/>
    <w:rsid w:val="00771C97"/>
    <w:rsid w:val="00771CAC"/>
    <w:rsid w:val="00772036"/>
    <w:rsid w:val="00773098"/>
    <w:rsid w:val="007739A3"/>
    <w:rsid w:val="00773BD9"/>
    <w:rsid w:val="00773CB0"/>
    <w:rsid w:val="00773D71"/>
    <w:rsid w:val="00775526"/>
    <w:rsid w:val="00775651"/>
    <w:rsid w:val="00775CBD"/>
    <w:rsid w:val="00775F3F"/>
    <w:rsid w:val="0077710B"/>
    <w:rsid w:val="00777198"/>
    <w:rsid w:val="0077765A"/>
    <w:rsid w:val="00780032"/>
    <w:rsid w:val="00780636"/>
    <w:rsid w:val="00780E86"/>
    <w:rsid w:val="0078108C"/>
    <w:rsid w:val="00781727"/>
    <w:rsid w:val="007823E8"/>
    <w:rsid w:val="00782CF3"/>
    <w:rsid w:val="00783959"/>
    <w:rsid w:val="00783BA5"/>
    <w:rsid w:val="007844A9"/>
    <w:rsid w:val="00784F28"/>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2E"/>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B57"/>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4E3D"/>
    <w:rsid w:val="007C60A8"/>
    <w:rsid w:val="007C660F"/>
    <w:rsid w:val="007C6664"/>
    <w:rsid w:val="007C66FF"/>
    <w:rsid w:val="007C69AE"/>
    <w:rsid w:val="007C6FE9"/>
    <w:rsid w:val="007C7688"/>
    <w:rsid w:val="007C76E3"/>
    <w:rsid w:val="007C76F3"/>
    <w:rsid w:val="007C7DD9"/>
    <w:rsid w:val="007D03BC"/>
    <w:rsid w:val="007D0DC9"/>
    <w:rsid w:val="007D0ECD"/>
    <w:rsid w:val="007D18D7"/>
    <w:rsid w:val="007D1CBC"/>
    <w:rsid w:val="007D2882"/>
    <w:rsid w:val="007D296C"/>
    <w:rsid w:val="007D2C31"/>
    <w:rsid w:val="007D2E50"/>
    <w:rsid w:val="007D3D74"/>
    <w:rsid w:val="007D445F"/>
    <w:rsid w:val="007D4DED"/>
    <w:rsid w:val="007D4EBC"/>
    <w:rsid w:val="007D57C3"/>
    <w:rsid w:val="007D5BA2"/>
    <w:rsid w:val="007D5ED3"/>
    <w:rsid w:val="007D682F"/>
    <w:rsid w:val="007D6FB9"/>
    <w:rsid w:val="007D7211"/>
    <w:rsid w:val="007E0395"/>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24C"/>
    <w:rsid w:val="007F4318"/>
    <w:rsid w:val="007F4709"/>
    <w:rsid w:val="007F47DA"/>
    <w:rsid w:val="007F4E52"/>
    <w:rsid w:val="007F4F84"/>
    <w:rsid w:val="007F5382"/>
    <w:rsid w:val="007F55A4"/>
    <w:rsid w:val="007F5D28"/>
    <w:rsid w:val="007F6260"/>
    <w:rsid w:val="007F682B"/>
    <w:rsid w:val="007F78E8"/>
    <w:rsid w:val="007F7F8F"/>
    <w:rsid w:val="008004EB"/>
    <w:rsid w:val="00800509"/>
    <w:rsid w:val="0080078E"/>
    <w:rsid w:val="00800B7F"/>
    <w:rsid w:val="008012B1"/>
    <w:rsid w:val="00801D63"/>
    <w:rsid w:val="00801DC9"/>
    <w:rsid w:val="008021E0"/>
    <w:rsid w:val="0080348B"/>
    <w:rsid w:val="00803D82"/>
    <w:rsid w:val="00803D98"/>
    <w:rsid w:val="00804A58"/>
    <w:rsid w:val="008052CE"/>
    <w:rsid w:val="008058D0"/>
    <w:rsid w:val="00806A4C"/>
    <w:rsid w:val="00806EFB"/>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72B2"/>
    <w:rsid w:val="00830052"/>
    <w:rsid w:val="008300D0"/>
    <w:rsid w:val="008308D8"/>
    <w:rsid w:val="0083097A"/>
    <w:rsid w:val="008320D2"/>
    <w:rsid w:val="008321CE"/>
    <w:rsid w:val="0083257C"/>
    <w:rsid w:val="0083261B"/>
    <w:rsid w:val="00832B44"/>
    <w:rsid w:val="00832EC9"/>
    <w:rsid w:val="00833307"/>
    <w:rsid w:val="00833583"/>
    <w:rsid w:val="00833A65"/>
    <w:rsid w:val="00833B5B"/>
    <w:rsid w:val="00833E9A"/>
    <w:rsid w:val="00834FEF"/>
    <w:rsid w:val="00836323"/>
    <w:rsid w:val="00837420"/>
    <w:rsid w:val="00837BB1"/>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462"/>
    <w:rsid w:val="00852B21"/>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314"/>
    <w:rsid w:val="00861948"/>
    <w:rsid w:val="00862011"/>
    <w:rsid w:val="00862A15"/>
    <w:rsid w:val="00862CC9"/>
    <w:rsid w:val="00862D8E"/>
    <w:rsid w:val="00862EF2"/>
    <w:rsid w:val="0086310C"/>
    <w:rsid w:val="00863480"/>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2F1"/>
    <w:rsid w:val="0087677E"/>
    <w:rsid w:val="0087712C"/>
    <w:rsid w:val="008776E7"/>
    <w:rsid w:val="00877746"/>
    <w:rsid w:val="00877C5D"/>
    <w:rsid w:val="00880354"/>
    <w:rsid w:val="0088093C"/>
    <w:rsid w:val="00880BC0"/>
    <w:rsid w:val="0088127A"/>
    <w:rsid w:val="0088142B"/>
    <w:rsid w:val="00881B02"/>
    <w:rsid w:val="00881D59"/>
    <w:rsid w:val="00882991"/>
    <w:rsid w:val="00882D57"/>
    <w:rsid w:val="00882EC1"/>
    <w:rsid w:val="0088324E"/>
    <w:rsid w:val="0088434F"/>
    <w:rsid w:val="00884371"/>
    <w:rsid w:val="008848E2"/>
    <w:rsid w:val="00884B7A"/>
    <w:rsid w:val="00884D47"/>
    <w:rsid w:val="008856C5"/>
    <w:rsid w:val="00885BCB"/>
    <w:rsid w:val="00886112"/>
    <w:rsid w:val="008872B3"/>
    <w:rsid w:val="00887392"/>
    <w:rsid w:val="00890392"/>
    <w:rsid w:val="00890A64"/>
    <w:rsid w:val="00890C40"/>
    <w:rsid w:val="0089122E"/>
    <w:rsid w:val="008912A7"/>
    <w:rsid w:val="0089183A"/>
    <w:rsid w:val="008920B4"/>
    <w:rsid w:val="008925EB"/>
    <w:rsid w:val="0089275E"/>
    <w:rsid w:val="00892B43"/>
    <w:rsid w:val="00893432"/>
    <w:rsid w:val="00893936"/>
    <w:rsid w:val="00893CE2"/>
    <w:rsid w:val="00893F41"/>
    <w:rsid w:val="00894393"/>
    <w:rsid w:val="00895144"/>
    <w:rsid w:val="00895963"/>
    <w:rsid w:val="008972B6"/>
    <w:rsid w:val="00897339"/>
    <w:rsid w:val="00897697"/>
    <w:rsid w:val="008977E1"/>
    <w:rsid w:val="00897BFA"/>
    <w:rsid w:val="00897D19"/>
    <w:rsid w:val="008A0044"/>
    <w:rsid w:val="008A0BFE"/>
    <w:rsid w:val="008A1932"/>
    <w:rsid w:val="008A1BE9"/>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B83"/>
    <w:rsid w:val="008B111A"/>
    <w:rsid w:val="008B1463"/>
    <w:rsid w:val="008B16E6"/>
    <w:rsid w:val="008B1AB2"/>
    <w:rsid w:val="008B1D9B"/>
    <w:rsid w:val="008B2042"/>
    <w:rsid w:val="008B25F1"/>
    <w:rsid w:val="008B3567"/>
    <w:rsid w:val="008B36D0"/>
    <w:rsid w:val="008B38AF"/>
    <w:rsid w:val="008B3D7F"/>
    <w:rsid w:val="008B3E1B"/>
    <w:rsid w:val="008B3F4B"/>
    <w:rsid w:val="008B48EC"/>
    <w:rsid w:val="008B4AF0"/>
    <w:rsid w:val="008B4F74"/>
    <w:rsid w:val="008B518E"/>
    <w:rsid w:val="008B527B"/>
    <w:rsid w:val="008B5AB9"/>
    <w:rsid w:val="008B625E"/>
    <w:rsid w:val="008B646F"/>
    <w:rsid w:val="008B67E6"/>
    <w:rsid w:val="008B69B8"/>
    <w:rsid w:val="008B7042"/>
    <w:rsid w:val="008B770C"/>
    <w:rsid w:val="008C0325"/>
    <w:rsid w:val="008C094A"/>
    <w:rsid w:val="008C13A0"/>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523"/>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27A"/>
    <w:rsid w:val="008D7247"/>
    <w:rsid w:val="008D7567"/>
    <w:rsid w:val="008E0EE4"/>
    <w:rsid w:val="008E12BE"/>
    <w:rsid w:val="008E13FD"/>
    <w:rsid w:val="008E1C24"/>
    <w:rsid w:val="008E2626"/>
    <w:rsid w:val="008E27A9"/>
    <w:rsid w:val="008E323C"/>
    <w:rsid w:val="008E32CE"/>
    <w:rsid w:val="008E32E0"/>
    <w:rsid w:val="008E35A6"/>
    <w:rsid w:val="008E36D9"/>
    <w:rsid w:val="008E3A5C"/>
    <w:rsid w:val="008E3A9A"/>
    <w:rsid w:val="008E429E"/>
    <w:rsid w:val="008E58A3"/>
    <w:rsid w:val="008E5938"/>
    <w:rsid w:val="008E6109"/>
    <w:rsid w:val="008E6A39"/>
    <w:rsid w:val="008E76BB"/>
    <w:rsid w:val="008F1764"/>
    <w:rsid w:val="008F184E"/>
    <w:rsid w:val="008F1E3D"/>
    <w:rsid w:val="008F235C"/>
    <w:rsid w:val="008F290B"/>
    <w:rsid w:val="008F2F11"/>
    <w:rsid w:val="008F3369"/>
    <w:rsid w:val="008F33A6"/>
    <w:rsid w:val="008F35EC"/>
    <w:rsid w:val="008F4FE8"/>
    <w:rsid w:val="008F4FED"/>
    <w:rsid w:val="008F5B47"/>
    <w:rsid w:val="008F5D5A"/>
    <w:rsid w:val="008F6200"/>
    <w:rsid w:val="008F62F8"/>
    <w:rsid w:val="008F6893"/>
    <w:rsid w:val="008F7292"/>
    <w:rsid w:val="008F76C0"/>
    <w:rsid w:val="009000F2"/>
    <w:rsid w:val="0090079D"/>
    <w:rsid w:val="0090086A"/>
    <w:rsid w:val="00900D2C"/>
    <w:rsid w:val="00901807"/>
    <w:rsid w:val="00901F0E"/>
    <w:rsid w:val="00901F9F"/>
    <w:rsid w:val="00902A26"/>
    <w:rsid w:val="00902A57"/>
    <w:rsid w:val="00902B29"/>
    <w:rsid w:val="00903C83"/>
    <w:rsid w:val="00903D77"/>
    <w:rsid w:val="0090408F"/>
    <w:rsid w:val="0090446A"/>
    <w:rsid w:val="00904537"/>
    <w:rsid w:val="00904DC3"/>
    <w:rsid w:val="0090534A"/>
    <w:rsid w:val="00905469"/>
    <w:rsid w:val="00905995"/>
    <w:rsid w:val="00905C5F"/>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29E4"/>
    <w:rsid w:val="00923643"/>
    <w:rsid w:val="00923E1A"/>
    <w:rsid w:val="009245CC"/>
    <w:rsid w:val="0092490A"/>
    <w:rsid w:val="00925A3E"/>
    <w:rsid w:val="009261DB"/>
    <w:rsid w:val="00926939"/>
    <w:rsid w:val="00926F4C"/>
    <w:rsid w:val="00927330"/>
    <w:rsid w:val="00927710"/>
    <w:rsid w:val="009307CA"/>
    <w:rsid w:val="009312F9"/>
    <w:rsid w:val="00931445"/>
    <w:rsid w:val="009315B3"/>
    <w:rsid w:val="00931AB8"/>
    <w:rsid w:val="00931C19"/>
    <w:rsid w:val="00931C63"/>
    <w:rsid w:val="00931D10"/>
    <w:rsid w:val="00931F66"/>
    <w:rsid w:val="0093218A"/>
    <w:rsid w:val="0093386D"/>
    <w:rsid w:val="00934C8E"/>
    <w:rsid w:val="00935194"/>
    <w:rsid w:val="00936EA5"/>
    <w:rsid w:val="00937114"/>
    <w:rsid w:val="0094015D"/>
    <w:rsid w:val="00940916"/>
    <w:rsid w:val="009412B7"/>
    <w:rsid w:val="00941B13"/>
    <w:rsid w:val="0094215C"/>
    <w:rsid w:val="00942F8E"/>
    <w:rsid w:val="00943543"/>
    <w:rsid w:val="0094385E"/>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3F1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B81"/>
    <w:rsid w:val="00964007"/>
    <w:rsid w:val="00964283"/>
    <w:rsid w:val="009642A4"/>
    <w:rsid w:val="009643F4"/>
    <w:rsid w:val="009645A6"/>
    <w:rsid w:val="00964F5A"/>
    <w:rsid w:val="0096527F"/>
    <w:rsid w:val="009653ED"/>
    <w:rsid w:val="00966A21"/>
    <w:rsid w:val="00966AD2"/>
    <w:rsid w:val="0096735D"/>
    <w:rsid w:val="00967A86"/>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8D"/>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BC6"/>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2F71"/>
    <w:rsid w:val="009A347C"/>
    <w:rsid w:val="009A3688"/>
    <w:rsid w:val="009A3713"/>
    <w:rsid w:val="009A3C3E"/>
    <w:rsid w:val="009A4153"/>
    <w:rsid w:val="009A4C2C"/>
    <w:rsid w:val="009A59B3"/>
    <w:rsid w:val="009A5FAE"/>
    <w:rsid w:val="009A6B3A"/>
    <w:rsid w:val="009A70A3"/>
    <w:rsid w:val="009A7E7C"/>
    <w:rsid w:val="009B05D2"/>
    <w:rsid w:val="009B152B"/>
    <w:rsid w:val="009B2731"/>
    <w:rsid w:val="009B2BC0"/>
    <w:rsid w:val="009B2DCF"/>
    <w:rsid w:val="009B39D8"/>
    <w:rsid w:val="009B3D38"/>
    <w:rsid w:val="009B4368"/>
    <w:rsid w:val="009B4D4C"/>
    <w:rsid w:val="009B66F5"/>
    <w:rsid w:val="009B7505"/>
    <w:rsid w:val="009C0020"/>
    <w:rsid w:val="009C01F2"/>
    <w:rsid w:val="009C03F7"/>
    <w:rsid w:val="009C10DA"/>
    <w:rsid w:val="009C19FC"/>
    <w:rsid w:val="009C2269"/>
    <w:rsid w:val="009C27F7"/>
    <w:rsid w:val="009C3BC4"/>
    <w:rsid w:val="009C3C93"/>
    <w:rsid w:val="009C3E97"/>
    <w:rsid w:val="009C4017"/>
    <w:rsid w:val="009C424E"/>
    <w:rsid w:val="009C4708"/>
    <w:rsid w:val="009C4870"/>
    <w:rsid w:val="009C4C4E"/>
    <w:rsid w:val="009C4D37"/>
    <w:rsid w:val="009C545B"/>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B3"/>
    <w:rsid w:val="009E3DF1"/>
    <w:rsid w:val="009E3F88"/>
    <w:rsid w:val="009E3FB3"/>
    <w:rsid w:val="009E514A"/>
    <w:rsid w:val="009E5177"/>
    <w:rsid w:val="009E51C9"/>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1E"/>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BAC"/>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15"/>
    <w:rsid w:val="00A21169"/>
    <w:rsid w:val="00A21838"/>
    <w:rsid w:val="00A2223C"/>
    <w:rsid w:val="00A22C3E"/>
    <w:rsid w:val="00A22C4D"/>
    <w:rsid w:val="00A2334E"/>
    <w:rsid w:val="00A23442"/>
    <w:rsid w:val="00A249D2"/>
    <w:rsid w:val="00A24EC2"/>
    <w:rsid w:val="00A254AB"/>
    <w:rsid w:val="00A259F2"/>
    <w:rsid w:val="00A266CC"/>
    <w:rsid w:val="00A26DB4"/>
    <w:rsid w:val="00A27176"/>
    <w:rsid w:val="00A27425"/>
    <w:rsid w:val="00A3023E"/>
    <w:rsid w:val="00A305C5"/>
    <w:rsid w:val="00A30919"/>
    <w:rsid w:val="00A31F05"/>
    <w:rsid w:val="00A31FD2"/>
    <w:rsid w:val="00A3404D"/>
    <w:rsid w:val="00A341AB"/>
    <w:rsid w:val="00A34290"/>
    <w:rsid w:val="00A355F9"/>
    <w:rsid w:val="00A357D3"/>
    <w:rsid w:val="00A35AA9"/>
    <w:rsid w:val="00A35F3C"/>
    <w:rsid w:val="00A35F44"/>
    <w:rsid w:val="00A36CF6"/>
    <w:rsid w:val="00A37309"/>
    <w:rsid w:val="00A37329"/>
    <w:rsid w:val="00A37558"/>
    <w:rsid w:val="00A3786A"/>
    <w:rsid w:val="00A4008C"/>
    <w:rsid w:val="00A402A8"/>
    <w:rsid w:val="00A40685"/>
    <w:rsid w:val="00A408D4"/>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2EB"/>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33A"/>
    <w:rsid w:val="00A70590"/>
    <w:rsid w:val="00A7062E"/>
    <w:rsid w:val="00A70834"/>
    <w:rsid w:val="00A70DD9"/>
    <w:rsid w:val="00A71542"/>
    <w:rsid w:val="00A7171F"/>
    <w:rsid w:val="00A71FA0"/>
    <w:rsid w:val="00A71FBD"/>
    <w:rsid w:val="00A72727"/>
    <w:rsid w:val="00A727D8"/>
    <w:rsid w:val="00A72C1A"/>
    <w:rsid w:val="00A732FB"/>
    <w:rsid w:val="00A73C77"/>
    <w:rsid w:val="00A7463E"/>
    <w:rsid w:val="00A758E2"/>
    <w:rsid w:val="00A765B1"/>
    <w:rsid w:val="00A772F2"/>
    <w:rsid w:val="00A77828"/>
    <w:rsid w:val="00A77BAA"/>
    <w:rsid w:val="00A800F9"/>
    <w:rsid w:val="00A803A6"/>
    <w:rsid w:val="00A8073D"/>
    <w:rsid w:val="00A807A0"/>
    <w:rsid w:val="00A80D02"/>
    <w:rsid w:val="00A815FB"/>
    <w:rsid w:val="00A818BD"/>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2E"/>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3C57"/>
    <w:rsid w:val="00AB408C"/>
    <w:rsid w:val="00AB43AF"/>
    <w:rsid w:val="00AB4E41"/>
    <w:rsid w:val="00AB5EB1"/>
    <w:rsid w:val="00AB6003"/>
    <w:rsid w:val="00AB759A"/>
    <w:rsid w:val="00AB7B06"/>
    <w:rsid w:val="00AB7EAA"/>
    <w:rsid w:val="00AC0432"/>
    <w:rsid w:val="00AC0770"/>
    <w:rsid w:val="00AC1683"/>
    <w:rsid w:val="00AC1D82"/>
    <w:rsid w:val="00AC2D5F"/>
    <w:rsid w:val="00AC3424"/>
    <w:rsid w:val="00AC4094"/>
    <w:rsid w:val="00AC42B6"/>
    <w:rsid w:val="00AC4AB7"/>
    <w:rsid w:val="00AC51E0"/>
    <w:rsid w:val="00AC5677"/>
    <w:rsid w:val="00AC6D24"/>
    <w:rsid w:val="00AC6D76"/>
    <w:rsid w:val="00AC6E18"/>
    <w:rsid w:val="00AC7F64"/>
    <w:rsid w:val="00AD1065"/>
    <w:rsid w:val="00AD159E"/>
    <w:rsid w:val="00AD2AB1"/>
    <w:rsid w:val="00AD3132"/>
    <w:rsid w:val="00AD3DA6"/>
    <w:rsid w:val="00AD3F3C"/>
    <w:rsid w:val="00AD447E"/>
    <w:rsid w:val="00AD44D3"/>
    <w:rsid w:val="00AD4B2F"/>
    <w:rsid w:val="00AD5F0A"/>
    <w:rsid w:val="00AD6A5B"/>
    <w:rsid w:val="00AD6B4F"/>
    <w:rsid w:val="00AD6D19"/>
    <w:rsid w:val="00AD74E9"/>
    <w:rsid w:val="00AD7812"/>
    <w:rsid w:val="00AD7C42"/>
    <w:rsid w:val="00AD7CFA"/>
    <w:rsid w:val="00AE06B0"/>
    <w:rsid w:val="00AE0BD6"/>
    <w:rsid w:val="00AE11C1"/>
    <w:rsid w:val="00AE163D"/>
    <w:rsid w:val="00AE17F0"/>
    <w:rsid w:val="00AE1A42"/>
    <w:rsid w:val="00AE1C5C"/>
    <w:rsid w:val="00AE315E"/>
    <w:rsid w:val="00AE319F"/>
    <w:rsid w:val="00AE31D9"/>
    <w:rsid w:val="00AE3CF0"/>
    <w:rsid w:val="00AE4546"/>
    <w:rsid w:val="00AE62B4"/>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21B"/>
    <w:rsid w:val="00AF7389"/>
    <w:rsid w:val="00AF79DF"/>
    <w:rsid w:val="00AF7C37"/>
    <w:rsid w:val="00B00378"/>
    <w:rsid w:val="00B0084B"/>
    <w:rsid w:val="00B00D91"/>
    <w:rsid w:val="00B00E84"/>
    <w:rsid w:val="00B01DD9"/>
    <w:rsid w:val="00B01F0E"/>
    <w:rsid w:val="00B038F1"/>
    <w:rsid w:val="00B03C1B"/>
    <w:rsid w:val="00B04678"/>
    <w:rsid w:val="00B047C9"/>
    <w:rsid w:val="00B04A04"/>
    <w:rsid w:val="00B04B78"/>
    <w:rsid w:val="00B04C37"/>
    <w:rsid w:val="00B04F00"/>
    <w:rsid w:val="00B05BA6"/>
    <w:rsid w:val="00B066BD"/>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F16"/>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2FF"/>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D65"/>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7F5"/>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09D6"/>
    <w:rsid w:val="00B81274"/>
    <w:rsid w:val="00B815D3"/>
    <w:rsid w:val="00B81742"/>
    <w:rsid w:val="00B817B5"/>
    <w:rsid w:val="00B823A6"/>
    <w:rsid w:val="00B83E76"/>
    <w:rsid w:val="00B83FA0"/>
    <w:rsid w:val="00B84156"/>
    <w:rsid w:val="00B846E6"/>
    <w:rsid w:val="00B8537B"/>
    <w:rsid w:val="00B85586"/>
    <w:rsid w:val="00B859C3"/>
    <w:rsid w:val="00B8614C"/>
    <w:rsid w:val="00B86289"/>
    <w:rsid w:val="00B863B3"/>
    <w:rsid w:val="00B869D3"/>
    <w:rsid w:val="00B86CF8"/>
    <w:rsid w:val="00B86E44"/>
    <w:rsid w:val="00B87359"/>
    <w:rsid w:val="00B87F1C"/>
    <w:rsid w:val="00B90D8D"/>
    <w:rsid w:val="00B91263"/>
    <w:rsid w:val="00B91B61"/>
    <w:rsid w:val="00B93849"/>
    <w:rsid w:val="00B938BD"/>
    <w:rsid w:val="00B93CF3"/>
    <w:rsid w:val="00B93DF1"/>
    <w:rsid w:val="00B9407F"/>
    <w:rsid w:val="00B944E9"/>
    <w:rsid w:val="00B945D7"/>
    <w:rsid w:val="00B94896"/>
    <w:rsid w:val="00B94CDD"/>
    <w:rsid w:val="00B94DA7"/>
    <w:rsid w:val="00B95163"/>
    <w:rsid w:val="00B954D0"/>
    <w:rsid w:val="00B9652A"/>
    <w:rsid w:val="00B96DD9"/>
    <w:rsid w:val="00B96EA6"/>
    <w:rsid w:val="00B9789D"/>
    <w:rsid w:val="00B97A4C"/>
    <w:rsid w:val="00BA050E"/>
    <w:rsid w:val="00BA1289"/>
    <w:rsid w:val="00BA14B2"/>
    <w:rsid w:val="00BA15DC"/>
    <w:rsid w:val="00BA1E2F"/>
    <w:rsid w:val="00BA1EB8"/>
    <w:rsid w:val="00BA2C82"/>
    <w:rsid w:val="00BA2D81"/>
    <w:rsid w:val="00BA3869"/>
    <w:rsid w:val="00BA4147"/>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46B"/>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805"/>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6067"/>
    <w:rsid w:val="00BE7F4D"/>
    <w:rsid w:val="00BF03C0"/>
    <w:rsid w:val="00BF0EBF"/>
    <w:rsid w:val="00BF1534"/>
    <w:rsid w:val="00BF2021"/>
    <w:rsid w:val="00BF21D4"/>
    <w:rsid w:val="00BF2DDC"/>
    <w:rsid w:val="00BF32DE"/>
    <w:rsid w:val="00BF493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99E"/>
    <w:rsid w:val="00C0702A"/>
    <w:rsid w:val="00C070D3"/>
    <w:rsid w:val="00C0724C"/>
    <w:rsid w:val="00C07C11"/>
    <w:rsid w:val="00C07E10"/>
    <w:rsid w:val="00C10015"/>
    <w:rsid w:val="00C1110A"/>
    <w:rsid w:val="00C11689"/>
    <w:rsid w:val="00C12414"/>
    <w:rsid w:val="00C12ECB"/>
    <w:rsid w:val="00C136BF"/>
    <w:rsid w:val="00C138B0"/>
    <w:rsid w:val="00C144E0"/>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9C3"/>
    <w:rsid w:val="00C23A83"/>
    <w:rsid w:val="00C2403F"/>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CA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27D"/>
    <w:rsid w:val="00C46564"/>
    <w:rsid w:val="00C46BFA"/>
    <w:rsid w:val="00C46DDF"/>
    <w:rsid w:val="00C500A1"/>
    <w:rsid w:val="00C5067D"/>
    <w:rsid w:val="00C50A02"/>
    <w:rsid w:val="00C51149"/>
    <w:rsid w:val="00C5117E"/>
    <w:rsid w:val="00C512D1"/>
    <w:rsid w:val="00C51856"/>
    <w:rsid w:val="00C51B04"/>
    <w:rsid w:val="00C51DB5"/>
    <w:rsid w:val="00C53CE9"/>
    <w:rsid w:val="00C5531B"/>
    <w:rsid w:val="00C55375"/>
    <w:rsid w:val="00C5570F"/>
    <w:rsid w:val="00C55B90"/>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4A2"/>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C1"/>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902"/>
    <w:rsid w:val="00C76C0C"/>
    <w:rsid w:val="00C76E23"/>
    <w:rsid w:val="00C76FFC"/>
    <w:rsid w:val="00C774E0"/>
    <w:rsid w:val="00C776BA"/>
    <w:rsid w:val="00C7791E"/>
    <w:rsid w:val="00C81716"/>
    <w:rsid w:val="00C82B3B"/>
    <w:rsid w:val="00C832CB"/>
    <w:rsid w:val="00C84085"/>
    <w:rsid w:val="00C852DC"/>
    <w:rsid w:val="00C854A8"/>
    <w:rsid w:val="00C85677"/>
    <w:rsid w:val="00C85E17"/>
    <w:rsid w:val="00C868A7"/>
    <w:rsid w:val="00C86ABA"/>
    <w:rsid w:val="00C86BF7"/>
    <w:rsid w:val="00C87164"/>
    <w:rsid w:val="00C8786A"/>
    <w:rsid w:val="00C87BBA"/>
    <w:rsid w:val="00C87BD0"/>
    <w:rsid w:val="00C901F3"/>
    <w:rsid w:val="00C905E5"/>
    <w:rsid w:val="00C90754"/>
    <w:rsid w:val="00C90B95"/>
    <w:rsid w:val="00C90BC4"/>
    <w:rsid w:val="00C90CA9"/>
    <w:rsid w:val="00C91802"/>
    <w:rsid w:val="00C91A25"/>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C5F"/>
    <w:rsid w:val="00CA3CAB"/>
    <w:rsid w:val="00CA3FC0"/>
    <w:rsid w:val="00CA5685"/>
    <w:rsid w:val="00CA5A05"/>
    <w:rsid w:val="00CA6A2E"/>
    <w:rsid w:val="00CA6B56"/>
    <w:rsid w:val="00CA7D3E"/>
    <w:rsid w:val="00CB0231"/>
    <w:rsid w:val="00CB0317"/>
    <w:rsid w:val="00CB0662"/>
    <w:rsid w:val="00CB0A82"/>
    <w:rsid w:val="00CB0F2F"/>
    <w:rsid w:val="00CB1556"/>
    <w:rsid w:val="00CB2913"/>
    <w:rsid w:val="00CB2B60"/>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3CF"/>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D7C7F"/>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41"/>
    <w:rsid w:val="00D001D2"/>
    <w:rsid w:val="00D01857"/>
    <w:rsid w:val="00D02A80"/>
    <w:rsid w:val="00D03264"/>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666"/>
    <w:rsid w:val="00D15AE3"/>
    <w:rsid w:val="00D160C4"/>
    <w:rsid w:val="00D165D8"/>
    <w:rsid w:val="00D1724E"/>
    <w:rsid w:val="00D1730C"/>
    <w:rsid w:val="00D1760C"/>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1D2"/>
    <w:rsid w:val="00D279E7"/>
    <w:rsid w:val="00D27F75"/>
    <w:rsid w:val="00D3046D"/>
    <w:rsid w:val="00D30497"/>
    <w:rsid w:val="00D30C4D"/>
    <w:rsid w:val="00D30F5F"/>
    <w:rsid w:val="00D31243"/>
    <w:rsid w:val="00D316D9"/>
    <w:rsid w:val="00D31B07"/>
    <w:rsid w:val="00D31B9D"/>
    <w:rsid w:val="00D3272E"/>
    <w:rsid w:val="00D32F51"/>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496"/>
    <w:rsid w:val="00D5064C"/>
    <w:rsid w:val="00D50C94"/>
    <w:rsid w:val="00D511E7"/>
    <w:rsid w:val="00D517ED"/>
    <w:rsid w:val="00D5251C"/>
    <w:rsid w:val="00D529AB"/>
    <w:rsid w:val="00D52F56"/>
    <w:rsid w:val="00D539DA"/>
    <w:rsid w:val="00D54A50"/>
    <w:rsid w:val="00D54FFD"/>
    <w:rsid w:val="00D5552C"/>
    <w:rsid w:val="00D5556D"/>
    <w:rsid w:val="00D55C34"/>
    <w:rsid w:val="00D55C81"/>
    <w:rsid w:val="00D5674B"/>
    <w:rsid w:val="00D56B56"/>
    <w:rsid w:val="00D56BF5"/>
    <w:rsid w:val="00D56F99"/>
    <w:rsid w:val="00D5713E"/>
    <w:rsid w:val="00D5743F"/>
    <w:rsid w:val="00D57DD7"/>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67E0B"/>
    <w:rsid w:val="00D70170"/>
    <w:rsid w:val="00D702E8"/>
    <w:rsid w:val="00D70552"/>
    <w:rsid w:val="00D7083C"/>
    <w:rsid w:val="00D70D42"/>
    <w:rsid w:val="00D71285"/>
    <w:rsid w:val="00D71ABC"/>
    <w:rsid w:val="00D71D05"/>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712"/>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60"/>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325"/>
    <w:rsid w:val="00DB3490"/>
    <w:rsid w:val="00DB3593"/>
    <w:rsid w:val="00DB440B"/>
    <w:rsid w:val="00DB4426"/>
    <w:rsid w:val="00DB4522"/>
    <w:rsid w:val="00DB4B40"/>
    <w:rsid w:val="00DB4D7B"/>
    <w:rsid w:val="00DB4F12"/>
    <w:rsid w:val="00DB4F21"/>
    <w:rsid w:val="00DB4F42"/>
    <w:rsid w:val="00DB540C"/>
    <w:rsid w:val="00DB6F96"/>
    <w:rsid w:val="00DB71B9"/>
    <w:rsid w:val="00DB7662"/>
    <w:rsid w:val="00DB7E46"/>
    <w:rsid w:val="00DB7FB6"/>
    <w:rsid w:val="00DC1395"/>
    <w:rsid w:val="00DC32FC"/>
    <w:rsid w:val="00DC3D89"/>
    <w:rsid w:val="00DC4567"/>
    <w:rsid w:val="00DC4D6C"/>
    <w:rsid w:val="00DC4F47"/>
    <w:rsid w:val="00DC5059"/>
    <w:rsid w:val="00DC5860"/>
    <w:rsid w:val="00DC5BD0"/>
    <w:rsid w:val="00DC5BE2"/>
    <w:rsid w:val="00DC5ED0"/>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2E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A5B"/>
    <w:rsid w:val="00DF5B33"/>
    <w:rsid w:val="00DF6E42"/>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531"/>
    <w:rsid w:val="00E06E97"/>
    <w:rsid w:val="00E075FF"/>
    <w:rsid w:val="00E07B8F"/>
    <w:rsid w:val="00E10712"/>
    <w:rsid w:val="00E10BF8"/>
    <w:rsid w:val="00E10DD1"/>
    <w:rsid w:val="00E1224C"/>
    <w:rsid w:val="00E1254C"/>
    <w:rsid w:val="00E1296E"/>
    <w:rsid w:val="00E12BDF"/>
    <w:rsid w:val="00E13326"/>
    <w:rsid w:val="00E13D07"/>
    <w:rsid w:val="00E14356"/>
    <w:rsid w:val="00E1447C"/>
    <w:rsid w:val="00E14961"/>
    <w:rsid w:val="00E14D76"/>
    <w:rsid w:val="00E15183"/>
    <w:rsid w:val="00E157E8"/>
    <w:rsid w:val="00E15D6C"/>
    <w:rsid w:val="00E1720B"/>
    <w:rsid w:val="00E203DE"/>
    <w:rsid w:val="00E20BD8"/>
    <w:rsid w:val="00E20CE7"/>
    <w:rsid w:val="00E217B1"/>
    <w:rsid w:val="00E21A01"/>
    <w:rsid w:val="00E222FA"/>
    <w:rsid w:val="00E229CE"/>
    <w:rsid w:val="00E22B4A"/>
    <w:rsid w:val="00E2449B"/>
    <w:rsid w:val="00E24A62"/>
    <w:rsid w:val="00E24BCA"/>
    <w:rsid w:val="00E24E5F"/>
    <w:rsid w:val="00E24F52"/>
    <w:rsid w:val="00E255CC"/>
    <w:rsid w:val="00E25636"/>
    <w:rsid w:val="00E25755"/>
    <w:rsid w:val="00E25A68"/>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3E2A"/>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D86"/>
    <w:rsid w:val="00E5448E"/>
    <w:rsid w:val="00E547D7"/>
    <w:rsid w:val="00E54E0D"/>
    <w:rsid w:val="00E55247"/>
    <w:rsid w:val="00E558E5"/>
    <w:rsid w:val="00E55B3C"/>
    <w:rsid w:val="00E55D4D"/>
    <w:rsid w:val="00E56795"/>
    <w:rsid w:val="00E57932"/>
    <w:rsid w:val="00E606C4"/>
    <w:rsid w:val="00E60811"/>
    <w:rsid w:val="00E60AB8"/>
    <w:rsid w:val="00E6103E"/>
    <w:rsid w:val="00E610C3"/>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F8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9FB"/>
    <w:rsid w:val="00E87A37"/>
    <w:rsid w:val="00E87CF7"/>
    <w:rsid w:val="00E9036E"/>
    <w:rsid w:val="00E9078A"/>
    <w:rsid w:val="00E912FD"/>
    <w:rsid w:val="00E91430"/>
    <w:rsid w:val="00E91B26"/>
    <w:rsid w:val="00E92C6E"/>
    <w:rsid w:val="00E92D0B"/>
    <w:rsid w:val="00E92FFF"/>
    <w:rsid w:val="00E93195"/>
    <w:rsid w:val="00E9391C"/>
    <w:rsid w:val="00E93D05"/>
    <w:rsid w:val="00E94A48"/>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5B9"/>
    <w:rsid w:val="00EB763E"/>
    <w:rsid w:val="00EB7B67"/>
    <w:rsid w:val="00EC07F1"/>
    <w:rsid w:val="00EC1E8A"/>
    <w:rsid w:val="00EC328C"/>
    <w:rsid w:val="00EC32F5"/>
    <w:rsid w:val="00EC3852"/>
    <w:rsid w:val="00EC3A7B"/>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C7DFF"/>
    <w:rsid w:val="00ED0151"/>
    <w:rsid w:val="00ED0257"/>
    <w:rsid w:val="00ED071B"/>
    <w:rsid w:val="00ED1445"/>
    <w:rsid w:val="00ED18B1"/>
    <w:rsid w:val="00ED1ADE"/>
    <w:rsid w:val="00ED1B6C"/>
    <w:rsid w:val="00ED3692"/>
    <w:rsid w:val="00ED3763"/>
    <w:rsid w:val="00ED4483"/>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395"/>
    <w:rsid w:val="00EE56E2"/>
    <w:rsid w:val="00EE5FCD"/>
    <w:rsid w:val="00EE6192"/>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73C"/>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2B5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3F55"/>
    <w:rsid w:val="00F2420C"/>
    <w:rsid w:val="00F24C28"/>
    <w:rsid w:val="00F254C4"/>
    <w:rsid w:val="00F25641"/>
    <w:rsid w:val="00F256D8"/>
    <w:rsid w:val="00F25824"/>
    <w:rsid w:val="00F25E47"/>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1CDD"/>
    <w:rsid w:val="00F42856"/>
    <w:rsid w:val="00F42ED7"/>
    <w:rsid w:val="00F43777"/>
    <w:rsid w:val="00F4482B"/>
    <w:rsid w:val="00F44F02"/>
    <w:rsid w:val="00F45039"/>
    <w:rsid w:val="00F4526B"/>
    <w:rsid w:val="00F45298"/>
    <w:rsid w:val="00F45429"/>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CEE"/>
    <w:rsid w:val="00F67079"/>
    <w:rsid w:val="00F67B58"/>
    <w:rsid w:val="00F67E81"/>
    <w:rsid w:val="00F7044B"/>
    <w:rsid w:val="00F70598"/>
    <w:rsid w:val="00F70FD4"/>
    <w:rsid w:val="00F71342"/>
    <w:rsid w:val="00F71C68"/>
    <w:rsid w:val="00F724E2"/>
    <w:rsid w:val="00F73433"/>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43A"/>
    <w:rsid w:val="00FA672F"/>
    <w:rsid w:val="00FA6AD3"/>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4A8C"/>
    <w:rsid w:val="00FD54A8"/>
    <w:rsid w:val="00FD5AE4"/>
    <w:rsid w:val="00FD5F25"/>
    <w:rsid w:val="00FD60BE"/>
    <w:rsid w:val="00FD6894"/>
    <w:rsid w:val="00FD6AF0"/>
    <w:rsid w:val="00FD704D"/>
    <w:rsid w:val="00FD74EF"/>
    <w:rsid w:val="00FD7660"/>
    <w:rsid w:val="00FD79B8"/>
    <w:rsid w:val="00FD79F6"/>
    <w:rsid w:val="00FE033F"/>
    <w:rsid w:val="00FE0584"/>
    <w:rsid w:val="00FE07A8"/>
    <w:rsid w:val="00FE0AD1"/>
    <w:rsid w:val="00FE0CC0"/>
    <w:rsid w:val="00FE1852"/>
    <w:rsid w:val="00FE1963"/>
    <w:rsid w:val="00FE1981"/>
    <w:rsid w:val="00FE1BF1"/>
    <w:rsid w:val="00FE33DB"/>
    <w:rsid w:val="00FE33F5"/>
    <w:rsid w:val="00FE352A"/>
    <w:rsid w:val="00FE37DD"/>
    <w:rsid w:val="00FE3C31"/>
    <w:rsid w:val="00FE3C48"/>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9C4"/>
    <w:rsid w:val="00FF2A7B"/>
    <w:rsid w:val="00FF3D2B"/>
    <w:rsid w:val="00FF49B4"/>
    <w:rsid w:val="00FF49F4"/>
    <w:rsid w:val="00FF5C6A"/>
    <w:rsid w:val="00FF651D"/>
    <w:rsid w:val="00FF6843"/>
    <w:rsid w:val="00FF6C25"/>
    <w:rsid w:val="00FF6E6D"/>
    <w:rsid w:val="00FF7F00"/>
    <w:rsid w:val="010651D9"/>
    <w:rsid w:val="011F6449"/>
    <w:rsid w:val="01236AFB"/>
    <w:rsid w:val="01271ACA"/>
    <w:rsid w:val="013E344F"/>
    <w:rsid w:val="016005A8"/>
    <w:rsid w:val="019232C4"/>
    <w:rsid w:val="019F7441"/>
    <w:rsid w:val="01B37585"/>
    <w:rsid w:val="01D55165"/>
    <w:rsid w:val="01DF6BF8"/>
    <w:rsid w:val="01EC2C57"/>
    <w:rsid w:val="01F11B65"/>
    <w:rsid w:val="026B2E25"/>
    <w:rsid w:val="02824D4D"/>
    <w:rsid w:val="02DC4B10"/>
    <w:rsid w:val="02DD76CE"/>
    <w:rsid w:val="02F208C2"/>
    <w:rsid w:val="02F36323"/>
    <w:rsid w:val="02F5619C"/>
    <w:rsid w:val="02F8485D"/>
    <w:rsid w:val="0326446A"/>
    <w:rsid w:val="032D5555"/>
    <w:rsid w:val="035703C5"/>
    <w:rsid w:val="036634D2"/>
    <w:rsid w:val="03C844F0"/>
    <w:rsid w:val="03DD35E4"/>
    <w:rsid w:val="04076900"/>
    <w:rsid w:val="041A5A3B"/>
    <w:rsid w:val="042311BA"/>
    <w:rsid w:val="042B157A"/>
    <w:rsid w:val="04637523"/>
    <w:rsid w:val="048B1950"/>
    <w:rsid w:val="048F763B"/>
    <w:rsid w:val="049F330E"/>
    <w:rsid w:val="04AA775C"/>
    <w:rsid w:val="04AF1889"/>
    <w:rsid w:val="04F66F48"/>
    <w:rsid w:val="05251E14"/>
    <w:rsid w:val="05A16594"/>
    <w:rsid w:val="05A7762D"/>
    <w:rsid w:val="05EF4EDA"/>
    <w:rsid w:val="05FE0636"/>
    <w:rsid w:val="060E5941"/>
    <w:rsid w:val="06110FAF"/>
    <w:rsid w:val="06493CA7"/>
    <w:rsid w:val="065A6178"/>
    <w:rsid w:val="066F1CF3"/>
    <w:rsid w:val="06925398"/>
    <w:rsid w:val="06930BB8"/>
    <w:rsid w:val="0721638A"/>
    <w:rsid w:val="07245D42"/>
    <w:rsid w:val="07264C62"/>
    <w:rsid w:val="0779354C"/>
    <w:rsid w:val="08061376"/>
    <w:rsid w:val="08452D77"/>
    <w:rsid w:val="086401F8"/>
    <w:rsid w:val="08751CAA"/>
    <w:rsid w:val="087E4C40"/>
    <w:rsid w:val="08AA1271"/>
    <w:rsid w:val="08C45F81"/>
    <w:rsid w:val="08D66AD6"/>
    <w:rsid w:val="08DA33A3"/>
    <w:rsid w:val="08E80F13"/>
    <w:rsid w:val="08F460BB"/>
    <w:rsid w:val="09335624"/>
    <w:rsid w:val="0944690F"/>
    <w:rsid w:val="09535675"/>
    <w:rsid w:val="095F057D"/>
    <w:rsid w:val="09624DC1"/>
    <w:rsid w:val="09642282"/>
    <w:rsid w:val="09733572"/>
    <w:rsid w:val="09772C16"/>
    <w:rsid w:val="098353B5"/>
    <w:rsid w:val="09975825"/>
    <w:rsid w:val="09A92330"/>
    <w:rsid w:val="09B06B87"/>
    <w:rsid w:val="09C13146"/>
    <w:rsid w:val="09E04166"/>
    <w:rsid w:val="09F75AC8"/>
    <w:rsid w:val="0A1C0718"/>
    <w:rsid w:val="0A3E7710"/>
    <w:rsid w:val="0A5B7E63"/>
    <w:rsid w:val="0AA374A5"/>
    <w:rsid w:val="0AAB7649"/>
    <w:rsid w:val="0ABC5606"/>
    <w:rsid w:val="0B23369D"/>
    <w:rsid w:val="0B2C7471"/>
    <w:rsid w:val="0B30404E"/>
    <w:rsid w:val="0B3D1B83"/>
    <w:rsid w:val="0B474516"/>
    <w:rsid w:val="0B4C6C14"/>
    <w:rsid w:val="0B631A88"/>
    <w:rsid w:val="0B683D45"/>
    <w:rsid w:val="0B7F3F11"/>
    <w:rsid w:val="0B884417"/>
    <w:rsid w:val="0BF6188C"/>
    <w:rsid w:val="0BF73C91"/>
    <w:rsid w:val="0C170175"/>
    <w:rsid w:val="0C2F4091"/>
    <w:rsid w:val="0C3858AA"/>
    <w:rsid w:val="0C571A41"/>
    <w:rsid w:val="0C5C1171"/>
    <w:rsid w:val="0C5E1CBC"/>
    <w:rsid w:val="0C615B50"/>
    <w:rsid w:val="0C7F7D0C"/>
    <w:rsid w:val="0C8445DA"/>
    <w:rsid w:val="0C87121B"/>
    <w:rsid w:val="0C8D02A8"/>
    <w:rsid w:val="0CC007F7"/>
    <w:rsid w:val="0CFE707A"/>
    <w:rsid w:val="0D063BDA"/>
    <w:rsid w:val="0D08375F"/>
    <w:rsid w:val="0D184CFB"/>
    <w:rsid w:val="0D40475F"/>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1D4DCD"/>
    <w:rsid w:val="0F4958DC"/>
    <w:rsid w:val="0F515DF7"/>
    <w:rsid w:val="0F596BA8"/>
    <w:rsid w:val="0F6248D2"/>
    <w:rsid w:val="0F693536"/>
    <w:rsid w:val="0F7B0511"/>
    <w:rsid w:val="0F7B76D9"/>
    <w:rsid w:val="0F816ACD"/>
    <w:rsid w:val="0F9832DB"/>
    <w:rsid w:val="0FBF3FD2"/>
    <w:rsid w:val="0FBF7FF3"/>
    <w:rsid w:val="10421E87"/>
    <w:rsid w:val="10646583"/>
    <w:rsid w:val="10753993"/>
    <w:rsid w:val="10757B43"/>
    <w:rsid w:val="107D4B15"/>
    <w:rsid w:val="108A3C80"/>
    <w:rsid w:val="10C26171"/>
    <w:rsid w:val="10F33360"/>
    <w:rsid w:val="10FC16EA"/>
    <w:rsid w:val="11013053"/>
    <w:rsid w:val="110F1D40"/>
    <w:rsid w:val="11266F33"/>
    <w:rsid w:val="118963A1"/>
    <w:rsid w:val="11C6522A"/>
    <w:rsid w:val="11E104CC"/>
    <w:rsid w:val="11E20309"/>
    <w:rsid w:val="12087A18"/>
    <w:rsid w:val="12255233"/>
    <w:rsid w:val="12530213"/>
    <w:rsid w:val="127723A9"/>
    <w:rsid w:val="12862074"/>
    <w:rsid w:val="12883966"/>
    <w:rsid w:val="129E45B4"/>
    <w:rsid w:val="12B855CF"/>
    <w:rsid w:val="12D81596"/>
    <w:rsid w:val="13072A44"/>
    <w:rsid w:val="13195052"/>
    <w:rsid w:val="135F4BE2"/>
    <w:rsid w:val="13604B96"/>
    <w:rsid w:val="139B1A0A"/>
    <w:rsid w:val="139D25C7"/>
    <w:rsid w:val="13BF3CE4"/>
    <w:rsid w:val="13C9176B"/>
    <w:rsid w:val="13DF72EE"/>
    <w:rsid w:val="1410028C"/>
    <w:rsid w:val="141008D8"/>
    <w:rsid w:val="14125FE6"/>
    <w:rsid w:val="146D271E"/>
    <w:rsid w:val="14982588"/>
    <w:rsid w:val="149A5AD9"/>
    <w:rsid w:val="14A7619D"/>
    <w:rsid w:val="14A76A6B"/>
    <w:rsid w:val="14D70121"/>
    <w:rsid w:val="14E326F3"/>
    <w:rsid w:val="150536C3"/>
    <w:rsid w:val="150C1963"/>
    <w:rsid w:val="151447A0"/>
    <w:rsid w:val="154A6454"/>
    <w:rsid w:val="15762120"/>
    <w:rsid w:val="15D27773"/>
    <w:rsid w:val="15FB5702"/>
    <w:rsid w:val="16155B22"/>
    <w:rsid w:val="1667119A"/>
    <w:rsid w:val="16A8729C"/>
    <w:rsid w:val="16AC4929"/>
    <w:rsid w:val="16B33777"/>
    <w:rsid w:val="16BC70A7"/>
    <w:rsid w:val="16C6339E"/>
    <w:rsid w:val="16FC6A01"/>
    <w:rsid w:val="1705609A"/>
    <w:rsid w:val="172E00FB"/>
    <w:rsid w:val="172F2D79"/>
    <w:rsid w:val="17352D27"/>
    <w:rsid w:val="17557BEF"/>
    <w:rsid w:val="179A2834"/>
    <w:rsid w:val="17D349C1"/>
    <w:rsid w:val="1830729E"/>
    <w:rsid w:val="1870062C"/>
    <w:rsid w:val="18817102"/>
    <w:rsid w:val="18830A15"/>
    <w:rsid w:val="18852B28"/>
    <w:rsid w:val="188B5321"/>
    <w:rsid w:val="193F6FDA"/>
    <w:rsid w:val="19932372"/>
    <w:rsid w:val="19A20DD5"/>
    <w:rsid w:val="19AE03F1"/>
    <w:rsid w:val="1A071A03"/>
    <w:rsid w:val="1A196AA9"/>
    <w:rsid w:val="1A1F16AE"/>
    <w:rsid w:val="1A3B5C77"/>
    <w:rsid w:val="1A984BAD"/>
    <w:rsid w:val="1A9C233C"/>
    <w:rsid w:val="1AB8220E"/>
    <w:rsid w:val="1ADC3D91"/>
    <w:rsid w:val="1AE4166C"/>
    <w:rsid w:val="1AF06CFB"/>
    <w:rsid w:val="1AF11B8D"/>
    <w:rsid w:val="1B11359C"/>
    <w:rsid w:val="1B2A271F"/>
    <w:rsid w:val="1B377292"/>
    <w:rsid w:val="1B530544"/>
    <w:rsid w:val="1B713184"/>
    <w:rsid w:val="1B7F324D"/>
    <w:rsid w:val="1BA209CF"/>
    <w:rsid w:val="1BB4777D"/>
    <w:rsid w:val="1BD75AB8"/>
    <w:rsid w:val="1C0459C2"/>
    <w:rsid w:val="1C1B3B4A"/>
    <w:rsid w:val="1C88086E"/>
    <w:rsid w:val="1CF81355"/>
    <w:rsid w:val="1D266CE1"/>
    <w:rsid w:val="1D3963AF"/>
    <w:rsid w:val="1D6A673C"/>
    <w:rsid w:val="1D6E74F2"/>
    <w:rsid w:val="1D9247AE"/>
    <w:rsid w:val="1DAD4EB4"/>
    <w:rsid w:val="1DB567EC"/>
    <w:rsid w:val="1DF51A98"/>
    <w:rsid w:val="1E3D060F"/>
    <w:rsid w:val="1E3F7D2E"/>
    <w:rsid w:val="1E4134E4"/>
    <w:rsid w:val="1E5062B3"/>
    <w:rsid w:val="1E523514"/>
    <w:rsid w:val="1E714A66"/>
    <w:rsid w:val="1E802593"/>
    <w:rsid w:val="1EA703CC"/>
    <w:rsid w:val="1EB7330C"/>
    <w:rsid w:val="1EC46CC7"/>
    <w:rsid w:val="1F0A0FF3"/>
    <w:rsid w:val="1F5771FF"/>
    <w:rsid w:val="1FA12B59"/>
    <w:rsid w:val="1FE76643"/>
    <w:rsid w:val="1FE868A9"/>
    <w:rsid w:val="1FF92231"/>
    <w:rsid w:val="20034907"/>
    <w:rsid w:val="20173E4B"/>
    <w:rsid w:val="204E48BC"/>
    <w:rsid w:val="208921B3"/>
    <w:rsid w:val="20973DEB"/>
    <w:rsid w:val="20B26522"/>
    <w:rsid w:val="20B4318D"/>
    <w:rsid w:val="20B44310"/>
    <w:rsid w:val="211116EB"/>
    <w:rsid w:val="21123EB5"/>
    <w:rsid w:val="216133FC"/>
    <w:rsid w:val="21687122"/>
    <w:rsid w:val="21D56769"/>
    <w:rsid w:val="21E52EF3"/>
    <w:rsid w:val="21FB5D7B"/>
    <w:rsid w:val="220B1C3D"/>
    <w:rsid w:val="221D1D20"/>
    <w:rsid w:val="221D25B7"/>
    <w:rsid w:val="221F78FD"/>
    <w:rsid w:val="22334A87"/>
    <w:rsid w:val="22985139"/>
    <w:rsid w:val="22BE6801"/>
    <w:rsid w:val="233500BF"/>
    <w:rsid w:val="23377FF7"/>
    <w:rsid w:val="236B425F"/>
    <w:rsid w:val="23836192"/>
    <w:rsid w:val="23901F29"/>
    <w:rsid w:val="239C0061"/>
    <w:rsid w:val="23B908A4"/>
    <w:rsid w:val="23E95BEF"/>
    <w:rsid w:val="23F01166"/>
    <w:rsid w:val="23FD0064"/>
    <w:rsid w:val="245375B0"/>
    <w:rsid w:val="24642C0A"/>
    <w:rsid w:val="249D7FCD"/>
    <w:rsid w:val="24A0025B"/>
    <w:rsid w:val="24B22173"/>
    <w:rsid w:val="24B95AD9"/>
    <w:rsid w:val="24BA7F66"/>
    <w:rsid w:val="24BE24DA"/>
    <w:rsid w:val="24CF5825"/>
    <w:rsid w:val="24D663E6"/>
    <w:rsid w:val="24D77F2B"/>
    <w:rsid w:val="24DE36CA"/>
    <w:rsid w:val="2515298E"/>
    <w:rsid w:val="258B00E2"/>
    <w:rsid w:val="25A917A6"/>
    <w:rsid w:val="25BE27CC"/>
    <w:rsid w:val="25F74A5C"/>
    <w:rsid w:val="2628662C"/>
    <w:rsid w:val="262D45DE"/>
    <w:rsid w:val="26A53EF9"/>
    <w:rsid w:val="26A94201"/>
    <w:rsid w:val="26AC274F"/>
    <w:rsid w:val="27044A29"/>
    <w:rsid w:val="2713165A"/>
    <w:rsid w:val="271D34C8"/>
    <w:rsid w:val="272717DA"/>
    <w:rsid w:val="27425763"/>
    <w:rsid w:val="276142BF"/>
    <w:rsid w:val="27635651"/>
    <w:rsid w:val="27783712"/>
    <w:rsid w:val="27907362"/>
    <w:rsid w:val="27CE49D7"/>
    <w:rsid w:val="28333E1D"/>
    <w:rsid w:val="28454BD6"/>
    <w:rsid w:val="28455253"/>
    <w:rsid w:val="28551971"/>
    <w:rsid w:val="285B1C53"/>
    <w:rsid w:val="288B71B3"/>
    <w:rsid w:val="289F7086"/>
    <w:rsid w:val="28C32028"/>
    <w:rsid w:val="28CC490F"/>
    <w:rsid w:val="28DE40AA"/>
    <w:rsid w:val="29345E77"/>
    <w:rsid w:val="294C65AD"/>
    <w:rsid w:val="2969358F"/>
    <w:rsid w:val="29806583"/>
    <w:rsid w:val="298B3C4C"/>
    <w:rsid w:val="29932CBF"/>
    <w:rsid w:val="29F26D24"/>
    <w:rsid w:val="2A15033F"/>
    <w:rsid w:val="2A1662C1"/>
    <w:rsid w:val="2A1C7367"/>
    <w:rsid w:val="2A2815FA"/>
    <w:rsid w:val="2A6D6092"/>
    <w:rsid w:val="2A7D76B4"/>
    <w:rsid w:val="2AE1429A"/>
    <w:rsid w:val="2B397DE9"/>
    <w:rsid w:val="2B431325"/>
    <w:rsid w:val="2B437463"/>
    <w:rsid w:val="2B487D7C"/>
    <w:rsid w:val="2B7807EE"/>
    <w:rsid w:val="2BAD1D0A"/>
    <w:rsid w:val="2BBE2C91"/>
    <w:rsid w:val="2BBF00EC"/>
    <w:rsid w:val="2BC37CFD"/>
    <w:rsid w:val="2BD5237F"/>
    <w:rsid w:val="2BE536CE"/>
    <w:rsid w:val="2BE758D9"/>
    <w:rsid w:val="2C09049E"/>
    <w:rsid w:val="2C0A653C"/>
    <w:rsid w:val="2C191F85"/>
    <w:rsid w:val="2C212804"/>
    <w:rsid w:val="2C574D97"/>
    <w:rsid w:val="2C8E09FC"/>
    <w:rsid w:val="2CCD46A4"/>
    <w:rsid w:val="2CE82D6F"/>
    <w:rsid w:val="2D343236"/>
    <w:rsid w:val="2D897AC7"/>
    <w:rsid w:val="2DD15014"/>
    <w:rsid w:val="2DF72DE4"/>
    <w:rsid w:val="2E0220AF"/>
    <w:rsid w:val="2E2D690F"/>
    <w:rsid w:val="2E4B082A"/>
    <w:rsid w:val="2E5D4E86"/>
    <w:rsid w:val="2E5D790B"/>
    <w:rsid w:val="2E9406BF"/>
    <w:rsid w:val="2E9A3C18"/>
    <w:rsid w:val="2EBB0FEE"/>
    <w:rsid w:val="2EC63002"/>
    <w:rsid w:val="2F0A6B38"/>
    <w:rsid w:val="2F946CCB"/>
    <w:rsid w:val="2FD25781"/>
    <w:rsid w:val="2FFD7934"/>
    <w:rsid w:val="304229F7"/>
    <w:rsid w:val="30733ACD"/>
    <w:rsid w:val="308C3862"/>
    <w:rsid w:val="309379D8"/>
    <w:rsid w:val="30A16923"/>
    <w:rsid w:val="30A270F7"/>
    <w:rsid w:val="30DF1478"/>
    <w:rsid w:val="30E40B8A"/>
    <w:rsid w:val="30EC586F"/>
    <w:rsid w:val="31590FFB"/>
    <w:rsid w:val="319C6071"/>
    <w:rsid w:val="31AC537E"/>
    <w:rsid w:val="31D960BE"/>
    <w:rsid w:val="31E3679B"/>
    <w:rsid w:val="31E732FD"/>
    <w:rsid w:val="324A2E74"/>
    <w:rsid w:val="32517576"/>
    <w:rsid w:val="32BE5C2C"/>
    <w:rsid w:val="32FB6478"/>
    <w:rsid w:val="33026E1D"/>
    <w:rsid w:val="33263B3F"/>
    <w:rsid w:val="336963EB"/>
    <w:rsid w:val="33816EEB"/>
    <w:rsid w:val="338B4ADF"/>
    <w:rsid w:val="33AD49A1"/>
    <w:rsid w:val="33DF6B63"/>
    <w:rsid w:val="33EB55CD"/>
    <w:rsid w:val="33EC4C02"/>
    <w:rsid w:val="340D2360"/>
    <w:rsid w:val="3410665D"/>
    <w:rsid w:val="34211214"/>
    <w:rsid w:val="342E63AB"/>
    <w:rsid w:val="34421E3E"/>
    <w:rsid w:val="344953B8"/>
    <w:rsid w:val="34950E68"/>
    <w:rsid w:val="34986E94"/>
    <w:rsid w:val="34AF62C9"/>
    <w:rsid w:val="34CB4388"/>
    <w:rsid w:val="34FA6E12"/>
    <w:rsid w:val="351E00D7"/>
    <w:rsid w:val="358D5588"/>
    <w:rsid w:val="35F12B57"/>
    <w:rsid w:val="3634593D"/>
    <w:rsid w:val="363A3B40"/>
    <w:rsid w:val="365302AE"/>
    <w:rsid w:val="36607A0A"/>
    <w:rsid w:val="366E227C"/>
    <w:rsid w:val="366F2E0D"/>
    <w:rsid w:val="367B6A5C"/>
    <w:rsid w:val="36A74ADA"/>
    <w:rsid w:val="36AD60D5"/>
    <w:rsid w:val="36B224F9"/>
    <w:rsid w:val="36EC0CC9"/>
    <w:rsid w:val="371C3C3F"/>
    <w:rsid w:val="373F410B"/>
    <w:rsid w:val="375D2779"/>
    <w:rsid w:val="3762240D"/>
    <w:rsid w:val="37EE7094"/>
    <w:rsid w:val="38296C89"/>
    <w:rsid w:val="383002EB"/>
    <w:rsid w:val="38586797"/>
    <w:rsid w:val="385C6928"/>
    <w:rsid w:val="3884618A"/>
    <w:rsid w:val="38BC0149"/>
    <w:rsid w:val="38D417C5"/>
    <w:rsid w:val="38D87D1C"/>
    <w:rsid w:val="38E044AD"/>
    <w:rsid w:val="39636459"/>
    <w:rsid w:val="396B7F6C"/>
    <w:rsid w:val="398842F2"/>
    <w:rsid w:val="39B417A9"/>
    <w:rsid w:val="39F23B44"/>
    <w:rsid w:val="39FC5695"/>
    <w:rsid w:val="3A006D8E"/>
    <w:rsid w:val="3A3651E5"/>
    <w:rsid w:val="3A6406C8"/>
    <w:rsid w:val="3A744481"/>
    <w:rsid w:val="3A8C7BEF"/>
    <w:rsid w:val="3A906246"/>
    <w:rsid w:val="3AC70D5B"/>
    <w:rsid w:val="3B1300B8"/>
    <w:rsid w:val="3B133D49"/>
    <w:rsid w:val="3B2349B7"/>
    <w:rsid w:val="3B616CFF"/>
    <w:rsid w:val="3B6259F6"/>
    <w:rsid w:val="3B976654"/>
    <w:rsid w:val="3BA0301A"/>
    <w:rsid w:val="3BC01EFC"/>
    <w:rsid w:val="3BC57803"/>
    <w:rsid w:val="3BCA786A"/>
    <w:rsid w:val="3BD31E2F"/>
    <w:rsid w:val="3BD90C92"/>
    <w:rsid w:val="3BDE3756"/>
    <w:rsid w:val="3BF15831"/>
    <w:rsid w:val="3C105946"/>
    <w:rsid w:val="3C471448"/>
    <w:rsid w:val="3C5F759A"/>
    <w:rsid w:val="3C6C525A"/>
    <w:rsid w:val="3CCE23CB"/>
    <w:rsid w:val="3CD17D17"/>
    <w:rsid w:val="3D2F666C"/>
    <w:rsid w:val="3D3C7F39"/>
    <w:rsid w:val="3D440F09"/>
    <w:rsid w:val="3D4504A0"/>
    <w:rsid w:val="3D4D5311"/>
    <w:rsid w:val="3D8734BB"/>
    <w:rsid w:val="3D9A11D4"/>
    <w:rsid w:val="3DA16D89"/>
    <w:rsid w:val="3DA364BE"/>
    <w:rsid w:val="3DAF7496"/>
    <w:rsid w:val="3DE041CB"/>
    <w:rsid w:val="3E002529"/>
    <w:rsid w:val="3E0D48F6"/>
    <w:rsid w:val="3E1868B4"/>
    <w:rsid w:val="3E377251"/>
    <w:rsid w:val="3E42664B"/>
    <w:rsid w:val="3E5A7334"/>
    <w:rsid w:val="3E6C4BB7"/>
    <w:rsid w:val="3E6D7B2B"/>
    <w:rsid w:val="3E7B5D6B"/>
    <w:rsid w:val="3E843E66"/>
    <w:rsid w:val="3E8F51FE"/>
    <w:rsid w:val="3E91236D"/>
    <w:rsid w:val="3E926F87"/>
    <w:rsid w:val="3E9A59DE"/>
    <w:rsid w:val="3EAF4836"/>
    <w:rsid w:val="3EC33DFA"/>
    <w:rsid w:val="3F060E16"/>
    <w:rsid w:val="3F1D1096"/>
    <w:rsid w:val="3F2E6D77"/>
    <w:rsid w:val="3F2F0234"/>
    <w:rsid w:val="3F6363FE"/>
    <w:rsid w:val="3F756B8F"/>
    <w:rsid w:val="3F95482B"/>
    <w:rsid w:val="3FD0262E"/>
    <w:rsid w:val="4019356B"/>
    <w:rsid w:val="40592157"/>
    <w:rsid w:val="406E1CAE"/>
    <w:rsid w:val="40A0133A"/>
    <w:rsid w:val="40B64990"/>
    <w:rsid w:val="40C31A53"/>
    <w:rsid w:val="40E01788"/>
    <w:rsid w:val="40FF2192"/>
    <w:rsid w:val="40FF545D"/>
    <w:rsid w:val="410067C8"/>
    <w:rsid w:val="418F0D2A"/>
    <w:rsid w:val="41D01505"/>
    <w:rsid w:val="42474939"/>
    <w:rsid w:val="424C3C57"/>
    <w:rsid w:val="42613FF3"/>
    <w:rsid w:val="42660D96"/>
    <w:rsid w:val="428667D2"/>
    <w:rsid w:val="42B720A0"/>
    <w:rsid w:val="42CD1CE0"/>
    <w:rsid w:val="42E1381E"/>
    <w:rsid w:val="42ED6459"/>
    <w:rsid w:val="42FE58DD"/>
    <w:rsid w:val="43174B3D"/>
    <w:rsid w:val="434B790E"/>
    <w:rsid w:val="4360274F"/>
    <w:rsid w:val="43977AB6"/>
    <w:rsid w:val="43A3342B"/>
    <w:rsid w:val="43C77C27"/>
    <w:rsid w:val="43DE09EE"/>
    <w:rsid w:val="44002FAD"/>
    <w:rsid w:val="449101DD"/>
    <w:rsid w:val="44B82185"/>
    <w:rsid w:val="44D21F53"/>
    <w:rsid w:val="44DE1391"/>
    <w:rsid w:val="451B225C"/>
    <w:rsid w:val="452410C9"/>
    <w:rsid w:val="45317DFB"/>
    <w:rsid w:val="456D3CE4"/>
    <w:rsid w:val="4579042C"/>
    <w:rsid w:val="457F0571"/>
    <w:rsid w:val="45851176"/>
    <w:rsid w:val="45C63B94"/>
    <w:rsid w:val="460E7DA5"/>
    <w:rsid w:val="463C5764"/>
    <w:rsid w:val="46422483"/>
    <w:rsid w:val="4659254A"/>
    <w:rsid w:val="465B0637"/>
    <w:rsid w:val="465E3F0D"/>
    <w:rsid w:val="466A16E6"/>
    <w:rsid w:val="46893F2B"/>
    <w:rsid w:val="46C4686E"/>
    <w:rsid w:val="46C57699"/>
    <w:rsid w:val="46E831ED"/>
    <w:rsid w:val="47282841"/>
    <w:rsid w:val="477B778F"/>
    <w:rsid w:val="478203EC"/>
    <w:rsid w:val="4797159D"/>
    <w:rsid w:val="47B025FA"/>
    <w:rsid w:val="47F01510"/>
    <w:rsid w:val="47F209E7"/>
    <w:rsid w:val="4809698F"/>
    <w:rsid w:val="4811697D"/>
    <w:rsid w:val="487A3E25"/>
    <w:rsid w:val="487B0469"/>
    <w:rsid w:val="488B5503"/>
    <w:rsid w:val="48937E21"/>
    <w:rsid w:val="489A0361"/>
    <w:rsid w:val="48B94FF3"/>
    <w:rsid w:val="48E37AAB"/>
    <w:rsid w:val="48FD4B4C"/>
    <w:rsid w:val="490A68E0"/>
    <w:rsid w:val="491055FE"/>
    <w:rsid w:val="491A3FE3"/>
    <w:rsid w:val="495F5B3E"/>
    <w:rsid w:val="496F77D7"/>
    <w:rsid w:val="49764224"/>
    <w:rsid w:val="497654FD"/>
    <w:rsid w:val="49B64211"/>
    <w:rsid w:val="49F6167F"/>
    <w:rsid w:val="4A064FA0"/>
    <w:rsid w:val="4A16615C"/>
    <w:rsid w:val="4A4424D7"/>
    <w:rsid w:val="4A792E07"/>
    <w:rsid w:val="4AB82D0F"/>
    <w:rsid w:val="4AEB7664"/>
    <w:rsid w:val="4AF92219"/>
    <w:rsid w:val="4AFD7C19"/>
    <w:rsid w:val="4B0567D1"/>
    <w:rsid w:val="4B236AAE"/>
    <w:rsid w:val="4B707271"/>
    <w:rsid w:val="4B9739F7"/>
    <w:rsid w:val="4B9D56FF"/>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3481C"/>
    <w:rsid w:val="4F47354A"/>
    <w:rsid w:val="4F911C54"/>
    <w:rsid w:val="4FD23C92"/>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3D53D51"/>
    <w:rsid w:val="54013861"/>
    <w:rsid w:val="54264A35"/>
    <w:rsid w:val="543B053F"/>
    <w:rsid w:val="54487265"/>
    <w:rsid w:val="544D6070"/>
    <w:rsid w:val="5460409E"/>
    <w:rsid w:val="54605E1E"/>
    <w:rsid w:val="546A0AE5"/>
    <w:rsid w:val="54B3506A"/>
    <w:rsid w:val="54CA0D16"/>
    <w:rsid w:val="54DD4057"/>
    <w:rsid w:val="54E7490F"/>
    <w:rsid w:val="54F7464C"/>
    <w:rsid w:val="550764A4"/>
    <w:rsid w:val="550B2BF6"/>
    <w:rsid w:val="55214EB5"/>
    <w:rsid w:val="55364EFD"/>
    <w:rsid w:val="554F18E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5356E"/>
    <w:rsid w:val="57CD20C2"/>
    <w:rsid w:val="57D675AB"/>
    <w:rsid w:val="57D95FDD"/>
    <w:rsid w:val="582D4887"/>
    <w:rsid w:val="58917D2F"/>
    <w:rsid w:val="5894085C"/>
    <w:rsid w:val="58AE4F0C"/>
    <w:rsid w:val="58B85899"/>
    <w:rsid w:val="58D00F8B"/>
    <w:rsid w:val="58E363A9"/>
    <w:rsid w:val="58EA179E"/>
    <w:rsid w:val="590621D0"/>
    <w:rsid w:val="59316420"/>
    <w:rsid w:val="59554FEC"/>
    <w:rsid w:val="595E1678"/>
    <w:rsid w:val="596D5BD4"/>
    <w:rsid w:val="597E3DD8"/>
    <w:rsid w:val="59C82FCE"/>
    <w:rsid w:val="59F80043"/>
    <w:rsid w:val="5A09252F"/>
    <w:rsid w:val="5A0B2778"/>
    <w:rsid w:val="5A194552"/>
    <w:rsid w:val="5A1B4F97"/>
    <w:rsid w:val="5A2A7C7B"/>
    <w:rsid w:val="5A3E2560"/>
    <w:rsid w:val="5A4F343E"/>
    <w:rsid w:val="5A5D3B6E"/>
    <w:rsid w:val="5A637A76"/>
    <w:rsid w:val="5A6D33BA"/>
    <w:rsid w:val="5A792B1F"/>
    <w:rsid w:val="5A874767"/>
    <w:rsid w:val="5AAD6F28"/>
    <w:rsid w:val="5AD63A24"/>
    <w:rsid w:val="5B2E1A1D"/>
    <w:rsid w:val="5B843A1C"/>
    <w:rsid w:val="5B873E3F"/>
    <w:rsid w:val="5C02690E"/>
    <w:rsid w:val="5C196DA7"/>
    <w:rsid w:val="5C28123C"/>
    <w:rsid w:val="5C2A048C"/>
    <w:rsid w:val="5C80234E"/>
    <w:rsid w:val="5C8A680C"/>
    <w:rsid w:val="5D0C4701"/>
    <w:rsid w:val="5D0F0395"/>
    <w:rsid w:val="5D216A18"/>
    <w:rsid w:val="5D221076"/>
    <w:rsid w:val="5D397964"/>
    <w:rsid w:val="5D5A391C"/>
    <w:rsid w:val="5D5F10C0"/>
    <w:rsid w:val="5D891B7B"/>
    <w:rsid w:val="5DAD38EE"/>
    <w:rsid w:val="5E006862"/>
    <w:rsid w:val="5E0207B9"/>
    <w:rsid w:val="5E1834A1"/>
    <w:rsid w:val="5E261785"/>
    <w:rsid w:val="5E4A7017"/>
    <w:rsid w:val="5E552BBA"/>
    <w:rsid w:val="5E611C10"/>
    <w:rsid w:val="5E9C5E50"/>
    <w:rsid w:val="5EFC7377"/>
    <w:rsid w:val="5F06174D"/>
    <w:rsid w:val="5F3A3602"/>
    <w:rsid w:val="5F6277C6"/>
    <w:rsid w:val="5F6D0B1D"/>
    <w:rsid w:val="5F8D0B82"/>
    <w:rsid w:val="5FCC5339"/>
    <w:rsid w:val="5FE34A5B"/>
    <w:rsid w:val="5FFE1E36"/>
    <w:rsid w:val="60232584"/>
    <w:rsid w:val="607330CE"/>
    <w:rsid w:val="60753D8B"/>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8908EA"/>
    <w:rsid w:val="62F40B65"/>
    <w:rsid w:val="62FC2CFE"/>
    <w:rsid w:val="63024505"/>
    <w:rsid w:val="63037672"/>
    <w:rsid w:val="630A20E5"/>
    <w:rsid w:val="635B1DB5"/>
    <w:rsid w:val="63711FED"/>
    <w:rsid w:val="63880DDC"/>
    <w:rsid w:val="638D750D"/>
    <w:rsid w:val="63AC6CC0"/>
    <w:rsid w:val="64055776"/>
    <w:rsid w:val="64240056"/>
    <w:rsid w:val="643E143A"/>
    <w:rsid w:val="64664647"/>
    <w:rsid w:val="648B6EEF"/>
    <w:rsid w:val="64C158BF"/>
    <w:rsid w:val="64CE2EAA"/>
    <w:rsid w:val="653C3090"/>
    <w:rsid w:val="6559247A"/>
    <w:rsid w:val="65757AE2"/>
    <w:rsid w:val="65854376"/>
    <w:rsid w:val="658767BE"/>
    <w:rsid w:val="65892531"/>
    <w:rsid w:val="659336FC"/>
    <w:rsid w:val="66195831"/>
    <w:rsid w:val="662B3D98"/>
    <w:rsid w:val="662E75B1"/>
    <w:rsid w:val="66342C2E"/>
    <w:rsid w:val="663E784C"/>
    <w:rsid w:val="66592077"/>
    <w:rsid w:val="66640F56"/>
    <w:rsid w:val="668B140A"/>
    <w:rsid w:val="668B6A45"/>
    <w:rsid w:val="672F3F24"/>
    <w:rsid w:val="673E055F"/>
    <w:rsid w:val="67551CE3"/>
    <w:rsid w:val="67962066"/>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DA51AE"/>
    <w:rsid w:val="68E937A3"/>
    <w:rsid w:val="690D3918"/>
    <w:rsid w:val="693E15D3"/>
    <w:rsid w:val="69627681"/>
    <w:rsid w:val="6977531D"/>
    <w:rsid w:val="69BA1155"/>
    <w:rsid w:val="69CC2BFF"/>
    <w:rsid w:val="69FD55B8"/>
    <w:rsid w:val="6A0B1C62"/>
    <w:rsid w:val="6A2406C8"/>
    <w:rsid w:val="6A396071"/>
    <w:rsid w:val="6A7272A4"/>
    <w:rsid w:val="6ADE0BD1"/>
    <w:rsid w:val="6AE96859"/>
    <w:rsid w:val="6B147746"/>
    <w:rsid w:val="6B24787C"/>
    <w:rsid w:val="6B573233"/>
    <w:rsid w:val="6B5B6274"/>
    <w:rsid w:val="6B686E01"/>
    <w:rsid w:val="6B817F21"/>
    <w:rsid w:val="6B935D53"/>
    <w:rsid w:val="6BAE7517"/>
    <w:rsid w:val="6C196F71"/>
    <w:rsid w:val="6C1D047C"/>
    <w:rsid w:val="6C226FCB"/>
    <w:rsid w:val="6C31226F"/>
    <w:rsid w:val="6C552F0B"/>
    <w:rsid w:val="6C8C67B7"/>
    <w:rsid w:val="6C9D744C"/>
    <w:rsid w:val="6D167928"/>
    <w:rsid w:val="6D26299B"/>
    <w:rsid w:val="6D341020"/>
    <w:rsid w:val="6D4772EC"/>
    <w:rsid w:val="6D9078AF"/>
    <w:rsid w:val="6DAA3FEF"/>
    <w:rsid w:val="6DC0172B"/>
    <w:rsid w:val="6DCB690C"/>
    <w:rsid w:val="6DD41A5B"/>
    <w:rsid w:val="6DF43C2E"/>
    <w:rsid w:val="6DF51CA3"/>
    <w:rsid w:val="6E673BE0"/>
    <w:rsid w:val="6E8335BD"/>
    <w:rsid w:val="6E8E12EF"/>
    <w:rsid w:val="6E972936"/>
    <w:rsid w:val="6ED446C5"/>
    <w:rsid w:val="6F036D0B"/>
    <w:rsid w:val="6F2A7D94"/>
    <w:rsid w:val="6F583EAF"/>
    <w:rsid w:val="6F8331F1"/>
    <w:rsid w:val="6FAE1A09"/>
    <w:rsid w:val="6FD75BF8"/>
    <w:rsid w:val="707723D0"/>
    <w:rsid w:val="70E31AFB"/>
    <w:rsid w:val="70F5661B"/>
    <w:rsid w:val="71184396"/>
    <w:rsid w:val="71360107"/>
    <w:rsid w:val="713B688E"/>
    <w:rsid w:val="71D43752"/>
    <w:rsid w:val="71F1796A"/>
    <w:rsid w:val="72120343"/>
    <w:rsid w:val="72154626"/>
    <w:rsid w:val="72262B5D"/>
    <w:rsid w:val="72283FF7"/>
    <w:rsid w:val="722E7212"/>
    <w:rsid w:val="7235035F"/>
    <w:rsid w:val="723A0474"/>
    <w:rsid w:val="724101BC"/>
    <w:rsid w:val="725923E4"/>
    <w:rsid w:val="72864BF7"/>
    <w:rsid w:val="729023FC"/>
    <w:rsid w:val="732139D0"/>
    <w:rsid w:val="73C0646E"/>
    <w:rsid w:val="73FF268D"/>
    <w:rsid w:val="742222F5"/>
    <w:rsid w:val="74343D24"/>
    <w:rsid w:val="74476126"/>
    <w:rsid w:val="74501BC5"/>
    <w:rsid w:val="74706664"/>
    <w:rsid w:val="747F3682"/>
    <w:rsid w:val="749C4185"/>
    <w:rsid w:val="75067759"/>
    <w:rsid w:val="752E6DCD"/>
    <w:rsid w:val="7551380D"/>
    <w:rsid w:val="75600BE5"/>
    <w:rsid w:val="7564475C"/>
    <w:rsid w:val="7583797F"/>
    <w:rsid w:val="75D20F1D"/>
    <w:rsid w:val="75DA2C18"/>
    <w:rsid w:val="75F54412"/>
    <w:rsid w:val="761D08E0"/>
    <w:rsid w:val="764B7247"/>
    <w:rsid w:val="765D347C"/>
    <w:rsid w:val="76826699"/>
    <w:rsid w:val="76A31123"/>
    <w:rsid w:val="76C87133"/>
    <w:rsid w:val="76CD08D5"/>
    <w:rsid w:val="76DB4B92"/>
    <w:rsid w:val="76F52148"/>
    <w:rsid w:val="77052AA4"/>
    <w:rsid w:val="77136511"/>
    <w:rsid w:val="77340A39"/>
    <w:rsid w:val="77351FD0"/>
    <w:rsid w:val="77472422"/>
    <w:rsid w:val="777F31F2"/>
    <w:rsid w:val="77D1700D"/>
    <w:rsid w:val="77E82D7B"/>
    <w:rsid w:val="77EC04CC"/>
    <w:rsid w:val="78064B00"/>
    <w:rsid w:val="78775729"/>
    <w:rsid w:val="78A42DB0"/>
    <w:rsid w:val="78A656AB"/>
    <w:rsid w:val="78B2245C"/>
    <w:rsid w:val="78E172CC"/>
    <w:rsid w:val="78EA1D1F"/>
    <w:rsid w:val="7904172F"/>
    <w:rsid w:val="790F7E27"/>
    <w:rsid w:val="792A231A"/>
    <w:rsid w:val="793049F5"/>
    <w:rsid w:val="79316829"/>
    <w:rsid w:val="797E66A9"/>
    <w:rsid w:val="79A97383"/>
    <w:rsid w:val="79E27E8B"/>
    <w:rsid w:val="79EB4D7F"/>
    <w:rsid w:val="79F850CE"/>
    <w:rsid w:val="79FD443C"/>
    <w:rsid w:val="7A1D1975"/>
    <w:rsid w:val="7A3E5150"/>
    <w:rsid w:val="7A4670D6"/>
    <w:rsid w:val="7A534B63"/>
    <w:rsid w:val="7A615382"/>
    <w:rsid w:val="7A67303B"/>
    <w:rsid w:val="7A7238F5"/>
    <w:rsid w:val="7AAB1D04"/>
    <w:rsid w:val="7ABA4368"/>
    <w:rsid w:val="7AD05746"/>
    <w:rsid w:val="7ADC07B4"/>
    <w:rsid w:val="7B1543CA"/>
    <w:rsid w:val="7B257FFD"/>
    <w:rsid w:val="7B343476"/>
    <w:rsid w:val="7B4C1D99"/>
    <w:rsid w:val="7B5A2978"/>
    <w:rsid w:val="7B5A7E4C"/>
    <w:rsid w:val="7B667AF9"/>
    <w:rsid w:val="7B7468F8"/>
    <w:rsid w:val="7BEE0103"/>
    <w:rsid w:val="7C0A0FE4"/>
    <w:rsid w:val="7C254906"/>
    <w:rsid w:val="7C4942F8"/>
    <w:rsid w:val="7C590818"/>
    <w:rsid w:val="7C7C10F6"/>
    <w:rsid w:val="7C853BEA"/>
    <w:rsid w:val="7C881368"/>
    <w:rsid w:val="7C923897"/>
    <w:rsid w:val="7CE27788"/>
    <w:rsid w:val="7D0C32F1"/>
    <w:rsid w:val="7D0F408D"/>
    <w:rsid w:val="7D491C6C"/>
    <w:rsid w:val="7D5429C0"/>
    <w:rsid w:val="7D6E6D43"/>
    <w:rsid w:val="7DB57A34"/>
    <w:rsid w:val="7DE60973"/>
    <w:rsid w:val="7DEF0916"/>
    <w:rsid w:val="7E1E5218"/>
    <w:rsid w:val="7E9A4E1F"/>
    <w:rsid w:val="7EA7723A"/>
    <w:rsid w:val="7EEE701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iPriority="0" w:name="envelope address"/>
    <w:lsdException w:qFormat="1" w:unhideWhenUsed="0" w:uiPriority="0" w:semiHidden="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0"/>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2">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semiHidden/>
    <w:unhideWhenUsed/>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
    <w:link w:val="268"/>
    <w:autoRedefine/>
    <w:qFormat/>
    <w:uiPriority w:val="0"/>
    <w:pPr>
      <w:spacing w:line="480" w:lineRule="exact"/>
      <w:ind w:firstLine="480" w:firstLineChars="200"/>
    </w:pPr>
    <w:rPr>
      <w:rFonts w:ascii="宋体" w:hAnsi="宋体"/>
      <w:sz w:val="24"/>
    </w:rPr>
  </w:style>
  <w:style w:type="paragraph" w:styleId="17">
    <w:name w:val="caption"/>
    <w:basedOn w:val="1"/>
    <w:next w:val="1"/>
    <w:link w:val="232"/>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5"/>
    <w:autoRedefine/>
    <w:qFormat/>
    <w:uiPriority w:val="0"/>
    <w:pPr>
      <w:shd w:val="clear" w:color="auto" w:fill="000080"/>
    </w:pPr>
  </w:style>
  <w:style w:type="paragraph" w:styleId="20">
    <w:name w:val="annotation text"/>
    <w:basedOn w:val="1"/>
    <w:link w:val="347"/>
    <w:autoRedefine/>
    <w:qFormat/>
    <w:uiPriority w:val="99"/>
    <w:pPr>
      <w:jc w:val="left"/>
    </w:pPr>
  </w:style>
  <w:style w:type="paragraph" w:styleId="21">
    <w:name w:val="Salutation"/>
    <w:basedOn w:val="1"/>
    <w:next w:val="1"/>
    <w:link w:val="301"/>
    <w:autoRedefine/>
    <w:qFormat/>
    <w:uiPriority w:val="0"/>
    <w:rPr>
      <w:rFonts w:ascii="仿宋_GB2312" w:eastAsia="仿宋_GB2312"/>
      <w:sz w:val="28"/>
      <w:szCs w:val="20"/>
    </w:rPr>
  </w:style>
  <w:style w:type="paragraph" w:styleId="22">
    <w:name w:val="Body Text 3"/>
    <w:basedOn w:val="1"/>
    <w:link w:val="333"/>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3"/>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4"/>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128"/>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4"/>
    <w:autoRedefine/>
    <w:qFormat/>
    <w:uiPriority w:val="0"/>
    <w:pPr>
      <w:ind w:left="100" w:leftChars="2500"/>
    </w:pPr>
    <w:rPr>
      <w:rFonts w:ascii="宋体"/>
      <w:sz w:val="24"/>
      <w:szCs w:val="21"/>
      <w:lang w:val="zh-CN"/>
    </w:rPr>
  </w:style>
  <w:style w:type="paragraph" w:styleId="38">
    <w:name w:val="Body Text Indent 2"/>
    <w:basedOn w:val="1"/>
    <w:link w:val="311"/>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link w:val="191"/>
    <w:autoRedefine/>
    <w:qFormat/>
    <w:uiPriority w:val="0"/>
    <w:rPr>
      <w:sz w:val="18"/>
      <w:szCs w:val="18"/>
    </w:rPr>
  </w:style>
  <w:style w:type="paragraph" w:styleId="41">
    <w:name w:val="footer"/>
    <w:basedOn w:val="1"/>
    <w:link w:val="386"/>
    <w:autoRedefine/>
    <w:qFormat/>
    <w:uiPriority w:val="99"/>
    <w:pPr>
      <w:tabs>
        <w:tab w:val="center" w:pos="4153"/>
        <w:tab w:val="right" w:pos="8306"/>
      </w:tabs>
      <w:snapToGrid w:val="0"/>
      <w:jc w:val="left"/>
    </w:pPr>
    <w:rPr>
      <w:sz w:val="18"/>
      <w:szCs w:val="18"/>
    </w:rPr>
  </w:style>
  <w:style w:type="paragraph" w:styleId="42">
    <w:name w:val="envelope return"/>
    <w:basedOn w:val="1"/>
    <w:autoRedefine/>
    <w:qFormat/>
    <w:uiPriority w:val="0"/>
    <w:pPr>
      <w:snapToGrid w:val="0"/>
    </w:pPr>
    <w:rPr>
      <w:rFonts w:ascii="Arial" w:hAnsi="Arial"/>
    </w:rPr>
  </w:style>
  <w:style w:type="paragraph" w:styleId="43">
    <w:name w:val="header"/>
    <w:basedOn w:val="1"/>
    <w:link w:val="395"/>
    <w:autoRedefine/>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8"/>
    <w:autoRedefine/>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0"/>
  </w:style>
  <w:style w:type="paragraph" w:styleId="46">
    <w:name w:val="toc 4"/>
    <w:basedOn w:val="1"/>
    <w:next w:val="1"/>
    <w:autoRedefine/>
    <w:qFormat/>
    <w:uiPriority w:val="0"/>
    <w:pPr>
      <w:ind w:left="1260" w:leftChars="600"/>
    </w:pPr>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basedOn w:val="1"/>
    <w:next w:val="1"/>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5"/>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8"/>
    <w:autoRedefine/>
    <w:qFormat/>
    <w:uiPriority w:val="0"/>
    <w:pPr>
      <w:spacing w:line="360" w:lineRule="auto"/>
      <w:ind w:firstLine="420"/>
    </w:pPr>
    <w:rPr>
      <w:sz w:val="24"/>
      <w:szCs w:val="20"/>
    </w:rPr>
  </w:style>
  <w:style w:type="paragraph" w:styleId="55">
    <w:name w:val="table of figures"/>
    <w:basedOn w:val="1"/>
    <w:next w:val="1"/>
    <w:autoRedefine/>
    <w:unhideWhenUsed/>
    <w:qFormat/>
    <w:uiPriority w:val="0"/>
    <w:pPr>
      <w:tabs>
        <w:tab w:val="left" w:pos="1270"/>
      </w:tabs>
      <w:spacing w:line="360" w:lineRule="auto"/>
      <w:ind w:left="1270" w:hanging="420"/>
      <w:jc w:val="left"/>
    </w:pPr>
    <w:rPr>
      <w:smallCaps/>
      <w:sz w:val="20"/>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5"/>
    <w:autoRedefine/>
    <w:qFormat/>
    <w:uiPriority w:val="0"/>
    <w:pPr>
      <w:spacing w:after="120" w:line="480" w:lineRule="auto"/>
    </w:pPr>
  </w:style>
  <w:style w:type="paragraph" w:styleId="59">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autoRedefine/>
    <w:qFormat/>
    <w:uiPriority w:val="0"/>
    <w:rPr>
      <w:b/>
      <w:bCs/>
    </w:rPr>
  </w:style>
  <w:style w:type="paragraph" w:styleId="63">
    <w:name w:val="Body Text First Indent 2"/>
    <w:basedOn w:val="16"/>
    <w:next w:val="1"/>
    <w:link w:val="124"/>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Normal Indent1"/>
    <w:autoRedefine/>
    <w:qFormat/>
    <w:uiPriority w:val="0"/>
    <w:pPr>
      <w:widowControl w:val="0"/>
      <w:ind w:firstLine="420" w:firstLineChars="200"/>
      <w:jc w:val="both"/>
    </w:pPr>
    <w:rPr>
      <w:rFonts w:ascii="Times New Roman" w:hAnsi="Times New Roman" w:eastAsia="宋体" w:cs="Times New Roman"/>
      <w:kern w:val="2"/>
      <w:sz w:val="21"/>
      <w:szCs w:val="22"/>
      <w:lang w:val="en-US" w:eastAsia="zh-CN" w:bidi="ar-SA"/>
    </w:rPr>
  </w:style>
  <w:style w:type="paragraph" w:customStyle="1" w:styleId="82">
    <w:name w:val="表格文字"/>
    <w:basedOn w:val="83"/>
    <w:next w:val="24"/>
    <w:autoRedefine/>
    <w:qFormat/>
    <w:uiPriority w:val="0"/>
    <w:pPr>
      <w:adjustRightInd/>
      <w:ind w:firstLine="200" w:firstLineChars="200"/>
    </w:pPr>
    <w:rPr>
      <w:rFonts w:ascii="Arial" w:hAnsi="Arial"/>
      <w:spacing w:val="-5"/>
      <w:kern w:val="0"/>
      <w:sz w:val="24"/>
      <w:szCs w:val="20"/>
    </w:rPr>
  </w:style>
  <w:style w:type="paragraph" w:customStyle="1" w:styleId="83">
    <w:name w:val="表格文字（两侧对齐）"/>
    <w:basedOn w:val="1"/>
    <w:autoRedefine/>
    <w:qFormat/>
    <w:uiPriority w:val="0"/>
    <w:pPr>
      <w:snapToGrid w:val="0"/>
    </w:pPr>
    <w:rPr>
      <w:sz w:val="20"/>
    </w:rPr>
  </w:style>
  <w:style w:type="paragraph" w:customStyle="1" w:styleId="84">
    <w:name w:val="标准正文"/>
    <w:basedOn w:val="1"/>
    <w:autoRedefine/>
    <w:qFormat/>
    <w:uiPriority w:val="0"/>
    <w:pPr>
      <w:tabs>
        <w:tab w:val="left" w:pos="780"/>
      </w:tabs>
      <w:adjustRightInd/>
      <w:spacing w:line="360" w:lineRule="auto"/>
      <w:ind w:left="200" w:leftChars="200" w:firstLine="200" w:firstLineChars="200"/>
    </w:pPr>
    <w:rPr>
      <w:sz w:val="24"/>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字符"/>
    <w:link w:val="62"/>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文本首行缩进 2 字符"/>
    <w:link w:val="63"/>
    <w:autoRedefine/>
    <w:qFormat/>
    <w:uiPriority w:val="0"/>
    <w:rPr>
      <w:rFonts w:ascii="宋体" w:hAnsi="宋体"/>
      <w:kern w:val="2"/>
      <w:sz w:val="21"/>
      <w:szCs w:val="24"/>
    </w:rPr>
  </w:style>
  <w:style w:type="character" w:customStyle="1" w:styleId="125">
    <w:name w:val="font11"/>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1"/>
    <w:autoRedefine/>
    <w:qFormat/>
    <w:uiPriority w:val="0"/>
    <w:rPr>
      <w:rFonts w:ascii="Arial" w:hAnsi="Arial" w:eastAsia="黑体" w:cs="Arial"/>
      <w:snapToGrid w:val="0"/>
      <w:kern w:val="0"/>
      <w:szCs w:val="21"/>
    </w:rPr>
  </w:style>
  <w:style w:type="character" w:customStyle="1" w:styleId="128">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字符"/>
    <w:link w:val="49"/>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autoRedefine/>
    <w:qFormat/>
    <w:uiPriority w:val="0"/>
    <w:rPr>
      <w:rFonts w:hint="eastAsia" w:ascii="仿宋_GB2312" w:eastAsia="仿宋_GB2312" w:cs="仿宋_GB2312"/>
      <w:color w:val="000000"/>
      <w:sz w:val="22"/>
      <w:szCs w:val="22"/>
      <w:u w:val="none"/>
    </w:rPr>
  </w:style>
  <w:style w:type="character" w:customStyle="1" w:styleId="150">
    <w:name w:val="标题 6 字符"/>
    <w:link w:val="7"/>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4"/>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字符"/>
    <w:link w:val="37"/>
    <w:autoRedefine/>
    <w:qFormat/>
    <w:uiPriority w:val="0"/>
    <w:rPr>
      <w:rFonts w:ascii="宋体"/>
      <w:kern w:val="2"/>
      <w:sz w:val="24"/>
      <w:szCs w:val="21"/>
      <w:lang w:val="zh-CN"/>
    </w:rPr>
  </w:style>
  <w:style w:type="character" w:customStyle="1" w:styleId="185">
    <w:name w:val="标题 9 字符"/>
    <w:link w:val="10"/>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99"/>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字符1"/>
    <w:link w:val="40"/>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字符"/>
    <w:link w:val="19"/>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1"/>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字符"/>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字符"/>
    <w:link w:val="17"/>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16"/>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spacing w:line="360" w:lineRule="auto"/>
      <w:ind w:firstLine="200" w:firstLineChars="200"/>
    </w:pPr>
    <w:rPr>
      <w:sz w:val="24"/>
    </w:r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3"/>
    <w:autoRedefine/>
    <w:qFormat/>
    <w:uiPriority w:val="9"/>
    <w:rPr>
      <w:b/>
      <w:bCs/>
      <w:kern w:val="44"/>
      <w:sz w:val="44"/>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61"/>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2"/>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1"/>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9"/>
    <w:autoRedefine/>
    <w:qFormat/>
    <w:uiPriority w:val="0"/>
    <w:rPr>
      <w:rFonts w:ascii="黑体" w:hAnsi="Courier New" w:eastAsia="黑体"/>
    </w:rPr>
  </w:style>
  <w:style w:type="character" w:customStyle="1" w:styleId="305">
    <w:name w:val="正文文本 2 字符1"/>
    <w:link w:val="58"/>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6"/>
    <w:link w:val="416"/>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8"/>
    <w:autoRedefine/>
    <w:qFormat/>
    <w:uiPriority w:val="0"/>
    <w:rPr>
      <w:b/>
      <w:bCs/>
      <w:kern w:val="2"/>
      <w:sz w:val="24"/>
      <w:szCs w:val="24"/>
    </w:rPr>
  </w:style>
  <w:style w:type="character" w:customStyle="1" w:styleId="311">
    <w:name w:val="正文文本缩进 2 字符"/>
    <w:link w:val="38"/>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2"/>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5"/>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6"/>
    <w:autoRedefine/>
    <w:qFormat/>
    <w:uiPriority w:val="9"/>
    <w:rPr>
      <w:rFonts w:ascii="Arial" w:hAnsi="Arial" w:eastAsia="黑体"/>
      <w:b/>
      <w:bCs/>
      <w:kern w:val="2"/>
      <w:sz w:val="28"/>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2"/>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spacing w:line="360" w:lineRule="auto"/>
    </w:pPr>
    <w:rPr>
      <w:kern w:val="0"/>
      <w:sz w:val="24"/>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sz w:val="24"/>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0"/>
    <w:autoRedefine/>
    <w:qFormat/>
    <w:uiPriority w:val="0"/>
    <w:rPr>
      <w:kern w:val="2"/>
      <w:sz w:val="21"/>
      <w:szCs w:val="24"/>
    </w:rPr>
  </w:style>
  <w:style w:type="character" w:customStyle="1" w:styleId="348">
    <w:name w:val="签名 字符"/>
    <w:link w:val="44"/>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9"/>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basedOn w:val="7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4"/>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1"/>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3"/>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napToGrid w:val="0"/>
      <w:spacing w:afterLines="50"/>
      <w:ind w:firstLine="200" w:firstLineChars="200"/>
    </w:pPr>
    <w:rPr>
      <w:kern w:val="0"/>
      <w:sz w:val="24"/>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spacing w:line="360" w:lineRule="auto"/>
      <w:ind w:firstLine="480" w:firstLineChars="200"/>
    </w:pPr>
    <w:rPr>
      <w:rFonts w:ascii="宋体" w:hAnsi="宋体"/>
      <w:sz w:val="24"/>
      <w:szCs w:val="22"/>
    </w:rPr>
  </w:style>
  <w:style w:type="character" w:customStyle="1" w:styleId="405">
    <w:name w:val="批注文字 字符"/>
    <w:autoRedefine/>
    <w:qFormat/>
    <w:uiPriority w:val="99"/>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71"/>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5"/>
    <w:link w:val="431"/>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71"/>
    <w:autoRedefine/>
    <w:qFormat/>
    <w:uiPriority w:val="0"/>
    <w:rPr>
      <w:rFonts w:ascii="Arial" w:hAnsi="Arial" w:eastAsia="黑体" w:cs="Arial"/>
      <w:snapToGrid w:val="0"/>
      <w:kern w:val="0"/>
      <w:szCs w:val="21"/>
    </w:rPr>
  </w:style>
  <w:style w:type="character" w:customStyle="1" w:styleId="435">
    <w:name w:val="hui"/>
    <w:basedOn w:val="71"/>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line="360" w:lineRule="auto"/>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firstLineChars="200"/>
    </w:pPr>
    <w:rPr>
      <w:rFonts w:ascii="Tahoma" w:hAnsi="Tahoma"/>
      <w:sz w:val="24"/>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autoRedefine/>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2"/>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Lines="50"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8"/>
    <w:next w:val="238"/>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8"/>
    <w:next w:val="238"/>
    <w:qFormat/>
    <w:uiPriority w:val="0"/>
    <w:rPr>
      <w:rFonts w:ascii="宋体" w:eastAsia="宋体" w:cs="Times New Roman"/>
      <w:color w:val="auto"/>
    </w:rPr>
  </w:style>
  <w:style w:type="paragraph" w:customStyle="1" w:styleId="55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8"/>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Lines="0" w:afterLines="0"/>
      <w:ind w:left="1680"/>
      <w:outlineLvl w:val="2"/>
    </w:pPr>
  </w:style>
  <w:style w:type="paragraph" w:customStyle="1" w:styleId="660">
    <w:name w:val="章标题"/>
    <w:next w:val="642"/>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Lines="50"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19"/>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2"/>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1"/>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character" w:customStyle="1" w:styleId="965">
    <w:name w:val="search_content1"/>
    <w:qFormat/>
    <w:uiPriority w:val="0"/>
    <w:rPr>
      <w:sz w:val="20"/>
      <w:szCs w:val="20"/>
    </w:rPr>
  </w:style>
  <w:style w:type="paragraph" w:customStyle="1" w:styleId="966">
    <w:name w:val="防指正文"/>
    <w:basedOn w:val="1"/>
    <w:qFormat/>
    <w:uiPriority w:val="0"/>
    <w:pPr>
      <w:tabs>
        <w:tab w:val="left" w:pos="540"/>
      </w:tabs>
      <w:snapToGrid w:val="0"/>
      <w:spacing w:line="360" w:lineRule="auto"/>
    </w:pPr>
    <w:rPr>
      <w:rFonts w:ascii="宋体" w:hAnsi="宋体"/>
      <w:bCs/>
      <w:sz w:val="24"/>
    </w:rPr>
  </w:style>
  <w:style w:type="character" w:customStyle="1" w:styleId="967">
    <w:name w:val="未处理的提及2"/>
    <w:basedOn w:val="71"/>
    <w:autoRedefine/>
    <w:semiHidden/>
    <w:unhideWhenUsed/>
    <w:qFormat/>
    <w:uiPriority w:val="99"/>
    <w:rPr>
      <w:color w:val="605E5C"/>
      <w:shd w:val="clear" w:color="auto" w:fill="E1DFDD"/>
    </w:rPr>
  </w:style>
  <w:style w:type="paragraph" w:customStyle="1" w:styleId="968">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9">
    <w:name w:val="纯文本 字符2"/>
    <w:qFormat/>
    <w:uiPriority w:val="0"/>
    <w:rPr>
      <w:rFonts w:ascii="宋体" w:hAnsi="Courier New" w:eastAsia="宋体"/>
      <w:kern w:val="2"/>
      <w:sz w:val="21"/>
      <w:lang w:val="en-US" w:eastAsia="zh-CN" w:bidi="ar-SA"/>
    </w:rPr>
  </w:style>
  <w:style w:type="paragraph" w:customStyle="1" w:styleId="970">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971">
    <w:name w:val="bookmark-item"/>
    <w:basedOn w:val="71"/>
    <w:qFormat/>
    <w:uiPriority w:val="0"/>
  </w:style>
  <w:style w:type="paragraph" w:customStyle="1" w:styleId="972">
    <w:name w:val="**正文"/>
    <w:basedOn w:val="1"/>
    <w:qFormat/>
    <w:uiPriority w:val="99"/>
    <w:pPr>
      <w:ind w:firstLine="480" w:firstLineChars="200"/>
    </w:pPr>
    <w:rPr>
      <w:rFonts w:ascii="Calibri" w:hAnsi="Calibri" w:eastAsia="仿宋_GB2312" w:cs="宋体"/>
      <w:kern w:val="0"/>
      <w:sz w:val="24"/>
      <w:szCs w:val="32"/>
    </w:rPr>
  </w:style>
  <w:style w:type="paragraph" w:customStyle="1" w:styleId="973">
    <w:name w:val="ZY-A-正文内容"/>
    <w:basedOn w:val="1"/>
    <w:qFormat/>
    <w:uiPriority w:val="0"/>
    <w:pPr>
      <w:widowControl/>
      <w:tabs>
        <w:tab w:val="left" w:pos="0"/>
      </w:tabs>
      <w:spacing w:line="360" w:lineRule="auto"/>
      <w:ind w:firstLine="560" w:firstLineChars="200"/>
    </w:pPr>
    <w:rPr>
      <w:rFonts w:hint="eastAsia" w:ascii="Times New Roman" w:hAnsi="Times New Roman" w:eastAsia="仿宋_GB2312"/>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8A10B-F3ED-42A6-B747-1DBF3C647F1A}">
  <ds:schemaRefs/>
</ds:datastoreItem>
</file>

<file path=docProps/app.xml><?xml version="1.0" encoding="utf-8"?>
<Properties xmlns="http://schemas.openxmlformats.org/officeDocument/2006/extended-properties" xmlns:vt="http://schemas.openxmlformats.org/officeDocument/2006/docPropsVTypes">
  <Template>Normal.dotm</Template>
  <Pages>157</Pages>
  <Words>118751</Words>
  <Characters>140434</Characters>
  <Lines>273</Lines>
  <Paragraphs>77</Paragraphs>
  <TotalTime>67</TotalTime>
  <ScaleCrop>false</ScaleCrop>
  <LinksUpToDate>false</LinksUpToDate>
  <CharactersWithSpaces>145215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Mx.</dc:creator>
  <cp:lastModifiedBy>沈勤伟</cp:lastModifiedBy>
  <cp:lastPrinted>2022-03-03T06:10:00Z</cp:lastPrinted>
  <dcterms:modified xsi:type="dcterms:W3CDTF">2024-04-03T15:52:37Z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50A9D34A5E0D4C97A540357EA301B024_13</vt:lpwstr>
  </property>
</Properties>
</file>