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2"/>
          <w:szCs w:val="32"/>
        </w:rPr>
      </w:pPr>
      <w:r>
        <w:rPr>
          <w:rFonts w:hint="eastAsia" w:ascii="宋体" w:hAnsi="宋体" w:cs="宋体"/>
          <w:b/>
          <w:sz w:val="32"/>
          <w:szCs w:val="32"/>
        </w:rPr>
        <w:t>2022年嘉兴市秀洲区油车港镇镇区环境保洁服务项目</w:t>
      </w:r>
    </w:p>
    <w:p>
      <w:pPr>
        <w:spacing w:line="360" w:lineRule="auto"/>
        <w:jc w:val="center"/>
        <w:rPr>
          <w:rFonts w:ascii="宋体" w:hAnsi="宋体" w:cs="宋体"/>
          <w:b/>
          <w:szCs w:val="21"/>
        </w:rPr>
      </w:pPr>
    </w:p>
    <w:p>
      <w:pPr>
        <w:spacing w:line="360" w:lineRule="auto"/>
        <w:rPr>
          <w:rFonts w:ascii="宋体" w:hAnsi="宋体" w:cs="宋体"/>
          <w:b/>
          <w:szCs w:val="21"/>
        </w:rPr>
      </w:pPr>
    </w:p>
    <w:p>
      <w:pPr>
        <w:spacing w:line="360" w:lineRule="auto"/>
        <w:jc w:val="center"/>
        <w:rPr>
          <w:rFonts w:ascii="宋体" w:hAnsi="宋体" w:cs="宋体"/>
          <w:b/>
          <w:sz w:val="52"/>
          <w:szCs w:val="52"/>
        </w:rPr>
      </w:pPr>
    </w:p>
    <w:p>
      <w:pPr>
        <w:spacing w:line="360" w:lineRule="auto"/>
        <w:jc w:val="center"/>
        <w:rPr>
          <w:rFonts w:ascii="宋体" w:hAnsi="宋体" w:cs="宋体"/>
          <w:b/>
          <w:sz w:val="52"/>
          <w:szCs w:val="52"/>
        </w:rPr>
      </w:pPr>
      <w:r>
        <w:rPr>
          <w:rFonts w:hint="eastAsia" w:ascii="宋体" w:hAnsi="宋体" w:cs="宋体"/>
          <w:b/>
          <w:sz w:val="52"/>
          <w:szCs w:val="52"/>
        </w:rPr>
        <w:t>公</w:t>
      </w:r>
    </w:p>
    <w:p>
      <w:pPr>
        <w:spacing w:line="360" w:lineRule="auto"/>
        <w:jc w:val="center"/>
        <w:rPr>
          <w:rFonts w:ascii="宋体" w:hAnsi="宋体" w:cs="宋体"/>
          <w:b/>
          <w:sz w:val="52"/>
          <w:szCs w:val="52"/>
        </w:rPr>
      </w:pPr>
      <w:r>
        <w:rPr>
          <w:rFonts w:hint="eastAsia" w:ascii="宋体" w:hAnsi="宋体" w:cs="宋体"/>
          <w:b/>
          <w:sz w:val="52"/>
          <w:szCs w:val="52"/>
        </w:rPr>
        <w:t>开</w:t>
      </w:r>
    </w:p>
    <w:p>
      <w:pPr>
        <w:spacing w:line="360" w:lineRule="auto"/>
        <w:jc w:val="center"/>
        <w:rPr>
          <w:rFonts w:ascii="宋体" w:hAnsi="宋体" w:cs="宋体"/>
          <w:b/>
          <w:sz w:val="52"/>
          <w:szCs w:val="52"/>
        </w:rPr>
      </w:pPr>
      <w:r>
        <w:rPr>
          <w:rFonts w:hint="eastAsia" w:ascii="宋体" w:hAnsi="宋体" w:cs="宋体"/>
          <w:b/>
          <w:sz w:val="52"/>
          <w:szCs w:val="52"/>
        </w:rPr>
        <w:t>招</w:t>
      </w:r>
    </w:p>
    <w:p>
      <w:pPr>
        <w:spacing w:line="360" w:lineRule="auto"/>
        <w:jc w:val="center"/>
        <w:rPr>
          <w:rFonts w:ascii="宋体" w:hAnsi="宋体" w:cs="宋体"/>
          <w:b/>
          <w:sz w:val="52"/>
          <w:szCs w:val="52"/>
        </w:rPr>
      </w:pPr>
      <w:r>
        <w:rPr>
          <w:rFonts w:hint="eastAsia" w:ascii="宋体" w:hAnsi="宋体" w:cs="宋体"/>
          <w:b/>
          <w:sz w:val="52"/>
          <w:szCs w:val="52"/>
        </w:rPr>
        <w:t>标</w:t>
      </w:r>
    </w:p>
    <w:p>
      <w:pPr>
        <w:spacing w:line="360" w:lineRule="auto"/>
        <w:jc w:val="center"/>
        <w:rPr>
          <w:rFonts w:ascii="宋体" w:hAnsi="宋体" w:cs="宋体"/>
          <w:b/>
          <w:sz w:val="52"/>
          <w:szCs w:val="52"/>
        </w:rPr>
      </w:pPr>
      <w:r>
        <w:rPr>
          <w:rFonts w:hint="eastAsia" w:ascii="宋体" w:hAnsi="宋体" w:cs="宋体"/>
          <w:b/>
          <w:sz w:val="52"/>
          <w:szCs w:val="52"/>
        </w:rPr>
        <w:t>文</w:t>
      </w:r>
    </w:p>
    <w:p>
      <w:pPr>
        <w:spacing w:line="360" w:lineRule="auto"/>
        <w:jc w:val="center"/>
        <w:rPr>
          <w:rFonts w:ascii="宋体" w:hAnsi="宋体" w:cs="宋体"/>
          <w:b/>
          <w:sz w:val="52"/>
          <w:szCs w:val="52"/>
        </w:rPr>
      </w:pPr>
      <w:r>
        <w:rPr>
          <w:rFonts w:hint="eastAsia" w:ascii="宋体" w:hAnsi="宋体" w:cs="宋体"/>
          <w:b/>
          <w:sz w:val="52"/>
          <w:szCs w:val="52"/>
        </w:rPr>
        <w:t>件</w:t>
      </w:r>
    </w:p>
    <w:p>
      <w:pPr>
        <w:pStyle w:val="31"/>
        <w:ind w:firstLine="522"/>
        <w:rPr>
          <w:rFonts w:ascii="宋体" w:hAnsi="宋体" w:cs="宋体"/>
          <w:b/>
          <w:sz w:val="52"/>
          <w:szCs w:val="52"/>
        </w:rPr>
      </w:pPr>
    </w:p>
    <w:p>
      <w:pPr>
        <w:pStyle w:val="31"/>
        <w:ind w:firstLine="522"/>
        <w:rPr>
          <w:rFonts w:ascii="宋体" w:hAnsi="宋体" w:cs="宋体"/>
          <w:b/>
          <w:sz w:val="52"/>
          <w:szCs w:val="52"/>
        </w:rPr>
      </w:pPr>
    </w:p>
    <w:p>
      <w:pPr>
        <w:snapToGrid w:val="0"/>
        <w:spacing w:line="360" w:lineRule="auto"/>
        <w:rPr>
          <w:rFonts w:ascii="宋体" w:hAnsi="宋体" w:cs="宋体"/>
          <w:szCs w:val="21"/>
        </w:rPr>
      </w:pPr>
    </w:p>
    <w:p>
      <w:pPr>
        <w:pStyle w:val="19"/>
        <w:spacing w:line="360" w:lineRule="auto"/>
        <w:rPr>
          <w:rStyle w:val="40"/>
          <w:rFonts w:hAnsi="宋体" w:cs="宋体"/>
          <w:b/>
          <w:color w:val="auto"/>
          <w:sz w:val="30"/>
          <w:szCs w:val="30"/>
          <w:u w:val="none"/>
        </w:rPr>
      </w:pPr>
      <w:r>
        <w:rPr>
          <w:rStyle w:val="40"/>
          <w:rFonts w:hint="eastAsia" w:hAnsi="宋体" w:cs="宋体"/>
          <w:b/>
          <w:color w:val="auto"/>
          <w:sz w:val="30"/>
          <w:szCs w:val="30"/>
          <w:u w:val="none"/>
        </w:rPr>
        <w:t>项目编号：ZJJY-2022-024</w:t>
      </w:r>
    </w:p>
    <w:p>
      <w:pPr>
        <w:pStyle w:val="19"/>
        <w:spacing w:line="360" w:lineRule="auto"/>
        <w:rPr>
          <w:rStyle w:val="40"/>
          <w:rFonts w:hAnsi="宋体" w:cs="宋体"/>
          <w:b/>
          <w:color w:val="auto"/>
          <w:sz w:val="30"/>
          <w:szCs w:val="30"/>
          <w:u w:val="none"/>
        </w:rPr>
      </w:pPr>
      <w:r>
        <w:rPr>
          <w:rStyle w:val="40"/>
          <w:rFonts w:hint="eastAsia" w:hAnsi="宋体" w:cs="宋体"/>
          <w:b/>
          <w:color w:val="auto"/>
          <w:sz w:val="30"/>
          <w:szCs w:val="30"/>
          <w:u w:val="none"/>
        </w:rPr>
        <w:t>采购单位：嘉兴市秀洲区油车港镇人民政府</w:t>
      </w:r>
    </w:p>
    <w:p>
      <w:pPr>
        <w:pStyle w:val="19"/>
        <w:spacing w:line="360" w:lineRule="auto"/>
        <w:rPr>
          <w:rStyle w:val="40"/>
          <w:rFonts w:hAnsi="宋体" w:cs="宋体"/>
          <w:b/>
          <w:color w:val="auto"/>
          <w:sz w:val="30"/>
          <w:szCs w:val="30"/>
          <w:u w:val="none"/>
        </w:rPr>
      </w:pPr>
      <w:r>
        <w:rPr>
          <w:rStyle w:val="40"/>
          <w:rFonts w:hint="eastAsia" w:hAnsi="宋体" w:cs="宋体"/>
          <w:b/>
          <w:color w:val="auto"/>
          <w:sz w:val="30"/>
          <w:szCs w:val="30"/>
          <w:u w:val="none"/>
        </w:rPr>
        <w:t>代理机构：浙江槿阳建设管理有限公司</w:t>
      </w:r>
    </w:p>
    <w:p>
      <w:pPr>
        <w:pStyle w:val="19"/>
        <w:spacing w:line="360" w:lineRule="auto"/>
        <w:rPr>
          <w:rStyle w:val="40"/>
          <w:rFonts w:hAnsi="宋体" w:cs="宋体"/>
          <w:b/>
          <w:color w:val="auto"/>
          <w:sz w:val="30"/>
          <w:szCs w:val="30"/>
          <w:u w:val="none"/>
        </w:rPr>
      </w:pPr>
      <w:r>
        <w:rPr>
          <w:rStyle w:val="40"/>
          <w:rFonts w:hint="eastAsia" w:hAnsi="宋体" w:cs="宋体"/>
          <w:b/>
          <w:color w:val="auto"/>
          <w:sz w:val="30"/>
          <w:szCs w:val="30"/>
          <w:u w:val="none"/>
        </w:rPr>
        <w:t>备案单位：嘉兴市秀洲区财政局</w:t>
      </w:r>
    </w:p>
    <w:p>
      <w:pPr>
        <w:pStyle w:val="19"/>
        <w:spacing w:line="360" w:lineRule="auto"/>
        <w:rPr>
          <w:rStyle w:val="40"/>
          <w:rFonts w:hAnsi="宋体" w:cs="宋体"/>
          <w:b/>
          <w:color w:val="auto"/>
          <w:sz w:val="30"/>
          <w:szCs w:val="30"/>
          <w:u w:val="none"/>
        </w:rPr>
      </w:pPr>
    </w:p>
    <w:p>
      <w:pPr>
        <w:snapToGrid w:val="0"/>
        <w:spacing w:line="360" w:lineRule="auto"/>
        <w:jc w:val="center"/>
        <w:rPr>
          <w:rFonts w:ascii="宋体" w:hAnsi="宋体" w:cs="宋体"/>
          <w:szCs w:val="21"/>
        </w:rPr>
      </w:pPr>
      <w:r>
        <w:rPr>
          <w:rFonts w:hint="eastAsia" w:ascii="宋体" w:hAnsi="宋体" w:cs="宋体"/>
          <w:b/>
          <w:bCs/>
          <w:w w:val="95"/>
          <w:sz w:val="30"/>
          <w:szCs w:val="30"/>
        </w:rPr>
        <w:t>2022年05月</w:t>
      </w:r>
    </w:p>
    <w:p>
      <w:pPr>
        <w:pStyle w:val="19"/>
        <w:spacing w:line="360" w:lineRule="auto"/>
        <w:rPr>
          <w:rFonts w:hAnsi="宋体" w:cs="宋体"/>
          <w:szCs w:val="21"/>
        </w:rPr>
        <w:sectPr>
          <w:headerReference r:id="rId3" w:type="default"/>
          <w:footerReference r:id="rId4" w:type="default"/>
          <w:pgSz w:w="11906" w:h="16838"/>
          <w:pgMar w:top="1440" w:right="1797" w:bottom="1440" w:left="1797" w:header="851" w:footer="851" w:gutter="0"/>
          <w:pgNumType w:start="0"/>
          <w:cols w:space="720" w:num="1"/>
          <w:docGrid w:linePitch="312" w:charSpace="0"/>
        </w:sectPr>
      </w:pPr>
    </w:p>
    <w:p>
      <w:pPr>
        <w:pStyle w:val="42"/>
        <w:spacing w:before="0" w:line="360" w:lineRule="auto"/>
        <w:ind w:firstLine="422" w:firstLineChars="200"/>
        <w:rPr>
          <w:rFonts w:ascii="宋体" w:hAnsi="宋体" w:cs="宋体"/>
          <w:color w:val="auto"/>
          <w:sz w:val="21"/>
          <w:szCs w:val="21"/>
          <w:lang w:val="zh-CN"/>
        </w:rPr>
      </w:pPr>
    </w:p>
    <w:p>
      <w:pPr>
        <w:spacing w:line="480" w:lineRule="auto"/>
        <w:jc w:val="center"/>
        <w:rPr>
          <w:rFonts w:ascii="宋体" w:hAnsi="宋体" w:cs="宋体"/>
          <w:b/>
          <w:sz w:val="28"/>
          <w:szCs w:val="28"/>
        </w:rPr>
      </w:pPr>
      <w:r>
        <w:rPr>
          <w:rFonts w:hint="eastAsia" w:ascii="宋体" w:hAnsi="宋体" w:cs="宋体"/>
          <w:b/>
          <w:sz w:val="28"/>
          <w:szCs w:val="28"/>
        </w:rPr>
        <w:t>目  录</w:t>
      </w:r>
    </w:p>
    <w:p>
      <w:pPr>
        <w:pStyle w:val="43"/>
        <w:tabs>
          <w:tab w:val="right" w:leader="dot" w:pos="9638"/>
        </w:tabs>
        <w:spacing w:line="480" w:lineRule="auto"/>
        <w:rPr>
          <w:rFonts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TOC \o "1-1" \h \u </w:instrText>
      </w:r>
      <w:r>
        <w:rPr>
          <w:rFonts w:hint="eastAsia" w:ascii="宋体" w:hAnsi="宋体" w:cs="宋体"/>
          <w:b/>
          <w:sz w:val="28"/>
          <w:szCs w:val="28"/>
        </w:rPr>
        <w:fldChar w:fldCharType="separate"/>
      </w:r>
      <w:r>
        <w:fldChar w:fldCharType="begin"/>
      </w:r>
      <w:r>
        <w:instrText xml:space="preserve"> HYPERLINK \l "_Toc19912" </w:instrText>
      </w:r>
      <w:r>
        <w:fldChar w:fldCharType="separate"/>
      </w:r>
      <w:r>
        <w:rPr>
          <w:rFonts w:hint="eastAsia" w:ascii="宋体" w:hAnsi="宋体" w:cs="宋体"/>
          <w:b/>
          <w:sz w:val="28"/>
          <w:szCs w:val="28"/>
        </w:rPr>
        <w:t>第一章  公开招标采购公告</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_Toc19912 \h </w:instrText>
      </w:r>
      <w:r>
        <w:rPr>
          <w:rFonts w:hint="eastAsia" w:ascii="宋体" w:hAnsi="宋体" w:cs="宋体"/>
          <w:b/>
          <w:sz w:val="28"/>
          <w:szCs w:val="28"/>
        </w:rPr>
        <w:fldChar w:fldCharType="separate"/>
      </w:r>
      <w:r>
        <w:rPr>
          <w:rFonts w:ascii="宋体" w:hAnsi="宋体" w:cs="宋体"/>
          <w:b/>
          <w:sz w:val="28"/>
          <w:szCs w:val="28"/>
        </w:rPr>
        <w:t>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3"/>
        <w:tabs>
          <w:tab w:val="right" w:leader="dot" w:pos="9638"/>
        </w:tabs>
        <w:spacing w:line="480" w:lineRule="auto"/>
        <w:rPr>
          <w:rFonts w:ascii="宋体" w:hAnsi="宋体" w:cs="宋体"/>
          <w:b/>
          <w:sz w:val="28"/>
          <w:szCs w:val="28"/>
        </w:rPr>
      </w:pPr>
      <w:r>
        <w:fldChar w:fldCharType="begin"/>
      </w:r>
      <w:r>
        <w:instrText xml:space="preserve"> HYPERLINK \l "_Toc25352" </w:instrText>
      </w:r>
      <w:r>
        <w:fldChar w:fldCharType="separate"/>
      </w:r>
      <w:r>
        <w:rPr>
          <w:rFonts w:hint="eastAsia" w:ascii="宋体" w:hAnsi="宋体" w:cs="宋体"/>
          <w:b/>
          <w:sz w:val="28"/>
          <w:szCs w:val="28"/>
        </w:rPr>
        <w:t>第二章  招标项目要求</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_Toc25352 \h </w:instrText>
      </w:r>
      <w:r>
        <w:rPr>
          <w:rFonts w:hint="eastAsia" w:ascii="宋体" w:hAnsi="宋体" w:cs="宋体"/>
          <w:b/>
          <w:sz w:val="28"/>
          <w:szCs w:val="28"/>
        </w:rPr>
        <w:fldChar w:fldCharType="separate"/>
      </w:r>
      <w:r>
        <w:rPr>
          <w:rFonts w:ascii="宋体" w:hAnsi="宋体" w:cs="宋体"/>
          <w:b/>
          <w:sz w:val="28"/>
          <w:szCs w:val="28"/>
        </w:rPr>
        <w:t>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3"/>
        <w:tabs>
          <w:tab w:val="right" w:leader="dot" w:pos="9638"/>
        </w:tabs>
        <w:spacing w:line="480" w:lineRule="auto"/>
        <w:rPr>
          <w:rFonts w:ascii="宋体" w:hAnsi="宋体" w:cs="宋体"/>
          <w:b/>
          <w:sz w:val="28"/>
          <w:szCs w:val="28"/>
        </w:rPr>
      </w:pPr>
      <w:r>
        <w:fldChar w:fldCharType="begin"/>
      </w:r>
      <w:r>
        <w:instrText xml:space="preserve"> HYPERLINK \l "_Toc12778" </w:instrText>
      </w:r>
      <w:r>
        <w:fldChar w:fldCharType="separate"/>
      </w:r>
      <w:r>
        <w:rPr>
          <w:rFonts w:hint="eastAsia" w:ascii="宋体" w:hAnsi="宋体" w:cs="宋体"/>
          <w:b/>
          <w:sz w:val="28"/>
          <w:szCs w:val="28"/>
        </w:rPr>
        <w:t>第三章  投标人须知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_Toc12778 \h </w:instrText>
      </w:r>
      <w:r>
        <w:rPr>
          <w:rFonts w:hint="eastAsia" w:ascii="宋体" w:hAnsi="宋体" w:cs="宋体"/>
          <w:b/>
          <w:sz w:val="28"/>
          <w:szCs w:val="28"/>
        </w:rPr>
        <w:fldChar w:fldCharType="separate"/>
      </w:r>
      <w:r>
        <w:rPr>
          <w:rFonts w:ascii="宋体" w:hAnsi="宋体" w:cs="宋体"/>
          <w:b/>
          <w:sz w:val="28"/>
          <w:szCs w:val="28"/>
        </w:rPr>
        <w:t>18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3"/>
        <w:tabs>
          <w:tab w:val="right" w:leader="dot" w:pos="9638"/>
        </w:tabs>
        <w:spacing w:line="480" w:lineRule="auto"/>
        <w:rPr>
          <w:rFonts w:ascii="宋体" w:hAnsi="宋体" w:cs="宋体"/>
          <w:b/>
          <w:sz w:val="28"/>
          <w:szCs w:val="28"/>
        </w:rPr>
      </w:pPr>
      <w:r>
        <w:fldChar w:fldCharType="begin"/>
      </w:r>
      <w:r>
        <w:instrText xml:space="preserve"> HYPERLINK \l "_Toc8" </w:instrText>
      </w:r>
      <w:r>
        <w:fldChar w:fldCharType="separate"/>
      </w:r>
      <w:r>
        <w:rPr>
          <w:rFonts w:hint="eastAsia" w:ascii="宋体" w:hAnsi="宋体" w:cs="宋体"/>
          <w:b/>
          <w:sz w:val="28"/>
          <w:szCs w:val="28"/>
        </w:rPr>
        <w:t>第四章  评标办法及评分标准</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_Toc8 \h </w:instrText>
      </w:r>
      <w:r>
        <w:rPr>
          <w:rFonts w:hint="eastAsia" w:ascii="宋体" w:hAnsi="宋体" w:cs="宋体"/>
          <w:b/>
          <w:sz w:val="28"/>
          <w:szCs w:val="28"/>
        </w:rPr>
        <w:fldChar w:fldCharType="separate"/>
      </w:r>
      <w:r>
        <w:rPr>
          <w:rFonts w:ascii="宋体" w:hAnsi="宋体" w:cs="宋体"/>
          <w:b/>
          <w:sz w:val="28"/>
          <w:szCs w:val="28"/>
        </w:rPr>
        <w:t>33</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3"/>
        <w:tabs>
          <w:tab w:val="right" w:leader="dot" w:pos="9638"/>
        </w:tabs>
        <w:spacing w:line="480" w:lineRule="auto"/>
        <w:rPr>
          <w:rFonts w:ascii="宋体" w:hAnsi="宋体" w:cs="宋体"/>
          <w:b/>
          <w:sz w:val="28"/>
          <w:szCs w:val="28"/>
        </w:rPr>
      </w:pPr>
      <w:r>
        <w:fldChar w:fldCharType="begin"/>
      </w:r>
      <w:r>
        <w:instrText xml:space="preserve"> HYPERLINK \l "_Toc21373" </w:instrText>
      </w:r>
      <w:r>
        <w:fldChar w:fldCharType="separate"/>
      </w:r>
      <w:r>
        <w:rPr>
          <w:rFonts w:hint="eastAsia" w:ascii="宋体" w:hAnsi="宋体" w:cs="宋体"/>
          <w:b/>
          <w:sz w:val="28"/>
          <w:szCs w:val="28"/>
        </w:rPr>
        <w:t>第五章  政府采购合同</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_Toc21373 \h </w:instrText>
      </w:r>
      <w:r>
        <w:rPr>
          <w:rFonts w:hint="eastAsia" w:ascii="宋体" w:hAnsi="宋体" w:cs="宋体"/>
          <w:b/>
          <w:sz w:val="28"/>
          <w:szCs w:val="28"/>
        </w:rPr>
        <w:fldChar w:fldCharType="separate"/>
      </w:r>
      <w:r>
        <w:rPr>
          <w:rFonts w:ascii="宋体" w:hAnsi="宋体" w:cs="宋体"/>
          <w:b/>
          <w:sz w:val="28"/>
          <w:szCs w:val="28"/>
        </w:rPr>
        <w:t>35</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3"/>
        <w:tabs>
          <w:tab w:val="right" w:leader="dot" w:pos="9638"/>
        </w:tabs>
        <w:spacing w:line="480" w:lineRule="auto"/>
        <w:rPr>
          <w:rFonts w:ascii="宋体" w:hAnsi="宋体" w:cs="宋体"/>
          <w:b/>
          <w:sz w:val="28"/>
          <w:szCs w:val="28"/>
        </w:rPr>
      </w:pPr>
      <w:r>
        <w:fldChar w:fldCharType="begin"/>
      </w:r>
      <w:r>
        <w:instrText xml:space="preserve"> HYPERLINK \l "_Toc17105" </w:instrText>
      </w:r>
      <w:r>
        <w:fldChar w:fldCharType="separate"/>
      </w:r>
      <w:r>
        <w:rPr>
          <w:rFonts w:hint="eastAsia" w:ascii="宋体" w:hAnsi="宋体" w:cs="宋体"/>
          <w:b/>
          <w:sz w:val="28"/>
          <w:szCs w:val="28"/>
        </w:rPr>
        <w:t>第六章　投标文件相关格式</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_Toc17105 \h </w:instrText>
      </w:r>
      <w:r>
        <w:rPr>
          <w:rFonts w:hint="eastAsia" w:ascii="宋体" w:hAnsi="宋体" w:cs="宋体"/>
          <w:b/>
          <w:sz w:val="28"/>
          <w:szCs w:val="28"/>
        </w:rPr>
        <w:fldChar w:fldCharType="separate"/>
      </w:r>
      <w:r>
        <w:rPr>
          <w:rFonts w:ascii="宋体" w:hAnsi="宋体" w:cs="宋体"/>
          <w:b/>
          <w:sz w:val="28"/>
          <w:szCs w:val="28"/>
        </w:rPr>
        <w:t>39</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42"/>
        <w:spacing w:before="0" w:line="480" w:lineRule="auto"/>
        <w:ind w:firstLine="562" w:firstLineChars="200"/>
        <w:jc w:val="center"/>
        <w:rPr>
          <w:rFonts w:ascii="宋体" w:hAnsi="宋体" w:cs="宋体"/>
          <w:color w:val="auto"/>
          <w:sz w:val="21"/>
          <w:szCs w:val="21"/>
        </w:rPr>
      </w:pPr>
      <w:r>
        <w:rPr>
          <w:rFonts w:hint="eastAsia" w:ascii="宋体" w:hAnsi="宋体" w:cs="宋体"/>
          <w:color w:val="auto"/>
        </w:rPr>
        <w:fldChar w:fldCharType="end"/>
      </w:r>
    </w:p>
    <w:p>
      <w:pPr>
        <w:spacing w:line="360" w:lineRule="auto"/>
        <w:ind w:firstLine="420" w:firstLineChars="200"/>
        <w:jc w:val="left"/>
        <w:rPr>
          <w:rFonts w:ascii="宋体" w:hAnsi="宋体" w:cs="宋体"/>
          <w:szCs w:val="21"/>
        </w:rPr>
      </w:pPr>
    </w:p>
    <w:p>
      <w:pPr>
        <w:pStyle w:val="44"/>
        <w:outlineLvl w:val="0"/>
        <w:rPr>
          <w:rStyle w:val="41"/>
          <w:rFonts w:ascii="宋体" w:hAnsi="宋体" w:eastAsia="宋体" w:cs="宋体"/>
          <w:b/>
          <w:bCs/>
          <w:szCs w:val="21"/>
        </w:rPr>
        <w:sectPr>
          <w:headerReference r:id="rId6" w:type="first"/>
          <w:footerReference r:id="rId8" w:type="first"/>
          <w:headerReference r:id="rId5" w:type="default"/>
          <w:footerReference r:id="rId7" w:type="default"/>
          <w:pgSz w:w="11906" w:h="16838"/>
          <w:pgMar w:top="851" w:right="1134" w:bottom="1134" w:left="1134" w:header="851" w:footer="992" w:gutter="0"/>
          <w:pgNumType w:start="1"/>
          <w:cols w:space="720" w:num="1"/>
          <w:titlePg/>
          <w:docGrid w:linePitch="326" w:charSpace="0"/>
        </w:sectPr>
      </w:pPr>
      <w:bookmarkStart w:id="0" w:name="_Toc50012813"/>
      <w:bookmarkStart w:id="1" w:name="_Toc493511540"/>
      <w:bookmarkStart w:id="2" w:name="_Toc19912"/>
    </w:p>
    <w:p>
      <w:pPr>
        <w:pStyle w:val="44"/>
        <w:outlineLvl w:val="0"/>
        <w:rPr>
          <w:rStyle w:val="41"/>
          <w:rFonts w:ascii="宋体" w:hAnsi="宋体" w:eastAsia="宋体" w:cs="宋体"/>
          <w:b/>
          <w:bCs w:val="0"/>
          <w:szCs w:val="21"/>
        </w:rPr>
      </w:pPr>
      <w:r>
        <w:rPr>
          <w:rStyle w:val="41"/>
          <w:rFonts w:hint="eastAsia" w:ascii="宋体" w:hAnsi="宋体" w:eastAsia="宋体" w:cs="宋体"/>
          <w:b/>
          <w:bCs w:val="0"/>
          <w:szCs w:val="21"/>
        </w:rPr>
        <w:t>第一章  公开招标采购公告</w:t>
      </w:r>
      <w:bookmarkEnd w:id="0"/>
      <w:bookmarkEnd w:id="1"/>
      <w:bookmarkEnd w:id="2"/>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tcPr>
          <w:p>
            <w:pPr>
              <w:snapToGrid w:val="0"/>
              <w:spacing w:afterLines="25" w:line="360" w:lineRule="exact"/>
              <w:ind w:firstLine="420" w:firstLineChars="200"/>
              <w:contextualSpacing/>
              <w:rPr>
                <w:rFonts w:ascii="宋体" w:hAnsi="宋体" w:cs="宋体"/>
                <w:szCs w:val="21"/>
              </w:rPr>
            </w:pPr>
            <w:bookmarkStart w:id="3" w:name="_Toc493511541"/>
            <w:bookmarkStart w:id="4" w:name="_Toc25352"/>
            <w:bookmarkStart w:id="5" w:name="_Toc50012814"/>
            <w:r>
              <w:rPr>
                <w:rFonts w:hint="eastAsia" w:ascii="宋体" w:hAnsi="宋体" w:cs="宋体"/>
                <w:szCs w:val="21"/>
              </w:rPr>
              <w:t>项目概况</w:t>
            </w:r>
          </w:p>
          <w:p>
            <w:pPr>
              <w:snapToGrid w:val="0"/>
              <w:spacing w:afterLines="25" w:line="360" w:lineRule="exact"/>
              <w:ind w:firstLine="420" w:firstLineChars="200"/>
              <w:contextualSpacing/>
              <w:rPr>
                <w:rFonts w:ascii="宋体" w:hAnsi="宋体" w:cs="宋体"/>
                <w:szCs w:val="21"/>
              </w:rPr>
            </w:pPr>
            <w:r>
              <w:rPr>
                <w:rFonts w:hint="eastAsia" w:ascii="宋体" w:hAnsi="宋体" w:cs="宋体"/>
                <w:szCs w:val="21"/>
              </w:rPr>
              <w:t>2022年嘉兴市秀洲区油车港镇镇区环境保洁服务项目招标项目的潜在供应商应在浙江政府采购网https：//zfcg.czt.zj.gov.cn/获取（下载）招标文件，并于2022年06月 日13：30（北京时间）前递交（上传）投标文件。</w:t>
            </w:r>
          </w:p>
        </w:tc>
      </w:tr>
    </w:tbl>
    <w:p>
      <w:pPr>
        <w:snapToGrid w:val="0"/>
        <w:spacing w:beforeLines="50" w:line="360" w:lineRule="auto"/>
        <w:contextualSpacing/>
        <w:rPr>
          <w:rFonts w:ascii="宋体" w:hAnsi="宋体" w:cs="宋体"/>
          <w:szCs w:val="21"/>
        </w:rPr>
      </w:pPr>
      <w:r>
        <w:rPr>
          <w:rFonts w:hint="eastAsia" w:ascii="宋体" w:hAnsi="宋体" w:cs="宋体"/>
          <w:b/>
          <w:bCs/>
          <w:szCs w:val="21"/>
        </w:rPr>
        <w:t>一、项目基本情况</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项目编号：ZJJY-2022-024</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项目名称：2022年嘉兴市秀洲区油车港镇镇区环境保洁服务项目</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预算金额（元）：6326258</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最高限价（元）：6326258</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采购需求：</w:t>
      </w:r>
    </w:p>
    <w:p>
      <w:pPr>
        <w:snapToGrid w:val="0"/>
        <w:spacing w:line="360" w:lineRule="auto"/>
        <w:ind w:firstLine="420" w:firstLineChars="200"/>
        <w:contextualSpacing/>
        <w:rPr>
          <w:rFonts w:ascii="宋体" w:hAnsi="宋体" w:cs="宋体"/>
          <w:szCs w:val="21"/>
        </w:rPr>
      </w:pPr>
    </w:p>
    <w:p>
      <w:pPr>
        <w:snapToGrid w:val="0"/>
        <w:spacing w:line="360" w:lineRule="auto"/>
        <w:ind w:firstLine="420" w:firstLineChars="200"/>
        <w:contextualSpacing/>
        <w:rPr>
          <w:rFonts w:ascii="宋体" w:hAnsi="宋体" w:cs="宋体"/>
          <w:szCs w:val="21"/>
        </w:rPr>
      </w:pPr>
      <w:r>
        <w:rPr>
          <w:rFonts w:hint="eastAsia" w:ascii="宋体" w:hAnsi="宋体" w:cs="宋体"/>
          <w:szCs w:val="21"/>
        </w:rPr>
        <w:t>标项名称：2022年嘉兴市秀洲区油车港镇镇区环境保洁服务项目</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数量：不限</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预算金额（元）：6326258</w:t>
      </w:r>
    </w:p>
    <w:p>
      <w:pPr>
        <w:spacing w:line="360" w:lineRule="auto"/>
        <w:ind w:firstLine="420"/>
        <w:rPr>
          <w:rFonts w:ascii="宋体" w:hAnsi="宋体" w:cs="宋体"/>
          <w:iCs/>
        </w:rPr>
      </w:pPr>
      <w:r>
        <w:rPr>
          <w:rFonts w:hint="eastAsia" w:ascii="宋体" w:hAnsi="宋体" w:cs="宋体"/>
          <w:iCs/>
        </w:rPr>
        <w:t>简要规格描述或项目基本概况介绍、用途：详见采购文件。</w:t>
      </w:r>
    </w:p>
    <w:p>
      <w:pPr>
        <w:spacing w:line="360" w:lineRule="auto"/>
        <w:ind w:firstLine="420"/>
        <w:rPr>
          <w:rFonts w:ascii="宋体" w:hAnsi="宋体" w:cs="宋体"/>
          <w:szCs w:val="21"/>
        </w:rPr>
      </w:pPr>
      <w:r>
        <w:rPr>
          <w:rFonts w:hint="eastAsia" w:ascii="宋体" w:hAnsi="宋体" w:cs="宋体"/>
          <w:szCs w:val="21"/>
        </w:rPr>
        <w:t>备注：/</w:t>
      </w:r>
    </w:p>
    <w:p>
      <w:pPr>
        <w:spacing w:line="360" w:lineRule="auto"/>
        <w:ind w:firstLine="420"/>
        <w:rPr>
          <w:rFonts w:ascii="宋体" w:hAnsi="宋体" w:cs="宋体"/>
          <w:iCs/>
        </w:rPr>
      </w:pPr>
      <w:r>
        <w:rPr>
          <w:rFonts w:hint="eastAsia" w:ascii="宋体" w:hAnsi="宋体" w:cs="宋体"/>
          <w:iCs/>
        </w:rPr>
        <w:t>合同履约期限：标项1，详见采购文件</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本项目（否）接受联合体投标。</w:t>
      </w:r>
    </w:p>
    <w:p>
      <w:pPr>
        <w:snapToGrid w:val="0"/>
        <w:spacing w:line="360" w:lineRule="auto"/>
        <w:contextualSpacing/>
        <w:rPr>
          <w:rFonts w:ascii="宋体" w:hAnsi="宋体" w:cs="宋体"/>
          <w:b/>
          <w:bCs/>
          <w:szCs w:val="21"/>
        </w:rPr>
      </w:pPr>
      <w:r>
        <w:rPr>
          <w:rFonts w:hint="eastAsia" w:ascii="宋体" w:hAnsi="宋体" w:cs="宋体"/>
          <w:b/>
          <w:bCs/>
          <w:szCs w:val="21"/>
        </w:rPr>
        <w:t>二、申请人的资格要求：</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rPr>
          <w:rFonts w:ascii="宋体" w:hAnsi="宋体" w:cs="宋体"/>
          <w:iCs/>
        </w:rPr>
      </w:pPr>
      <w:r>
        <w:rPr>
          <w:rFonts w:hint="eastAsia" w:ascii="宋体" w:hAnsi="宋体" w:cs="宋体"/>
          <w:iCs/>
        </w:rPr>
        <w:t>2.落实政府采购政策需满足的资格要求：标项1：供应商为中小企业/小微企业</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3.本项目的特定资格要求：无</w:t>
      </w:r>
    </w:p>
    <w:p>
      <w:pPr>
        <w:snapToGrid w:val="0"/>
        <w:spacing w:line="360" w:lineRule="auto"/>
        <w:contextualSpacing/>
        <w:rPr>
          <w:rFonts w:ascii="宋体" w:hAnsi="宋体" w:cs="宋体"/>
          <w:b/>
          <w:bCs/>
          <w:szCs w:val="21"/>
        </w:rPr>
      </w:pPr>
      <w:r>
        <w:rPr>
          <w:rFonts w:hint="eastAsia" w:ascii="宋体" w:hAnsi="宋体" w:cs="宋体"/>
          <w:b/>
          <w:bCs/>
          <w:szCs w:val="21"/>
        </w:rPr>
        <w:t>三、获取招标文件</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时间：/至2022年06月 日，每天上午00：00至12：00，下午12：00至23：59（北京时间，线上获取法定节假日均可，线下获取文件法定节假日除外）</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地点（网址）：浙江政府采购网</w:t>
      </w:r>
      <w:r>
        <w:fldChar w:fldCharType="begin"/>
      </w:r>
      <w:r>
        <w:instrText xml:space="preserve"> HYPERLINK "https://zfcg.czt.zj.gov.cn/" </w:instrText>
      </w:r>
      <w:r>
        <w:fldChar w:fldCharType="separate"/>
      </w:r>
      <w:r>
        <w:rPr>
          <w:rStyle w:val="138"/>
          <w:rFonts w:hint="eastAsia" w:ascii="宋体" w:hAnsi="宋体" w:cs="宋体"/>
          <w:szCs w:val="21"/>
        </w:rPr>
        <w:t>https：//zfcg.czt.zj.gov.cn/</w:t>
      </w:r>
      <w:r>
        <w:rPr>
          <w:rStyle w:val="138"/>
          <w:rFonts w:hint="eastAsia" w:ascii="宋体" w:hAnsi="宋体" w:cs="宋体"/>
          <w:szCs w:val="21"/>
        </w:rPr>
        <w:fldChar w:fldCharType="end"/>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方式：供应商登录政采云平台https：//www.zcygov.cn/在线申请获取采购文件（进入“项目采购”应用，在获取采购文件菜单中选择项目，申请获取采购文件）</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售价（元）：0</w:t>
      </w:r>
    </w:p>
    <w:p>
      <w:pPr>
        <w:snapToGrid w:val="0"/>
        <w:spacing w:line="360" w:lineRule="auto"/>
        <w:contextualSpacing/>
        <w:rPr>
          <w:rFonts w:ascii="宋体" w:hAnsi="宋体" w:cs="宋体"/>
          <w:b/>
          <w:bCs/>
          <w:szCs w:val="21"/>
        </w:rPr>
      </w:pPr>
      <w:r>
        <w:rPr>
          <w:rFonts w:hint="eastAsia" w:ascii="宋体" w:hAnsi="宋体" w:cs="宋体"/>
          <w:b/>
          <w:bCs/>
          <w:szCs w:val="21"/>
        </w:rPr>
        <w:t>四、提交投标文件截止时间、开标时间和地点</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提交投标文件截止时间：2022年06月</w:t>
      </w:r>
      <w:r>
        <w:rPr>
          <w:rFonts w:hint="eastAsia" w:ascii="宋体" w:hAnsi="宋体" w:cs="宋体"/>
          <w:szCs w:val="21"/>
          <w:lang w:val="en-US" w:eastAsia="zh-CN"/>
        </w:rPr>
        <w:t>15</w:t>
      </w:r>
      <w:r>
        <w:rPr>
          <w:rFonts w:hint="eastAsia" w:ascii="宋体" w:hAnsi="宋体" w:cs="宋体"/>
          <w:szCs w:val="21"/>
        </w:rPr>
        <w:t>日</w:t>
      </w:r>
      <w:r>
        <w:rPr>
          <w:rFonts w:hint="eastAsia" w:ascii="宋体" w:hAnsi="宋体" w:cs="宋体"/>
          <w:szCs w:val="21"/>
          <w:lang w:val="en-US" w:eastAsia="zh-CN"/>
        </w:rPr>
        <w:t>09</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（北京时间）</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投标地点（网址）：政采云线上投标</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开标时间：2022年06月</w:t>
      </w:r>
      <w:r>
        <w:rPr>
          <w:rFonts w:hint="eastAsia" w:ascii="宋体" w:hAnsi="宋体" w:cs="宋体"/>
          <w:szCs w:val="21"/>
          <w:lang w:val="en-US" w:eastAsia="zh-CN"/>
        </w:rPr>
        <w:t>15</w:t>
      </w:r>
      <w:r>
        <w:rPr>
          <w:rFonts w:hint="eastAsia" w:ascii="宋体" w:hAnsi="宋体" w:cs="宋体"/>
          <w:szCs w:val="21"/>
        </w:rPr>
        <w:t>日</w:t>
      </w:r>
      <w:r>
        <w:rPr>
          <w:rFonts w:hint="eastAsia" w:ascii="宋体" w:hAnsi="宋体" w:cs="宋体"/>
          <w:szCs w:val="21"/>
          <w:lang w:val="en-US" w:eastAsia="zh-CN"/>
        </w:rPr>
        <w:t>09</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 xml:space="preserve">（北京时间）  </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开标地点（网址）：嘉兴市公共资源交易中心开标室（嘉兴市南湖区广场路350号）</w:t>
      </w:r>
    </w:p>
    <w:p>
      <w:pPr>
        <w:snapToGrid w:val="0"/>
        <w:spacing w:line="360" w:lineRule="auto"/>
        <w:contextualSpacing/>
        <w:rPr>
          <w:rFonts w:ascii="宋体" w:hAnsi="宋体" w:cs="宋体"/>
          <w:b/>
          <w:bCs/>
          <w:szCs w:val="21"/>
        </w:rPr>
      </w:pPr>
      <w:r>
        <w:rPr>
          <w:rFonts w:hint="eastAsia" w:ascii="宋体" w:hAnsi="宋体" w:cs="宋体"/>
          <w:b/>
          <w:bCs/>
          <w:szCs w:val="21"/>
        </w:rPr>
        <w:t>五、公告期限</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自本公告发布之日起5个工作日。</w:t>
      </w:r>
    </w:p>
    <w:p>
      <w:pPr>
        <w:snapToGrid w:val="0"/>
        <w:spacing w:line="360" w:lineRule="auto"/>
        <w:contextualSpacing/>
        <w:rPr>
          <w:rFonts w:ascii="宋体" w:hAnsi="宋体" w:cs="宋体"/>
          <w:b/>
          <w:bCs/>
          <w:szCs w:val="21"/>
        </w:rPr>
      </w:pPr>
      <w:r>
        <w:rPr>
          <w:rFonts w:hint="eastAsia" w:ascii="宋体" w:hAnsi="宋体" w:cs="宋体"/>
          <w:b/>
          <w:bCs/>
          <w:szCs w:val="21"/>
        </w:rPr>
        <w:t>六、其他补充事宜</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2.其他事项：</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3）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（4）本项目采取电子招投标，电子招投标有关事项说明：</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A.本项目通过“浙江政府采购网（http：//zfcg.czt.zj.gov.cn）”实行电子投标，供应商须安装客户端软件，并按照采购文件和电子交易平台的要求制作投标文件。</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客户端软件下载方式：供应商可通过“浙江政府采购网-下载专区-电子交易客户端”进行下载。</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B.供应商须申领CA，并在浙江政府采购网完成绑定方可进行投标文件的编制，CA相关操作可参考“浙江政府采购网-下载专区-电子交易客户端-CA驱动和申领流程”。</w:t>
      </w:r>
    </w:p>
    <w:p>
      <w:pPr>
        <w:snapToGrid w:val="0"/>
        <w:spacing w:line="360" w:lineRule="auto"/>
        <w:ind w:firstLine="420" w:firstLineChars="200"/>
        <w:contextualSpacing/>
        <w:rPr>
          <w:rFonts w:ascii="宋体" w:hAnsi="宋体" w:cs="宋体"/>
          <w:szCs w:val="21"/>
        </w:rPr>
      </w:pPr>
      <w:r>
        <w:rPr>
          <w:rFonts w:hint="eastAsia" w:ascii="宋体" w:hAnsi="宋体" w:cs="宋体"/>
          <w:szCs w:val="21"/>
        </w:rPr>
        <w:t>若对项目采购电子交易系统操作有疑问，可登录政采云。</w:t>
      </w:r>
    </w:p>
    <w:p>
      <w:pPr>
        <w:snapToGrid w:val="0"/>
        <w:spacing w:line="360" w:lineRule="auto"/>
        <w:ind w:firstLine="420" w:firstLineChars="200"/>
        <w:contextualSpacing/>
        <w:jc w:val="left"/>
        <w:rPr>
          <w:rFonts w:ascii="宋体" w:hAnsi="宋体" w:cs="宋体"/>
          <w:szCs w:val="21"/>
        </w:rPr>
      </w:pPr>
      <w:r>
        <w:rPr>
          <w:rFonts w:hint="eastAsia" w:ascii="宋体" w:hAnsi="宋体" w:cs="宋体"/>
          <w:szCs w:val="21"/>
        </w:rPr>
        <w:t>（5）本采购项目，中标单位与采购人签订的政府采购合同适用于嘉兴市政府采购贷款政策，简称“政采贷”，具体内容可参阅政府采购贷款流程：http：//www.jxzbtb.cn/zxfw/005012/20181016/7e541bf4-ad29-4286-ace8-d12c1b2c54fc.html</w:t>
      </w:r>
    </w:p>
    <w:p>
      <w:pPr>
        <w:snapToGrid w:val="0"/>
        <w:spacing w:line="360" w:lineRule="auto"/>
        <w:contextualSpacing/>
        <w:rPr>
          <w:rFonts w:ascii="宋体" w:hAnsi="宋体" w:cs="宋体"/>
          <w:b/>
          <w:bCs/>
          <w:szCs w:val="21"/>
        </w:rPr>
      </w:pPr>
      <w:r>
        <w:rPr>
          <w:rFonts w:hint="eastAsia" w:ascii="宋体" w:hAnsi="宋体" w:cs="宋体"/>
          <w:b/>
          <w:bCs/>
          <w:szCs w:val="21"/>
        </w:rPr>
        <w:t>七、对本次采购提出询问、质疑、投诉，请按以下方式联系</w:t>
      </w:r>
    </w:p>
    <w:p>
      <w:pPr>
        <w:pStyle w:val="30"/>
        <w:spacing w:before="0" w:beforeAutospacing="0" w:after="0" w:afterAutospacing="0" w:line="400" w:lineRule="exact"/>
        <w:ind w:firstLine="630" w:firstLineChars="300"/>
        <w:rPr>
          <w:rFonts w:cs="宋体"/>
          <w:sz w:val="21"/>
          <w:szCs w:val="21"/>
        </w:rPr>
      </w:pPr>
      <w:r>
        <w:rPr>
          <w:rFonts w:hint="eastAsia" w:cs="宋体"/>
          <w:sz w:val="21"/>
          <w:szCs w:val="21"/>
        </w:rPr>
        <w:t xml:space="preserve"> 1、采购人信息</w:t>
      </w:r>
    </w:p>
    <w:p>
      <w:pPr>
        <w:pStyle w:val="30"/>
        <w:spacing w:before="0" w:beforeAutospacing="0" w:after="0" w:afterAutospacing="0" w:line="400" w:lineRule="exact"/>
        <w:rPr>
          <w:rFonts w:cs="宋体"/>
          <w:sz w:val="21"/>
          <w:szCs w:val="21"/>
        </w:rPr>
      </w:pPr>
      <w:r>
        <w:rPr>
          <w:rFonts w:hint="eastAsia" w:cs="宋体"/>
          <w:sz w:val="21"/>
          <w:szCs w:val="21"/>
        </w:rPr>
        <w:t>    名    称：嘉兴市秀洲区油车港镇人民政府</w:t>
      </w:r>
    </w:p>
    <w:p>
      <w:pPr>
        <w:pStyle w:val="30"/>
        <w:spacing w:before="0" w:beforeAutospacing="0" w:after="0" w:afterAutospacing="0" w:line="400" w:lineRule="exact"/>
        <w:rPr>
          <w:rFonts w:cs="宋体"/>
          <w:sz w:val="21"/>
          <w:szCs w:val="21"/>
        </w:rPr>
      </w:pPr>
      <w:r>
        <w:rPr>
          <w:rFonts w:hint="eastAsia" w:cs="宋体"/>
          <w:sz w:val="21"/>
          <w:szCs w:val="21"/>
        </w:rPr>
        <w:t>     地    址：油车港镇人民政府</w:t>
      </w:r>
    </w:p>
    <w:p>
      <w:pPr>
        <w:pStyle w:val="30"/>
        <w:spacing w:before="0" w:beforeAutospacing="0" w:after="0" w:afterAutospacing="0" w:line="400" w:lineRule="exact"/>
        <w:rPr>
          <w:rFonts w:cs="宋体"/>
          <w:sz w:val="21"/>
          <w:szCs w:val="21"/>
        </w:rPr>
      </w:pPr>
      <w:r>
        <w:rPr>
          <w:rFonts w:hint="eastAsia" w:cs="宋体"/>
          <w:sz w:val="21"/>
          <w:szCs w:val="21"/>
        </w:rPr>
        <w:t>    传     真：/  　　</w:t>
      </w:r>
    </w:p>
    <w:p>
      <w:pPr>
        <w:pStyle w:val="30"/>
        <w:spacing w:before="0" w:beforeAutospacing="0" w:after="0" w:afterAutospacing="0" w:line="400" w:lineRule="exact"/>
        <w:rPr>
          <w:rFonts w:cs="宋体"/>
          <w:sz w:val="21"/>
          <w:szCs w:val="21"/>
        </w:rPr>
      </w:pPr>
      <w:r>
        <w:rPr>
          <w:rFonts w:hint="eastAsia" w:cs="宋体"/>
          <w:sz w:val="21"/>
          <w:szCs w:val="21"/>
        </w:rPr>
        <w:t xml:space="preserve">    项目联系人（询问）：谢先生          </w:t>
      </w:r>
    </w:p>
    <w:p>
      <w:pPr>
        <w:pStyle w:val="30"/>
        <w:spacing w:before="0" w:beforeAutospacing="0" w:after="0" w:afterAutospacing="0" w:line="400" w:lineRule="exact"/>
        <w:rPr>
          <w:rFonts w:cs="宋体"/>
          <w:sz w:val="21"/>
          <w:szCs w:val="21"/>
        </w:rPr>
      </w:pPr>
      <w:r>
        <w:rPr>
          <w:rFonts w:hint="eastAsia" w:cs="宋体"/>
          <w:sz w:val="21"/>
          <w:szCs w:val="21"/>
        </w:rPr>
        <w:t>    项目联系方式（询问）：0573-83381743</w:t>
      </w:r>
      <w:r>
        <w:rPr>
          <w:rFonts w:hint="eastAsia" w:cs="宋体"/>
          <w:sz w:val="21"/>
          <w:szCs w:val="21"/>
        </w:rPr>
        <w:br w:type="textWrapping"/>
      </w:r>
      <w:r>
        <w:rPr>
          <w:rFonts w:hint="eastAsia" w:cs="宋体"/>
          <w:sz w:val="21"/>
          <w:szCs w:val="21"/>
        </w:rPr>
        <w:t>    质疑联系人：翁先生</w:t>
      </w:r>
    </w:p>
    <w:p>
      <w:pPr>
        <w:pStyle w:val="30"/>
        <w:spacing w:before="0" w:beforeAutospacing="0" w:after="0" w:afterAutospacing="0" w:line="400" w:lineRule="exact"/>
        <w:ind w:firstLine="630"/>
        <w:rPr>
          <w:rFonts w:cs="宋体"/>
          <w:sz w:val="21"/>
          <w:szCs w:val="21"/>
        </w:rPr>
      </w:pPr>
      <w:r>
        <w:rPr>
          <w:rFonts w:hint="eastAsia" w:cs="宋体"/>
          <w:sz w:val="21"/>
          <w:szCs w:val="21"/>
        </w:rPr>
        <w:t>质疑联系方式：0573-83381782</w:t>
      </w:r>
    </w:p>
    <w:p>
      <w:pPr>
        <w:pStyle w:val="30"/>
        <w:spacing w:before="0" w:beforeAutospacing="0" w:after="0" w:afterAutospacing="0" w:line="400" w:lineRule="exact"/>
        <w:ind w:firstLine="630"/>
        <w:rPr>
          <w:rFonts w:cs="宋体"/>
          <w:sz w:val="21"/>
          <w:szCs w:val="21"/>
        </w:rPr>
      </w:pPr>
      <w:r>
        <w:rPr>
          <w:rFonts w:hint="eastAsia" w:cs="宋体"/>
          <w:kern w:val="2"/>
          <w:sz w:val="21"/>
          <w:szCs w:val="21"/>
        </w:rPr>
        <w:br w:type="textWrapping"/>
      </w:r>
      <w:r>
        <w:rPr>
          <w:rFonts w:hint="eastAsia" w:cs="宋体"/>
          <w:sz w:val="21"/>
          <w:szCs w:val="21"/>
        </w:rPr>
        <w:t>    2、采购代理机构信息</w:t>
      </w:r>
    </w:p>
    <w:p>
      <w:pPr>
        <w:pStyle w:val="30"/>
        <w:spacing w:before="0" w:beforeAutospacing="0" w:after="0" w:afterAutospacing="0" w:line="400" w:lineRule="exact"/>
        <w:rPr>
          <w:rFonts w:cs="宋体"/>
          <w:sz w:val="21"/>
          <w:szCs w:val="21"/>
        </w:rPr>
      </w:pPr>
      <w:r>
        <w:rPr>
          <w:rFonts w:hint="eastAsia" w:cs="宋体"/>
          <w:sz w:val="21"/>
          <w:szCs w:val="21"/>
        </w:rPr>
        <w:t>    名    称：浙江槿阳建设管理有限公司</w:t>
      </w:r>
    </w:p>
    <w:p>
      <w:pPr>
        <w:pStyle w:val="30"/>
        <w:spacing w:before="0" w:beforeAutospacing="0" w:after="0" w:afterAutospacing="0" w:line="400" w:lineRule="exact"/>
        <w:ind w:firstLine="630"/>
        <w:rPr>
          <w:rFonts w:cs="宋体"/>
          <w:sz w:val="21"/>
          <w:szCs w:val="21"/>
        </w:rPr>
      </w:pPr>
      <w:r>
        <w:rPr>
          <w:rFonts w:hint="eastAsia" w:cs="宋体"/>
          <w:sz w:val="21"/>
          <w:szCs w:val="21"/>
        </w:rPr>
        <w:t xml:space="preserve">地    址：嘉兴市秀洲区成秀路205号鼎盛大厦四楼   </w:t>
      </w:r>
    </w:p>
    <w:p>
      <w:pPr>
        <w:pStyle w:val="30"/>
        <w:spacing w:before="0" w:beforeAutospacing="0" w:after="0" w:afterAutospacing="0" w:line="400" w:lineRule="exact"/>
        <w:ind w:firstLine="630"/>
        <w:rPr>
          <w:rFonts w:cs="宋体"/>
          <w:sz w:val="21"/>
          <w:szCs w:val="21"/>
        </w:rPr>
      </w:pPr>
      <w:r>
        <w:rPr>
          <w:rFonts w:hint="eastAsia" w:cs="宋体"/>
          <w:sz w:val="21"/>
          <w:szCs w:val="21"/>
        </w:rPr>
        <w:t>传     真：/</w:t>
      </w:r>
    </w:p>
    <w:p>
      <w:pPr>
        <w:pStyle w:val="30"/>
        <w:spacing w:before="0" w:beforeAutospacing="0" w:after="0" w:afterAutospacing="0" w:line="400" w:lineRule="exact"/>
        <w:rPr>
          <w:rFonts w:cs="宋体"/>
          <w:sz w:val="21"/>
          <w:szCs w:val="21"/>
        </w:rPr>
      </w:pPr>
      <w:r>
        <w:rPr>
          <w:rFonts w:hint="eastAsia" w:cs="宋体"/>
          <w:sz w:val="21"/>
          <w:szCs w:val="21"/>
        </w:rPr>
        <w:t>    项 目 联系人（询问）：</w:t>
      </w:r>
      <w:r>
        <w:rPr>
          <w:rStyle w:val="45"/>
          <w:rFonts w:hint="eastAsia" w:cs="宋体"/>
          <w:sz w:val="21"/>
          <w:szCs w:val="21"/>
        </w:rPr>
        <w:t>吴女士</w:t>
      </w:r>
    </w:p>
    <w:p>
      <w:pPr>
        <w:pStyle w:val="30"/>
        <w:spacing w:before="0" w:beforeAutospacing="0" w:after="0" w:afterAutospacing="0" w:line="400" w:lineRule="exact"/>
        <w:rPr>
          <w:rFonts w:cs="宋体"/>
          <w:sz w:val="21"/>
          <w:szCs w:val="21"/>
        </w:rPr>
      </w:pPr>
      <w:r>
        <w:rPr>
          <w:rFonts w:hint="eastAsia" w:cs="宋体"/>
          <w:sz w:val="21"/>
          <w:szCs w:val="21"/>
        </w:rPr>
        <w:t>    项目联系方式（询问）：0573-83807698</w:t>
      </w:r>
    </w:p>
    <w:p>
      <w:pPr>
        <w:pStyle w:val="30"/>
        <w:spacing w:before="0" w:beforeAutospacing="0" w:after="0" w:afterAutospacing="0" w:line="400" w:lineRule="exact"/>
        <w:rPr>
          <w:rFonts w:cs="宋体"/>
          <w:sz w:val="21"/>
          <w:szCs w:val="21"/>
        </w:rPr>
      </w:pPr>
      <w:r>
        <w:rPr>
          <w:rFonts w:hint="eastAsia" w:cs="宋体"/>
          <w:sz w:val="21"/>
          <w:szCs w:val="21"/>
        </w:rPr>
        <w:t>    质 疑 联系人：</w:t>
      </w:r>
      <w:r>
        <w:rPr>
          <w:rStyle w:val="45"/>
          <w:rFonts w:hint="eastAsia" w:cs="宋体"/>
          <w:sz w:val="21"/>
          <w:szCs w:val="21"/>
        </w:rPr>
        <w:t xml:space="preserve">万丹燕 </w:t>
      </w:r>
    </w:p>
    <w:p>
      <w:pPr>
        <w:pStyle w:val="30"/>
        <w:spacing w:before="0" w:beforeAutospacing="0" w:after="0" w:afterAutospacing="0" w:line="400" w:lineRule="exact"/>
        <w:ind w:firstLine="630"/>
        <w:rPr>
          <w:rStyle w:val="45"/>
          <w:rFonts w:cs="宋体"/>
          <w:sz w:val="21"/>
          <w:szCs w:val="21"/>
        </w:rPr>
      </w:pPr>
      <w:r>
        <w:rPr>
          <w:rFonts w:hint="eastAsia" w:cs="宋体"/>
          <w:sz w:val="21"/>
          <w:szCs w:val="21"/>
        </w:rPr>
        <w:t>质疑联系方式：</w:t>
      </w:r>
      <w:r>
        <w:rPr>
          <w:rStyle w:val="45"/>
          <w:rFonts w:hint="eastAsia" w:cs="宋体"/>
          <w:sz w:val="21"/>
          <w:szCs w:val="21"/>
        </w:rPr>
        <w:t>13758072149</w:t>
      </w:r>
    </w:p>
    <w:p>
      <w:pPr>
        <w:pStyle w:val="30"/>
        <w:spacing w:before="0" w:beforeAutospacing="0" w:after="0" w:afterAutospacing="0" w:line="400" w:lineRule="exact"/>
        <w:ind w:firstLine="630"/>
        <w:rPr>
          <w:rStyle w:val="45"/>
          <w:rFonts w:cs="宋体"/>
          <w:sz w:val="21"/>
          <w:szCs w:val="21"/>
        </w:rPr>
      </w:pPr>
    </w:p>
    <w:p>
      <w:pPr>
        <w:pStyle w:val="30"/>
        <w:spacing w:before="0" w:beforeAutospacing="0" w:after="0" w:afterAutospacing="0" w:line="400" w:lineRule="exact"/>
        <w:rPr>
          <w:rFonts w:cs="宋体"/>
          <w:sz w:val="21"/>
          <w:szCs w:val="21"/>
        </w:rPr>
      </w:pPr>
      <w:r>
        <w:rPr>
          <w:rFonts w:hint="eastAsia" w:cs="宋体"/>
          <w:sz w:val="21"/>
          <w:szCs w:val="21"/>
        </w:rPr>
        <w:t>    3、同级政府采购监督管理部门</w:t>
      </w:r>
    </w:p>
    <w:p>
      <w:pPr>
        <w:pStyle w:val="30"/>
        <w:spacing w:before="0" w:beforeAutospacing="0" w:after="0" w:afterAutospacing="0" w:line="400" w:lineRule="exact"/>
        <w:rPr>
          <w:rStyle w:val="45"/>
          <w:rFonts w:cs="宋体"/>
          <w:sz w:val="21"/>
          <w:szCs w:val="21"/>
        </w:rPr>
      </w:pPr>
      <w:r>
        <w:rPr>
          <w:rFonts w:hint="eastAsia" w:cs="宋体"/>
          <w:sz w:val="21"/>
          <w:szCs w:val="21"/>
        </w:rPr>
        <w:t>    名    称：嘉兴市秀洲区财政局</w:t>
      </w:r>
    </w:p>
    <w:p>
      <w:pPr>
        <w:pStyle w:val="30"/>
        <w:spacing w:before="0" w:beforeAutospacing="0" w:after="0" w:afterAutospacing="0" w:line="400" w:lineRule="exact"/>
        <w:rPr>
          <w:rFonts w:cs="宋体"/>
          <w:sz w:val="21"/>
          <w:szCs w:val="21"/>
        </w:rPr>
      </w:pPr>
      <w:r>
        <w:rPr>
          <w:rFonts w:hint="eastAsia" w:cs="宋体"/>
          <w:sz w:val="21"/>
          <w:szCs w:val="21"/>
        </w:rPr>
        <w:t>    地    址：/　　</w:t>
      </w:r>
    </w:p>
    <w:p>
      <w:pPr>
        <w:pStyle w:val="30"/>
        <w:spacing w:before="0" w:beforeAutospacing="0" w:after="0" w:afterAutospacing="0" w:line="400" w:lineRule="exact"/>
        <w:rPr>
          <w:rFonts w:cs="宋体"/>
          <w:sz w:val="21"/>
          <w:szCs w:val="21"/>
        </w:rPr>
      </w:pPr>
      <w:r>
        <w:rPr>
          <w:rFonts w:hint="eastAsia" w:cs="宋体"/>
          <w:sz w:val="21"/>
          <w:szCs w:val="21"/>
        </w:rPr>
        <w:t>    传     真： </w:t>
      </w:r>
      <w:r>
        <w:rPr>
          <w:rStyle w:val="45"/>
          <w:rFonts w:hint="eastAsia" w:cs="宋体"/>
          <w:sz w:val="21"/>
          <w:szCs w:val="21"/>
        </w:rPr>
        <w:t>/</w:t>
      </w:r>
      <w:r>
        <w:rPr>
          <w:rFonts w:hint="eastAsia" w:cs="宋体"/>
          <w:sz w:val="21"/>
          <w:szCs w:val="21"/>
        </w:rPr>
        <w:t> 　   </w:t>
      </w:r>
    </w:p>
    <w:p>
      <w:pPr>
        <w:pStyle w:val="30"/>
        <w:spacing w:before="0" w:beforeAutospacing="0" w:after="0" w:afterAutospacing="0" w:line="400" w:lineRule="exact"/>
        <w:rPr>
          <w:rFonts w:cs="宋体"/>
          <w:sz w:val="21"/>
          <w:szCs w:val="21"/>
        </w:rPr>
      </w:pPr>
      <w:r>
        <w:rPr>
          <w:rFonts w:hint="eastAsia" w:cs="宋体"/>
          <w:sz w:val="21"/>
          <w:szCs w:val="21"/>
        </w:rPr>
        <w:t>    联  系   人：方女士　</w:t>
      </w:r>
    </w:p>
    <w:p>
      <w:pPr>
        <w:pStyle w:val="30"/>
        <w:spacing w:before="0" w:beforeAutospacing="0" w:after="0" w:afterAutospacing="0" w:line="400" w:lineRule="exact"/>
        <w:rPr>
          <w:rFonts w:cs="宋体"/>
          <w:sz w:val="21"/>
          <w:szCs w:val="21"/>
        </w:rPr>
      </w:pPr>
      <w:r>
        <w:rPr>
          <w:rFonts w:hint="eastAsia" w:cs="宋体"/>
          <w:sz w:val="21"/>
          <w:szCs w:val="21"/>
        </w:rPr>
        <w:t xml:space="preserve">      监督投诉电话：0573-82720086 　</w:t>
      </w:r>
    </w:p>
    <w:p>
      <w:pPr>
        <w:snapToGrid w:val="0"/>
        <w:ind w:firstLine="420" w:firstLineChars="200"/>
        <w:contextualSpacing/>
        <w:rPr>
          <w:rFonts w:ascii="宋体" w:hAnsi="宋体" w:cs="宋体"/>
          <w:szCs w:val="21"/>
        </w:rPr>
      </w:pPr>
    </w:p>
    <w:p>
      <w:pPr>
        <w:snapToGrid w:val="0"/>
        <w:contextualSpacing/>
        <w:rPr>
          <w:rFonts w:ascii="宋体" w:hAnsi="宋体" w:cs="宋体"/>
          <w:sz w:val="18"/>
          <w:szCs w:val="18"/>
        </w:rPr>
      </w:pPr>
      <w:r>
        <w:rPr>
          <w:rFonts w:hint="eastAsia" w:ascii="宋体" w:hAnsi="宋体" w:cs="宋体"/>
          <w:sz w:val="18"/>
          <w:szCs w:val="18"/>
        </w:rPr>
        <w:t>若对项目采购电子交易系统操作有疑问，可登录政采云（https：//www.zcygov.cn/），点击右侧咨询小采，获取采小蜜智能服务管家帮助，或拨打政采云服务热线400-881-7190获取热线服务帮助。</w:t>
      </w:r>
    </w:p>
    <w:p>
      <w:pPr>
        <w:snapToGrid w:val="0"/>
        <w:contextualSpacing/>
        <w:rPr>
          <w:rFonts w:ascii="宋体" w:hAnsi="宋体" w:cs="宋体"/>
          <w:sz w:val="18"/>
          <w:szCs w:val="18"/>
        </w:rPr>
      </w:pPr>
    </w:p>
    <w:p>
      <w:pPr>
        <w:snapToGrid w:val="0"/>
        <w:contextualSpacing/>
        <w:rPr>
          <w:rFonts w:ascii="宋体" w:hAnsi="宋体" w:cs="宋体"/>
          <w:szCs w:val="21"/>
        </w:rPr>
      </w:pPr>
      <w:r>
        <w:rPr>
          <w:rFonts w:hint="eastAsia" w:ascii="宋体" w:hAnsi="宋体" w:cs="宋体"/>
          <w:sz w:val="18"/>
          <w:szCs w:val="18"/>
        </w:rPr>
        <w:t>CA问题联系电话（人工）：汇信CA400-888-4636；天谷CA400-087-8198。</w:t>
      </w:r>
    </w:p>
    <w:p>
      <w:pPr>
        <w:pStyle w:val="44"/>
        <w:outlineLvl w:val="0"/>
        <w:rPr>
          <w:rStyle w:val="41"/>
          <w:rFonts w:ascii="宋体" w:hAnsi="宋体" w:eastAsia="宋体" w:cs="宋体"/>
          <w:b/>
          <w:bCs w:val="0"/>
          <w:szCs w:val="21"/>
        </w:rPr>
      </w:pPr>
      <w:r>
        <w:rPr>
          <w:rFonts w:hint="eastAsia" w:ascii="宋体" w:eastAsia="宋体" w:cs="宋体"/>
          <w:szCs w:val="30"/>
        </w:rPr>
        <w:br w:type="page"/>
      </w:r>
      <w:r>
        <w:rPr>
          <w:rStyle w:val="41"/>
          <w:rFonts w:hint="eastAsia" w:ascii="宋体" w:hAnsi="宋体" w:eastAsia="宋体" w:cs="宋体"/>
          <w:b/>
          <w:bCs w:val="0"/>
          <w:szCs w:val="21"/>
        </w:rPr>
        <w:t>第二章  招标项目要求</w:t>
      </w:r>
      <w:bookmarkEnd w:id="3"/>
      <w:bookmarkEnd w:id="4"/>
      <w:bookmarkEnd w:id="5"/>
    </w:p>
    <w:p>
      <w:pPr>
        <w:numPr>
          <w:ilvl w:val="0"/>
          <w:numId w:val="2"/>
        </w:numPr>
        <w:snapToGrid w:val="0"/>
        <w:spacing w:line="360" w:lineRule="auto"/>
        <w:ind w:firstLine="420"/>
        <w:rPr>
          <w:rFonts w:ascii="宋体" w:hAnsi="宋体" w:cs="宋体"/>
          <w:b/>
          <w:szCs w:val="21"/>
        </w:rPr>
      </w:pPr>
      <w:r>
        <w:rPr>
          <w:rFonts w:hint="eastAsia" w:ascii="宋体" w:hAnsi="宋体" w:cs="宋体"/>
          <w:b/>
          <w:szCs w:val="21"/>
        </w:rPr>
        <w:t>项目概况</w:t>
      </w:r>
    </w:p>
    <w:tbl>
      <w:tblPr>
        <w:tblStyle w:val="33"/>
        <w:tblW w:w="9450"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17"/>
        <w:gridCol w:w="5600"/>
        <w:gridCol w:w="833"/>
        <w:gridCol w:w="78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9" w:hRule="atLeast"/>
        </w:trPr>
        <w:tc>
          <w:tcPr>
            <w:tcW w:w="717" w:type="dxa"/>
            <w:shd w:val="clear" w:color="auto" w:fill="D7D7D7"/>
            <w:noWrap/>
            <w:tcMar>
              <w:top w:w="0" w:type="dxa"/>
              <w:left w:w="108" w:type="dxa"/>
              <w:bottom w:w="0" w:type="dxa"/>
              <w:right w:w="108" w:type="dxa"/>
            </w:tcMar>
            <w:vAlign w:val="center"/>
          </w:tcPr>
          <w:p>
            <w:pPr>
              <w:spacing w:line="460" w:lineRule="exact"/>
              <w:jc w:val="center"/>
              <w:rPr>
                <w:rFonts w:ascii="宋体" w:hAnsi="宋体" w:cs="宋体"/>
                <w:b/>
                <w:bCs/>
                <w:szCs w:val="21"/>
              </w:rPr>
            </w:pPr>
            <w:r>
              <w:rPr>
                <w:rFonts w:hint="eastAsia" w:ascii="宋体" w:hAnsi="宋体" w:cs="宋体"/>
                <w:b/>
                <w:bCs/>
                <w:szCs w:val="21"/>
              </w:rPr>
              <w:t>标段</w:t>
            </w:r>
          </w:p>
        </w:tc>
        <w:tc>
          <w:tcPr>
            <w:tcW w:w="5600" w:type="dxa"/>
            <w:shd w:val="clear" w:color="auto" w:fill="D7D7D7"/>
            <w:noWrap/>
            <w:tcMar>
              <w:top w:w="0" w:type="dxa"/>
              <w:left w:w="108" w:type="dxa"/>
              <w:bottom w:w="0" w:type="dxa"/>
              <w:right w:w="108" w:type="dxa"/>
            </w:tcMar>
            <w:vAlign w:val="center"/>
          </w:tcPr>
          <w:p>
            <w:pPr>
              <w:spacing w:line="460" w:lineRule="exact"/>
              <w:jc w:val="center"/>
              <w:rPr>
                <w:rFonts w:ascii="宋体" w:hAnsi="宋体" w:cs="宋体"/>
                <w:b/>
                <w:bCs/>
                <w:szCs w:val="21"/>
              </w:rPr>
            </w:pPr>
            <w:r>
              <w:rPr>
                <w:rFonts w:hint="eastAsia" w:ascii="宋体" w:hAnsi="宋体" w:cs="宋体"/>
                <w:b/>
                <w:bCs/>
                <w:szCs w:val="21"/>
              </w:rPr>
              <w:t>项目名称</w:t>
            </w:r>
          </w:p>
        </w:tc>
        <w:tc>
          <w:tcPr>
            <w:tcW w:w="833" w:type="dxa"/>
            <w:shd w:val="clear" w:color="auto" w:fill="D7D7D7"/>
            <w:noWrap/>
            <w:tcMar>
              <w:top w:w="0" w:type="dxa"/>
              <w:left w:w="108" w:type="dxa"/>
              <w:bottom w:w="0" w:type="dxa"/>
              <w:right w:w="108" w:type="dxa"/>
            </w:tcMar>
            <w:vAlign w:val="center"/>
          </w:tcPr>
          <w:p>
            <w:pPr>
              <w:spacing w:line="460" w:lineRule="exact"/>
              <w:jc w:val="center"/>
              <w:rPr>
                <w:rFonts w:ascii="宋体" w:hAnsi="宋体" w:cs="宋体"/>
                <w:b/>
                <w:bCs/>
                <w:szCs w:val="21"/>
              </w:rPr>
            </w:pPr>
            <w:r>
              <w:rPr>
                <w:rFonts w:hint="eastAsia" w:ascii="宋体" w:hAnsi="宋体" w:cs="宋体"/>
                <w:b/>
                <w:bCs/>
                <w:szCs w:val="21"/>
              </w:rPr>
              <w:t>单位</w:t>
            </w:r>
          </w:p>
        </w:tc>
        <w:tc>
          <w:tcPr>
            <w:tcW w:w="784" w:type="dxa"/>
            <w:shd w:val="clear" w:color="auto" w:fill="D7D7D7"/>
            <w:noWrap/>
            <w:tcMar>
              <w:top w:w="0" w:type="dxa"/>
              <w:left w:w="108" w:type="dxa"/>
              <w:bottom w:w="0" w:type="dxa"/>
              <w:right w:w="108" w:type="dxa"/>
            </w:tcMar>
            <w:vAlign w:val="center"/>
          </w:tcPr>
          <w:p>
            <w:pPr>
              <w:spacing w:line="460" w:lineRule="exact"/>
              <w:jc w:val="center"/>
              <w:rPr>
                <w:rFonts w:ascii="宋体" w:hAnsi="宋体" w:cs="宋体"/>
                <w:b/>
                <w:bCs/>
                <w:szCs w:val="21"/>
              </w:rPr>
            </w:pPr>
            <w:r>
              <w:rPr>
                <w:rFonts w:hint="eastAsia" w:ascii="宋体" w:hAnsi="宋体" w:cs="宋体"/>
                <w:b/>
                <w:bCs/>
                <w:szCs w:val="21"/>
              </w:rPr>
              <w:t>数量</w:t>
            </w:r>
          </w:p>
        </w:tc>
        <w:tc>
          <w:tcPr>
            <w:tcW w:w="1516" w:type="dxa"/>
            <w:shd w:val="clear" w:color="auto" w:fill="D7D7D7"/>
            <w:noWrap/>
            <w:tcMar>
              <w:top w:w="0" w:type="dxa"/>
              <w:left w:w="108" w:type="dxa"/>
              <w:bottom w:w="0" w:type="dxa"/>
              <w:right w:w="108" w:type="dxa"/>
            </w:tcMar>
            <w:vAlign w:val="center"/>
          </w:tcPr>
          <w:p>
            <w:pPr>
              <w:spacing w:line="460" w:lineRule="exact"/>
              <w:jc w:val="center"/>
              <w:rPr>
                <w:rFonts w:ascii="宋体" w:hAnsi="宋体" w:cs="宋体"/>
                <w:b/>
                <w:bCs/>
                <w:szCs w:val="21"/>
              </w:rPr>
            </w:pPr>
            <w:r>
              <w:rPr>
                <w:rFonts w:hint="eastAsia" w:ascii="宋体" w:hAnsi="宋体" w:cs="宋体"/>
                <w:b/>
                <w:bCs/>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2" w:hRule="atLeast"/>
        </w:trPr>
        <w:tc>
          <w:tcPr>
            <w:tcW w:w="717"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r>
              <w:rPr>
                <w:rFonts w:hint="eastAsia" w:ascii="宋体" w:hAnsi="宋体" w:cs="宋体"/>
                <w:szCs w:val="21"/>
              </w:rPr>
              <w:t>一</w:t>
            </w:r>
          </w:p>
        </w:tc>
        <w:tc>
          <w:tcPr>
            <w:tcW w:w="5600" w:type="dxa"/>
            <w:shd w:val="clear" w:color="auto" w:fill="FFFFFF"/>
            <w:noWrap/>
            <w:tcMar>
              <w:top w:w="0" w:type="dxa"/>
              <w:left w:w="108" w:type="dxa"/>
              <w:bottom w:w="0" w:type="dxa"/>
              <w:right w:w="108" w:type="dxa"/>
            </w:tcMar>
            <w:vAlign w:val="center"/>
          </w:tcPr>
          <w:p>
            <w:pPr>
              <w:spacing w:line="460" w:lineRule="exact"/>
              <w:rPr>
                <w:rFonts w:ascii="宋体" w:hAnsi="宋体" w:cs="宋体"/>
                <w:szCs w:val="21"/>
              </w:rPr>
            </w:pPr>
            <w:r>
              <w:rPr>
                <w:rFonts w:hint="eastAsia" w:ascii="宋体" w:hAnsi="宋体" w:cs="宋体"/>
                <w:szCs w:val="21"/>
              </w:rPr>
              <w:t>2022年嘉兴市秀洲区油车港镇镇区环境保洁服务项目</w:t>
            </w:r>
          </w:p>
        </w:tc>
        <w:tc>
          <w:tcPr>
            <w:tcW w:w="833"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r>
              <w:rPr>
                <w:rFonts w:hint="eastAsia" w:ascii="宋体" w:hAnsi="宋体" w:cs="宋体"/>
                <w:szCs w:val="21"/>
              </w:rPr>
              <w:t>项</w:t>
            </w:r>
          </w:p>
        </w:tc>
        <w:tc>
          <w:tcPr>
            <w:tcW w:w="784"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r>
              <w:rPr>
                <w:rFonts w:hint="eastAsia" w:ascii="宋体" w:hAnsi="宋体" w:cs="宋体"/>
                <w:szCs w:val="21"/>
              </w:rPr>
              <w:t>1</w:t>
            </w:r>
          </w:p>
        </w:tc>
        <w:tc>
          <w:tcPr>
            <w:tcW w:w="1516" w:type="dxa"/>
            <w:shd w:val="clear" w:color="auto" w:fill="FFFFFF"/>
            <w:noWrap/>
            <w:tcMar>
              <w:top w:w="0" w:type="dxa"/>
              <w:left w:w="108" w:type="dxa"/>
              <w:bottom w:w="0" w:type="dxa"/>
              <w:right w:w="108"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6326258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2" w:hRule="atLeast"/>
        </w:trPr>
        <w:tc>
          <w:tcPr>
            <w:tcW w:w="717"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p>
        </w:tc>
        <w:tc>
          <w:tcPr>
            <w:tcW w:w="5600"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r>
              <w:rPr>
                <w:rFonts w:hint="eastAsia" w:ascii="宋体" w:hAnsi="宋体" w:cs="宋体"/>
                <w:szCs w:val="21"/>
              </w:rPr>
              <w:t>合计</w:t>
            </w:r>
          </w:p>
        </w:tc>
        <w:tc>
          <w:tcPr>
            <w:tcW w:w="833"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p>
        </w:tc>
        <w:tc>
          <w:tcPr>
            <w:tcW w:w="784" w:type="dxa"/>
            <w:shd w:val="clear" w:color="auto" w:fill="FFFFFF"/>
            <w:noWrap/>
            <w:tcMar>
              <w:top w:w="0" w:type="dxa"/>
              <w:left w:w="108" w:type="dxa"/>
              <w:bottom w:w="0" w:type="dxa"/>
              <w:right w:w="108" w:type="dxa"/>
            </w:tcMar>
            <w:vAlign w:val="center"/>
          </w:tcPr>
          <w:p>
            <w:pPr>
              <w:spacing w:line="460" w:lineRule="exact"/>
              <w:jc w:val="center"/>
              <w:rPr>
                <w:rFonts w:ascii="宋体" w:hAnsi="宋体" w:cs="宋体"/>
                <w:szCs w:val="21"/>
              </w:rPr>
            </w:pPr>
          </w:p>
        </w:tc>
        <w:tc>
          <w:tcPr>
            <w:tcW w:w="1516" w:type="dxa"/>
            <w:shd w:val="clear" w:color="auto" w:fill="FFFFFF"/>
            <w:noWrap/>
            <w:tcMar>
              <w:top w:w="0" w:type="dxa"/>
              <w:left w:w="108" w:type="dxa"/>
              <w:bottom w:w="0" w:type="dxa"/>
              <w:right w:w="108"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sum(E2:E5) \* MERGEFORMAT </w:instrText>
            </w:r>
            <w:r>
              <w:rPr>
                <w:rFonts w:hint="eastAsia" w:ascii="宋体" w:hAnsi="宋体" w:cs="宋体"/>
                <w:kern w:val="0"/>
                <w:szCs w:val="21"/>
              </w:rPr>
              <w:fldChar w:fldCharType="end"/>
            </w:r>
            <w:r>
              <w:rPr>
                <w:rFonts w:hint="eastAsia" w:ascii="宋体" w:hAnsi="宋体" w:cs="宋体"/>
                <w:kern w:val="0"/>
                <w:szCs w:val="21"/>
              </w:rPr>
              <w:t>6326258</w:t>
            </w:r>
          </w:p>
        </w:tc>
      </w:tr>
    </w:tbl>
    <w:p>
      <w:pPr>
        <w:numPr>
          <w:ilvl w:val="0"/>
          <w:numId w:val="2"/>
        </w:numPr>
        <w:spacing w:line="360" w:lineRule="auto"/>
        <w:ind w:firstLine="420"/>
        <w:rPr>
          <w:rFonts w:ascii="宋体" w:hAnsi="宋体" w:cs="宋体"/>
          <w:szCs w:val="21"/>
        </w:rPr>
      </w:pPr>
      <w:r>
        <w:rPr>
          <w:rFonts w:hint="eastAsia" w:ascii="宋体" w:hAnsi="宋体" w:cs="宋体"/>
          <w:b/>
          <w:bCs/>
          <w:szCs w:val="21"/>
        </w:rPr>
        <w:t>本次招标范围包括及要求</w:t>
      </w:r>
      <w:r>
        <w:rPr>
          <w:rFonts w:hint="eastAsia" w:ascii="宋体" w:hAnsi="宋体" w:cs="宋体"/>
          <w:szCs w:val="21"/>
        </w:rPr>
        <w:t>：秀洲区油车港镇镇区内道路、河道、公厕、菜场、公园等公共区域的保洁。</w:t>
      </w:r>
    </w:p>
    <w:p>
      <w:pPr>
        <w:numPr>
          <w:ilvl w:val="0"/>
          <w:numId w:val="3"/>
        </w:numPr>
        <w:spacing w:line="500" w:lineRule="exact"/>
        <w:ind w:firstLine="420" w:firstLineChars="200"/>
        <w:rPr>
          <w:rFonts w:ascii="宋体" w:hAnsi="宋体" w:cs="宋体"/>
          <w:szCs w:val="21"/>
        </w:rPr>
      </w:pPr>
      <w:r>
        <w:rPr>
          <w:rFonts w:hint="eastAsia" w:ascii="宋体" w:hAnsi="宋体" w:cs="宋体"/>
          <w:szCs w:val="21"/>
        </w:rPr>
        <w:t>道路保洁明细及保洁标准</w:t>
      </w:r>
    </w:p>
    <w:tbl>
      <w:tblPr>
        <w:tblStyle w:val="33"/>
        <w:tblW w:w="8550" w:type="dxa"/>
        <w:tblInd w:w="93" w:type="dxa"/>
        <w:tblLayout w:type="autofit"/>
        <w:tblCellMar>
          <w:top w:w="0" w:type="dxa"/>
          <w:left w:w="108" w:type="dxa"/>
          <w:bottom w:w="0" w:type="dxa"/>
          <w:right w:w="108" w:type="dxa"/>
        </w:tblCellMar>
      </w:tblPr>
      <w:tblGrid>
        <w:gridCol w:w="855"/>
        <w:gridCol w:w="2685"/>
        <w:gridCol w:w="2865"/>
        <w:gridCol w:w="2145"/>
      </w:tblGrid>
      <w:tr>
        <w:tblPrEx>
          <w:tblCellMar>
            <w:top w:w="0" w:type="dxa"/>
            <w:left w:w="108" w:type="dxa"/>
            <w:bottom w:w="0" w:type="dxa"/>
            <w:right w:w="108" w:type="dxa"/>
          </w:tblCellMar>
        </w:tblPrEx>
        <w:trPr>
          <w:trHeight w:val="42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序号</w:t>
            </w:r>
          </w:p>
        </w:tc>
        <w:tc>
          <w:tcPr>
            <w:tcW w:w="268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保洁等级</w:t>
            </w:r>
          </w:p>
        </w:tc>
        <w:tc>
          <w:tcPr>
            <w:tcW w:w="286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道路名称</w:t>
            </w:r>
          </w:p>
        </w:tc>
        <w:tc>
          <w:tcPr>
            <w:tcW w:w="214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面积（㎡）</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正原北路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22160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正阳路（东方路-正原路）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奥星路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22500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一级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天星路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37550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马厍路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广福路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北兴港路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一级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菜场一圈</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蜀香楼前</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公交枢纽站</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麟湖公园（含水域）</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麟栖公园</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96000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环湖路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15190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陈家坝路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星原广场</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ind w:firstLine="1100" w:firstLineChars="500"/>
              <w:textAlignment w:val="center"/>
              <w:rPr>
                <w:rFonts w:ascii="宋体" w:hAnsi="宋体" w:cs="宋体"/>
                <w:color w:val="000000"/>
                <w:sz w:val="22"/>
                <w:szCs w:val="22"/>
              </w:rPr>
            </w:pPr>
            <w:r>
              <w:rPr>
                <w:rFonts w:hint="eastAsia" w:ascii="宋体" w:hAnsi="宋体" w:cs="宋体"/>
                <w:color w:val="000000"/>
                <w:kern w:val="0"/>
                <w:sz w:val="22"/>
                <w:szCs w:val="22"/>
              </w:rPr>
              <w:t>竖头港绿道</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马厍港绿道</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车家路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吉祥桥下东西道路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恒大广场</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残创园</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17800</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（官荡大桥-奥星路二级）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东方路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茶园路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36900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菱坊路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乐源路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将军路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怡纺路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南兴港路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14400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汇源路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正龙路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王字圩</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北阳路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濮家湾路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3250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将军路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三级</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正阳路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60800</w:t>
            </w:r>
          </w:p>
        </w:tc>
      </w:tr>
      <w:tr>
        <w:tblPrEx>
          <w:tblCellMar>
            <w:top w:w="0" w:type="dxa"/>
            <w:left w:w="108" w:type="dxa"/>
            <w:bottom w:w="0" w:type="dxa"/>
            <w:right w:w="108" w:type="dxa"/>
          </w:tblCellMar>
        </w:tblPrEx>
        <w:trPr>
          <w:trHeight w:val="270" w:hRule="atLeast"/>
        </w:trPr>
        <w:tc>
          <w:tcPr>
            <w:tcW w:w="640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677490</w:t>
            </w:r>
          </w:p>
        </w:tc>
      </w:tr>
    </w:tbl>
    <w:p>
      <w:pPr>
        <w:numPr>
          <w:ilvl w:val="0"/>
          <w:numId w:val="3"/>
        </w:numPr>
        <w:spacing w:line="500" w:lineRule="exact"/>
        <w:ind w:firstLine="420" w:firstLineChars="200"/>
        <w:rPr>
          <w:rFonts w:ascii="宋体" w:hAnsi="宋体" w:cs="宋体"/>
          <w:szCs w:val="21"/>
        </w:rPr>
      </w:pPr>
      <w:r>
        <w:rPr>
          <w:rFonts w:hint="eastAsia" w:ascii="宋体" w:hAnsi="宋体" w:cs="宋体"/>
          <w:szCs w:val="21"/>
        </w:rPr>
        <w:t>河道保洁明细</w:t>
      </w:r>
    </w:p>
    <w:tbl>
      <w:tblPr>
        <w:tblStyle w:val="33"/>
        <w:tblW w:w="85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80"/>
        <w:gridCol w:w="3340"/>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0" w:type="dxa"/>
            <w:shd w:val="clear" w:color="auto" w:fill="F1F1F1"/>
            <w:noWrap/>
            <w:vAlign w:val="center"/>
          </w:tcPr>
          <w:p>
            <w:pPr>
              <w:widowControl/>
              <w:jc w:val="center"/>
              <w:rPr>
                <w:rFonts w:ascii="宋体" w:hAnsi="宋体" w:cs="宋体"/>
                <w:kern w:val="0"/>
                <w:sz w:val="22"/>
              </w:rPr>
            </w:pPr>
            <w:r>
              <w:rPr>
                <w:rFonts w:hint="eastAsia" w:ascii="宋体" w:hAnsi="宋体" w:cs="宋体"/>
                <w:kern w:val="0"/>
                <w:sz w:val="22"/>
              </w:rPr>
              <w:t>序号</w:t>
            </w:r>
          </w:p>
        </w:tc>
        <w:tc>
          <w:tcPr>
            <w:tcW w:w="2480" w:type="dxa"/>
            <w:shd w:val="clear" w:color="auto" w:fill="F1F1F1"/>
            <w:noWrap/>
            <w:vAlign w:val="center"/>
          </w:tcPr>
          <w:p>
            <w:pPr>
              <w:widowControl/>
              <w:jc w:val="center"/>
              <w:rPr>
                <w:rFonts w:ascii="宋体" w:hAnsi="宋体" w:cs="宋体"/>
                <w:kern w:val="0"/>
                <w:sz w:val="22"/>
              </w:rPr>
            </w:pPr>
            <w:r>
              <w:rPr>
                <w:rFonts w:hint="eastAsia" w:ascii="宋体" w:hAnsi="宋体" w:cs="宋体"/>
                <w:kern w:val="0"/>
                <w:sz w:val="22"/>
              </w:rPr>
              <w:t>河道名称</w:t>
            </w:r>
          </w:p>
        </w:tc>
        <w:tc>
          <w:tcPr>
            <w:tcW w:w="3340" w:type="dxa"/>
            <w:shd w:val="clear" w:color="auto" w:fill="F1F1F1"/>
            <w:noWrap/>
            <w:vAlign w:val="center"/>
          </w:tcPr>
          <w:p>
            <w:pPr>
              <w:widowControl/>
              <w:jc w:val="center"/>
              <w:rPr>
                <w:rFonts w:ascii="宋体" w:hAnsi="宋体" w:cs="宋体"/>
                <w:kern w:val="0"/>
                <w:sz w:val="22"/>
              </w:rPr>
            </w:pPr>
            <w:r>
              <w:rPr>
                <w:rFonts w:hint="eastAsia" w:ascii="宋体" w:hAnsi="宋体" w:cs="宋体"/>
                <w:kern w:val="0"/>
                <w:sz w:val="22"/>
              </w:rPr>
              <w:t>起终点</w:t>
            </w:r>
          </w:p>
        </w:tc>
        <w:tc>
          <w:tcPr>
            <w:tcW w:w="1939" w:type="dxa"/>
            <w:shd w:val="clear" w:color="auto" w:fill="F1F1F1"/>
            <w:noWrap/>
            <w:vAlign w:val="center"/>
          </w:tcPr>
          <w:p>
            <w:pPr>
              <w:widowControl/>
              <w:jc w:val="center"/>
              <w:rPr>
                <w:rFonts w:ascii="宋体" w:hAnsi="宋体" w:cs="宋体"/>
                <w:kern w:val="0"/>
                <w:sz w:val="22"/>
              </w:rPr>
            </w:pPr>
            <w:r>
              <w:rPr>
                <w:rFonts w:hint="eastAsia" w:ascii="宋体" w:hAnsi="宋体" w:cs="宋体"/>
                <w:kern w:val="0"/>
                <w:sz w:val="22"/>
              </w:rPr>
              <w:t>河道面积（㎡）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0" w:type="dxa"/>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2480" w:type="dxa"/>
            <w:noWrap/>
            <w:vAlign w:val="center"/>
          </w:tcPr>
          <w:p>
            <w:pPr>
              <w:widowControl/>
              <w:jc w:val="center"/>
              <w:rPr>
                <w:rFonts w:ascii="宋体" w:hAnsi="宋体" w:cs="宋体"/>
                <w:kern w:val="0"/>
                <w:sz w:val="22"/>
              </w:rPr>
            </w:pPr>
            <w:r>
              <w:rPr>
                <w:rFonts w:hint="eastAsia" w:ascii="宋体" w:hAnsi="宋体" w:cs="宋体"/>
                <w:kern w:val="0"/>
                <w:sz w:val="22"/>
              </w:rPr>
              <w:t>毛家港</w:t>
            </w:r>
          </w:p>
        </w:tc>
        <w:tc>
          <w:tcPr>
            <w:tcW w:w="3340" w:type="dxa"/>
            <w:noWrap/>
            <w:vAlign w:val="center"/>
          </w:tcPr>
          <w:p>
            <w:pPr>
              <w:widowControl/>
              <w:jc w:val="center"/>
              <w:rPr>
                <w:rFonts w:ascii="宋体" w:hAnsi="宋体" w:cs="宋体"/>
                <w:kern w:val="0"/>
                <w:sz w:val="22"/>
              </w:rPr>
            </w:pPr>
            <w:r>
              <w:rPr>
                <w:rFonts w:hint="eastAsia" w:ascii="宋体" w:hAnsi="宋体" w:cs="宋体"/>
                <w:kern w:val="0"/>
                <w:sz w:val="22"/>
              </w:rPr>
              <w:t>马厍港、南官荡</w:t>
            </w:r>
          </w:p>
        </w:tc>
        <w:tc>
          <w:tcPr>
            <w:tcW w:w="1939" w:type="dxa"/>
            <w:noWrap/>
            <w:vAlign w:val="center"/>
          </w:tcPr>
          <w:p>
            <w:pPr>
              <w:widowControl/>
              <w:jc w:val="center"/>
              <w:rPr>
                <w:rFonts w:ascii="宋体" w:hAnsi="宋体" w:cs="宋体"/>
                <w:kern w:val="0"/>
                <w:sz w:val="22"/>
              </w:rPr>
            </w:pPr>
            <w:r>
              <w:rPr>
                <w:rFonts w:hint="eastAsia" w:ascii="宋体" w:hAnsi="宋体" w:cs="宋体"/>
                <w:kern w:val="0"/>
                <w:sz w:val="22"/>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0" w:type="dxa"/>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2480" w:type="dxa"/>
            <w:noWrap/>
            <w:vAlign w:val="center"/>
          </w:tcPr>
          <w:p>
            <w:pPr>
              <w:widowControl/>
              <w:jc w:val="center"/>
              <w:rPr>
                <w:rFonts w:ascii="宋体" w:hAnsi="宋体" w:cs="宋体"/>
                <w:kern w:val="0"/>
                <w:sz w:val="22"/>
              </w:rPr>
            </w:pPr>
            <w:r>
              <w:rPr>
                <w:rFonts w:hint="eastAsia" w:ascii="宋体" w:hAnsi="宋体" w:cs="宋体"/>
                <w:kern w:val="0"/>
                <w:sz w:val="22"/>
              </w:rPr>
              <w:t>马厍港、杨家埭港</w:t>
            </w:r>
          </w:p>
        </w:tc>
        <w:tc>
          <w:tcPr>
            <w:tcW w:w="3340" w:type="dxa"/>
            <w:noWrap/>
            <w:vAlign w:val="center"/>
          </w:tcPr>
          <w:p>
            <w:pPr>
              <w:widowControl/>
              <w:jc w:val="center"/>
              <w:rPr>
                <w:rFonts w:ascii="宋体" w:hAnsi="宋体" w:cs="宋体"/>
                <w:kern w:val="0"/>
                <w:sz w:val="22"/>
              </w:rPr>
            </w:pPr>
            <w:r>
              <w:rPr>
                <w:rFonts w:hint="eastAsia" w:ascii="宋体" w:hAnsi="宋体" w:cs="宋体"/>
                <w:kern w:val="0"/>
                <w:sz w:val="22"/>
              </w:rPr>
              <w:t>长荡、杨家埭东浜口</w:t>
            </w:r>
          </w:p>
        </w:tc>
        <w:tc>
          <w:tcPr>
            <w:tcW w:w="1939" w:type="dxa"/>
            <w:noWrap/>
            <w:vAlign w:val="center"/>
          </w:tcPr>
          <w:p>
            <w:pPr>
              <w:widowControl/>
              <w:jc w:val="center"/>
              <w:rPr>
                <w:rFonts w:ascii="宋体" w:hAnsi="宋体" w:cs="宋体"/>
                <w:kern w:val="0"/>
                <w:sz w:val="22"/>
              </w:rPr>
            </w:pPr>
            <w:r>
              <w:rPr>
                <w:rFonts w:hint="eastAsia" w:ascii="宋体" w:hAnsi="宋体" w:cs="宋体"/>
                <w:kern w:val="0"/>
                <w:sz w:val="22"/>
              </w:rPr>
              <w:t>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0" w:type="dxa"/>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2480" w:type="dxa"/>
            <w:noWrap/>
            <w:vAlign w:val="center"/>
          </w:tcPr>
          <w:p>
            <w:pPr>
              <w:widowControl/>
              <w:jc w:val="center"/>
              <w:rPr>
                <w:rFonts w:ascii="宋体" w:hAnsi="宋体" w:cs="宋体"/>
                <w:kern w:val="0"/>
                <w:sz w:val="22"/>
              </w:rPr>
            </w:pPr>
            <w:r>
              <w:rPr>
                <w:rFonts w:hint="eastAsia" w:ascii="宋体" w:hAnsi="宋体" w:cs="宋体"/>
                <w:kern w:val="0"/>
                <w:sz w:val="22"/>
              </w:rPr>
              <w:t>欢喜港</w:t>
            </w:r>
          </w:p>
        </w:tc>
        <w:tc>
          <w:tcPr>
            <w:tcW w:w="3340" w:type="dxa"/>
            <w:noWrap/>
            <w:vAlign w:val="center"/>
          </w:tcPr>
          <w:p>
            <w:pPr>
              <w:widowControl/>
              <w:jc w:val="center"/>
              <w:rPr>
                <w:rFonts w:ascii="宋体" w:hAnsi="宋体" w:cs="宋体"/>
                <w:kern w:val="0"/>
                <w:sz w:val="22"/>
              </w:rPr>
            </w:pPr>
            <w:r>
              <w:rPr>
                <w:rFonts w:hint="eastAsia" w:ascii="宋体" w:hAnsi="宋体" w:cs="宋体"/>
                <w:kern w:val="0"/>
                <w:sz w:val="22"/>
              </w:rPr>
              <w:t>长纤路港、百丈港</w:t>
            </w:r>
          </w:p>
        </w:tc>
        <w:tc>
          <w:tcPr>
            <w:tcW w:w="1939" w:type="dxa"/>
            <w:noWrap/>
            <w:vAlign w:val="center"/>
          </w:tcPr>
          <w:p>
            <w:pPr>
              <w:widowControl/>
              <w:jc w:val="center"/>
              <w:rPr>
                <w:rFonts w:ascii="宋体" w:hAnsi="宋体" w:cs="宋体"/>
                <w:kern w:val="0"/>
                <w:sz w:val="22"/>
              </w:rPr>
            </w:pPr>
            <w:r>
              <w:rPr>
                <w:rFonts w:hint="eastAsia" w:ascii="宋体" w:hAnsi="宋体" w:cs="宋体"/>
                <w:kern w:val="0"/>
                <w:sz w:val="22"/>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620" w:type="dxa"/>
            <w:gridSpan w:val="3"/>
            <w:noWrap/>
            <w:vAlign w:val="center"/>
          </w:tcPr>
          <w:p>
            <w:pPr>
              <w:widowControl/>
              <w:jc w:val="center"/>
              <w:rPr>
                <w:rFonts w:ascii="宋体" w:hAnsi="宋体" w:cs="宋体"/>
                <w:kern w:val="0"/>
                <w:sz w:val="22"/>
              </w:rPr>
            </w:pPr>
            <w:r>
              <w:rPr>
                <w:rFonts w:hint="eastAsia" w:ascii="宋体" w:hAnsi="宋体" w:cs="宋体"/>
                <w:kern w:val="0"/>
                <w:sz w:val="22"/>
              </w:rPr>
              <w:t>合计</w:t>
            </w:r>
          </w:p>
        </w:tc>
        <w:tc>
          <w:tcPr>
            <w:tcW w:w="1939" w:type="dxa"/>
            <w:noWrap/>
            <w:vAlign w:val="center"/>
          </w:tcPr>
          <w:p>
            <w:pPr>
              <w:widowControl/>
              <w:jc w:val="center"/>
              <w:rPr>
                <w:rFonts w:ascii="宋体" w:hAnsi="宋体" w:cs="宋体"/>
                <w:kern w:val="0"/>
                <w:sz w:val="22"/>
              </w:rPr>
            </w:pPr>
            <w:r>
              <w:rPr>
                <w:rFonts w:hint="eastAsia" w:ascii="宋体" w:hAnsi="宋体" w:cs="宋体"/>
                <w:kern w:val="0"/>
                <w:sz w:val="22"/>
              </w:rPr>
              <w:t>34800</w:t>
            </w:r>
          </w:p>
        </w:tc>
      </w:tr>
    </w:tbl>
    <w:p>
      <w:pPr>
        <w:pStyle w:val="5"/>
        <w:ind w:firstLine="480"/>
      </w:pPr>
    </w:p>
    <w:p>
      <w:pPr>
        <w:numPr>
          <w:ilvl w:val="0"/>
          <w:numId w:val="3"/>
        </w:numPr>
        <w:spacing w:line="500" w:lineRule="exact"/>
        <w:ind w:firstLine="420" w:firstLineChars="200"/>
        <w:rPr>
          <w:rFonts w:ascii="宋体" w:hAnsi="宋体" w:cs="宋体"/>
          <w:szCs w:val="21"/>
        </w:rPr>
      </w:pPr>
      <w:r>
        <w:rPr>
          <w:rFonts w:hint="eastAsia" w:ascii="宋体" w:hAnsi="宋体" w:cs="宋体"/>
          <w:szCs w:val="21"/>
        </w:rPr>
        <w:t>公厕保洁明细及类别</w:t>
      </w:r>
    </w:p>
    <w:tbl>
      <w:tblPr>
        <w:tblStyle w:val="33"/>
        <w:tblpPr w:leftFromText="181" w:rightFromText="181" w:vertAnchor="text" w:horzAnchor="margin" w:tblpXSpec="center" w:tblpY="232"/>
        <w:tblW w:w="8615" w:type="dxa"/>
        <w:tblInd w:w="160" w:type="dxa"/>
        <w:tblLayout w:type="fixed"/>
        <w:tblCellMar>
          <w:top w:w="0" w:type="dxa"/>
          <w:left w:w="108" w:type="dxa"/>
          <w:bottom w:w="0" w:type="dxa"/>
          <w:right w:w="108" w:type="dxa"/>
        </w:tblCellMar>
      </w:tblPr>
      <w:tblGrid>
        <w:gridCol w:w="657"/>
        <w:gridCol w:w="3931"/>
        <w:gridCol w:w="2315"/>
        <w:gridCol w:w="1712"/>
      </w:tblGrid>
      <w:tr>
        <w:tblPrEx>
          <w:tblCellMar>
            <w:top w:w="0" w:type="dxa"/>
            <w:left w:w="108" w:type="dxa"/>
            <w:bottom w:w="0" w:type="dxa"/>
            <w:right w:w="108" w:type="dxa"/>
          </w:tblCellMar>
        </w:tblPrEx>
        <w:trPr>
          <w:trHeight w:val="454" w:hRule="atLeast"/>
        </w:trPr>
        <w:tc>
          <w:tcPr>
            <w:tcW w:w="657" w:type="dxa"/>
            <w:tcBorders>
              <w:top w:val="single" w:color="auto" w:sz="4" w:space="0"/>
              <w:left w:val="single" w:color="auto" w:sz="4" w:space="0"/>
              <w:bottom w:val="single" w:color="auto" w:sz="4" w:space="0"/>
              <w:right w:val="single" w:color="auto" w:sz="4" w:space="0"/>
            </w:tcBorders>
            <w:shd w:val="clear" w:color="auto" w:fill="F1F1F1"/>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3931" w:type="dxa"/>
            <w:tcBorders>
              <w:top w:val="single" w:color="auto" w:sz="4" w:space="0"/>
              <w:left w:val="single" w:color="auto" w:sz="4" w:space="0"/>
              <w:bottom w:val="single" w:color="auto" w:sz="4" w:space="0"/>
              <w:right w:val="single" w:color="auto" w:sz="4" w:space="0"/>
            </w:tcBorders>
            <w:shd w:val="clear" w:color="auto" w:fill="F1F1F1"/>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公厕地址</w:t>
            </w:r>
          </w:p>
        </w:tc>
        <w:tc>
          <w:tcPr>
            <w:tcW w:w="2315" w:type="dxa"/>
            <w:tcBorders>
              <w:top w:val="single" w:color="auto" w:sz="4" w:space="0"/>
              <w:left w:val="single" w:color="auto" w:sz="4" w:space="0"/>
              <w:bottom w:val="single" w:color="auto" w:sz="4" w:space="0"/>
              <w:right w:val="single" w:color="auto" w:sz="4" w:space="0"/>
            </w:tcBorders>
            <w:shd w:val="clear" w:color="auto" w:fill="F1F1F1"/>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数量（座）</w:t>
            </w:r>
          </w:p>
        </w:tc>
        <w:tc>
          <w:tcPr>
            <w:tcW w:w="1712" w:type="dxa"/>
            <w:tcBorders>
              <w:top w:val="single" w:color="auto" w:sz="4" w:space="0"/>
              <w:left w:val="single" w:color="auto" w:sz="4" w:space="0"/>
              <w:bottom w:val="single" w:color="auto" w:sz="4" w:space="0"/>
              <w:right w:val="single" w:color="auto" w:sz="4" w:space="0"/>
            </w:tcBorders>
            <w:shd w:val="clear" w:color="auto" w:fill="F1F1F1"/>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类别</w:t>
            </w:r>
          </w:p>
        </w:tc>
      </w:tr>
      <w:tr>
        <w:tblPrEx>
          <w:tblCellMar>
            <w:top w:w="0" w:type="dxa"/>
            <w:left w:w="108" w:type="dxa"/>
            <w:bottom w:w="0" w:type="dxa"/>
            <w:right w:w="108" w:type="dxa"/>
          </w:tblCellMar>
        </w:tblPrEx>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麟湖湿地公园</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二星</w:t>
            </w:r>
          </w:p>
        </w:tc>
      </w:tr>
      <w:tr>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马厍农贸市场南</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三星</w:t>
            </w:r>
          </w:p>
        </w:tc>
      </w:tr>
      <w:tr>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恒大广场</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三星</w:t>
            </w:r>
          </w:p>
        </w:tc>
      </w:tr>
      <w:tr>
        <w:tblPrEx>
          <w:tblCellMar>
            <w:top w:w="0" w:type="dxa"/>
            <w:left w:w="108" w:type="dxa"/>
            <w:bottom w:w="0" w:type="dxa"/>
            <w:right w:w="108" w:type="dxa"/>
          </w:tblCellMar>
        </w:tblPrEx>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陈家坝路</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三星</w:t>
            </w:r>
          </w:p>
        </w:tc>
      </w:tr>
      <w:tr>
        <w:tblPrEx>
          <w:tblCellMar>
            <w:top w:w="0" w:type="dxa"/>
            <w:left w:w="108" w:type="dxa"/>
            <w:bottom w:w="0" w:type="dxa"/>
            <w:right w:w="108" w:type="dxa"/>
          </w:tblCellMar>
        </w:tblPrEx>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麟栖公园</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二星</w:t>
            </w:r>
          </w:p>
        </w:tc>
      </w:tr>
      <w:tr>
        <w:tblPrEx>
          <w:tblCellMar>
            <w:top w:w="0" w:type="dxa"/>
            <w:left w:w="108" w:type="dxa"/>
            <w:bottom w:w="0" w:type="dxa"/>
            <w:right w:w="108" w:type="dxa"/>
          </w:tblCellMar>
        </w:tblPrEx>
        <w:trPr>
          <w:trHeight w:val="45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393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兴港路（小学旁）</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二星</w:t>
            </w:r>
          </w:p>
        </w:tc>
      </w:tr>
      <w:tr>
        <w:tblPrEx>
          <w:tblCellMar>
            <w:top w:w="0" w:type="dxa"/>
            <w:left w:w="108" w:type="dxa"/>
            <w:bottom w:w="0" w:type="dxa"/>
            <w:right w:w="108" w:type="dxa"/>
          </w:tblCellMar>
        </w:tblPrEx>
        <w:trPr>
          <w:trHeight w:val="454" w:hRule="atLeast"/>
        </w:trPr>
        <w:tc>
          <w:tcPr>
            <w:tcW w:w="458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合计</w:t>
            </w:r>
          </w:p>
        </w:tc>
        <w:tc>
          <w:tcPr>
            <w:tcW w:w="23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p>
        </w:tc>
      </w:tr>
    </w:tbl>
    <w:p>
      <w:pPr>
        <w:pStyle w:val="5"/>
        <w:ind w:left="420" w:leftChars="200" w:firstLine="0" w:firstLineChars="0"/>
        <w:rPr>
          <w:rFonts w:ascii="Times New Roman" w:hAnsi="Times New Roman"/>
          <w:b/>
          <w:bCs/>
          <w:sz w:val="21"/>
          <w:szCs w:val="21"/>
        </w:rPr>
      </w:pPr>
      <w:r>
        <w:rPr>
          <w:rFonts w:hint="eastAsia" w:ascii="Times New Roman" w:hAnsi="Times New Roman"/>
          <w:b/>
          <w:bCs/>
          <w:sz w:val="21"/>
          <w:szCs w:val="21"/>
        </w:rPr>
        <w:t>注：道路、公园、公厕根据镇区规划的变动而变动，增加、减少道路、公园、公厕数量以及调整公厕类别均不另行增加或减少相关费用，投标单位自行考虑相关报价风险。</w:t>
      </w:r>
    </w:p>
    <w:p>
      <w:pPr>
        <w:pStyle w:val="5"/>
        <w:ind w:left="420" w:leftChars="200" w:firstLine="0" w:firstLineChars="0"/>
        <w:rPr>
          <w:sz w:val="21"/>
          <w:szCs w:val="21"/>
        </w:rPr>
      </w:pPr>
      <w:r>
        <w:rPr>
          <w:rFonts w:hint="eastAsia"/>
          <w:sz w:val="21"/>
          <w:szCs w:val="21"/>
        </w:rPr>
        <w:t>4、其它</w:t>
      </w:r>
    </w:p>
    <w:p>
      <w:pPr>
        <w:pStyle w:val="5"/>
        <w:ind w:left="420" w:leftChars="200" w:firstLine="0" w:firstLineChars="0"/>
        <w:rPr>
          <w:sz w:val="21"/>
          <w:szCs w:val="21"/>
        </w:rPr>
      </w:pPr>
      <w:r>
        <w:rPr>
          <w:sz w:val="21"/>
          <w:szCs w:val="21"/>
        </w:rPr>
        <w:t>1</w:t>
      </w:r>
      <w:r>
        <w:rPr>
          <w:rFonts w:hint="eastAsia"/>
          <w:sz w:val="21"/>
          <w:szCs w:val="21"/>
        </w:rPr>
        <w:t>）</w:t>
      </w:r>
      <w:r>
        <w:rPr>
          <w:sz w:val="21"/>
          <w:szCs w:val="21"/>
        </w:rPr>
        <w:t>道路（包括所有主干线、次干道、绿道、镇区道路及两旁人行道）、河道、辖区所有绿化区域（含公园）到墙为止；</w:t>
      </w:r>
    </w:p>
    <w:p>
      <w:pPr>
        <w:pStyle w:val="5"/>
        <w:ind w:left="420" w:leftChars="200" w:firstLine="0" w:firstLineChars="0"/>
        <w:rPr>
          <w:sz w:val="21"/>
          <w:szCs w:val="21"/>
        </w:rPr>
      </w:pPr>
      <w:r>
        <w:rPr>
          <w:sz w:val="21"/>
          <w:szCs w:val="21"/>
        </w:rPr>
        <w:t>2</w:t>
      </w:r>
      <w:r>
        <w:rPr>
          <w:rFonts w:hint="eastAsia"/>
          <w:sz w:val="21"/>
          <w:szCs w:val="21"/>
        </w:rPr>
        <w:t>）</w:t>
      </w:r>
      <w:r>
        <w:rPr>
          <w:sz w:val="21"/>
          <w:szCs w:val="21"/>
        </w:rPr>
        <w:t>沿街商铺、背街小巷、菜场周围及房前屋后、街面店面弄堂到墙为止的卫生保洁</w:t>
      </w:r>
      <w:r>
        <w:rPr>
          <w:rFonts w:hint="eastAsia"/>
          <w:sz w:val="21"/>
          <w:szCs w:val="21"/>
        </w:rPr>
        <w:t>、</w:t>
      </w:r>
      <w:r>
        <w:rPr>
          <w:sz w:val="21"/>
          <w:szCs w:val="21"/>
        </w:rPr>
        <w:t>垃圾清运；</w:t>
      </w:r>
    </w:p>
    <w:p>
      <w:pPr>
        <w:pStyle w:val="5"/>
        <w:ind w:left="420" w:leftChars="200" w:firstLine="0" w:firstLineChars="0"/>
        <w:rPr>
          <w:sz w:val="21"/>
          <w:szCs w:val="21"/>
        </w:rPr>
      </w:pPr>
      <w:r>
        <w:rPr>
          <w:sz w:val="21"/>
          <w:szCs w:val="21"/>
        </w:rPr>
        <w:t>3</w:t>
      </w:r>
      <w:r>
        <w:rPr>
          <w:rFonts w:hint="eastAsia"/>
          <w:sz w:val="21"/>
          <w:szCs w:val="21"/>
        </w:rPr>
        <w:t>）</w:t>
      </w:r>
      <w:r>
        <w:rPr>
          <w:sz w:val="21"/>
          <w:szCs w:val="21"/>
        </w:rPr>
        <w:t>范围内所有公厕保洁；</w:t>
      </w:r>
    </w:p>
    <w:p>
      <w:pPr>
        <w:pStyle w:val="5"/>
        <w:ind w:left="420" w:leftChars="200" w:firstLine="0" w:firstLineChars="0"/>
        <w:rPr>
          <w:sz w:val="21"/>
          <w:szCs w:val="21"/>
        </w:rPr>
      </w:pPr>
      <w:r>
        <w:rPr>
          <w:sz w:val="21"/>
          <w:szCs w:val="21"/>
        </w:rPr>
        <w:t>4</w:t>
      </w:r>
      <w:r>
        <w:rPr>
          <w:rFonts w:hint="eastAsia"/>
          <w:sz w:val="21"/>
          <w:szCs w:val="21"/>
        </w:rPr>
        <w:t>）</w:t>
      </w:r>
      <w:r>
        <w:rPr>
          <w:sz w:val="21"/>
          <w:szCs w:val="21"/>
        </w:rPr>
        <w:t>清理乱张贴、乱涂写；</w:t>
      </w:r>
    </w:p>
    <w:p>
      <w:pPr>
        <w:pStyle w:val="5"/>
        <w:ind w:left="420" w:leftChars="200" w:firstLine="0" w:firstLineChars="0"/>
        <w:rPr>
          <w:sz w:val="21"/>
          <w:szCs w:val="21"/>
        </w:rPr>
      </w:pPr>
      <w:r>
        <w:rPr>
          <w:sz w:val="21"/>
          <w:szCs w:val="21"/>
        </w:rPr>
        <w:t>5</w:t>
      </w:r>
      <w:r>
        <w:rPr>
          <w:rFonts w:hint="eastAsia"/>
          <w:sz w:val="21"/>
          <w:szCs w:val="21"/>
        </w:rPr>
        <w:t>）</w:t>
      </w:r>
      <w:r>
        <w:rPr>
          <w:sz w:val="21"/>
          <w:szCs w:val="21"/>
        </w:rPr>
        <w:t>道路中央护栏及两边非机动车道护栏</w:t>
      </w:r>
      <w:r>
        <w:rPr>
          <w:rFonts w:hint="eastAsia"/>
          <w:sz w:val="21"/>
          <w:szCs w:val="21"/>
        </w:rPr>
        <w:t>清洗应进行机械洗刷</w:t>
      </w:r>
      <w:r>
        <w:rPr>
          <w:sz w:val="21"/>
          <w:szCs w:val="21"/>
        </w:rPr>
        <w:t>，人行道实行高压冲洗；</w:t>
      </w:r>
    </w:p>
    <w:p>
      <w:pPr>
        <w:pStyle w:val="5"/>
        <w:ind w:left="420" w:leftChars="200" w:firstLine="0" w:firstLineChars="0"/>
        <w:rPr>
          <w:sz w:val="21"/>
          <w:szCs w:val="21"/>
        </w:rPr>
      </w:pPr>
      <w:r>
        <w:rPr>
          <w:sz w:val="21"/>
          <w:szCs w:val="21"/>
        </w:rPr>
        <w:t>6</w:t>
      </w:r>
      <w:r>
        <w:rPr>
          <w:rFonts w:hint="eastAsia"/>
          <w:sz w:val="21"/>
          <w:szCs w:val="21"/>
        </w:rPr>
        <w:t>）</w:t>
      </w:r>
      <w:r>
        <w:rPr>
          <w:sz w:val="21"/>
          <w:szCs w:val="21"/>
        </w:rPr>
        <w:t>根据上级要求，做好垃圾分类收集、清运、处理工作；</w:t>
      </w:r>
    </w:p>
    <w:p>
      <w:pPr>
        <w:pStyle w:val="5"/>
        <w:ind w:left="420" w:leftChars="200" w:firstLine="0" w:firstLineChars="0"/>
        <w:rPr>
          <w:sz w:val="21"/>
          <w:szCs w:val="21"/>
        </w:rPr>
      </w:pPr>
      <w:r>
        <w:rPr>
          <w:sz w:val="21"/>
          <w:szCs w:val="21"/>
        </w:rPr>
        <w:t>7</w:t>
      </w:r>
      <w:r>
        <w:rPr>
          <w:rFonts w:hint="eastAsia"/>
          <w:sz w:val="21"/>
          <w:szCs w:val="21"/>
        </w:rPr>
        <w:t>）</w:t>
      </w:r>
      <w:r>
        <w:rPr>
          <w:sz w:val="21"/>
          <w:szCs w:val="21"/>
        </w:rPr>
        <w:t>绿化带及所有公园、公共区域保洁；</w:t>
      </w:r>
    </w:p>
    <w:p>
      <w:pPr>
        <w:pStyle w:val="5"/>
        <w:ind w:left="420" w:leftChars="200" w:firstLine="0" w:firstLineChars="0"/>
        <w:rPr>
          <w:sz w:val="21"/>
          <w:szCs w:val="21"/>
        </w:rPr>
      </w:pPr>
      <w:r>
        <w:rPr>
          <w:sz w:val="21"/>
          <w:szCs w:val="21"/>
        </w:rPr>
        <w:t>8</w:t>
      </w:r>
      <w:r>
        <w:rPr>
          <w:rFonts w:hint="eastAsia"/>
          <w:sz w:val="21"/>
          <w:szCs w:val="21"/>
        </w:rPr>
        <w:t>）</w:t>
      </w:r>
      <w:r>
        <w:rPr>
          <w:sz w:val="21"/>
          <w:szCs w:val="21"/>
        </w:rPr>
        <w:t>马厍自建小区、正原小区保洁和垃圾分类；</w:t>
      </w:r>
    </w:p>
    <w:p>
      <w:pPr>
        <w:pStyle w:val="5"/>
        <w:ind w:left="420" w:leftChars="200" w:firstLine="0" w:firstLineChars="0"/>
        <w:rPr>
          <w:sz w:val="21"/>
          <w:szCs w:val="21"/>
        </w:rPr>
      </w:pPr>
      <w:r>
        <w:rPr>
          <w:sz w:val="21"/>
          <w:szCs w:val="21"/>
        </w:rPr>
        <w:t>9</w:t>
      </w:r>
      <w:r>
        <w:rPr>
          <w:rFonts w:hint="eastAsia"/>
          <w:sz w:val="21"/>
          <w:szCs w:val="21"/>
        </w:rPr>
        <w:t>）</w:t>
      </w:r>
      <w:r>
        <w:rPr>
          <w:sz w:val="21"/>
          <w:szCs w:val="21"/>
        </w:rPr>
        <w:t>残创园保洁</w:t>
      </w:r>
    </w:p>
    <w:p>
      <w:pPr>
        <w:pStyle w:val="5"/>
        <w:ind w:left="420" w:leftChars="200" w:firstLine="0" w:firstLineChars="0"/>
        <w:rPr>
          <w:sz w:val="21"/>
          <w:szCs w:val="21"/>
        </w:rPr>
      </w:pPr>
      <w:r>
        <w:rPr>
          <w:sz w:val="21"/>
          <w:szCs w:val="21"/>
        </w:rPr>
        <w:t>注：保洁范围按招标文件规定的全部区域，本招标文件仅提供保洁区域范围，投标人的投标报价应包括上述范围内所有的工作内容及要求，投标人应实地踏勘以充分了解保洁区域位置、情况、道路及任何其他足以影响承包的情况，任何因忽视或误解保洁区域情况而导致的报价遗漏、资金不作调整，索赔申请将不予批准。</w:t>
      </w:r>
    </w:p>
    <w:p>
      <w:pPr>
        <w:spacing w:line="500" w:lineRule="exact"/>
        <w:rPr>
          <w:rFonts w:ascii="宋体" w:hAnsi="宋体" w:cs="宋体"/>
          <w:b/>
          <w:bCs/>
          <w:szCs w:val="21"/>
        </w:rPr>
      </w:pPr>
      <w:r>
        <w:rPr>
          <w:rFonts w:hint="eastAsia" w:ascii="宋体" w:hAnsi="宋体" w:cs="宋体"/>
          <w:b/>
          <w:bCs/>
          <w:szCs w:val="21"/>
        </w:rPr>
        <w:t>5、人员设备及其他要求（包括但不限于）：</w:t>
      </w:r>
    </w:p>
    <w:p>
      <w:pPr>
        <w:spacing w:line="360" w:lineRule="auto"/>
        <w:ind w:firstLine="420" w:firstLineChars="200"/>
        <w:rPr>
          <w:rFonts w:ascii="宋体" w:hAnsi="宋体" w:cs="宋体"/>
          <w:szCs w:val="21"/>
        </w:rPr>
      </w:pPr>
      <w:r>
        <w:rPr>
          <w:rFonts w:hint="eastAsia" w:ascii="宋体" w:hAnsi="宋体" w:cs="宋体"/>
          <w:szCs w:val="21"/>
        </w:rPr>
        <w:t>▲5.1人员：路面（含道路）保洁人员57人，公厕保洁人员6人，河道保洁人员2人，以及所有设备正常运行工作所需配备的各类人员。</w:t>
      </w:r>
    </w:p>
    <w:p>
      <w:pPr>
        <w:spacing w:line="360" w:lineRule="auto"/>
        <w:ind w:firstLine="420" w:firstLineChars="200"/>
        <w:rPr>
          <w:rFonts w:ascii="宋体" w:hAnsi="宋体" w:cs="宋体"/>
          <w:szCs w:val="21"/>
        </w:rPr>
      </w:pPr>
      <w:r>
        <w:rPr>
          <w:rFonts w:hint="eastAsia" w:ascii="宋体" w:hAnsi="宋体" w:cs="宋体"/>
          <w:szCs w:val="21"/>
        </w:rPr>
        <w:t>▲5.2设备：共配置雾炮车1辆、洒水车2辆，机扫车2辆、洗扫一体车（3吨）1辆、高压冲洗车4辆、大型纯电扫路机1辆、电瓶收集车6辆、护栏清洗车1辆、保洁船2条。所有机械、车辆均需配备相当的驾驶员（按规定持证上岗）、辅助工及其它操作人员。</w:t>
      </w:r>
    </w:p>
    <w:p>
      <w:pPr>
        <w:spacing w:line="360" w:lineRule="auto"/>
        <w:ind w:firstLine="420" w:firstLineChars="200"/>
        <w:rPr>
          <w:rFonts w:ascii="宋体" w:hAnsi="宋体" w:cs="宋体"/>
          <w:szCs w:val="21"/>
        </w:rPr>
      </w:pPr>
      <w:r>
        <w:rPr>
          <w:rFonts w:hint="eastAsia" w:ascii="宋体" w:hAnsi="宋体" w:cs="宋体"/>
          <w:szCs w:val="21"/>
        </w:rPr>
        <w:t>▲5.3上述人员、设备是采购单位为保证完成本项目所设置的最低要求，投标单位须承诺一旦中标，所有人员、机械设备均在领取中标通知书后签订合同前到位，并且承诺在项目服务期内按照实际需要配足满足工作要求的人员及机械设备，不限于招标文件要求的数量。</w:t>
      </w:r>
      <w:r>
        <w:rPr>
          <w:rFonts w:hint="eastAsia" w:ascii="宋体" w:hAnsi="宋体" w:cs="宋体"/>
          <w:b/>
          <w:bCs/>
          <w:szCs w:val="21"/>
        </w:rPr>
        <w:t>承诺书做在投标文件中。</w:t>
      </w:r>
    </w:p>
    <w:p>
      <w:pPr>
        <w:numPr>
          <w:ilvl w:val="0"/>
          <w:numId w:val="2"/>
        </w:numPr>
        <w:spacing w:line="500" w:lineRule="exact"/>
        <w:ind w:firstLine="420"/>
        <w:rPr>
          <w:rFonts w:ascii="宋体" w:hAnsi="宋体" w:cs="宋体"/>
          <w:b/>
          <w:bCs/>
          <w:szCs w:val="21"/>
        </w:rPr>
      </w:pPr>
      <w:r>
        <w:rPr>
          <w:rFonts w:hint="eastAsia" w:ascii="宋体" w:hAnsi="宋体" w:cs="宋体"/>
          <w:b/>
          <w:bCs/>
          <w:szCs w:val="21"/>
        </w:rPr>
        <w:t>项目质量要求及考核标准</w:t>
      </w:r>
    </w:p>
    <w:p>
      <w:pPr>
        <w:spacing w:line="500" w:lineRule="exact"/>
        <w:ind w:firstLine="422" w:firstLineChars="200"/>
        <w:rPr>
          <w:rFonts w:ascii="宋体" w:hAnsi="宋体" w:cs="宋体"/>
          <w:b/>
          <w:bCs/>
          <w:szCs w:val="21"/>
        </w:rPr>
      </w:pPr>
      <w:r>
        <w:rPr>
          <w:rFonts w:hint="eastAsia" w:ascii="宋体" w:hAnsi="宋体" w:cs="宋体"/>
          <w:b/>
          <w:bCs/>
          <w:szCs w:val="21"/>
        </w:rPr>
        <w:t>3.1环境卫生保洁基本要求：</w:t>
      </w:r>
    </w:p>
    <w:p>
      <w:pPr>
        <w:spacing w:line="500" w:lineRule="exact"/>
        <w:ind w:firstLine="420" w:firstLineChars="200"/>
        <w:rPr>
          <w:rFonts w:ascii="宋体" w:hAnsi="宋体" w:cs="宋体"/>
          <w:szCs w:val="21"/>
        </w:rPr>
      </w:pPr>
      <w:r>
        <w:rPr>
          <w:rFonts w:hint="eastAsia" w:ascii="宋体" w:hAnsi="宋体" w:cs="宋体"/>
          <w:szCs w:val="21"/>
        </w:rPr>
        <w:t>3.1.1应做到文明、清洁、安全和有序，最大限度地减少对环境的污染和对公众生活的影响。工作期间应穿工作服（含鞋、帽），佩戴工号牌或工作证,着装整洁。</w:t>
      </w:r>
    </w:p>
    <w:p>
      <w:pPr>
        <w:spacing w:line="500" w:lineRule="exact"/>
        <w:ind w:firstLine="420" w:firstLineChars="200"/>
        <w:rPr>
          <w:rFonts w:ascii="宋体" w:hAnsi="宋体" w:cs="宋体"/>
          <w:szCs w:val="21"/>
        </w:rPr>
      </w:pPr>
      <w:r>
        <w:rPr>
          <w:rFonts w:hint="eastAsia" w:ascii="宋体" w:hAnsi="宋体" w:cs="宋体"/>
          <w:szCs w:val="21"/>
        </w:rPr>
        <w:t>3.1.2环卫作业车辆出车前应进行检查，确保车况良好，车容整洁。当日作业结束后，应对车辆进行清洗，保持车辆外观整洁，并做好车辆维护和保养工作。</w:t>
      </w:r>
    </w:p>
    <w:p>
      <w:pPr>
        <w:spacing w:line="500" w:lineRule="exact"/>
        <w:ind w:firstLine="420" w:firstLineChars="200"/>
        <w:rPr>
          <w:rFonts w:ascii="宋体" w:hAnsi="宋体" w:cs="宋体"/>
          <w:szCs w:val="21"/>
        </w:rPr>
      </w:pPr>
      <w:r>
        <w:rPr>
          <w:rFonts w:hint="eastAsia" w:ascii="宋体" w:hAnsi="宋体" w:cs="宋体"/>
          <w:szCs w:val="21"/>
        </w:rPr>
        <w:t>3.1.3合理安排作业计划，组织机械化清扫、洒水、清洗作业应避开交通高峰时段（7:00-8:30，17:00-18:30）。</w:t>
      </w:r>
    </w:p>
    <w:p>
      <w:pPr>
        <w:spacing w:line="500" w:lineRule="exact"/>
        <w:ind w:firstLine="422" w:firstLineChars="200"/>
        <w:rPr>
          <w:rFonts w:ascii="宋体" w:hAnsi="宋体" w:cs="宋体"/>
          <w:b/>
          <w:bCs/>
          <w:szCs w:val="21"/>
        </w:rPr>
      </w:pPr>
      <w:r>
        <w:rPr>
          <w:rFonts w:hint="eastAsia" w:ascii="宋体" w:hAnsi="宋体" w:cs="宋体"/>
          <w:b/>
          <w:bCs/>
          <w:szCs w:val="21"/>
        </w:rPr>
        <w:t xml:space="preserve">3.2道路应按等级分级保洁，等级划分条件见《嘉兴市地方标准城市管理规范DB </w:t>
      </w:r>
      <w:bookmarkStart w:id="6" w:name="StdNo0"/>
      <w:r>
        <w:rPr>
          <w:rFonts w:hint="eastAsia" w:ascii="宋体" w:hAnsi="宋体" w:cs="宋体"/>
          <w:b/>
          <w:bCs/>
          <w:szCs w:val="21"/>
        </w:rPr>
        <w:fldChar w:fldCharType="begin">
          <w:ffData>
            <w:name w:val="StdNo0"/>
            <w:enabled/>
            <w:calcOnExit w:val="0"/>
            <w:textInput>
              <w:default w:val="3304"/>
              <w:maxLength w:val="4"/>
            </w:textInput>
          </w:ffData>
        </w:fldChar>
      </w:r>
      <w:r>
        <w:rPr>
          <w:rFonts w:hint="eastAsia" w:ascii="宋体" w:hAnsi="宋体" w:cs="宋体"/>
          <w:b/>
          <w:bCs/>
          <w:szCs w:val="21"/>
        </w:rPr>
        <w:instrText xml:space="preserve"> FORMTEXT </w:instrText>
      </w:r>
      <w:r>
        <w:rPr>
          <w:rFonts w:hint="eastAsia" w:ascii="宋体" w:hAnsi="宋体" w:cs="宋体"/>
          <w:b/>
          <w:bCs/>
          <w:szCs w:val="21"/>
        </w:rPr>
        <w:fldChar w:fldCharType="separate"/>
      </w:r>
      <w:r>
        <w:rPr>
          <w:rFonts w:hint="eastAsia" w:ascii="宋体" w:hAnsi="宋体" w:cs="宋体"/>
          <w:b/>
          <w:bCs/>
          <w:szCs w:val="21"/>
        </w:rPr>
        <w:t>3304</w:t>
      </w:r>
      <w:r>
        <w:rPr>
          <w:rFonts w:hint="eastAsia" w:ascii="宋体" w:hAnsi="宋体" w:cs="宋体"/>
          <w:b/>
          <w:bCs/>
          <w:szCs w:val="21"/>
        </w:rPr>
        <w:fldChar w:fldCharType="end"/>
      </w:r>
      <w:bookmarkEnd w:id="6"/>
      <w:r>
        <w:rPr>
          <w:rFonts w:hint="eastAsia" w:ascii="宋体" w:hAnsi="宋体" w:cs="宋体"/>
          <w:b/>
          <w:bCs/>
          <w:szCs w:val="21"/>
        </w:rPr>
        <w:t xml:space="preserve">/ </w:t>
      </w:r>
      <w:bookmarkStart w:id="7" w:name="StdNo1"/>
      <w:r>
        <w:rPr>
          <w:rFonts w:hint="eastAsia" w:ascii="宋体" w:hAnsi="宋体" w:cs="宋体"/>
          <w:b/>
          <w:bCs/>
          <w:szCs w:val="21"/>
        </w:rPr>
        <w:fldChar w:fldCharType="begin">
          <w:ffData>
            <w:name w:val="StdNo1"/>
            <w:enabled/>
            <w:calcOnExit w:val="0"/>
            <w:textInput>
              <w:default w:val="T 048"/>
            </w:textInput>
          </w:ffData>
        </w:fldChar>
      </w:r>
      <w:r>
        <w:rPr>
          <w:rFonts w:hint="eastAsia" w:ascii="宋体" w:hAnsi="宋体" w:cs="宋体"/>
          <w:b/>
          <w:bCs/>
          <w:szCs w:val="21"/>
        </w:rPr>
        <w:instrText xml:space="preserve"> FORMTEXT </w:instrText>
      </w:r>
      <w:r>
        <w:rPr>
          <w:rFonts w:hint="eastAsia" w:ascii="宋体" w:hAnsi="宋体" w:cs="宋体"/>
          <w:b/>
          <w:bCs/>
          <w:szCs w:val="21"/>
        </w:rPr>
        <w:fldChar w:fldCharType="separate"/>
      </w:r>
      <w:r>
        <w:rPr>
          <w:rFonts w:hint="eastAsia" w:ascii="宋体" w:hAnsi="宋体" w:cs="宋体"/>
          <w:b/>
          <w:bCs/>
          <w:szCs w:val="21"/>
        </w:rPr>
        <w:t>T 048</w:t>
      </w:r>
      <w:r>
        <w:rPr>
          <w:rFonts w:hint="eastAsia" w:ascii="宋体" w:hAnsi="宋体" w:cs="宋体"/>
          <w:b/>
          <w:bCs/>
          <w:szCs w:val="21"/>
        </w:rPr>
        <w:fldChar w:fldCharType="end"/>
      </w:r>
      <w:bookmarkEnd w:id="7"/>
      <w:r>
        <w:rPr>
          <w:rFonts w:hint="eastAsia" w:ascii="宋体" w:hAnsi="宋体" w:cs="宋体"/>
          <w:b/>
          <w:bCs/>
          <w:szCs w:val="21"/>
        </w:rPr>
        <w:t>—</w:t>
      </w:r>
      <w:bookmarkStart w:id="8" w:name="StdNo2"/>
      <w:r>
        <w:rPr>
          <w:rFonts w:hint="eastAsia" w:ascii="宋体" w:hAnsi="宋体" w:cs="宋体"/>
          <w:b/>
          <w:bCs/>
          <w:szCs w:val="21"/>
        </w:rPr>
        <w:fldChar w:fldCharType="begin">
          <w:ffData>
            <w:name w:val="StdNo2"/>
            <w:enabled/>
            <w:calcOnExit w:val="0"/>
            <w:textInput>
              <w:default w:val="2020"/>
              <w:maxLength w:val="4"/>
            </w:textInput>
          </w:ffData>
        </w:fldChar>
      </w:r>
      <w:r>
        <w:rPr>
          <w:rFonts w:hint="eastAsia" w:ascii="宋体" w:hAnsi="宋体" w:cs="宋体"/>
          <w:b/>
          <w:bCs/>
          <w:szCs w:val="21"/>
        </w:rPr>
        <w:instrText xml:space="preserve"> FORMTEXT </w:instrText>
      </w:r>
      <w:r>
        <w:rPr>
          <w:rFonts w:hint="eastAsia" w:ascii="宋体" w:hAnsi="宋体" w:cs="宋体"/>
          <w:b/>
          <w:bCs/>
          <w:szCs w:val="21"/>
        </w:rPr>
        <w:fldChar w:fldCharType="separate"/>
      </w:r>
      <w:r>
        <w:rPr>
          <w:rFonts w:hint="eastAsia" w:ascii="宋体" w:hAnsi="宋体" w:cs="宋体"/>
          <w:b/>
          <w:bCs/>
          <w:szCs w:val="21"/>
        </w:rPr>
        <w:t>2020</w:t>
      </w:r>
      <w:r>
        <w:rPr>
          <w:rFonts w:hint="eastAsia" w:ascii="宋体" w:hAnsi="宋体" w:cs="宋体"/>
          <w:b/>
          <w:bCs/>
          <w:szCs w:val="21"/>
        </w:rPr>
        <w:fldChar w:fldCharType="end"/>
      </w:r>
      <w:bookmarkEnd w:id="8"/>
      <w:r>
        <w:rPr>
          <w:rFonts w:hint="eastAsia" w:ascii="宋体" w:hAnsi="宋体" w:cs="宋体"/>
          <w:b/>
          <w:bCs/>
          <w:szCs w:val="21"/>
        </w:rPr>
        <w:t>》。各级道路保洁频次、相关作业规范及达到标准：</w:t>
      </w:r>
    </w:p>
    <w:p>
      <w:pPr>
        <w:spacing w:line="500" w:lineRule="exact"/>
        <w:ind w:firstLine="211" w:firstLineChars="100"/>
        <w:rPr>
          <w:rFonts w:ascii="宋体" w:hAnsi="宋体" w:cs="宋体"/>
          <w:szCs w:val="21"/>
        </w:rPr>
      </w:pPr>
      <w:r>
        <w:rPr>
          <w:rFonts w:hint="eastAsia" w:ascii="宋体" w:hAnsi="宋体" w:cs="宋体"/>
          <w:b/>
          <w:bCs/>
          <w:szCs w:val="21"/>
        </w:rPr>
        <w:t>3.2.1一级道路（区域）：</w:t>
      </w:r>
    </w:p>
    <w:p>
      <w:pPr>
        <w:spacing w:line="500" w:lineRule="exact"/>
        <w:ind w:firstLine="420" w:firstLineChars="200"/>
        <w:rPr>
          <w:rFonts w:ascii="宋体" w:hAnsi="宋体" w:cs="宋体"/>
          <w:szCs w:val="21"/>
        </w:rPr>
      </w:pPr>
      <w:r>
        <w:rPr>
          <w:rFonts w:ascii="Calibri" w:hAnsi="Calibri" w:cs="Calibri"/>
          <w:szCs w:val="21"/>
        </w:rPr>
        <w:t>①</w:t>
      </w:r>
      <w:r>
        <w:rPr>
          <w:rFonts w:hint="eastAsia" w:ascii="宋体" w:hAnsi="宋体" w:cs="宋体"/>
          <w:szCs w:val="21"/>
        </w:rPr>
        <w:t>每日实行18小时保洁,每日普扫≥2次、机扫≥3次,洒水6-8次，机械化率达到96%以上。</w:t>
      </w:r>
    </w:p>
    <w:p>
      <w:pPr>
        <w:spacing w:line="500" w:lineRule="exact"/>
        <w:ind w:firstLine="420" w:firstLineChars="200"/>
        <w:rPr>
          <w:rFonts w:ascii="宋体" w:hAnsi="宋体" w:cs="宋体"/>
          <w:szCs w:val="21"/>
        </w:rPr>
      </w:pPr>
      <w:r>
        <w:rPr>
          <w:rFonts w:ascii="Calibri" w:hAnsi="Calibri" w:cs="Calibri"/>
          <w:szCs w:val="21"/>
        </w:rPr>
        <w:t>②</w:t>
      </w:r>
      <w:r>
        <w:rPr>
          <w:rFonts w:hint="eastAsia" w:ascii="宋体" w:hAnsi="宋体" w:cs="宋体"/>
          <w:szCs w:val="21"/>
        </w:rPr>
        <w:t>垃圾滞留时间不超过10分钟，果壳箱每日清理4次、清洗2次,垃圾上门清理≥3次,路面清洗每周≥2次、机械冲洗每日≥2次。</w:t>
      </w:r>
    </w:p>
    <w:p>
      <w:pPr>
        <w:spacing w:line="500" w:lineRule="exact"/>
        <w:ind w:firstLine="420" w:firstLineChars="200"/>
        <w:rPr>
          <w:rFonts w:ascii="宋体" w:hAnsi="宋体" w:cs="宋体"/>
          <w:szCs w:val="21"/>
        </w:rPr>
      </w:pPr>
      <w:r>
        <w:rPr>
          <w:rFonts w:ascii="Calibri" w:hAnsi="Calibri" w:cs="Calibri"/>
          <w:szCs w:val="21"/>
        </w:rPr>
        <w:t>③</w:t>
      </w:r>
      <w:r>
        <w:rPr>
          <w:rFonts w:hint="eastAsia" w:ascii="宋体" w:hAnsi="宋体" w:cs="宋体"/>
          <w:szCs w:val="21"/>
        </w:rPr>
        <w:t>城市家具(可坐)每日清洁3次,其他家具(不坐）每月清洁4次。</w:t>
      </w:r>
    </w:p>
    <w:p>
      <w:pPr>
        <w:spacing w:line="500" w:lineRule="exact"/>
        <w:rPr>
          <w:rFonts w:ascii="宋体" w:hAnsi="宋体" w:cs="宋体"/>
          <w:b/>
          <w:bCs/>
          <w:szCs w:val="21"/>
        </w:rPr>
      </w:pPr>
      <w:r>
        <w:rPr>
          <w:rFonts w:hint="eastAsia" w:ascii="宋体" w:hAnsi="宋体" w:cs="宋体"/>
          <w:b/>
          <w:bCs/>
          <w:szCs w:val="21"/>
        </w:rPr>
        <w:t>3.2.2二级道路（区域）：</w:t>
      </w:r>
    </w:p>
    <w:p>
      <w:pPr>
        <w:spacing w:line="500" w:lineRule="exact"/>
        <w:ind w:firstLine="420" w:firstLineChars="200"/>
        <w:rPr>
          <w:rFonts w:ascii="宋体" w:hAnsi="宋体" w:cs="宋体"/>
          <w:szCs w:val="21"/>
        </w:rPr>
      </w:pPr>
      <w:r>
        <w:rPr>
          <w:rFonts w:ascii="Calibri" w:hAnsi="Calibri" w:cs="Calibri"/>
          <w:szCs w:val="21"/>
        </w:rPr>
        <w:t>①</w:t>
      </w:r>
      <w:r>
        <w:rPr>
          <w:rFonts w:hint="eastAsia" w:ascii="宋体" w:hAnsi="宋体" w:cs="宋体"/>
          <w:szCs w:val="21"/>
        </w:rPr>
        <w:t>每日实行16小时保洁，每日普扫≥2次、机扫≥2次，洒水6次，机械化率达到96%以上。</w:t>
      </w:r>
    </w:p>
    <w:p>
      <w:pPr>
        <w:spacing w:line="500" w:lineRule="exact"/>
        <w:ind w:firstLine="420" w:firstLineChars="200"/>
        <w:rPr>
          <w:rFonts w:ascii="宋体" w:hAnsi="宋体" w:cs="宋体"/>
          <w:szCs w:val="21"/>
        </w:rPr>
      </w:pPr>
      <w:r>
        <w:rPr>
          <w:rFonts w:ascii="Calibri" w:hAnsi="Calibri" w:cs="Calibri"/>
          <w:szCs w:val="21"/>
        </w:rPr>
        <w:t>②</w:t>
      </w:r>
      <w:r>
        <w:rPr>
          <w:rFonts w:hint="eastAsia" w:ascii="宋体" w:hAnsi="宋体" w:cs="宋体"/>
          <w:szCs w:val="21"/>
        </w:rPr>
        <w:t>垃圾滞留时间不超过15分钟，果壳箱每日清理3次、清洗1次,垃圾上门清理≥3次，路面清洗每周1次、机械冲洗每日≥2次。</w:t>
      </w:r>
    </w:p>
    <w:p>
      <w:pPr>
        <w:spacing w:line="500" w:lineRule="exact"/>
        <w:ind w:firstLine="420" w:firstLineChars="200"/>
        <w:rPr>
          <w:rFonts w:ascii="宋体" w:hAnsi="宋体" w:cs="宋体"/>
          <w:szCs w:val="21"/>
        </w:rPr>
      </w:pPr>
      <w:r>
        <w:rPr>
          <w:rFonts w:ascii="Calibri" w:hAnsi="Calibri" w:cs="Calibri"/>
          <w:szCs w:val="21"/>
        </w:rPr>
        <w:t>③</w:t>
      </w:r>
      <w:r>
        <w:rPr>
          <w:rFonts w:hint="eastAsia" w:ascii="宋体" w:hAnsi="宋体" w:cs="宋体"/>
          <w:szCs w:val="21"/>
        </w:rPr>
        <w:t>城市家具(可坐)每日清洁2次，其他家具(不坐)每月清洁3次。</w:t>
      </w:r>
    </w:p>
    <w:p>
      <w:pPr>
        <w:spacing w:line="500" w:lineRule="exact"/>
        <w:rPr>
          <w:rFonts w:ascii="宋体" w:hAnsi="宋体" w:cs="宋体"/>
          <w:b/>
          <w:bCs/>
          <w:szCs w:val="21"/>
        </w:rPr>
      </w:pPr>
      <w:r>
        <w:rPr>
          <w:rFonts w:hint="eastAsia" w:ascii="宋体" w:hAnsi="宋体" w:cs="宋体"/>
          <w:b/>
          <w:bCs/>
          <w:szCs w:val="21"/>
        </w:rPr>
        <w:t>3.2.3三级道路（区域）：</w:t>
      </w:r>
    </w:p>
    <w:p>
      <w:pPr>
        <w:spacing w:line="500" w:lineRule="exact"/>
        <w:ind w:firstLine="420" w:firstLineChars="200"/>
        <w:rPr>
          <w:rFonts w:ascii="宋体" w:hAnsi="宋体" w:cs="宋体"/>
          <w:szCs w:val="21"/>
        </w:rPr>
      </w:pPr>
      <w:r>
        <w:rPr>
          <w:rFonts w:ascii="Calibri" w:hAnsi="Calibri" w:cs="Calibri"/>
          <w:szCs w:val="21"/>
        </w:rPr>
        <w:t>①</w:t>
      </w:r>
      <w:r>
        <w:rPr>
          <w:rFonts w:hint="eastAsia" w:ascii="宋体" w:hAnsi="宋体" w:cs="宋体"/>
          <w:szCs w:val="21"/>
        </w:rPr>
        <w:t>每日实行14小时保洁，每日普扫≥2次、机扫≥2次，洒水6次，机械化率达到96%以上。</w:t>
      </w:r>
    </w:p>
    <w:p>
      <w:pPr>
        <w:spacing w:line="500" w:lineRule="exact"/>
        <w:ind w:firstLine="420" w:firstLineChars="200"/>
        <w:rPr>
          <w:rFonts w:ascii="宋体" w:hAnsi="宋体" w:cs="宋体"/>
          <w:szCs w:val="21"/>
        </w:rPr>
      </w:pPr>
      <w:r>
        <w:rPr>
          <w:rFonts w:ascii="Calibri" w:hAnsi="Calibri" w:cs="Calibri"/>
          <w:szCs w:val="21"/>
        </w:rPr>
        <w:t>②</w:t>
      </w:r>
      <w:r>
        <w:rPr>
          <w:rFonts w:hint="eastAsia" w:ascii="宋体" w:hAnsi="宋体" w:cs="宋体"/>
          <w:szCs w:val="21"/>
        </w:rPr>
        <w:t>垃圾滞留时间不超过20分钟,果壳箱每日清理3次、清洗1次，垃圾上门清理≥2次，路面清洗每周1次、机械冲洗每日&gt;1次。</w:t>
      </w:r>
    </w:p>
    <w:p>
      <w:pPr>
        <w:spacing w:line="500" w:lineRule="exact"/>
        <w:ind w:firstLine="420" w:firstLineChars="200"/>
        <w:rPr>
          <w:rFonts w:ascii="宋体" w:hAnsi="宋体" w:cs="宋体"/>
          <w:szCs w:val="21"/>
        </w:rPr>
      </w:pPr>
      <w:r>
        <w:rPr>
          <w:rFonts w:ascii="Calibri" w:hAnsi="Calibri" w:cs="Calibri"/>
          <w:szCs w:val="21"/>
        </w:rPr>
        <w:t>③</w:t>
      </w:r>
      <w:r>
        <w:rPr>
          <w:rFonts w:hint="eastAsia" w:ascii="宋体" w:hAnsi="宋体" w:cs="宋体"/>
          <w:szCs w:val="21"/>
        </w:rPr>
        <w:t>城市家具(可坐)每日清洁2次其他家具(不坐)每月清洁2次。</w:t>
      </w:r>
    </w:p>
    <w:p>
      <w:pPr>
        <w:spacing w:line="500" w:lineRule="exact"/>
        <w:rPr>
          <w:rFonts w:ascii="Calibri" w:hAnsi="Calibri" w:cs="Calibri"/>
          <w:b/>
          <w:bCs/>
          <w:szCs w:val="21"/>
        </w:rPr>
      </w:pPr>
      <w:r>
        <w:rPr>
          <w:rFonts w:hint="eastAsia" w:ascii="Calibri" w:hAnsi="Calibri" w:cs="Calibri"/>
          <w:b/>
          <w:bCs/>
          <w:szCs w:val="21"/>
        </w:rPr>
        <w:t>3.2.4道路洒水（清洗）作业：</w:t>
      </w:r>
      <w:r>
        <w:rPr>
          <w:rFonts w:hint="eastAsia" w:ascii="Calibri" w:hAnsi="Calibri" w:cs="Calibri"/>
          <w:szCs w:val="21"/>
        </w:rPr>
        <w:t>每日普扫作业前，应先对车行道路面进行洒水。洒水车应在指定的环卫取水栓加足水，并按照规定的时间和路线进行洒水作业。洒水时，洒水车车速不得超过25Km/h；清洗时，高压清洗车车速不得超过10Km/h。洒水时，应调整好洒水车水压和水幅，保持车行道全路段路面湿润。途经地铁站、公交站、交叉路口、人行横道等人流量集中的地点应注意放慢车速，避让行人，调整启闭装置，避免将水洒到行人身上。</w:t>
      </w:r>
      <w:r>
        <w:rPr>
          <w:rFonts w:hint="eastAsia" w:ascii="Calibri" w:hAnsi="Calibri" w:cs="Calibri"/>
          <w:b/>
          <w:bCs/>
          <w:szCs w:val="21"/>
        </w:rPr>
        <w:t>最低温度为2℃及以下时暂停洒水作业。小雨及以下雨量时，按计划保持洒水作业；中雨及以上雨量或雷阵雨期间，暂停洒水作业。</w:t>
      </w:r>
    </w:p>
    <w:p>
      <w:pPr>
        <w:spacing w:line="500" w:lineRule="exact"/>
        <w:rPr>
          <w:rFonts w:ascii="Calibri" w:hAnsi="Calibri" w:cs="Calibri"/>
          <w:szCs w:val="21"/>
        </w:rPr>
      </w:pPr>
      <w:r>
        <w:rPr>
          <w:rFonts w:hint="eastAsia" w:ascii="Calibri" w:hAnsi="Calibri" w:cs="Calibri"/>
          <w:b/>
          <w:bCs/>
          <w:szCs w:val="21"/>
        </w:rPr>
        <w:t>3.2.5普扫作业：</w:t>
      </w:r>
      <w:r>
        <w:rPr>
          <w:rFonts w:hint="eastAsia" w:ascii="Calibri" w:hAnsi="Calibri" w:cs="Calibri"/>
          <w:szCs w:val="21"/>
        </w:rPr>
        <w:t>每日首次普扫，夏季（6月-8月）在上午6时30分以前完成，春、秋、冬季（9月-次年5月）在上午7时完成。应根据重大活动保障、落叶旺季等因素适时增加每日普扫频次。每日普扫时，应按照规定的时间、人数、路线进行集中清扫作业。清扫时，避免扬尘，清扫不留空白点。清扫时不得将垃圾扫入雨水井、绿地、绿化带、河道、道路红线外待建地块，并清理雨水井口的积泥、嵌石，保持雨水井口畅通。清扫后归拢的垃圾应靠边堆放，及时清运不漏收。对路面口香糖污渍、路面乱涂写招贴，应使用铲刀或高压清洗机具予以清除。清扫的街面垃圾、沿街果皮箱中的垃圾应密闭化运至指定地点，运输过程不得抛洒滴漏。</w:t>
      </w:r>
      <w:r>
        <w:rPr>
          <w:rFonts w:hint="eastAsia" w:ascii="Calibri" w:hAnsi="Calibri" w:cs="Calibri"/>
          <w:b/>
          <w:bCs/>
          <w:szCs w:val="21"/>
        </w:rPr>
        <w:t>普扫结束后，应按照规定的责任保洁区域、保洁时间组织巡回保洁。</w:t>
      </w:r>
    </w:p>
    <w:p>
      <w:pPr>
        <w:spacing w:line="500" w:lineRule="exact"/>
        <w:rPr>
          <w:rFonts w:ascii="Calibri" w:hAnsi="Calibri" w:cs="Calibri"/>
          <w:szCs w:val="21"/>
        </w:rPr>
      </w:pPr>
      <w:r>
        <w:rPr>
          <w:rFonts w:hint="eastAsia" w:ascii="Calibri" w:hAnsi="Calibri" w:cs="Calibri"/>
          <w:b/>
          <w:bCs/>
          <w:szCs w:val="21"/>
        </w:rPr>
        <w:t>3.2.6机械化清扫：</w:t>
      </w:r>
      <w:r>
        <w:rPr>
          <w:rFonts w:hint="eastAsia" w:ascii="Calibri" w:hAnsi="Calibri" w:cs="Calibri"/>
          <w:szCs w:val="21"/>
        </w:rPr>
        <w:t>机械化清扫范围主要为机动车道， 湿扫车或洗扫车应加足水，根据路面状况调整好扫路车侧刷和吸口，喷雾清扫无扬尘，在规定时间和路线进行机械化清扫作业。机械化清扫作业时，扫路车或洗扫车车速不得超过10Km/h。机械化清扫作业时，应沿着车行道侧石进行全路段清扫，做到不漏扫，保持路面清洁。机械化清扫车辆所用的扫把丝等消耗品应根据使用状况及时更换。</w:t>
      </w:r>
    </w:p>
    <w:p>
      <w:pPr>
        <w:spacing w:line="500" w:lineRule="exact"/>
        <w:rPr>
          <w:rFonts w:ascii="宋体" w:hAnsi="宋体" w:cs="宋体"/>
          <w:b/>
          <w:szCs w:val="21"/>
        </w:rPr>
      </w:pPr>
      <w:r>
        <w:rPr>
          <w:rFonts w:hint="eastAsia" w:ascii="宋体" w:hAnsi="宋体" w:cs="宋体"/>
          <w:b/>
          <w:szCs w:val="21"/>
        </w:rPr>
        <w:t>3.2.7道路保洁达到标准（即呈现效果）：</w:t>
      </w:r>
    </w:p>
    <w:p>
      <w:pPr>
        <w:spacing w:line="500" w:lineRule="exact"/>
        <w:rPr>
          <w:rFonts w:ascii="宋体" w:hAnsi="宋体" w:cs="宋体"/>
          <w:b/>
          <w:bCs/>
          <w:szCs w:val="21"/>
        </w:rPr>
      </w:pPr>
      <w:r>
        <w:rPr>
          <w:rFonts w:hint="eastAsia" w:ascii="宋体" w:hAnsi="宋体" w:cs="宋体"/>
          <w:b/>
          <w:bCs/>
          <w:szCs w:val="21"/>
        </w:rPr>
        <w:t>3.2.7.1一级道路（区域）：</w:t>
      </w:r>
    </w:p>
    <w:p>
      <w:pPr>
        <w:spacing w:line="500" w:lineRule="exact"/>
        <w:ind w:firstLine="420" w:firstLineChars="200"/>
        <w:rPr>
          <w:rFonts w:ascii="Calibri" w:hAnsi="Calibri" w:cs="Calibri"/>
          <w:szCs w:val="21"/>
        </w:rPr>
      </w:pPr>
      <w:r>
        <w:rPr>
          <w:rFonts w:ascii="Calibri" w:hAnsi="Calibri" w:cs="Calibri"/>
          <w:szCs w:val="21"/>
        </w:rPr>
        <w:t>①</w:t>
      </w:r>
      <w:r>
        <w:rPr>
          <w:rFonts w:hint="eastAsia" w:ascii="Calibri" w:hAnsi="Calibri" w:cs="Calibri"/>
          <w:szCs w:val="21"/>
        </w:rPr>
        <w:t>道路深度清扫冲洗,实现路见本色,打造一批席地而坐区域。</w:t>
      </w:r>
    </w:p>
    <w:p>
      <w:pPr>
        <w:spacing w:line="500" w:lineRule="exact"/>
        <w:ind w:firstLine="420" w:firstLineChars="200"/>
        <w:rPr>
          <w:rFonts w:ascii="Calibri" w:hAnsi="Calibri" w:cs="Calibri"/>
          <w:szCs w:val="21"/>
        </w:rPr>
      </w:pPr>
      <w:r>
        <w:rPr>
          <w:rFonts w:ascii="Calibri" w:hAnsi="Calibri" w:cs="Calibri"/>
          <w:szCs w:val="21"/>
        </w:rPr>
        <w:t>②</w:t>
      </w:r>
      <w:r>
        <w:rPr>
          <w:rFonts w:hint="eastAsia" w:ascii="Calibri" w:hAnsi="Calibri" w:cs="Calibri"/>
          <w:szCs w:val="21"/>
        </w:rPr>
        <w:t>路面无垃圾杂物、无积尘积水、无烟蒂痰渍污渍。</w:t>
      </w:r>
    </w:p>
    <w:p>
      <w:pPr>
        <w:spacing w:line="500" w:lineRule="exact"/>
        <w:ind w:firstLine="420" w:firstLineChars="200"/>
        <w:rPr>
          <w:rFonts w:ascii="Calibri" w:hAnsi="Calibri" w:cs="Calibri"/>
          <w:szCs w:val="21"/>
        </w:rPr>
      </w:pPr>
      <w:r>
        <w:rPr>
          <w:rFonts w:ascii="Calibri" w:hAnsi="Calibri" w:cs="Calibri"/>
          <w:szCs w:val="21"/>
        </w:rPr>
        <w:t>③</w:t>
      </w:r>
      <w:r>
        <w:rPr>
          <w:rFonts w:hint="eastAsia" w:ascii="Calibri" w:hAnsi="Calibri" w:cs="Calibri"/>
          <w:szCs w:val="21"/>
        </w:rPr>
        <w:t>公交站亭、街头小品等城市家具保洁及时,无乱张贴、乱涂画等现象，手摸无尘，洁净如新。</w:t>
      </w:r>
    </w:p>
    <w:p>
      <w:pPr>
        <w:spacing w:line="500" w:lineRule="exact"/>
        <w:rPr>
          <w:rFonts w:ascii="宋体" w:hAnsi="宋体" w:cs="宋体"/>
          <w:b/>
          <w:bCs/>
          <w:szCs w:val="21"/>
        </w:rPr>
      </w:pPr>
      <w:r>
        <w:rPr>
          <w:rFonts w:hint="eastAsia" w:ascii="宋体" w:hAnsi="宋体" w:cs="宋体"/>
          <w:b/>
          <w:bCs/>
          <w:szCs w:val="21"/>
        </w:rPr>
        <w:t>3.2.7.2二级道路（区域）：</w:t>
      </w:r>
    </w:p>
    <w:p>
      <w:pPr>
        <w:spacing w:line="500" w:lineRule="exact"/>
        <w:ind w:firstLine="420" w:firstLineChars="200"/>
        <w:rPr>
          <w:rFonts w:ascii="宋体" w:hAnsi="宋体" w:cs="宋体"/>
          <w:szCs w:val="21"/>
        </w:rPr>
      </w:pPr>
      <w:r>
        <w:rPr>
          <w:rFonts w:ascii="Calibri" w:hAnsi="Calibri" w:cs="Calibri"/>
          <w:szCs w:val="21"/>
        </w:rPr>
        <w:t>①</w:t>
      </w:r>
      <w:r>
        <w:rPr>
          <w:rFonts w:hint="eastAsia" w:ascii="宋体" w:hAnsi="宋体" w:cs="宋体"/>
          <w:szCs w:val="21"/>
        </w:rPr>
        <w:t>道路清扫彻底、冲洗及时，路面基本见本色。</w:t>
      </w:r>
    </w:p>
    <w:p>
      <w:pPr>
        <w:spacing w:line="500" w:lineRule="exact"/>
        <w:ind w:firstLine="420" w:firstLineChars="200"/>
        <w:rPr>
          <w:rFonts w:ascii="宋体" w:hAnsi="宋体" w:cs="宋体"/>
          <w:szCs w:val="21"/>
        </w:rPr>
      </w:pPr>
      <w:r>
        <w:rPr>
          <w:rFonts w:ascii="Calibri" w:hAnsi="Calibri" w:cs="Calibri"/>
          <w:szCs w:val="21"/>
        </w:rPr>
        <w:t>②</w:t>
      </w:r>
      <w:r>
        <w:rPr>
          <w:rFonts w:hint="eastAsia" w:ascii="宋体" w:hAnsi="宋体" w:cs="宋体"/>
          <w:szCs w:val="21"/>
        </w:rPr>
        <w:t>100米路面中，垃圾杂物、积尘积水、烟蒂痰渍污渍等问题，少于4处。</w:t>
      </w:r>
    </w:p>
    <w:p>
      <w:pPr>
        <w:spacing w:line="500" w:lineRule="exact"/>
        <w:ind w:firstLine="420" w:firstLineChars="200"/>
        <w:rPr>
          <w:rFonts w:ascii="宋体" w:hAnsi="宋体" w:cs="宋体"/>
          <w:szCs w:val="21"/>
        </w:rPr>
      </w:pPr>
      <w:r>
        <w:rPr>
          <w:rFonts w:ascii="Calibri" w:hAnsi="Calibri" w:cs="Calibri"/>
          <w:szCs w:val="21"/>
        </w:rPr>
        <w:t>③</w:t>
      </w:r>
      <w:r>
        <w:rPr>
          <w:rFonts w:hint="eastAsia" w:ascii="宋体" w:hAnsi="宋体" w:cs="宋体"/>
          <w:szCs w:val="21"/>
        </w:rPr>
        <w:t>城市家具长效保洁,无乱张贴、乱涂画等现象，基本无尘。</w:t>
      </w:r>
    </w:p>
    <w:p>
      <w:pPr>
        <w:spacing w:line="500" w:lineRule="exact"/>
        <w:rPr>
          <w:rFonts w:ascii="宋体" w:hAnsi="宋体" w:cs="宋体"/>
          <w:b/>
          <w:bCs/>
          <w:szCs w:val="21"/>
        </w:rPr>
      </w:pPr>
      <w:r>
        <w:rPr>
          <w:rFonts w:hint="eastAsia" w:ascii="宋体" w:hAnsi="宋体" w:cs="宋体"/>
          <w:b/>
          <w:bCs/>
          <w:szCs w:val="21"/>
        </w:rPr>
        <w:t>3.2.7.3三级道路（区域）：</w:t>
      </w:r>
    </w:p>
    <w:p>
      <w:pPr>
        <w:spacing w:line="500" w:lineRule="exact"/>
        <w:ind w:firstLine="420" w:firstLineChars="200"/>
        <w:rPr>
          <w:rFonts w:ascii="Calibri" w:hAnsi="Calibri" w:cs="Calibri"/>
          <w:szCs w:val="21"/>
        </w:rPr>
      </w:pPr>
      <w:r>
        <w:rPr>
          <w:rFonts w:ascii="Calibri" w:hAnsi="Calibri" w:cs="Calibri"/>
          <w:szCs w:val="21"/>
        </w:rPr>
        <w:t>①</w:t>
      </w:r>
      <w:r>
        <w:rPr>
          <w:rFonts w:hint="eastAsia" w:ascii="Calibri" w:hAnsi="Calibri" w:cs="Calibri"/>
          <w:szCs w:val="21"/>
        </w:rPr>
        <w:t>道路清扫冲洗全覆盖、干净整洁，路面基本见本色。</w:t>
      </w:r>
    </w:p>
    <w:p>
      <w:pPr>
        <w:spacing w:line="500" w:lineRule="exact"/>
        <w:ind w:firstLine="420" w:firstLineChars="200"/>
        <w:rPr>
          <w:rFonts w:ascii="Calibri" w:hAnsi="Calibri" w:cs="Calibri"/>
          <w:szCs w:val="21"/>
        </w:rPr>
      </w:pPr>
      <w:r>
        <w:rPr>
          <w:rFonts w:ascii="Calibri" w:hAnsi="Calibri" w:cs="Calibri"/>
          <w:szCs w:val="21"/>
        </w:rPr>
        <w:t>②</w:t>
      </w:r>
      <w:r>
        <w:rPr>
          <w:rFonts w:hint="eastAsia" w:ascii="Calibri" w:hAnsi="Calibri" w:cs="Calibri"/>
          <w:szCs w:val="21"/>
        </w:rPr>
        <w:t>100米路面中，垃圾杂物、积尘积水、烟蒂痰渍污渍等问题，少于6处。</w:t>
      </w:r>
    </w:p>
    <w:p>
      <w:pPr>
        <w:spacing w:line="500" w:lineRule="exact"/>
        <w:ind w:firstLine="420" w:firstLineChars="200"/>
        <w:rPr>
          <w:rFonts w:ascii="Calibri" w:hAnsi="Calibri" w:cs="Calibri"/>
          <w:szCs w:val="21"/>
        </w:rPr>
      </w:pPr>
      <w:r>
        <w:rPr>
          <w:rFonts w:ascii="Calibri" w:hAnsi="Calibri" w:cs="Calibri"/>
          <w:szCs w:val="21"/>
        </w:rPr>
        <w:t>③</w:t>
      </w:r>
      <w:r>
        <w:rPr>
          <w:rFonts w:hint="eastAsia" w:ascii="Calibri" w:hAnsi="Calibri" w:cs="Calibri"/>
          <w:szCs w:val="21"/>
        </w:rPr>
        <w:t>城市家具长效保洁,无乱张贴、乱涂画等现象，基本无尘。</w:t>
      </w:r>
    </w:p>
    <w:p>
      <w:pPr>
        <w:spacing w:line="500" w:lineRule="exact"/>
        <w:rPr>
          <w:rFonts w:ascii="Calibri" w:hAnsi="Calibri" w:cs="Calibri"/>
          <w:szCs w:val="21"/>
        </w:rPr>
      </w:pPr>
      <w:r>
        <w:rPr>
          <w:rFonts w:hint="eastAsia" w:ascii="Calibri" w:hAnsi="Calibri" w:cs="Calibri"/>
          <w:b/>
          <w:bCs/>
          <w:szCs w:val="21"/>
        </w:rPr>
        <w:t>3.2.8普扫作业质量：</w:t>
      </w:r>
      <w:r>
        <w:rPr>
          <w:rFonts w:hint="eastAsia" w:ascii="Calibri" w:hAnsi="Calibri" w:cs="Calibri"/>
          <w:szCs w:val="21"/>
        </w:rPr>
        <w:t>清扫应做到“五无五净”：即无垃圾杂物，无积水积泥，无痰迹烟蒂，无果皮纸屑，无土石杂草；路面干净，绿地、绿化带和树圈干净，边角侧石干净，雨水井盖沟眼畅通干净，果皮箱等环卫设施干净。路面见本色。</w:t>
      </w:r>
    </w:p>
    <w:p>
      <w:pPr>
        <w:spacing w:line="500" w:lineRule="exact"/>
        <w:rPr>
          <w:rFonts w:ascii="Calibri" w:hAnsi="Calibri" w:cs="Calibri"/>
          <w:szCs w:val="21"/>
        </w:rPr>
      </w:pPr>
      <w:r>
        <w:rPr>
          <w:rFonts w:hint="eastAsia" w:ascii="Calibri" w:hAnsi="Calibri" w:cs="Calibri"/>
          <w:b/>
          <w:bCs/>
          <w:szCs w:val="21"/>
        </w:rPr>
        <w:t>3.2.9整体保洁作业质量：</w:t>
      </w:r>
      <w:r>
        <w:rPr>
          <w:rFonts w:hint="eastAsia" w:ascii="Calibri" w:hAnsi="Calibri" w:cs="Calibri"/>
          <w:szCs w:val="21"/>
        </w:rPr>
        <w:t>在“五无五净”基础上，保持交通隔离栏、路灯杆、交通信号灯杆等城市家具清洁。保洁时段内，各类道路和街巷清扫保洁区域的路面废弃物总数应符合：</w:t>
      </w:r>
    </w:p>
    <w:p>
      <w:pPr>
        <w:spacing w:line="500" w:lineRule="exact"/>
        <w:ind w:firstLine="210" w:firstLineChars="100"/>
        <w:rPr>
          <w:rFonts w:ascii="Calibri" w:hAnsi="Calibri" w:cs="Calibri"/>
          <w:szCs w:val="21"/>
        </w:rPr>
      </w:pPr>
      <w:r>
        <w:rPr>
          <w:rFonts w:ascii="Calibri" w:hAnsi="Calibri" w:cs="Calibri"/>
          <w:szCs w:val="21"/>
        </w:rPr>
        <w:t>①</w:t>
      </w:r>
      <w:r>
        <w:rPr>
          <w:rFonts w:hint="eastAsia" w:ascii="Calibri" w:hAnsi="Calibri" w:cs="Calibri"/>
          <w:szCs w:val="21"/>
        </w:rPr>
        <w:t>果皮、纸屑、塑料袋及零星垃圾每500m少于等于2个；</w:t>
      </w:r>
    </w:p>
    <w:p>
      <w:pPr>
        <w:spacing w:line="500" w:lineRule="exact"/>
        <w:ind w:firstLine="210" w:firstLineChars="100"/>
        <w:rPr>
          <w:rFonts w:ascii="Calibri" w:hAnsi="Calibri" w:cs="Calibri"/>
          <w:szCs w:val="21"/>
        </w:rPr>
      </w:pPr>
      <w:r>
        <w:rPr>
          <w:rFonts w:ascii="Calibri" w:hAnsi="Calibri" w:cs="Calibri"/>
          <w:szCs w:val="21"/>
        </w:rPr>
        <w:t>②</w:t>
      </w:r>
      <w:r>
        <w:rPr>
          <w:rFonts w:hint="eastAsia" w:ascii="Calibri" w:hAnsi="Calibri" w:cs="Calibri"/>
          <w:szCs w:val="21"/>
        </w:rPr>
        <w:t>无生活污水积水；</w:t>
      </w:r>
    </w:p>
    <w:p>
      <w:pPr>
        <w:spacing w:line="500" w:lineRule="exact"/>
        <w:ind w:firstLine="210" w:firstLineChars="100"/>
        <w:rPr>
          <w:rFonts w:ascii="Calibri" w:hAnsi="Calibri" w:cs="Calibri"/>
          <w:szCs w:val="21"/>
        </w:rPr>
      </w:pPr>
      <w:r>
        <w:rPr>
          <w:rFonts w:ascii="Calibri" w:hAnsi="Calibri" w:cs="Calibri"/>
          <w:szCs w:val="21"/>
        </w:rPr>
        <w:t>③</w:t>
      </w:r>
      <w:r>
        <w:rPr>
          <w:rFonts w:hint="eastAsia" w:ascii="Calibri" w:hAnsi="Calibri" w:cs="Calibri"/>
          <w:szCs w:val="21"/>
        </w:rPr>
        <w:t>烟蒂每500m少于等于4个；</w:t>
      </w:r>
    </w:p>
    <w:p>
      <w:pPr>
        <w:spacing w:line="500" w:lineRule="exact"/>
        <w:ind w:firstLine="210" w:firstLineChars="100"/>
        <w:rPr>
          <w:rFonts w:ascii="Calibri" w:hAnsi="Calibri" w:cs="Calibri"/>
          <w:szCs w:val="21"/>
        </w:rPr>
      </w:pPr>
      <w:r>
        <w:rPr>
          <w:rFonts w:ascii="Calibri" w:hAnsi="Calibri" w:cs="Calibri"/>
          <w:szCs w:val="21"/>
        </w:rPr>
        <w:t>④</w:t>
      </w:r>
      <w:r>
        <w:rPr>
          <w:rFonts w:hint="eastAsia" w:ascii="Calibri" w:hAnsi="Calibri" w:cs="Calibri"/>
          <w:szCs w:val="21"/>
        </w:rPr>
        <w:t>痰迹每500m少于等于3个；</w:t>
      </w:r>
    </w:p>
    <w:p>
      <w:pPr>
        <w:spacing w:line="500" w:lineRule="exact"/>
        <w:ind w:firstLine="210" w:firstLineChars="100"/>
        <w:rPr>
          <w:rFonts w:ascii="Calibri" w:hAnsi="Calibri" w:cs="Calibri"/>
          <w:szCs w:val="21"/>
        </w:rPr>
      </w:pPr>
      <w:r>
        <w:rPr>
          <w:rFonts w:ascii="Calibri" w:hAnsi="Calibri" w:cs="Calibri"/>
          <w:szCs w:val="21"/>
        </w:rPr>
        <w:t>⑤尘土量量每平方少于等于10克</w:t>
      </w:r>
      <w:r>
        <w:rPr>
          <w:rFonts w:hint="eastAsia" w:ascii="Calibri" w:hAnsi="Calibri" w:cs="Calibri"/>
          <w:szCs w:val="21"/>
        </w:rPr>
        <w:t>；</w:t>
      </w:r>
    </w:p>
    <w:p>
      <w:pPr>
        <w:spacing w:line="500" w:lineRule="exact"/>
        <w:ind w:firstLine="210" w:firstLineChars="100"/>
        <w:rPr>
          <w:rFonts w:ascii="Calibri" w:hAnsi="Calibri" w:cs="Calibri"/>
          <w:szCs w:val="21"/>
        </w:rPr>
      </w:pPr>
      <w:r>
        <w:rPr>
          <w:rFonts w:ascii="Calibri" w:hAnsi="Calibri" w:cs="Calibri"/>
          <w:szCs w:val="21"/>
        </w:rPr>
        <w:t>⑥</w:t>
      </w:r>
      <w:r>
        <w:rPr>
          <w:rFonts w:hint="eastAsia" w:ascii="Calibri" w:hAnsi="Calibri" w:cs="Calibri"/>
          <w:szCs w:val="21"/>
        </w:rPr>
        <w:t>路面见本色。</w:t>
      </w:r>
    </w:p>
    <w:p>
      <w:pPr>
        <w:spacing w:line="500" w:lineRule="exact"/>
        <w:rPr>
          <w:rFonts w:ascii="Calibri" w:hAnsi="Calibri" w:cs="Calibri"/>
          <w:szCs w:val="21"/>
        </w:rPr>
      </w:pPr>
      <w:r>
        <w:rPr>
          <w:rFonts w:hint="eastAsia" w:ascii="Calibri" w:hAnsi="Calibri" w:cs="Calibri"/>
          <w:szCs w:val="21"/>
        </w:rPr>
        <w:t>3.2.9道路两侧公交站台、果壳箱、垃圾箱、城市家具保洁标准与所处道路保洁质量标准相同。</w:t>
      </w:r>
    </w:p>
    <w:p>
      <w:pPr>
        <w:spacing w:line="500" w:lineRule="exact"/>
        <w:rPr>
          <w:rFonts w:ascii="宋体" w:hAnsi="宋体" w:cs="宋体"/>
          <w:b/>
          <w:szCs w:val="21"/>
        </w:rPr>
      </w:pPr>
      <w:r>
        <w:rPr>
          <w:rFonts w:hint="eastAsia" w:ascii="宋体" w:hAnsi="宋体" w:cs="宋体"/>
          <w:b/>
          <w:szCs w:val="21"/>
        </w:rPr>
        <w:t>3.3公厕保洁要求</w:t>
      </w:r>
    </w:p>
    <w:p>
      <w:pPr>
        <w:spacing w:line="500" w:lineRule="exact"/>
        <w:ind w:firstLine="420" w:firstLineChars="200"/>
        <w:rPr>
          <w:rFonts w:ascii="宋体" w:hAnsi="宋体" w:cs="宋体"/>
          <w:szCs w:val="21"/>
        </w:rPr>
      </w:pPr>
      <w:r>
        <w:rPr>
          <w:rFonts w:hint="eastAsia" w:ascii="宋体" w:hAnsi="宋体" w:cs="宋体"/>
          <w:szCs w:val="21"/>
        </w:rPr>
        <w:t>本次招标范围内共6座公厕（其中三星公厕3座，二星公厕3座）。日常维护上班时间：上午6:00时至晚上22:00时。公厕内采光、照明和通风良好，三星公厕无异味，可视范围内无蚊蝇；二星公厕无明显异味，蚊蝇不超过3只。</w:t>
      </w:r>
    </w:p>
    <w:p>
      <w:pPr>
        <w:spacing w:line="500" w:lineRule="exact"/>
        <w:ind w:firstLine="420" w:firstLineChars="200"/>
        <w:rPr>
          <w:rFonts w:ascii="宋体" w:hAnsi="宋体" w:cs="宋体"/>
          <w:szCs w:val="21"/>
        </w:rPr>
      </w:pPr>
      <w:r>
        <w:rPr>
          <w:rFonts w:hint="eastAsia" w:ascii="宋体" w:hAnsi="宋体" w:cs="宋体"/>
          <w:szCs w:val="21"/>
        </w:rPr>
        <w:t>墙面洁净：公厕内、外墙整洁，墙面光洁无破损、污蚀渗漏；隔板、窗栅、门窗玻璃无破损；内墙面、天花板，门窗和隔离板无积灰、污迹、蛛网，无乱涂乱画，无破损。公厕内洗漱器具整洁。</w:t>
      </w:r>
    </w:p>
    <w:p>
      <w:pPr>
        <w:spacing w:line="500" w:lineRule="exact"/>
        <w:ind w:firstLine="420" w:firstLineChars="200"/>
        <w:rPr>
          <w:rFonts w:ascii="宋体" w:hAnsi="宋体" w:cs="宋体"/>
          <w:szCs w:val="21"/>
        </w:rPr>
      </w:pPr>
      <w:r>
        <w:rPr>
          <w:rFonts w:hint="eastAsia" w:ascii="宋体" w:hAnsi="宋体" w:cs="宋体"/>
          <w:szCs w:val="21"/>
        </w:rPr>
        <w:t>地面洁净：公厕内地面光洁，无积水。</w:t>
      </w:r>
    </w:p>
    <w:p>
      <w:pPr>
        <w:spacing w:line="500" w:lineRule="exact"/>
        <w:ind w:firstLine="420" w:firstLineChars="200"/>
        <w:rPr>
          <w:rFonts w:ascii="宋体" w:hAnsi="宋体" w:cs="宋体"/>
          <w:szCs w:val="21"/>
        </w:rPr>
      </w:pPr>
      <w:r>
        <w:rPr>
          <w:rFonts w:hint="eastAsia" w:ascii="宋体" w:hAnsi="宋体" w:cs="宋体"/>
          <w:szCs w:val="21"/>
        </w:rPr>
        <w:t>厕位洁净：蹲位整洁，大便槽两侧无粪便污物，槽内无粪迹，无堵塞，洁净见底；小便槽(斗)无水锈、尿垢、烟蒂，无明显臭味；沟眼、管道保持畅通。</w:t>
      </w:r>
    </w:p>
    <w:p>
      <w:pPr>
        <w:spacing w:line="500" w:lineRule="exact"/>
        <w:ind w:firstLine="420" w:firstLineChars="200"/>
      </w:pPr>
      <w:r>
        <w:rPr>
          <w:rFonts w:hint="eastAsia" w:ascii="宋体" w:hAnsi="宋体" w:cs="宋体"/>
          <w:szCs w:val="21"/>
        </w:rPr>
        <w:t>设施有序：公厕内照明灯具、洗手器具、镜子挂衣钩、烘手器、冲水设备等设施设备完好有序，无缺亮渗漏，无积灰、污物；管理房（工具间）物品摆放有序，整洁无杂物，不得挪作他用；无障碍公厕通道畅通。其他参见《公共厕所保洁与服务规范》（DB3301/T74）的规定。</w:t>
      </w:r>
    </w:p>
    <w:p>
      <w:pPr>
        <w:tabs>
          <w:tab w:val="left" w:pos="395"/>
        </w:tabs>
        <w:spacing w:line="500" w:lineRule="exact"/>
        <w:rPr>
          <w:rFonts w:ascii="宋体" w:hAnsi="宋体" w:cs="宋体"/>
          <w:b/>
          <w:szCs w:val="21"/>
        </w:rPr>
      </w:pPr>
      <w:r>
        <w:rPr>
          <w:rFonts w:hint="eastAsia" w:ascii="宋体" w:hAnsi="宋体" w:cs="宋体"/>
          <w:b/>
          <w:szCs w:val="21"/>
        </w:rPr>
        <w:t>3.4公交站台及城市家具的保洁要求</w:t>
      </w:r>
    </w:p>
    <w:p>
      <w:pPr>
        <w:spacing w:line="500" w:lineRule="exact"/>
        <w:rPr>
          <w:rFonts w:ascii="宋体" w:hAnsi="宋体" w:cs="宋体"/>
          <w:szCs w:val="21"/>
        </w:rPr>
      </w:pPr>
      <w:r>
        <w:rPr>
          <w:rFonts w:hint="eastAsia" w:ascii="宋体" w:hAnsi="宋体" w:cs="宋体"/>
          <w:szCs w:val="21"/>
        </w:rPr>
        <w:t>3.4.1公交站台：要求每天至少清洗一次。对公交站台内的大小玻璃、支架、座椅、顶棚、指路牌、站台地面需每天做好擦拭、清洗及清扫等保洁工作，保持候车座位、玻璃等站台设施清洁，干净明亮，无污渍、灰尘、牛皮癣及其它脏物，确保站台周围环境卫生干净整洁，候车环境良好。</w:t>
      </w:r>
    </w:p>
    <w:p>
      <w:pPr>
        <w:spacing w:line="500" w:lineRule="exact"/>
        <w:rPr>
          <w:rFonts w:ascii="宋体" w:hAnsi="宋体" w:cs="宋体"/>
          <w:szCs w:val="21"/>
        </w:rPr>
      </w:pPr>
      <w:r>
        <w:rPr>
          <w:rFonts w:hint="eastAsia" w:ascii="宋体" w:hAnsi="宋体" w:cs="宋体"/>
          <w:szCs w:val="21"/>
        </w:rPr>
        <w:t>3.4.2城市家具：要求每天至少清洗一次。对区域范围内的道路主干道的交安设施、标志标牌、护栏进行洗刷，采用机械冲洗的方式，主干道中间及两边护栏要求每周洗刷一次，碰到上级检查和大型活动需要随叫随到，立即组织进行洗刷。交安设施及标志标牌做到每周一次冲洗，无法采用机械清洗的其他城市家具则用人工清洗的方式清洗。以保障城市市容市貌卫生、干净、整洁。</w:t>
      </w:r>
    </w:p>
    <w:p>
      <w:pPr>
        <w:spacing w:line="500" w:lineRule="exact"/>
        <w:rPr>
          <w:rFonts w:ascii="宋体" w:hAnsi="宋体" w:cs="宋体"/>
          <w:b/>
          <w:szCs w:val="21"/>
        </w:rPr>
      </w:pPr>
      <w:r>
        <w:rPr>
          <w:rFonts w:hint="eastAsia" w:ascii="宋体" w:hAnsi="宋体" w:cs="宋体"/>
          <w:b/>
          <w:szCs w:val="21"/>
        </w:rPr>
        <w:t>3.5沿街店面（商铺）垃圾分类上门收集</w:t>
      </w:r>
    </w:p>
    <w:p>
      <w:pPr>
        <w:spacing w:line="500" w:lineRule="exact"/>
        <w:rPr>
          <w:rFonts w:ascii="宋体" w:hAnsi="宋体" w:cs="宋体"/>
          <w:szCs w:val="21"/>
        </w:rPr>
      </w:pPr>
      <w:r>
        <w:rPr>
          <w:rFonts w:hint="eastAsia" w:ascii="宋体" w:hAnsi="宋体" w:cs="宋体"/>
          <w:szCs w:val="21"/>
        </w:rPr>
        <w:t>3.5.1上门收集时间：</w:t>
      </w:r>
    </w:p>
    <w:p>
      <w:pPr>
        <w:spacing w:line="500" w:lineRule="exact"/>
        <w:ind w:firstLine="420" w:firstLineChars="200"/>
        <w:rPr>
          <w:rFonts w:ascii="宋体" w:hAnsi="宋体" w:cs="宋体"/>
          <w:szCs w:val="21"/>
        </w:rPr>
      </w:pPr>
      <w:r>
        <w:rPr>
          <w:rFonts w:hint="eastAsia" w:ascii="宋体" w:hAnsi="宋体" w:cs="宋体"/>
          <w:szCs w:val="21"/>
        </w:rPr>
        <w:t>一天三次，原则上上午、下午、晚上各一次。</w:t>
      </w:r>
    </w:p>
    <w:p>
      <w:pPr>
        <w:spacing w:line="500" w:lineRule="exact"/>
        <w:rPr>
          <w:rFonts w:ascii="宋体" w:hAnsi="宋体" w:cs="宋体"/>
          <w:szCs w:val="21"/>
        </w:rPr>
      </w:pPr>
      <w:r>
        <w:rPr>
          <w:rFonts w:hint="eastAsia" w:ascii="宋体" w:hAnsi="宋体" w:cs="宋体"/>
          <w:szCs w:val="21"/>
        </w:rPr>
        <w:t>3.5.2上门收集区域：</w:t>
      </w:r>
    </w:p>
    <w:p>
      <w:pPr>
        <w:spacing w:line="500" w:lineRule="exact"/>
        <w:ind w:firstLine="420" w:firstLineChars="200"/>
        <w:rPr>
          <w:rFonts w:ascii="宋体" w:hAnsi="宋体" w:cs="宋体"/>
          <w:szCs w:val="21"/>
        </w:rPr>
      </w:pPr>
      <w:r>
        <w:rPr>
          <w:rFonts w:hint="eastAsia" w:ascii="宋体" w:hAnsi="宋体" w:cs="宋体"/>
          <w:szCs w:val="21"/>
        </w:rPr>
        <w:t>辖区范围内的所有沿街店铺产生的除绿能环保科技有限公司协议内的各类垃圾。</w:t>
      </w:r>
    </w:p>
    <w:p>
      <w:pPr>
        <w:spacing w:line="500" w:lineRule="exact"/>
        <w:rPr>
          <w:rFonts w:ascii="宋体" w:hAnsi="宋体" w:cs="宋体"/>
          <w:szCs w:val="21"/>
        </w:rPr>
      </w:pPr>
      <w:r>
        <w:rPr>
          <w:rFonts w:hint="eastAsia" w:ascii="宋体" w:hAnsi="宋体" w:cs="宋体"/>
          <w:szCs w:val="21"/>
        </w:rPr>
        <w:t>3.5.3工作要求：</w:t>
      </w:r>
    </w:p>
    <w:p>
      <w:pPr>
        <w:spacing w:line="500" w:lineRule="exact"/>
        <w:ind w:firstLine="420" w:firstLineChars="200"/>
        <w:rPr>
          <w:rFonts w:ascii="宋体" w:hAnsi="宋体" w:cs="宋体"/>
          <w:szCs w:val="21"/>
        </w:rPr>
      </w:pPr>
      <w:r>
        <w:rPr>
          <w:rFonts w:hint="eastAsia" w:ascii="宋体" w:hAnsi="宋体" w:cs="宋体"/>
          <w:szCs w:val="21"/>
        </w:rPr>
        <w:t>保洁员根据沿街商铺工作时间，上午、下午、晚上三次上门收集垃圾，</w:t>
      </w:r>
      <w:r>
        <w:rPr>
          <w:rFonts w:hint="eastAsia"/>
          <w:color w:val="000000"/>
          <w:szCs w:val="21"/>
        </w:rPr>
        <w:t>日常垃圾分类收集车辆应装有称重设备并创建智能管理平台、根据需要接入市、区数字平台，分为其他垃圾收集车和易腐垃圾收集车，并配有可回收物收集容器和有害垃圾收集容器，进行分类收集</w:t>
      </w:r>
      <w:r>
        <w:rPr>
          <w:rFonts w:hint="eastAsia" w:ascii="宋体" w:hAnsi="宋体" w:cs="宋体"/>
          <w:szCs w:val="21"/>
        </w:rPr>
        <w:t>。中标单位应引导各沿街店铺经营户积极配合环卫工作，实行垃圾袋装化或桶装化后将垃圾袋（桶）摆放在店内，由保洁员上门收集清运，保洁人员凡驾驶电瓶车的，必须按照道路交通安全法规定佩戴头盔。</w:t>
      </w:r>
    </w:p>
    <w:p>
      <w:pPr>
        <w:spacing w:line="500" w:lineRule="exact"/>
        <w:rPr>
          <w:rFonts w:ascii="宋体" w:hAnsi="宋体" w:cs="宋体"/>
          <w:szCs w:val="21"/>
        </w:rPr>
      </w:pPr>
      <w:r>
        <w:rPr>
          <w:rFonts w:hint="eastAsia" w:ascii="宋体" w:hAnsi="宋体" w:cs="宋体"/>
          <w:szCs w:val="21"/>
        </w:rPr>
        <w:t>3.5.4 沿街果壳箱每天至少收集三次以上，不得有满溢现象出现。</w:t>
      </w:r>
    </w:p>
    <w:p>
      <w:pPr>
        <w:spacing w:line="500" w:lineRule="exact"/>
      </w:pPr>
      <w:r>
        <w:rPr>
          <w:rFonts w:hint="eastAsia" w:ascii="宋体" w:hAnsi="宋体" w:cs="宋体"/>
          <w:szCs w:val="21"/>
        </w:rPr>
        <w:t>3.5.5做好沿街店铺垃圾收集缴费工作</w:t>
      </w:r>
    </w:p>
    <w:p>
      <w:pPr>
        <w:spacing w:line="500" w:lineRule="exact"/>
        <w:rPr>
          <w:rFonts w:ascii="宋体" w:hAnsi="宋体" w:cs="宋体"/>
          <w:b/>
          <w:bCs/>
          <w:szCs w:val="21"/>
        </w:rPr>
      </w:pPr>
      <w:r>
        <w:rPr>
          <w:rFonts w:hint="eastAsia" w:ascii="宋体" w:hAnsi="宋体" w:cs="宋体"/>
          <w:b/>
          <w:bCs/>
          <w:szCs w:val="21"/>
        </w:rPr>
        <w:t>3.6其他要求</w:t>
      </w:r>
    </w:p>
    <w:p>
      <w:pPr>
        <w:spacing w:line="500" w:lineRule="exact"/>
        <w:rPr>
          <w:rFonts w:ascii="宋体" w:hAnsi="宋体" w:cs="宋体"/>
          <w:szCs w:val="21"/>
        </w:rPr>
      </w:pPr>
      <w:r>
        <w:rPr>
          <w:rFonts w:hint="eastAsia" w:ascii="宋体" w:hAnsi="宋体" w:cs="宋体"/>
          <w:szCs w:val="21"/>
        </w:rPr>
        <w:t>3.6.1农贸市场四周、休闲广场、停车场、保洁等公共区域，包括全区域内新增加道路，要求无杂物、生活垃圾、建筑垃圾等污物。</w:t>
      </w:r>
    </w:p>
    <w:p>
      <w:pPr>
        <w:spacing w:line="500" w:lineRule="exact"/>
        <w:rPr>
          <w:rFonts w:ascii="宋体" w:hAnsi="宋体" w:cs="宋体"/>
          <w:szCs w:val="21"/>
        </w:rPr>
      </w:pPr>
      <w:r>
        <w:rPr>
          <w:rFonts w:hint="eastAsia" w:ascii="宋体" w:hAnsi="宋体" w:cs="宋体"/>
          <w:szCs w:val="21"/>
        </w:rPr>
        <w:t>3.6.2区域范围内发现乱偷倒生活垃圾、建筑垃圾、工业垃圾等应及时发现上报或处置。</w:t>
      </w:r>
    </w:p>
    <w:p>
      <w:pPr>
        <w:spacing w:line="500" w:lineRule="exact"/>
        <w:rPr>
          <w:rFonts w:ascii="宋体" w:hAnsi="宋体" w:cs="宋体"/>
          <w:szCs w:val="21"/>
        </w:rPr>
      </w:pPr>
      <w:r>
        <w:rPr>
          <w:rFonts w:hint="eastAsia" w:ascii="宋体" w:hAnsi="宋体" w:cs="宋体"/>
          <w:szCs w:val="21"/>
        </w:rPr>
        <w:t>3.6.3保洁人员应文明作业，禁止将垃圾堆入或留在窨井盖上，禁止将垃圾扫入或倒入窨井、道路绿地、河道等处，所有垃圾必须清运到指定地点，不得随意倾倒、不得随意焚烧。垃圾运输途中没有沿路抛洒现象，造成二次环境污染。</w:t>
      </w:r>
    </w:p>
    <w:p>
      <w:pPr>
        <w:spacing w:line="500" w:lineRule="exact"/>
        <w:rPr>
          <w:rFonts w:ascii="宋体" w:hAnsi="宋体" w:cs="宋体"/>
          <w:szCs w:val="21"/>
        </w:rPr>
      </w:pPr>
      <w:r>
        <w:rPr>
          <w:rFonts w:hint="eastAsia" w:ascii="宋体" w:hAnsi="宋体" w:cs="宋体"/>
          <w:szCs w:val="21"/>
        </w:rPr>
        <w:t>3.6.4遇雨雪天气根据清雪作业应急保障需要，可使用洒水车、清洗车冲刷路面积雪，并使用清雪车、扫路车等专业车辆或人工辅助，及时清除路面积水、积雪。</w:t>
      </w:r>
    </w:p>
    <w:p>
      <w:pPr>
        <w:spacing w:line="500" w:lineRule="exact"/>
        <w:rPr>
          <w:rFonts w:ascii="宋体" w:hAnsi="宋体" w:cs="宋体"/>
          <w:szCs w:val="21"/>
        </w:rPr>
      </w:pPr>
      <w:r>
        <w:rPr>
          <w:rFonts w:hint="eastAsia" w:ascii="宋体" w:hAnsi="宋体" w:cs="宋体"/>
          <w:szCs w:val="21"/>
        </w:rPr>
        <w:t>3.6.5本项目配备的所有机动车辆设备均应装载GPS、车载监控，数据需接入秀洲区智慧城管平台，接入及日常运行费用应包含在投标报价内，不再另行支付。</w:t>
      </w:r>
    </w:p>
    <w:p>
      <w:pPr>
        <w:spacing w:line="500" w:lineRule="exact"/>
        <w:rPr>
          <w:rFonts w:ascii="宋体" w:hAnsi="宋体" w:cs="宋体"/>
          <w:szCs w:val="21"/>
        </w:rPr>
      </w:pPr>
      <w:r>
        <w:rPr>
          <w:rFonts w:hint="eastAsia" w:ascii="宋体" w:hAnsi="宋体" w:cs="宋体"/>
          <w:szCs w:val="21"/>
        </w:rPr>
        <w:t>3.6.5投标单位需负责公厕的小型维修工作，如有发现损坏情况应及时进行维修。</w:t>
      </w:r>
    </w:p>
    <w:p>
      <w:pPr>
        <w:spacing w:line="500" w:lineRule="exact"/>
        <w:rPr>
          <w:rFonts w:ascii="宋体" w:hAnsi="宋体" w:cs="宋体"/>
          <w:b/>
          <w:szCs w:val="21"/>
        </w:rPr>
      </w:pPr>
      <w:r>
        <w:rPr>
          <w:rFonts w:hint="eastAsia" w:ascii="宋体" w:hAnsi="宋体" w:cs="宋体"/>
          <w:b/>
          <w:szCs w:val="21"/>
        </w:rPr>
        <w:t>3.6.6如遇卫生、文明城市创建检查须无条件服从采购单位要求，加大机械设备频率、增加人员、延长维护时间。</w:t>
      </w:r>
    </w:p>
    <w:p>
      <w:pPr>
        <w:spacing w:line="500" w:lineRule="exact"/>
        <w:rPr>
          <w:rFonts w:ascii="宋体" w:hAnsi="宋体" w:cs="宋体"/>
          <w:b/>
          <w:szCs w:val="21"/>
        </w:rPr>
      </w:pPr>
      <w:r>
        <w:rPr>
          <w:rFonts w:hint="eastAsia" w:ascii="宋体" w:hAnsi="宋体" w:cs="宋体"/>
          <w:b/>
          <w:szCs w:val="21"/>
        </w:rPr>
        <w:t>3.7垃圾分类管理工作要求</w:t>
      </w:r>
    </w:p>
    <w:p>
      <w:pPr>
        <w:spacing w:line="500" w:lineRule="exact"/>
        <w:ind w:firstLine="420" w:firstLineChars="200"/>
        <w:rPr>
          <w:rFonts w:ascii="宋体" w:hAnsi="宋体" w:cs="宋体"/>
          <w:szCs w:val="21"/>
        </w:rPr>
      </w:pPr>
      <w:r>
        <w:rPr>
          <w:rFonts w:hint="eastAsia" w:ascii="宋体" w:hAnsi="宋体" w:cs="宋体"/>
          <w:szCs w:val="21"/>
        </w:rPr>
        <w:t>垃圾分类投放管理应当做到以下几点：</w:t>
      </w:r>
    </w:p>
    <w:p>
      <w:pPr>
        <w:spacing w:line="500" w:lineRule="exact"/>
        <w:ind w:firstLine="420" w:firstLineChars="200"/>
        <w:rPr>
          <w:rFonts w:ascii="宋体" w:hAnsi="宋体" w:cs="宋体"/>
          <w:szCs w:val="21"/>
        </w:rPr>
      </w:pPr>
      <w:r>
        <w:rPr>
          <w:rFonts w:hint="eastAsia" w:ascii="宋体" w:hAnsi="宋体" w:cs="宋体"/>
          <w:szCs w:val="21"/>
        </w:rPr>
        <w:t>3.7.1建立生活垃圾分类投放责任制和日常管理制度；</w:t>
      </w:r>
    </w:p>
    <w:p>
      <w:pPr>
        <w:spacing w:line="500" w:lineRule="exact"/>
        <w:ind w:firstLine="420" w:firstLineChars="200"/>
        <w:rPr>
          <w:rFonts w:ascii="宋体" w:hAnsi="宋体" w:cs="宋体"/>
          <w:szCs w:val="21"/>
        </w:rPr>
      </w:pPr>
      <w:r>
        <w:rPr>
          <w:rFonts w:hint="eastAsia" w:ascii="宋体" w:hAnsi="宋体" w:cs="宋体"/>
          <w:szCs w:val="21"/>
        </w:rPr>
        <w:t>3.7.2开展生活垃圾分类知识宣传，指导、监督单位和个人分类投放垃圾；</w:t>
      </w:r>
    </w:p>
    <w:p>
      <w:pPr>
        <w:spacing w:line="500" w:lineRule="exact"/>
        <w:ind w:firstLine="420" w:firstLineChars="200"/>
        <w:rPr>
          <w:rFonts w:ascii="宋体" w:hAnsi="宋体" w:cs="宋体"/>
          <w:szCs w:val="21"/>
        </w:rPr>
      </w:pPr>
      <w:r>
        <w:rPr>
          <w:rFonts w:hint="eastAsia" w:ascii="宋体" w:hAnsi="宋体" w:cs="宋体"/>
          <w:szCs w:val="21"/>
        </w:rPr>
        <w:t>3.7.3按照有关规定清洁和维护生活垃圾收集容器；</w:t>
      </w:r>
    </w:p>
    <w:p>
      <w:pPr>
        <w:spacing w:line="500" w:lineRule="exact"/>
        <w:ind w:firstLine="420" w:firstLineChars="200"/>
        <w:rPr>
          <w:rFonts w:ascii="宋体" w:hAnsi="宋体" w:cs="宋体"/>
          <w:szCs w:val="21"/>
        </w:rPr>
      </w:pPr>
      <w:r>
        <w:rPr>
          <w:rFonts w:hint="eastAsia" w:ascii="宋体" w:hAnsi="宋体" w:cs="宋体"/>
          <w:szCs w:val="21"/>
        </w:rPr>
        <w:t>3.7.4将分类投放的垃圾实行中转收集、运输的，分类运送至指定收集站（点）；</w:t>
      </w:r>
    </w:p>
    <w:p>
      <w:pPr>
        <w:spacing w:line="500" w:lineRule="exact"/>
        <w:ind w:firstLine="420" w:firstLineChars="200"/>
        <w:rPr>
          <w:rFonts w:ascii="宋体" w:hAnsi="宋体" w:cs="宋体"/>
          <w:szCs w:val="21"/>
        </w:rPr>
      </w:pPr>
      <w:r>
        <w:rPr>
          <w:rFonts w:hint="eastAsia" w:ascii="宋体" w:hAnsi="宋体" w:cs="宋体"/>
          <w:szCs w:val="21"/>
        </w:rPr>
        <w:t>3.7.5督促垃圾收集、运输单位分类收集、运输生活垃圾。对不按照规定分类投放垃圾的单位和个人，应当予以劝导，并督促改正。</w:t>
      </w:r>
    </w:p>
    <w:p>
      <w:pPr>
        <w:spacing w:line="500" w:lineRule="exact"/>
        <w:ind w:firstLine="420" w:firstLineChars="200"/>
        <w:rPr>
          <w:rFonts w:ascii="宋体" w:hAnsi="宋体" w:cs="宋体"/>
          <w:szCs w:val="21"/>
        </w:rPr>
      </w:pPr>
      <w:r>
        <w:rPr>
          <w:rFonts w:hint="eastAsia" w:ascii="宋体" w:hAnsi="宋体" w:cs="宋体"/>
          <w:szCs w:val="21"/>
        </w:rPr>
        <w:t>3.7.6有害垃圾经过分类后属于危险废物的，运输过程应当遵守危险废物运输管理有关规定。可回收物可以由回收经营者优先回收。</w:t>
      </w:r>
    </w:p>
    <w:p>
      <w:pPr>
        <w:spacing w:line="500" w:lineRule="exact"/>
        <w:ind w:firstLine="420" w:firstLineChars="200"/>
        <w:rPr>
          <w:rFonts w:ascii="宋体" w:hAnsi="宋体" w:cs="宋体"/>
          <w:szCs w:val="21"/>
        </w:rPr>
      </w:pPr>
      <w:r>
        <w:rPr>
          <w:rFonts w:hint="eastAsia" w:ascii="宋体" w:hAnsi="宋体" w:cs="宋体"/>
          <w:szCs w:val="21"/>
        </w:rPr>
        <w:t>3.7.7垃圾收集、运输应当将分类收集的生活垃圾及时运输至规定的地点，不得将分类投放的垃圾混合收集、运输；确因缺乏处置设施或者处置能力不足，暂时需要混合收集、运输的，应当明确期限并向社会公告。居民装修垃圾、大件垃圾实行定时定点收集、运输。</w:t>
      </w:r>
    </w:p>
    <w:p>
      <w:pPr>
        <w:spacing w:line="500" w:lineRule="exact"/>
        <w:rPr>
          <w:rFonts w:ascii="宋体" w:hAnsi="宋体" w:cs="宋体"/>
          <w:b/>
          <w:szCs w:val="21"/>
        </w:rPr>
      </w:pPr>
      <w:r>
        <w:rPr>
          <w:rFonts w:hint="eastAsia" w:ascii="宋体" w:hAnsi="宋体" w:cs="宋体"/>
          <w:b/>
          <w:szCs w:val="21"/>
        </w:rPr>
        <w:t>3.8牛皮癣清理</w:t>
      </w:r>
    </w:p>
    <w:p>
      <w:pPr>
        <w:spacing w:line="500" w:lineRule="exact"/>
        <w:ind w:firstLine="420" w:firstLineChars="200"/>
      </w:pPr>
      <w:r>
        <w:rPr>
          <w:rFonts w:hint="eastAsia" w:ascii="宋体" w:hAnsi="宋体" w:cs="宋体"/>
          <w:szCs w:val="21"/>
        </w:rPr>
        <w:t>区域内建筑物外墙、各类电线杆及各类公共设施上的乱张贴、乱涂写、乱刻画、乱吊挂和过时破损标语及非法广告应及时涂刷（涂刷时颜色大致与后墙体相同），清理时尽可能不破坏原基础，达到美观的效果。</w:t>
      </w:r>
    </w:p>
    <w:p>
      <w:pPr>
        <w:spacing w:line="500" w:lineRule="exact"/>
        <w:rPr>
          <w:rFonts w:ascii="宋体" w:hAnsi="宋体" w:cs="宋体"/>
          <w:b/>
          <w:szCs w:val="21"/>
        </w:rPr>
      </w:pPr>
      <w:r>
        <w:rPr>
          <w:rFonts w:hint="eastAsia" w:ascii="宋体" w:hAnsi="宋体" w:cs="宋体"/>
          <w:b/>
          <w:szCs w:val="21"/>
        </w:rPr>
        <w:t>3.9河道保洁要求</w:t>
      </w:r>
    </w:p>
    <w:p>
      <w:pPr>
        <w:spacing w:line="500" w:lineRule="exact"/>
        <w:rPr>
          <w:rFonts w:ascii="宋体" w:hAnsi="宋体" w:cs="宋体"/>
          <w:bCs/>
          <w:szCs w:val="21"/>
        </w:rPr>
      </w:pPr>
      <w:r>
        <w:rPr>
          <w:rFonts w:hint="eastAsia" w:ascii="宋体" w:hAnsi="宋体" w:cs="宋体"/>
          <w:bCs/>
          <w:szCs w:val="21"/>
        </w:rPr>
        <w:t>3.9.1列入保洁范围的河道水面均实施全日制巡回保洁。</w:t>
      </w:r>
    </w:p>
    <w:p>
      <w:pPr>
        <w:spacing w:line="500" w:lineRule="exact"/>
        <w:rPr>
          <w:rFonts w:ascii="宋体" w:hAnsi="宋体" w:cs="宋体"/>
          <w:bCs/>
          <w:szCs w:val="21"/>
        </w:rPr>
      </w:pPr>
      <w:r>
        <w:rPr>
          <w:rFonts w:hint="eastAsia" w:ascii="宋体" w:hAnsi="宋体" w:cs="宋体"/>
          <w:bCs/>
          <w:szCs w:val="21"/>
        </w:rPr>
        <w:t>3.9.2河道每天打捞不少于八小时，对重点河段水面要全日制巡回保洁，原则上达到洁净即可，重大节日或上级部门有要求须增加打捞次数。</w:t>
      </w:r>
    </w:p>
    <w:p>
      <w:pPr>
        <w:spacing w:line="500" w:lineRule="exact"/>
        <w:rPr>
          <w:rFonts w:ascii="宋体" w:hAnsi="宋体" w:cs="宋体"/>
          <w:bCs/>
          <w:szCs w:val="21"/>
        </w:rPr>
      </w:pPr>
      <w:r>
        <w:rPr>
          <w:rFonts w:hint="eastAsia" w:ascii="宋体" w:hAnsi="宋体" w:cs="宋体"/>
          <w:bCs/>
          <w:szCs w:val="21"/>
        </w:rPr>
        <w:t>3.9.3水面保洁质量要求达到“三无三净”。“三无”即：河面无漂浮物、岸边无水生植物、河边无暴露垃圾；“三净”即：水面干净、浅滩干净、堤岸干净。</w:t>
      </w:r>
    </w:p>
    <w:p>
      <w:pPr>
        <w:spacing w:line="500" w:lineRule="exact"/>
        <w:rPr>
          <w:rFonts w:ascii="宋体" w:hAnsi="宋体" w:cs="宋体"/>
          <w:bCs/>
          <w:szCs w:val="21"/>
        </w:rPr>
      </w:pPr>
      <w:r>
        <w:rPr>
          <w:rFonts w:hint="eastAsia" w:ascii="宋体" w:hAnsi="宋体" w:cs="宋体"/>
          <w:bCs/>
          <w:szCs w:val="21"/>
        </w:rPr>
        <w:t>3.9.4发现死亡动物及时汇报有关部门。</w:t>
      </w:r>
    </w:p>
    <w:p>
      <w:pPr>
        <w:spacing w:line="500" w:lineRule="exact"/>
        <w:rPr>
          <w:rFonts w:ascii="宋体" w:hAnsi="宋体" w:cs="宋体"/>
          <w:bCs/>
          <w:szCs w:val="21"/>
        </w:rPr>
      </w:pPr>
      <w:r>
        <w:rPr>
          <w:rFonts w:hint="eastAsia" w:ascii="宋体" w:hAnsi="宋体" w:cs="宋体"/>
          <w:bCs/>
          <w:szCs w:val="21"/>
        </w:rPr>
        <w:t>3.9.5保持河道两岸、桥堍两侧10米内干净。</w:t>
      </w:r>
    </w:p>
    <w:p>
      <w:pPr>
        <w:spacing w:line="500" w:lineRule="exact"/>
        <w:rPr>
          <w:rFonts w:ascii="宋体" w:hAnsi="宋体" w:cs="宋体"/>
          <w:bCs/>
          <w:szCs w:val="21"/>
        </w:rPr>
      </w:pPr>
      <w:r>
        <w:rPr>
          <w:rFonts w:hint="eastAsia" w:ascii="宋体" w:hAnsi="宋体" w:cs="宋体"/>
          <w:bCs/>
          <w:szCs w:val="21"/>
        </w:rPr>
        <w:t>3.9.6每月三次定期清理河岸的枯枝杂草（特别是有护岸的河道）。</w:t>
      </w:r>
    </w:p>
    <w:p>
      <w:pPr>
        <w:spacing w:line="500" w:lineRule="exact"/>
        <w:rPr>
          <w:rFonts w:ascii="宋体" w:hAnsi="宋体" w:cs="宋体"/>
          <w:bCs/>
          <w:szCs w:val="21"/>
        </w:rPr>
      </w:pPr>
      <w:r>
        <w:rPr>
          <w:rFonts w:hint="eastAsia" w:ascii="宋体" w:hAnsi="宋体" w:cs="宋体"/>
          <w:bCs/>
          <w:szCs w:val="21"/>
        </w:rPr>
        <w:t>3.9.7保洁河道中没有拦污栅的，需由中标方自行建设，已有拦污栅的，中标方需做好养护工作，费用含在投标报价中。</w:t>
      </w:r>
    </w:p>
    <w:p>
      <w:pPr>
        <w:spacing w:line="500" w:lineRule="exact"/>
        <w:rPr>
          <w:rFonts w:ascii="宋体" w:hAnsi="宋体" w:cs="宋体"/>
          <w:bCs/>
          <w:szCs w:val="21"/>
        </w:rPr>
      </w:pPr>
      <w:r>
        <w:rPr>
          <w:rFonts w:hint="eastAsia" w:ascii="宋体" w:hAnsi="宋体" w:cs="宋体"/>
          <w:bCs/>
          <w:szCs w:val="21"/>
        </w:rPr>
        <w:t>3.9.8保洁船上配有分类桶或分类设施，捞后的垃圾、杂草、水生植物等进行分类，不可腐烂垃圾（其他垃圾）送到垃圾中转房转运处置，杂草、水生植物可腐烂物装运到镇有机垃圾处理中心进行集中处置。</w:t>
      </w:r>
    </w:p>
    <w:p>
      <w:pPr>
        <w:spacing w:line="500" w:lineRule="exact"/>
      </w:pPr>
      <w:r>
        <w:rPr>
          <w:rFonts w:hint="eastAsia" w:ascii="宋体" w:hAnsi="宋体" w:cs="宋体"/>
          <w:bCs/>
          <w:szCs w:val="21"/>
        </w:rPr>
        <w:t>3.9.9 公园中水域内的水草要每月清理一次，标准以政府部门要求为准。</w:t>
      </w:r>
    </w:p>
    <w:p>
      <w:pPr>
        <w:spacing w:line="500" w:lineRule="exact"/>
        <w:rPr>
          <w:rFonts w:ascii="宋体" w:hAnsi="宋体" w:cs="宋体"/>
          <w:b/>
          <w:szCs w:val="21"/>
        </w:rPr>
      </w:pPr>
      <w:r>
        <w:rPr>
          <w:rFonts w:hint="eastAsia" w:ascii="宋体" w:hAnsi="宋体" w:cs="宋体"/>
          <w:b/>
          <w:szCs w:val="21"/>
        </w:rPr>
        <w:t>3.10其他要求</w:t>
      </w:r>
    </w:p>
    <w:p>
      <w:pPr>
        <w:spacing w:line="500" w:lineRule="exact"/>
        <w:ind w:firstLine="420" w:firstLineChars="200"/>
        <w:rPr>
          <w:rFonts w:ascii="宋体" w:hAnsi="宋体" w:cs="宋体"/>
          <w:szCs w:val="21"/>
        </w:rPr>
      </w:pPr>
      <w:r>
        <w:rPr>
          <w:rFonts w:hint="eastAsia" w:ascii="宋体" w:hAnsi="宋体" w:cs="宋体"/>
          <w:szCs w:val="21"/>
        </w:rPr>
        <w:t>3.10.1要求服务期内所有保洁车辆均应保持车貌整洁，无渗漏。服务期内所有机械设备根据业主要求进行统一标识。</w:t>
      </w:r>
    </w:p>
    <w:p>
      <w:pPr>
        <w:spacing w:line="500" w:lineRule="exact"/>
        <w:ind w:firstLine="420" w:firstLineChars="200"/>
        <w:rPr>
          <w:rFonts w:ascii="宋体" w:hAnsi="宋体" w:cs="宋体"/>
          <w:szCs w:val="21"/>
        </w:rPr>
      </w:pPr>
      <w:r>
        <w:rPr>
          <w:rFonts w:hint="eastAsia" w:ascii="宋体" w:hAnsi="宋体" w:cs="宋体"/>
          <w:szCs w:val="21"/>
        </w:rPr>
        <w:t>3.10.2有配套的保洁措施和与招标相融合的定期督查机制。</w:t>
      </w:r>
    </w:p>
    <w:p>
      <w:pPr>
        <w:spacing w:line="500" w:lineRule="exact"/>
        <w:ind w:firstLine="420" w:firstLineChars="200"/>
        <w:rPr>
          <w:rFonts w:ascii="宋体" w:hAnsi="宋体" w:cs="宋体"/>
          <w:szCs w:val="21"/>
        </w:rPr>
      </w:pPr>
      <w:r>
        <w:rPr>
          <w:rFonts w:hint="eastAsia" w:ascii="宋体" w:hAnsi="宋体" w:cs="宋体"/>
          <w:szCs w:val="21"/>
        </w:rPr>
        <w:t>3.10.3根据招标要求配置的所有人员的吃住等生活问题的解决，由中标单位自行解决。</w:t>
      </w:r>
    </w:p>
    <w:p>
      <w:pPr>
        <w:spacing w:line="500" w:lineRule="exact"/>
        <w:ind w:firstLine="420" w:firstLineChars="200"/>
        <w:rPr>
          <w:rFonts w:ascii="宋体" w:hAnsi="宋体" w:cs="宋体"/>
          <w:szCs w:val="21"/>
        </w:rPr>
      </w:pPr>
      <w:r>
        <w:rPr>
          <w:rFonts w:hint="eastAsia" w:ascii="宋体" w:hAnsi="宋体" w:cs="宋体"/>
          <w:szCs w:val="21"/>
        </w:rPr>
        <w:t>3.10.4中标单位要制订用工计划和加强劳动用工管理，必须符合劳动法等法律法规的要求，与员工签订正规的劳动合同，负责支付上岗人员的工资、津贴、社会保险、工伤意外保险及根据国家规定应支付的各项费用。承担体检、培训费用，并负责办理上岗人员的居住证、计划生育证明等有关证件。如果采购单位根据实际情况需要增加或减少人员，则按投标文件的标准支付或扣除相应费用。</w:t>
      </w:r>
    </w:p>
    <w:p>
      <w:pPr>
        <w:spacing w:line="500" w:lineRule="exact"/>
        <w:ind w:firstLine="420" w:firstLineChars="200"/>
        <w:rPr>
          <w:rFonts w:ascii="宋体" w:hAnsi="宋体" w:cs="宋体"/>
          <w:szCs w:val="21"/>
        </w:rPr>
      </w:pPr>
      <w:r>
        <w:rPr>
          <w:rFonts w:hint="eastAsia" w:ascii="宋体" w:hAnsi="宋体" w:cs="宋体"/>
          <w:szCs w:val="21"/>
        </w:rPr>
        <w:t>3.10.5中标单位在整个保洁过程中，发生安全事故的，包括人员伤亡、职业危害、设备损坏、经济损失等，其发生的一切费用均由中标单位负责，与采购单位无关。</w:t>
      </w:r>
    </w:p>
    <w:p>
      <w:pPr>
        <w:spacing w:line="500" w:lineRule="exact"/>
        <w:ind w:firstLine="420" w:firstLineChars="200"/>
        <w:rPr>
          <w:rFonts w:ascii="宋体" w:hAnsi="宋体" w:cs="宋体"/>
          <w:szCs w:val="21"/>
        </w:rPr>
      </w:pPr>
      <w:r>
        <w:rPr>
          <w:rFonts w:hint="eastAsia" w:ascii="宋体" w:hAnsi="宋体" w:cs="宋体"/>
          <w:szCs w:val="21"/>
        </w:rPr>
        <w:t>3.10.6所有岗位作业人员所需要的工器具、保洁工具等均由投标人负责，使用和发放管理由投标人自行管理。</w:t>
      </w:r>
    </w:p>
    <w:p>
      <w:pPr>
        <w:spacing w:line="500" w:lineRule="exact"/>
        <w:ind w:firstLine="420" w:firstLineChars="200"/>
        <w:rPr>
          <w:rFonts w:ascii="宋体" w:hAnsi="宋体" w:cs="宋体"/>
          <w:szCs w:val="21"/>
        </w:rPr>
      </w:pPr>
      <w:r>
        <w:rPr>
          <w:rFonts w:hint="eastAsia" w:ascii="宋体" w:hAnsi="宋体" w:cs="宋体"/>
          <w:szCs w:val="21"/>
        </w:rPr>
        <w:t>3.10.7本项目现场条件以各投标单位现场路勘情况为准。由中标单位以包工、包料、包质量、包安全等方式总承包。中标单位中标以后不得分包、转包。如一经发现上述行为，招标单位单方有权立即将终止合同并没收履约保证金，由此产生一切法律责任和经济损失均由承包单位承担。</w:t>
      </w:r>
    </w:p>
    <w:p>
      <w:pPr>
        <w:spacing w:line="360" w:lineRule="auto"/>
        <w:rPr>
          <w:rFonts w:ascii="宋体" w:hAnsi="宋体" w:cs="宋体"/>
          <w:b/>
          <w:bCs/>
          <w:szCs w:val="21"/>
        </w:rPr>
      </w:pPr>
      <w:r>
        <w:rPr>
          <w:rFonts w:hint="eastAsia" w:ascii="宋体" w:hAnsi="宋体" w:cs="宋体"/>
          <w:b/>
          <w:bCs/>
          <w:szCs w:val="21"/>
        </w:rPr>
        <w:t>四、保洁管理要求</w:t>
      </w:r>
    </w:p>
    <w:p>
      <w:pPr>
        <w:spacing w:line="360" w:lineRule="auto"/>
        <w:ind w:firstLine="420" w:firstLineChars="200"/>
        <w:rPr>
          <w:rFonts w:ascii="宋体" w:hAnsi="宋体" w:cs="宋体"/>
          <w:szCs w:val="21"/>
        </w:rPr>
      </w:pPr>
      <w:r>
        <w:rPr>
          <w:rFonts w:hint="eastAsia" w:ascii="宋体" w:hAnsi="宋体" w:cs="宋体"/>
          <w:szCs w:val="21"/>
        </w:rPr>
        <w:t>1、中标单位应设有专门的检查管理组，每天对镇里指定的重点路段和点位进行检查考核，并把检查考核的工作照片在9点前报镇相关部门。</w:t>
      </w:r>
    </w:p>
    <w:p>
      <w:pPr>
        <w:spacing w:line="360" w:lineRule="auto"/>
        <w:ind w:firstLine="420" w:firstLineChars="200"/>
        <w:rPr>
          <w:rFonts w:ascii="宋体" w:hAnsi="宋体" w:cs="宋体"/>
          <w:szCs w:val="21"/>
        </w:rPr>
      </w:pPr>
      <w:r>
        <w:rPr>
          <w:rFonts w:hint="eastAsia" w:ascii="宋体" w:hAnsi="宋体" w:cs="宋体"/>
          <w:szCs w:val="21"/>
        </w:rPr>
        <w:t>2、接受市、区部门的考核、监督和上级交办的临时任务，听从镇主管部门及时落实应急任务。</w:t>
      </w:r>
    </w:p>
    <w:p>
      <w:pPr>
        <w:spacing w:line="360" w:lineRule="auto"/>
        <w:ind w:firstLine="420" w:firstLineChars="200"/>
        <w:rPr>
          <w:rFonts w:ascii="宋体" w:hAnsi="宋体" w:cs="宋体"/>
          <w:szCs w:val="21"/>
        </w:rPr>
      </w:pPr>
      <w:r>
        <w:rPr>
          <w:rFonts w:hint="eastAsia" w:ascii="宋体" w:hAnsi="宋体" w:cs="宋体"/>
          <w:szCs w:val="21"/>
        </w:rPr>
        <w:t>3、应对区级以上检查考核指出的问题进行及时整改并重点督查，确保下次检查不出问题。</w:t>
      </w:r>
    </w:p>
    <w:p>
      <w:pPr>
        <w:spacing w:line="460" w:lineRule="exact"/>
        <w:rPr>
          <w:b/>
          <w:color w:val="000000"/>
          <w:szCs w:val="21"/>
        </w:rPr>
      </w:pPr>
      <w:bookmarkStart w:id="9" w:name="_Toc491244974"/>
      <w:bookmarkStart w:id="10" w:name="_Toc406402986"/>
      <w:bookmarkStart w:id="11" w:name="_Toc23098"/>
      <w:r>
        <w:rPr>
          <w:rFonts w:hint="eastAsia"/>
          <w:b/>
          <w:color w:val="000000"/>
          <w:szCs w:val="21"/>
        </w:rPr>
        <w:t>五、项目考核</w:t>
      </w:r>
    </w:p>
    <w:p>
      <w:pPr>
        <w:spacing w:line="460" w:lineRule="exact"/>
        <w:ind w:firstLine="422" w:firstLineChars="200"/>
        <w:rPr>
          <w:color w:val="000000"/>
          <w:szCs w:val="21"/>
        </w:rPr>
      </w:pPr>
      <w:r>
        <w:rPr>
          <w:rFonts w:hint="eastAsia"/>
          <w:b/>
          <w:szCs w:val="21"/>
        </w:rPr>
        <w:t>1、考核评分细则</w:t>
      </w:r>
    </w:p>
    <w:p>
      <w:pPr>
        <w:ind w:firstLine="2520" w:firstLineChars="1200"/>
        <w:rPr>
          <w:color w:val="000000"/>
          <w:szCs w:val="21"/>
        </w:rPr>
      </w:pPr>
      <w:r>
        <w:rPr>
          <w:rFonts w:hint="eastAsia"/>
          <w:color w:val="000000"/>
          <w:szCs w:val="21"/>
        </w:rPr>
        <w:t>油车港镇人民政府镇区保洁考核评分细则</w:t>
      </w:r>
    </w:p>
    <w:tbl>
      <w:tblPr>
        <w:tblStyle w:val="33"/>
        <w:tblW w:w="947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649"/>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1" w:type="dxa"/>
            <w:vMerge w:val="restart"/>
            <w:vAlign w:val="center"/>
          </w:tcPr>
          <w:p>
            <w:pPr>
              <w:rPr>
                <w:color w:val="auto"/>
                <w:szCs w:val="21"/>
              </w:rPr>
            </w:pPr>
            <w:r>
              <w:rPr>
                <w:rFonts w:hint="eastAsia"/>
                <w:color w:val="auto"/>
                <w:szCs w:val="21"/>
              </w:rPr>
              <w:t>保洁、垃圾</w:t>
            </w:r>
          </w:p>
          <w:p>
            <w:pPr>
              <w:rPr>
                <w:color w:val="auto"/>
                <w:szCs w:val="21"/>
              </w:rPr>
            </w:pPr>
            <w:r>
              <w:rPr>
                <w:rFonts w:hint="eastAsia"/>
                <w:color w:val="auto"/>
                <w:szCs w:val="21"/>
              </w:rPr>
              <w:t>收集等</w:t>
            </w:r>
          </w:p>
          <w:p>
            <w:pPr>
              <w:ind w:firstLine="420" w:firstLineChars="200"/>
              <w:rPr>
                <w:color w:val="auto"/>
                <w:szCs w:val="21"/>
              </w:rPr>
            </w:pPr>
          </w:p>
        </w:tc>
        <w:tc>
          <w:tcPr>
            <w:tcW w:w="4649" w:type="dxa"/>
            <w:vAlign w:val="center"/>
          </w:tcPr>
          <w:p>
            <w:pPr>
              <w:jc w:val="left"/>
              <w:rPr>
                <w:color w:val="auto"/>
                <w:szCs w:val="21"/>
              </w:rPr>
            </w:pPr>
            <w:r>
              <w:rPr>
                <w:rFonts w:hint="eastAsia"/>
                <w:color w:val="auto"/>
                <w:szCs w:val="21"/>
              </w:rPr>
              <w:t>建成区保洁时间 5:00-21:30 ,其他区域5：00-19：30按规定时间路段到岗（具体在岗时间随季节、保洁要求适当调整）。首次普遍清扫夏季（6月-8月）在上午6时30分以前完成，春、秋、冬季（9月-次年5月）在上午7时完成</w:t>
            </w:r>
          </w:p>
        </w:tc>
        <w:tc>
          <w:tcPr>
            <w:tcW w:w="4071" w:type="dxa"/>
            <w:vAlign w:val="center"/>
          </w:tcPr>
          <w:p>
            <w:pPr>
              <w:rPr>
                <w:color w:val="auto"/>
                <w:szCs w:val="21"/>
              </w:rPr>
            </w:pPr>
            <w:r>
              <w:rPr>
                <w:rFonts w:hint="eastAsia"/>
                <w:color w:val="auto"/>
                <w:szCs w:val="21"/>
              </w:rPr>
              <w:t xml:space="preserve">未按规定到岗每1人扣100元，计0.5分。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道路保洁质量应达到“六无五净”，即无果皮纸屑、无土石杂草、无积水积泥、无痰迹烟蒂、无堆积物、无乱张贴（乱涂写），路面干净、行道树穴干净、边角侧石干净、窨井沟眼畅通干净。垃圾滞留时间：一级道路（区域）不超过10分钟，二级道路（区域）不超过15分钟，三级道路（区域）不超过20分钟。</w:t>
            </w:r>
          </w:p>
        </w:tc>
        <w:tc>
          <w:tcPr>
            <w:tcW w:w="4071" w:type="dxa"/>
            <w:vAlign w:val="center"/>
          </w:tcPr>
          <w:p>
            <w:pPr>
              <w:rPr>
                <w:color w:val="auto"/>
                <w:szCs w:val="21"/>
              </w:rPr>
            </w:pPr>
            <w:r>
              <w:rPr>
                <w:rFonts w:hint="eastAsia"/>
                <w:color w:val="auto"/>
                <w:szCs w:val="21"/>
              </w:rPr>
              <w:t>发现一次未按规定完成扣100-200元，计0.2-0.4分；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道路路面、桥梁两侧没有积尘、沙土等，道路需路面冲洗，每天应不少于2次，或视路实际情况而定。冲洗时间一般应在晚上或清晨</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发现一次未按规定完成扣500元，计1分；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绿道、休闲公园广场、停车场、公交站台及其他公共场所等保洁，按照 “六无五净”要求落实。</w:t>
            </w:r>
          </w:p>
        </w:tc>
        <w:tc>
          <w:tcPr>
            <w:tcW w:w="4071" w:type="dxa"/>
            <w:shd w:val="clear" w:color="auto" w:fill="FFFFFF" w:themeFill="background1"/>
            <w:vAlign w:val="center"/>
          </w:tcPr>
          <w:p>
            <w:pPr>
              <w:rPr>
                <w:color w:val="auto"/>
                <w:szCs w:val="21"/>
              </w:rPr>
            </w:pPr>
            <w:r>
              <w:rPr>
                <w:rFonts w:hint="eastAsia"/>
                <w:color w:val="auto"/>
                <w:szCs w:val="21"/>
              </w:rPr>
              <w:t>成堆成片垃圾0.5M2以上每处扣2000-10000元，计3分；0.5M2以下每处扣1000元，计2分；零星垃圾，每处扣500元，计1分；路（硬地）面积泥、污水每处扣300元，计0.5分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发包区域范围内乱偷到生活垃圾、建筑垃圾、工业垃圾及时处置</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发现一次未按规定完成扣2000-5000元，计3分；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承包范围所有垃圾桶、垃圾箱垃圾做到日产日清，无陈旧垃圾过夜；主要道路沿街店铺垃圾上门分类收集。</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发现一次未按规定完成扣50-100元，计0.1至0.2分；发现垃圾房周围有垃圾堆的扣100－500，每次计05.－1分。发现垃圾中转房内垃圾外溢、不及时清运的，每次扣500－1000元，计2－3分；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垃圾必须清运到指定地点，不得随意倾倒、不得随意焚烧。</w:t>
            </w:r>
          </w:p>
        </w:tc>
        <w:tc>
          <w:tcPr>
            <w:tcW w:w="4071" w:type="dxa"/>
            <w:shd w:val="clear" w:color="auto" w:fill="FFFFFF" w:themeFill="background1"/>
            <w:vAlign w:val="center"/>
          </w:tcPr>
          <w:p>
            <w:pPr>
              <w:rPr>
                <w:color w:val="auto"/>
                <w:szCs w:val="21"/>
              </w:rPr>
            </w:pPr>
            <w:r>
              <w:rPr>
                <w:rFonts w:hint="eastAsia"/>
                <w:color w:val="auto"/>
                <w:szCs w:val="21"/>
              </w:rPr>
              <w:t>发现随意倾倒扣500-2000元/次，计2-4分，发现随意焚烧扣2000元-5000元/次，计4-10分，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夏、秋季定期对垃圾箱、垃圾桶消杀, 防止蚊蝇产生。果壳箱等设备按所在道路（区域）等级清理及清洗。</w:t>
            </w:r>
          </w:p>
        </w:tc>
        <w:tc>
          <w:tcPr>
            <w:tcW w:w="4071" w:type="dxa"/>
            <w:vAlign w:val="center"/>
          </w:tcPr>
          <w:p>
            <w:pPr>
              <w:rPr>
                <w:color w:val="auto"/>
                <w:szCs w:val="21"/>
              </w:rPr>
            </w:pPr>
            <w:r>
              <w:rPr>
                <w:rFonts w:hint="eastAsia"/>
                <w:color w:val="auto"/>
                <w:szCs w:val="21"/>
              </w:rPr>
              <w:t>发现一次违规操作扣50-100元，计0.1-0.2分。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垃圾运输途中没有沿路抛洒滴漏现象，造成二次环境污染</w:t>
            </w:r>
          </w:p>
        </w:tc>
        <w:tc>
          <w:tcPr>
            <w:tcW w:w="4071" w:type="dxa"/>
            <w:vAlign w:val="center"/>
          </w:tcPr>
          <w:p>
            <w:pPr>
              <w:rPr>
                <w:color w:val="auto"/>
                <w:szCs w:val="21"/>
              </w:rPr>
            </w:pPr>
            <w:r>
              <w:rPr>
                <w:rFonts w:hint="eastAsia"/>
                <w:color w:val="auto"/>
                <w:szCs w:val="21"/>
              </w:rPr>
              <w:t>发现一次违规操作扣500-1000元，计1-2分。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清扫工人必须着统一带反光标记的安全服装作业，人工清扫必须做到遵章守纪讲安全，操作工具统一存放指定地点</w:t>
            </w:r>
          </w:p>
        </w:tc>
        <w:tc>
          <w:tcPr>
            <w:tcW w:w="4071" w:type="dxa"/>
            <w:shd w:val="clear" w:color="auto" w:fill="FFFFFF" w:themeFill="background1"/>
            <w:vAlign w:val="center"/>
          </w:tcPr>
          <w:p>
            <w:pPr>
              <w:rPr>
                <w:color w:val="auto"/>
                <w:szCs w:val="21"/>
              </w:rPr>
            </w:pPr>
            <w:r>
              <w:rPr>
                <w:rFonts w:hint="eastAsia"/>
                <w:color w:val="auto"/>
                <w:szCs w:val="21"/>
              </w:rPr>
              <w:t>发现一次未按规定着装扣50元/人，计0.1分/人；违反规定，每发现1人扣50元/人，计0.1分/人；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51" w:type="dxa"/>
            <w:vMerge w:val="restart"/>
            <w:vAlign w:val="center"/>
          </w:tcPr>
          <w:p>
            <w:pPr>
              <w:rPr>
                <w:color w:val="auto"/>
                <w:szCs w:val="21"/>
              </w:rPr>
            </w:pPr>
            <w:r>
              <w:rPr>
                <w:rFonts w:hint="eastAsia"/>
                <w:color w:val="auto"/>
                <w:szCs w:val="21"/>
              </w:rPr>
              <w:t>车辆设施、设备</w:t>
            </w:r>
          </w:p>
        </w:tc>
        <w:tc>
          <w:tcPr>
            <w:tcW w:w="4649" w:type="dxa"/>
            <w:shd w:val="clear" w:color="auto" w:fill="FFFFFF" w:themeFill="background1"/>
            <w:vAlign w:val="center"/>
          </w:tcPr>
          <w:p>
            <w:pPr>
              <w:rPr>
                <w:color w:val="auto"/>
                <w:szCs w:val="21"/>
              </w:rPr>
            </w:pPr>
            <w:r>
              <w:rPr>
                <w:rFonts w:hint="eastAsia"/>
                <w:color w:val="auto"/>
                <w:szCs w:val="21"/>
              </w:rPr>
              <w:t>全区域内环卫设施、设备不得擅自拆除，定期维护及检修，正常使用。</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发现一次未按规定完成扣50-100元，计0.1-0.2分。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垃圾运输车辆要密闭并保持外表整洁，并符合垃圾分类运输要求。</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发现一次未按规定完成扣500-1000元，计1-2分。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tcPr>
          <w:p>
            <w:pPr>
              <w:rPr>
                <w:color w:val="auto"/>
                <w:szCs w:val="21"/>
              </w:rPr>
            </w:pPr>
            <w:r>
              <w:rPr>
                <w:rFonts w:hint="eastAsia"/>
                <w:color w:val="auto"/>
                <w:szCs w:val="21"/>
              </w:rPr>
              <w:t>车辆GPS定位及视频监控运行正常；</w:t>
            </w:r>
          </w:p>
        </w:tc>
        <w:tc>
          <w:tcPr>
            <w:tcW w:w="4071" w:type="dxa"/>
            <w:shd w:val="clear" w:color="auto" w:fill="FFFFFF" w:themeFill="background1"/>
          </w:tcPr>
          <w:p>
            <w:pPr>
              <w:rPr>
                <w:color w:val="auto"/>
                <w:szCs w:val="21"/>
              </w:rPr>
            </w:pPr>
            <w:r>
              <w:rPr>
                <w:rFonts w:hint="eastAsia"/>
                <w:color w:val="auto"/>
                <w:szCs w:val="21"/>
              </w:rPr>
              <w:t>发现一辆车辆运行工作无故不正常超过3天的，每次扣5分，计3000元；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51" w:type="dxa"/>
            <w:vMerge w:val="continue"/>
            <w:vAlign w:val="center"/>
          </w:tcPr>
          <w:p>
            <w:pPr>
              <w:ind w:firstLine="420" w:firstLineChars="200"/>
              <w:rPr>
                <w:color w:val="auto"/>
                <w:szCs w:val="21"/>
              </w:rPr>
            </w:pPr>
          </w:p>
        </w:tc>
        <w:tc>
          <w:tcPr>
            <w:tcW w:w="4649" w:type="dxa"/>
            <w:shd w:val="clear" w:color="auto" w:fill="FFFFFF" w:themeFill="background1"/>
            <w:vAlign w:val="center"/>
          </w:tcPr>
          <w:p>
            <w:pPr>
              <w:rPr>
                <w:color w:val="auto"/>
                <w:szCs w:val="21"/>
              </w:rPr>
            </w:pPr>
            <w:r>
              <w:rPr>
                <w:rFonts w:hint="eastAsia"/>
                <w:color w:val="auto"/>
                <w:szCs w:val="21"/>
              </w:rPr>
              <w:t>环卫专业车辆完成当天任务完成后必须回场，按规定地方停放，车辆严禁外借他人驾驶，驾驶员必须严格遵守《道路交通管理条例》，不得违章乱楟车。</w:t>
            </w:r>
          </w:p>
        </w:tc>
        <w:tc>
          <w:tcPr>
            <w:tcW w:w="4071" w:type="dxa"/>
            <w:shd w:val="clear" w:color="auto" w:fill="FFFFFF" w:themeFill="background1"/>
            <w:vAlign w:val="center"/>
          </w:tcPr>
          <w:p>
            <w:pPr>
              <w:rPr>
                <w:color w:val="auto"/>
                <w:szCs w:val="21"/>
              </w:rPr>
            </w:pPr>
            <w:r>
              <w:rPr>
                <w:rFonts w:hint="eastAsia"/>
                <w:color w:val="auto"/>
                <w:szCs w:val="21"/>
              </w:rPr>
              <w:t>发现一次未按规定完成扣50-100元，计0.1-0.2分。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vAlign w:val="center"/>
          </w:tcPr>
          <w:p>
            <w:pPr>
              <w:rPr>
                <w:color w:val="auto"/>
                <w:szCs w:val="21"/>
              </w:rPr>
            </w:pPr>
            <w:r>
              <w:rPr>
                <w:rFonts w:hint="eastAsia"/>
                <w:color w:val="auto"/>
                <w:szCs w:val="21"/>
              </w:rPr>
              <w:t>公厕</w:t>
            </w:r>
          </w:p>
          <w:p>
            <w:pPr>
              <w:ind w:firstLine="420" w:firstLineChars="200"/>
              <w:rPr>
                <w:color w:val="auto"/>
                <w:szCs w:val="21"/>
              </w:rPr>
            </w:pPr>
          </w:p>
        </w:tc>
        <w:tc>
          <w:tcPr>
            <w:tcW w:w="4649" w:type="dxa"/>
            <w:vAlign w:val="center"/>
          </w:tcPr>
          <w:p>
            <w:pPr>
              <w:rPr>
                <w:color w:val="auto"/>
                <w:szCs w:val="21"/>
              </w:rPr>
            </w:pPr>
            <w:r>
              <w:rPr>
                <w:rFonts w:hint="eastAsia"/>
                <w:color w:val="auto"/>
                <w:szCs w:val="21"/>
              </w:rPr>
              <w:t>承包范围所有公厕四周，做到无臭无蝇，四周地面无粪便污物、无乱涂乱画、无杂物等</w:t>
            </w:r>
          </w:p>
        </w:tc>
        <w:tc>
          <w:tcPr>
            <w:tcW w:w="4071" w:type="dxa"/>
            <w:vAlign w:val="center"/>
          </w:tcPr>
          <w:p>
            <w:pPr>
              <w:rPr>
                <w:color w:val="auto"/>
                <w:szCs w:val="21"/>
              </w:rPr>
            </w:pPr>
            <w:r>
              <w:rPr>
                <w:rFonts w:hint="eastAsia"/>
                <w:color w:val="auto"/>
                <w:szCs w:val="21"/>
              </w:rPr>
              <w:t>发现一次未按规定完成扣50-100元，计0.1-0.2分。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负责公厕的小型维修，如有发现损坏情况应及时进行维修。</w:t>
            </w:r>
          </w:p>
          <w:p>
            <w:pPr>
              <w:rPr>
                <w:color w:val="auto"/>
                <w:szCs w:val="21"/>
              </w:rPr>
            </w:pPr>
          </w:p>
        </w:tc>
        <w:tc>
          <w:tcPr>
            <w:tcW w:w="4071" w:type="dxa"/>
            <w:vAlign w:val="center"/>
          </w:tcPr>
          <w:p>
            <w:pPr>
              <w:rPr>
                <w:color w:val="auto"/>
                <w:szCs w:val="21"/>
              </w:rPr>
            </w:pPr>
            <w:r>
              <w:rPr>
                <w:rFonts w:hint="eastAsia" w:ascii="微软雅黑" w:hAnsi="微软雅黑" w:eastAsia="微软雅黑"/>
                <w:color w:val="auto"/>
                <w:szCs w:val="21"/>
              </w:rPr>
              <w:t>发</w:t>
            </w:r>
            <w:r>
              <w:rPr>
                <w:rFonts w:hint="eastAsia"/>
                <w:color w:val="auto"/>
                <w:szCs w:val="21"/>
              </w:rPr>
              <w:t>现一次未及时维修，扣100元，计0.5分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公厕每天冲洗不少于一次，纸篓每天清理不少于2次（上午、下午各1次）保持公厕内整洁，定期药物消杀。</w:t>
            </w:r>
          </w:p>
        </w:tc>
        <w:tc>
          <w:tcPr>
            <w:tcW w:w="4071" w:type="dxa"/>
            <w:vAlign w:val="center"/>
          </w:tcPr>
          <w:p>
            <w:pPr>
              <w:rPr>
                <w:color w:val="auto"/>
                <w:szCs w:val="21"/>
              </w:rPr>
            </w:pPr>
            <w:r>
              <w:rPr>
                <w:rFonts w:hint="eastAsia"/>
                <w:color w:val="auto"/>
                <w:szCs w:val="21"/>
              </w:rPr>
              <w:t>臭味重、冲洗不及时每座扣50元，计0.1分；发现蝇咀每座扣200元，计0.5分；无故不开放扣500元/座，计1分；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定期清理储粪池，盖完好，做好储粪池不满溢。</w:t>
            </w:r>
          </w:p>
        </w:tc>
        <w:tc>
          <w:tcPr>
            <w:tcW w:w="4071" w:type="dxa"/>
            <w:vAlign w:val="center"/>
          </w:tcPr>
          <w:p>
            <w:pPr>
              <w:rPr>
                <w:color w:val="auto"/>
                <w:szCs w:val="21"/>
              </w:rPr>
            </w:pPr>
            <w:r>
              <w:rPr>
                <w:rFonts w:hint="eastAsia"/>
                <w:color w:val="auto"/>
                <w:szCs w:val="21"/>
              </w:rPr>
              <w:t>发现一次未按规定完成扣200元-500元，计0.5-1分。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vAlign w:val="center"/>
          </w:tcPr>
          <w:p>
            <w:pPr>
              <w:rPr>
                <w:color w:val="auto"/>
                <w:szCs w:val="21"/>
              </w:rPr>
            </w:pPr>
            <w:r>
              <w:rPr>
                <w:rFonts w:hint="eastAsia"/>
                <w:color w:val="auto"/>
                <w:szCs w:val="21"/>
              </w:rPr>
              <w:t>乱张</w:t>
            </w:r>
          </w:p>
          <w:p>
            <w:pPr>
              <w:rPr>
                <w:color w:val="auto"/>
                <w:szCs w:val="21"/>
              </w:rPr>
            </w:pPr>
            <w:r>
              <w:rPr>
                <w:rFonts w:hint="eastAsia"/>
                <w:color w:val="auto"/>
                <w:szCs w:val="21"/>
              </w:rPr>
              <w:t>贴</w:t>
            </w:r>
          </w:p>
          <w:p>
            <w:pPr>
              <w:ind w:firstLine="420" w:firstLineChars="200"/>
              <w:rPr>
                <w:color w:val="auto"/>
                <w:szCs w:val="21"/>
              </w:rPr>
            </w:pPr>
          </w:p>
        </w:tc>
        <w:tc>
          <w:tcPr>
            <w:tcW w:w="4649" w:type="dxa"/>
            <w:vAlign w:val="center"/>
          </w:tcPr>
          <w:p>
            <w:pPr>
              <w:rPr>
                <w:color w:val="auto"/>
                <w:szCs w:val="21"/>
              </w:rPr>
            </w:pPr>
            <w:r>
              <w:rPr>
                <w:rFonts w:hint="eastAsia"/>
                <w:color w:val="auto"/>
                <w:szCs w:val="21"/>
              </w:rPr>
              <w:t>清理主干道（桥梁）、次干道（桥梁）及店铺、小弄、小区周边的乱张贴、乱涂写。</w:t>
            </w:r>
          </w:p>
        </w:tc>
        <w:tc>
          <w:tcPr>
            <w:tcW w:w="4071" w:type="dxa"/>
            <w:vAlign w:val="center"/>
          </w:tcPr>
          <w:p>
            <w:pPr>
              <w:rPr>
                <w:color w:val="auto"/>
                <w:szCs w:val="21"/>
              </w:rPr>
            </w:pPr>
            <w:r>
              <w:rPr>
                <w:rFonts w:hint="eastAsia"/>
                <w:color w:val="auto"/>
                <w:szCs w:val="21"/>
              </w:rPr>
              <w:t>主干道（桥梁）乱张贴、乱涂写在5处以上每处扣10元，次干道（桥梁）8处以上每处扣10元，其余地方包括小弄及小区内10处以上扣10元；清理不干净留下痕迹每一处扣5元，落地纸屑等杂物没有清扫的每一处扣5元，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清理乱张贴、乱涂写时要按规范操作</w:t>
            </w:r>
          </w:p>
        </w:tc>
        <w:tc>
          <w:tcPr>
            <w:tcW w:w="4071" w:type="dxa"/>
            <w:vAlign w:val="center"/>
          </w:tcPr>
          <w:p>
            <w:pPr>
              <w:rPr>
                <w:color w:val="auto"/>
                <w:szCs w:val="21"/>
              </w:rPr>
            </w:pPr>
            <w:r>
              <w:rPr>
                <w:rFonts w:hint="eastAsia"/>
                <w:color w:val="auto"/>
                <w:szCs w:val="21"/>
              </w:rPr>
              <w:t>在清理乱张贴、乱涂写时因方法不当或操作不规范造成所清理的墙壁、地面、桥面等被污染、损坏的，由保洁单位承担所有修补清洁费用，每发现一处扣100元；计1分。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对乱张贴、乱涂写的日常检查</w:t>
            </w:r>
          </w:p>
        </w:tc>
        <w:tc>
          <w:tcPr>
            <w:tcW w:w="4071" w:type="dxa"/>
            <w:vAlign w:val="center"/>
          </w:tcPr>
          <w:p>
            <w:pPr>
              <w:rPr>
                <w:color w:val="auto"/>
                <w:szCs w:val="21"/>
              </w:rPr>
            </w:pPr>
            <w:r>
              <w:rPr>
                <w:rFonts w:hint="eastAsia"/>
                <w:color w:val="auto"/>
                <w:szCs w:val="21"/>
              </w:rPr>
              <w:t>日常巡逻中连续3天每天发现主干道及次干道发现 “乱张贴、乱涂写”的，每处扣1000元，计3－5分。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restart"/>
            <w:vAlign w:val="center"/>
          </w:tcPr>
          <w:p>
            <w:pPr>
              <w:rPr>
                <w:color w:val="auto"/>
                <w:szCs w:val="21"/>
              </w:rPr>
            </w:pPr>
            <w:r>
              <w:rPr>
                <w:rFonts w:hint="eastAsia"/>
                <w:color w:val="auto"/>
                <w:szCs w:val="21"/>
              </w:rPr>
              <w:t>河道</w:t>
            </w:r>
          </w:p>
          <w:p>
            <w:pPr>
              <w:rPr>
                <w:color w:val="auto"/>
                <w:szCs w:val="21"/>
              </w:rPr>
            </w:pPr>
            <w:r>
              <w:rPr>
                <w:rFonts w:hint="eastAsia"/>
                <w:color w:val="auto"/>
                <w:szCs w:val="21"/>
              </w:rPr>
              <w:t>保洁</w:t>
            </w:r>
          </w:p>
          <w:p>
            <w:pPr>
              <w:ind w:firstLine="420" w:firstLineChars="200"/>
              <w:rPr>
                <w:color w:val="auto"/>
                <w:szCs w:val="21"/>
              </w:rPr>
            </w:pPr>
          </w:p>
        </w:tc>
        <w:tc>
          <w:tcPr>
            <w:tcW w:w="4649" w:type="dxa"/>
            <w:vAlign w:val="center"/>
          </w:tcPr>
          <w:p>
            <w:pPr>
              <w:rPr>
                <w:color w:val="auto"/>
                <w:szCs w:val="21"/>
              </w:rPr>
            </w:pPr>
            <w:r>
              <w:rPr>
                <w:rFonts w:hint="eastAsia"/>
                <w:color w:val="auto"/>
                <w:szCs w:val="21"/>
              </w:rPr>
              <w:t>保洁人员应统一着救生衣</w:t>
            </w:r>
          </w:p>
        </w:tc>
        <w:tc>
          <w:tcPr>
            <w:tcW w:w="4071" w:type="dxa"/>
            <w:vAlign w:val="center"/>
          </w:tcPr>
          <w:p>
            <w:pPr>
              <w:rPr>
                <w:color w:val="auto"/>
                <w:szCs w:val="21"/>
              </w:rPr>
            </w:pPr>
            <w:r>
              <w:rPr>
                <w:rFonts w:hint="eastAsia"/>
                <w:color w:val="auto"/>
                <w:szCs w:val="21"/>
              </w:rPr>
              <w:t>发现一次未按规定穿着扣100元/人，计0.2分。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水面保洁船应有醒目标志</w:t>
            </w:r>
          </w:p>
        </w:tc>
        <w:tc>
          <w:tcPr>
            <w:tcW w:w="4071" w:type="dxa"/>
            <w:vAlign w:val="center"/>
          </w:tcPr>
          <w:p>
            <w:pPr>
              <w:rPr>
                <w:color w:val="auto"/>
                <w:szCs w:val="21"/>
              </w:rPr>
            </w:pPr>
            <w:r>
              <w:rPr>
                <w:rFonts w:hint="eastAsia"/>
                <w:color w:val="auto"/>
                <w:szCs w:val="21"/>
              </w:rPr>
              <w:t>发现一次未按规定标志扣100元，计0.2分。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按规定全日制巡回保洁，保洁员根据岗位必须按实到岗到位</w:t>
            </w:r>
          </w:p>
        </w:tc>
        <w:tc>
          <w:tcPr>
            <w:tcW w:w="4071" w:type="dxa"/>
            <w:vAlign w:val="center"/>
          </w:tcPr>
          <w:p>
            <w:pPr>
              <w:rPr>
                <w:color w:val="auto"/>
                <w:szCs w:val="21"/>
              </w:rPr>
            </w:pPr>
            <w:r>
              <w:rPr>
                <w:rFonts w:hint="eastAsia"/>
                <w:color w:val="auto"/>
                <w:szCs w:val="21"/>
              </w:rPr>
              <w:t>发现一次未按规定巡回保洁扣1000元，计5分；每月每个岗位保洁员缺岗10天的，按实按岗扣1个月工资（保洁船3500元/人），计5分/人。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承包范围河面达到“三无三净”，河道两岸、桥堍两侧10米内干净</w:t>
            </w:r>
          </w:p>
        </w:tc>
        <w:tc>
          <w:tcPr>
            <w:tcW w:w="4071" w:type="dxa"/>
            <w:vAlign w:val="center"/>
          </w:tcPr>
          <w:p>
            <w:pPr>
              <w:rPr>
                <w:color w:val="auto"/>
                <w:szCs w:val="21"/>
              </w:rPr>
            </w:pPr>
            <w:r>
              <w:rPr>
                <w:rFonts w:hint="eastAsia"/>
                <w:color w:val="auto"/>
                <w:szCs w:val="21"/>
              </w:rPr>
              <w:t>成堆成片垃圾0.5 M2以上每处扣2000-10000元，计3-5分，；0.5 M2以下每处扣1000元，计2分；零星垃圾，每处扣500元，计1分；河面漂浮物大于1 M2，每处扣2000-10000元，计3-5分；小于1 M2每处扣1000元，计2分。零星垃圾，每处扣300元，计1分。4—11月水生植物超过规定的每处扣2000元，计3分。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发现漂浮死亡动物应及时通知有关防疫部门处理，并妥善处理</w:t>
            </w:r>
          </w:p>
        </w:tc>
        <w:tc>
          <w:tcPr>
            <w:tcW w:w="4071" w:type="dxa"/>
            <w:vAlign w:val="center"/>
          </w:tcPr>
          <w:p>
            <w:pPr>
              <w:rPr>
                <w:color w:val="auto"/>
                <w:szCs w:val="21"/>
              </w:rPr>
            </w:pPr>
            <w:r>
              <w:rPr>
                <w:rFonts w:hint="eastAsia"/>
                <w:color w:val="auto"/>
                <w:szCs w:val="21"/>
              </w:rPr>
              <w:t>未及时通报、妥善处理的扣100元，计0.2分；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打捞的垃圾、杂草、水生植物等进行分类，不可腐烂垃圾（其他垃圾）送到垃圾中转房转运处置，杂草、水生植物可腐烂物装运到镇有机垃圾处理中心进行集中处置。</w:t>
            </w:r>
          </w:p>
        </w:tc>
        <w:tc>
          <w:tcPr>
            <w:tcW w:w="4071" w:type="dxa"/>
            <w:vAlign w:val="center"/>
          </w:tcPr>
          <w:p>
            <w:pPr>
              <w:rPr>
                <w:color w:val="auto"/>
                <w:szCs w:val="21"/>
              </w:rPr>
            </w:pPr>
            <w:r>
              <w:rPr>
                <w:rFonts w:hint="eastAsia"/>
                <w:color w:val="auto"/>
                <w:szCs w:val="21"/>
              </w:rPr>
              <w:t>发现一次未按规定完成扣2000-5000元，计3-5分。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1" w:type="dxa"/>
            <w:vMerge w:val="restart"/>
            <w:vAlign w:val="center"/>
          </w:tcPr>
          <w:p>
            <w:pPr>
              <w:rPr>
                <w:color w:val="auto"/>
                <w:szCs w:val="21"/>
              </w:rPr>
            </w:pPr>
            <w:r>
              <w:rPr>
                <w:rFonts w:hint="eastAsia"/>
                <w:color w:val="auto"/>
                <w:szCs w:val="21"/>
              </w:rPr>
              <w:t>其它</w:t>
            </w:r>
          </w:p>
          <w:p>
            <w:pPr>
              <w:ind w:firstLine="420" w:firstLineChars="200"/>
              <w:rPr>
                <w:color w:val="auto"/>
                <w:szCs w:val="21"/>
              </w:rPr>
            </w:pPr>
          </w:p>
          <w:p>
            <w:pPr>
              <w:ind w:firstLine="420" w:firstLineChars="200"/>
              <w:rPr>
                <w:color w:val="auto"/>
                <w:szCs w:val="21"/>
              </w:rPr>
            </w:pPr>
          </w:p>
        </w:tc>
        <w:tc>
          <w:tcPr>
            <w:tcW w:w="4649" w:type="dxa"/>
            <w:vAlign w:val="center"/>
          </w:tcPr>
          <w:p>
            <w:pPr>
              <w:rPr>
                <w:color w:val="auto"/>
                <w:szCs w:val="21"/>
              </w:rPr>
            </w:pPr>
            <w:r>
              <w:rPr>
                <w:rFonts w:hint="eastAsia"/>
                <w:color w:val="auto"/>
                <w:szCs w:val="21"/>
              </w:rPr>
              <w:t>因保洁质量问题或不文明工作原因，市长投诉电话、新闻媒体曝光，经查属实；处理上级督办单，并较好完成</w:t>
            </w:r>
          </w:p>
        </w:tc>
        <w:tc>
          <w:tcPr>
            <w:tcW w:w="4071" w:type="dxa"/>
            <w:vAlign w:val="center"/>
          </w:tcPr>
          <w:p>
            <w:pPr>
              <w:rPr>
                <w:color w:val="auto"/>
                <w:szCs w:val="21"/>
              </w:rPr>
            </w:pPr>
            <w:r>
              <w:rPr>
                <w:rFonts w:hint="eastAsia"/>
                <w:color w:val="auto"/>
                <w:szCs w:val="21"/>
              </w:rPr>
              <w:t>“96310”、“12345”及市民投诉或被查到、媒体曝光等查实每次扣500元，计2分，未及时按规定期限内完成整改并反馈的，计5000-10000元，计10分；造成严重影响的，扣20000-50000元，计20分。未及时处理上级督办单，扣5000-10000元，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建立24小时值班制度，遇突发事件随叫随到，并及时派人员进行处理</w:t>
            </w:r>
          </w:p>
        </w:tc>
        <w:tc>
          <w:tcPr>
            <w:tcW w:w="4071" w:type="dxa"/>
            <w:vAlign w:val="center"/>
          </w:tcPr>
          <w:p>
            <w:pPr>
              <w:rPr>
                <w:color w:val="auto"/>
                <w:szCs w:val="21"/>
              </w:rPr>
            </w:pPr>
            <w:r>
              <w:rPr>
                <w:rFonts w:hint="eastAsia"/>
                <w:color w:val="auto"/>
                <w:szCs w:val="21"/>
              </w:rPr>
              <w:t>无人值班或未能随叫随到，发现一次扣1000元，计2分；未及时处理，一次扣1000-2000元，计2-3分；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完成政府部门交办的工作</w:t>
            </w:r>
          </w:p>
        </w:tc>
        <w:tc>
          <w:tcPr>
            <w:tcW w:w="4071" w:type="dxa"/>
            <w:vAlign w:val="center"/>
          </w:tcPr>
          <w:p>
            <w:pPr>
              <w:rPr>
                <w:color w:val="auto"/>
                <w:szCs w:val="21"/>
              </w:rPr>
            </w:pPr>
            <w:r>
              <w:rPr>
                <w:rFonts w:hint="eastAsia"/>
                <w:color w:val="auto"/>
                <w:szCs w:val="21"/>
              </w:rPr>
              <w:t>未能完成，扣5000-10000元，计10分；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51" w:type="dxa"/>
            <w:vMerge w:val="continue"/>
            <w:vAlign w:val="center"/>
          </w:tcPr>
          <w:p>
            <w:pPr>
              <w:ind w:firstLine="420" w:firstLineChars="200"/>
              <w:rPr>
                <w:color w:val="auto"/>
                <w:szCs w:val="21"/>
              </w:rPr>
            </w:pPr>
          </w:p>
        </w:tc>
        <w:tc>
          <w:tcPr>
            <w:tcW w:w="4649" w:type="dxa"/>
            <w:vAlign w:val="center"/>
          </w:tcPr>
          <w:p>
            <w:pPr>
              <w:rPr>
                <w:color w:val="auto"/>
                <w:szCs w:val="21"/>
              </w:rPr>
            </w:pPr>
            <w:r>
              <w:rPr>
                <w:rFonts w:hint="eastAsia"/>
                <w:color w:val="auto"/>
                <w:szCs w:val="21"/>
              </w:rPr>
              <w:t>区级以上各种检查</w:t>
            </w:r>
          </w:p>
        </w:tc>
        <w:tc>
          <w:tcPr>
            <w:tcW w:w="4071" w:type="dxa"/>
            <w:vAlign w:val="center"/>
          </w:tcPr>
          <w:p>
            <w:pPr>
              <w:rPr>
                <w:color w:val="auto"/>
              </w:rPr>
            </w:pPr>
            <w:r>
              <w:rPr>
                <w:rFonts w:hint="eastAsia"/>
                <w:color w:val="auto"/>
              </w:rPr>
              <w:t>在区级检查中，一个问题点位扣1000元；计0.5分；在市级检查中，一个问题点位扣2000元；计1分；在省级检查中，一个问题点位扣5000元；计2分；在国家级检查中，一个问题点位扣10000元；计4分；</w:t>
            </w:r>
          </w:p>
          <w:p>
            <w:pPr>
              <w:rPr>
                <w:color w:val="auto"/>
                <w:szCs w:val="21"/>
              </w:rPr>
            </w:pPr>
            <w:r>
              <w:rPr>
                <w:rFonts w:hint="eastAsia"/>
                <w:color w:val="auto"/>
              </w:rPr>
              <w:t>在区级城市管理类检查中，卫生保洁排名第四名扣1万元，计1分；第五名扣2万元，计2分；第六名扣4万元，计3分；第七名扣6万元，计4分；第八名扣10万元；计5分；在区级月度卫生考核中，在五个乡镇排名中倒数第一扣5万元，计4分；倒数第二扣2万元，计2分；</w:t>
            </w:r>
          </w:p>
        </w:tc>
      </w:tr>
    </w:tbl>
    <w:p>
      <w:pPr>
        <w:spacing w:line="360" w:lineRule="auto"/>
        <w:rPr>
          <w:szCs w:val="21"/>
        </w:rPr>
      </w:pPr>
    </w:p>
    <w:p>
      <w:pPr>
        <w:spacing w:line="360" w:lineRule="auto"/>
        <w:ind w:firstLine="422" w:firstLineChars="200"/>
        <w:rPr>
          <w:b/>
          <w:szCs w:val="21"/>
        </w:rPr>
      </w:pPr>
      <w:r>
        <w:rPr>
          <w:rFonts w:hint="eastAsia"/>
          <w:b/>
          <w:szCs w:val="21"/>
        </w:rPr>
        <w:t>2、考核办法：</w:t>
      </w:r>
    </w:p>
    <w:p>
      <w:pPr>
        <w:spacing w:line="360" w:lineRule="auto"/>
        <w:ind w:firstLine="420" w:firstLineChars="200"/>
        <w:rPr>
          <w:szCs w:val="21"/>
        </w:rPr>
      </w:pPr>
      <w:r>
        <w:rPr>
          <w:rFonts w:hint="eastAsia"/>
          <w:szCs w:val="21"/>
        </w:rPr>
        <w:t>为加强对项目质量的考核，由镇四位一体办组织定期考核和日常巡查考核相结合，检查扣款与扣分作为考核标准，计入检查当月保洁费用结算。</w:t>
      </w:r>
    </w:p>
    <w:p>
      <w:pPr>
        <w:spacing w:line="360" w:lineRule="auto"/>
        <w:ind w:firstLine="315" w:firstLineChars="150"/>
        <w:rPr>
          <w:szCs w:val="21"/>
        </w:rPr>
      </w:pPr>
      <w:r>
        <w:rPr>
          <w:rFonts w:hint="eastAsia"/>
          <w:szCs w:val="21"/>
        </w:rPr>
        <w:t>考核分值为</w:t>
      </w:r>
      <w:r>
        <w:rPr>
          <w:szCs w:val="21"/>
        </w:rPr>
        <w:t>100</w:t>
      </w:r>
      <w:r>
        <w:rPr>
          <w:rFonts w:hint="eastAsia"/>
          <w:szCs w:val="21"/>
        </w:rPr>
        <w:t>分制，扣款、扣分不封顶，每次巡查或检查发现问题，即扣款与扣分，月底汇总合计扣款值与扣分值，合计扣款在当月的保洁费用结算时扣除；每月得出分值，该分值</w:t>
      </w:r>
      <w:r>
        <w:rPr>
          <w:szCs w:val="21"/>
        </w:rPr>
        <w:t>=100-</w:t>
      </w:r>
      <w:r>
        <w:rPr>
          <w:rFonts w:hint="eastAsia"/>
          <w:szCs w:val="21"/>
        </w:rPr>
        <w:t>扣分值。</w:t>
      </w:r>
    </w:p>
    <w:p>
      <w:pPr>
        <w:spacing w:line="360" w:lineRule="auto"/>
        <w:ind w:firstLine="316" w:firstLineChars="150"/>
        <w:rPr>
          <w:b/>
          <w:szCs w:val="21"/>
        </w:rPr>
      </w:pPr>
      <w:r>
        <w:rPr>
          <w:rFonts w:hint="eastAsia"/>
          <w:b/>
          <w:szCs w:val="21"/>
        </w:rPr>
        <w:t>3、考核细则</w:t>
      </w:r>
    </w:p>
    <w:p>
      <w:pPr>
        <w:spacing w:line="360" w:lineRule="auto"/>
        <w:ind w:firstLine="457" w:firstLineChars="218"/>
        <w:rPr>
          <w:szCs w:val="21"/>
        </w:rPr>
      </w:pPr>
      <w:r>
        <w:rPr>
          <w:rFonts w:hint="eastAsia"/>
          <w:szCs w:val="21"/>
        </w:rPr>
        <w:t>1）以月度承包金额的40%作为月度考核扣款基数。每次考核结果如有扣款即作扣款处理的，扣款在月项目费用结算中扣除。</w:t>
      </w:r>
    </w:p>
    <w:p>
      <w:pPr>
        <w:spacing w:line="360" w:lineRule="auto"/>
        <w:ind w:firstLine="457" w:firstLineChars="218"/>
        <w:rPr>
          <w:szCs w:val="21"/>
        </w:rPr>
      </w:pPr>
      <w:r>
        <w:rPr>
          <w:rFonts w:hint="eastAsia"/>
          <w:szCs w:val="21"/>
        </w:rPr>
        <w:t>2）每月考核100分为基本分。月得分=100-月扣分总分，直至扣完为止。</w:t>
      </w:r>
    </w:p>
    <w:p>
      <w:pPr>
        <w:spacing w:line="360" w:lineRule="auto"/>
        <w:ind w:firstLine="420" w:firstLineChars="200"/>
        <w:rPr>
          <w:szCs w:val="21"/>
        </w:rPr>
      </w:pPr>
      <w:r>
        <w:rPr>
          <w:rFonts w:hint="eastAsia"/>
          <w:szCs w:val="21"/>
        </w:rPr>
        <w:t>3）月度考核得分如有低于90分的，进行督促整改。如果连续出现月度考核得分低于85分的，或中标单位在经营过程中因经营不善或违法违纪导致公司无法确保保洁质量的，对社会造成重大负面影响的，发包方有权终止保洁合同。</w:t>
      </w:r>
    </w:p>
    <w:p>
      <w:pPr>
        <w:spacing w:line="360" w:lineRule="auto"/>
        <w:ind w:firstLine="415" w:firstLineChars="197"/>
        <w:rPr>
          <w:b/>
          <w:szCs w:val="21"/>
        </w:rPr>
      </w:pPr>
      <w:r>
        <w:rPr>
          <w:rFonts w:hint="eastAsia"/>
          <w:b/>
          <w:szCs w:val="21"/>
        </w:rPr>
        <w:t>六、商务条款</w:t>
      </w:r>
    </w:p>
    <w:p>
      <w:pPr>
        <w:spacing w:line="360" w:lineRule="auto"/>
        <w:ind w:firstLine="460" w:firstLineChars="218"/>
        <w:rPr>
          <w:bCs/>
          <w:szCs w:val="21"/>
        </w:rPr>
      </w:pPr>
      <w:r>
        <w:rPr>
          <w:rFonts w:hint="eastAsia"/>
          <w:b/>
          <w:szCs w:val="21"/>
        </w:rPr>
        <w:t>1、服务期限：</w:t>
      </w:r>
      <w:r>
        <w:rPr>
          <w:rFonts w:hint="eastAsia"/>
          <w:bCs/>
          <w:szCs w:val="21"/>
        </w:rPr>
        <w:t>自合同签订之日起一年。服务期满后根据采购单位对中标单位的考核达标情况续签。年平均考核分达到90分（含）以上，且无月度考核低于80分的，经双方同意，可续签。续签合同（按浙财采监〔2021〕2号《浙江省财政厅关于进一步规范政府购买服务采购管理的通知》的有关规定续签合同）。</w:t>
      </w:r>
    </w:p>
    <w:p>
      <w:pPr>
        <w:pStyle w:val="19"/>
        <w:snapToGrid w:val="0"/>
        <w:spacing w:line="500" w:lineRule="exact"/>
        <w:ind w:firstLine="211" w:firstLineChars="100"/>
        <w:outlineLvl w:val="0"/>
        <w:rPr>
          <w:rFonts w:hAnsi="宋体" w:cs="宋体"/>
          <w:bCs/>
          <w:szCs w:val="21"/>
        </w:rPr>
      </w:pPr>
      <w:r>
        <w:rPr>
          <w:rFonts w:hint="eastAsia"/>
          <w:b/>
          <w:szCs w:val="21"/>
        </w:rPr>
        <w:t xml:space="preserve">  2、</w:t>
      </w:r>
      <w:bookmarkStart w:id="12" w:name="_Toc3853"/>
      <w:bookmarkStart w:id="13" w:name="_Toc17593"/>
      <w:r>
        <w:rPr>
          <w:rFonts w:hint="eastAsia" w:hAnsi="宋体" w:cs="宋体"/>
          <w:b/>
          <w:szCs w:val="21"/>
        </w:rPr>
        <w:t>履约保证金：</w:t>
      </w:r>
      <w:r>
        <w:rPr>
          <w:rFonts w:hint="eastAsia" w:hAnsi="宋体" w:cs="宋体"/>
          <w:bCs/>
          <w:szCs w:val="21"/>
        </w:rPr>
        <w:t>签订合同后5个工作日内，中标单位向采购人缴纳中标金额2.5%作为本项目的履约保证金（收到履约保证金时合同生效，履约保证金可以以银行、保险公司出具保函形式提交）。</w:t>
      </w:r>
      <w:bookmarkEnd w:id="12"/>
      <w:bookmarkEnd w:id="13"/>
    </w:p>
    <w:p>
      <w:pPr>
        <w:pStyle w:val="19"/>
        <w:snapToGrid w:val="0"/>
        <w:spacing w:line="500" w:lineRule="exact"/>
        <w:ind w:firstLine="422" w:firstLineChars="200"/>
        <w:outlineLvl w:val="0"/>
        <w:rPr>
          <w:rFonts w:hAnsi="宋体" w:cs="宋体"/>
          <w:b/>
          <w:szCs w:val="21"/>
        </w:rPr>
      </w:pPr>
      <w:bookmarkStart w:id="14" w:name="_Toc9234"/>
      <w:bookmarkStart w:id="15" w:name="_Toc31903"/>
      <w:r>
        <w:rPr>
          <w:rFonts w:hint="eastAsia" w:hAnsi="宋体" w:cs="宋体"/>
          <w:b/>
          <w:szCs w:val="21"/>
        </w:rPr>
        <w:t>3、付款方式：</w:t>
      </w:r>
      <w:bookmarkEnd w:id="14"/>
      <w:bookmarkEnd w:id="15"/>
      <w:bookmarkStart w:id="16" w:name="_Toc26078"/>
      <w:bookmarkStart w:id="17" w:name="_Toc10611"/>
    </w:p>
    <w:p>
      <w:pPr>
        <w:pStyle w:val="19"/>
        <w:snapToGrid w:val="0"/>
        <w:spacing w:line="500" w:lineRule="exact"/>
        <w:ind w:firstLine="420" w:firstLineChars="200"/>
        <w:outlineLvl w:val="0"/>
        <w:rPr>
          <w:rFonts w:hAnsi="宋体" w:cs="宋体"/>
          <w:bCs/>
          <w:szCs w:val="21"/>
        </w:rPr>
      </w:pPr>
      <w:r>
        <w:rPr>
          <w:rFonts w:hint="eastAsia" w:hAnsi="宋体" w:cs="宋体"/>
          <w:bCs/>
          <w:szCs w:val="21"/>
        </w:rPr>
        <w:t>1）、预付款</w:t>
      </w:r>
    </w:p>
    <w:p>
      <w:pPr>
        <w:pStyle w:val="19"/>
        <w:snapToGrid w:val="0"/>
        <w:spacing w:line="500" w:lineRule="exact"/>
        <w:ind w:firstLine="420" w:firstLineChars="200"/>
        <w:outlineLvl w:val="0"/>
        <w:rPr>
          <w:rFonts w:hAnsi="宋体" w:cs="宋体"/>
          <w:bCs/>
          <w:szCs w:val="21"/>
        </w:rPr>
      </w:pPr>
      <w:r>
        <w:rPr>
          <w:rFonts w:hint="eastAsia" w:hAnsi="宋体" w:cs="宋体"/>
          <w:bCs/>
          <w:szCs w:val="21"/>
        </w:rPr>
        <w:t>根据《浙江省财政厅关于进一步发挥政府采购政策功能全力推动经济稳进提质的通知》[浙财采监〔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Style w:val="19"/>
        <w:snapToGrid w:val="0"/>
        <w:spacing w:line="500" w:lineRule="exact"/>
        <w:ind w:firstLine="420" w:firstLineChars="200"/>
        <w:outlineLvl w:val="0"/>
        <w:rPr>
          <w:rFonts w:hAnsi="宋体" w:cs="宋体"/>
          <w:b/>
          <w:szCs w:val="21"/>
        </w:rPr>
      </w:pPr>
      <w:r>
        <w:rPr>
          <w:rFonts w:hint="eastAsia" w:hAnsi="宋体" w:cs="宋体"/>
          <w:bCs/>
          <w:szCs w:val="21"/>
        </w:rPr>
        <w:t>2）</w:t>
      </w:r>
      <w:r>
        <w:rPr>
          <w:rFonts w:hint="eastAsia" w:hAnsi="宋体" w:cs="宋体"/>
          <w:b/>
          <w:szCs w:val="21"/>
        </w:rPr>
        <w:t>、项目进度款：</w:t>
      </w:r>
    </w:p>
    <w:p>
      <w:pPr>
        <w:pStyle w:val="19"/>
        <w:snapToGrid w:val="0"/>
        <w:spacing w:line="500" w:lineRule="exact"/>
        <w:ind w:firstLine="420" w:firstLineChars="200"/>
        <w:outlineLvl w:val="0"/>
        <w:rPr>
          <w:b/>
          <w:szCs w:val="21"/>
        </w:rPr>
      </w:pPr>
      <w:r>
        <w:rPr>
          <w:rFonts w:hint="eastAsia" w:hAnsi="宋体" w:cs="宋体"/>
          <w:szCs w:val="21"/>
        </w:rPr>
        <w:t>每季度结算一次，按照实际考核结果扣款后在每季度的次月支付费用（须开税务发票）。</w:t>
      </w:r>
      <w:bookmarkEnd w:id="16"/>
      <w:bookmarkEnd w:id="17"/>
    </w:p>
    <w:bookmarkEnd w:id="9"/>
    <w:bookmarkEnd w:id="10"/>
    <w:bookmarkEnd w:id="11"/>
    <w:p>
      <w:pPr>
        <w:pStyle w:val="44"/>
        <w:outlineLvl w:val="0"/>
        <w:rPr>
          <w:rFonts w:ascii="宋体" w:eastAsia="宋体" w:cs="宋体"/>
        </w:rPr>
      </w:pPr>
    </w:p>
    <w:p>
      <w:pPr>
        <w:pStyle w:val="44"/>
        <w:outlineLvl w:val="0"/>
        <w:rPr>
          <w:rFonts w:ascii="宋体" w:eastAsia="宋体" w:cs="宋体"/>
          <w:sz w:val="21"/>
          <w:szCs w:val="21"/>
        </w:rPr>
        <w:sectPr>
          <w:footerReference r:id="rId9" w:type="default"/>
          <w:pgSz w:w="11906" w:h="16838"/>
          <w:pgMar w:top="1474" w:right="1797" w:bottom="1247" w:left="1797" w:header="851" w:footer="851" w:gutter="0"/>
          <w:cols w:space="720" w:num="1"/>
          <w:docGrid w:linePitch="312" w:charSpace="0"/>
        </w:sectPr>
      </w:pPr>
      <w:bookmarkStart w:id="18" w:name="_Toc50012815"/>
      <w:bookmarkStart w:id="19" w:name="_Toc12778"/>
    </w:p>
    <w:p>
      <w:pPr>
        <w:pStyle w:val="44"/>
        <w:outlineLvl w:val="0"/>
        <w:rPr>
          <w:rFonts w:ascii="宋体" w:eastAsia="宋体" w:cs="宋体"/>
          <w:sz w:val="21"/>
          <w:szCs w:val="21"/>
        </w:rPr>
      </w:pPr>
      <w:r>
        <w:rPr>
          <w:rFonts w:hint="eastAsia" w:ascii="宋体" w:eastAsia="宋体" w:cs="宋体"/>
          <w:sz w:val="21"/>
          <w:szCs w:val="21"/>
        </w:rPr>
        <w:t>第三章  投标人须知</w:t>
      </w:r>
      <w:bookmarkEnd w:id="18"/>
      <w:bookmarkEnd w:id="19"/>
    </w:p>
    <w:p>
      <w:pPr>
        <w:spacing w:line="360" w:lineRule="auto"/>
        <w:ind w:right="42" w:rightChars="20" w:firstLine="422" w:firstLineChars="200"/>
        <w:jc w:val="center"/>
        <w:rPr>
          <w:rFonts w:asciiTheme="minorEastAsia" w:hAnsiTheme="minorEastAsia" w:eastAsiaTheme="minorEastAsia"/>
          <w:b/>
          <w:bCs/>
          <w:szCs w:val="21"/>
        </w:rPr>
      </w:pPr>
      <w:bookmarkStart w:id="20" w:name="_Toc50012816"/>
      <w:bookmarkStart w:id="21" w:name="_Toc493511543"/>
      <w:bookmarkStart w:id="22" w:name="_Toc177870535"/>
      <w:r>
        <w:rPr>
          <w:rFonts w:hint="eastAsia" w:cs="宋体" w:asciiTheme="minorEastAsia" w:hAnsiTheme="minorEastAsia" w:eastAsiaTheme="minorEastAsia"/>
          <w:b/>
          <w:bCs/>
          <w:szCs w:val="21"/>
        </w:rPr>
        <w:t>电子交易注意事项</w:t>
      </w:r>
    </w:p>
    <w:p>
      <w:pPr>
        <w:spacing w:line="360" w:lineRule="auto"/>
        <w:ind w:right="42" w:rightChars="20" w:firstLine="210" w:firstLineChars="100"/>
        <w:jc w:val="left"/>
        <w:rPr>
          <w:rFonts w:asciiTheme="minorEastAsia" w:hAnsiTheme="minorEastAsia" w:eastAsiaTheme="minorEastAsia"/>
          <w:szCs w:val="21"/>
          <w:shd w:val="clear" w:color="auto" w:fill="FFFFFF"/>
        </w:rPr>
      </w:pPr>
      <w:r>
        <w:rPr>
          <w:rFonts w:hint="eastAsia" w:cs="宋体" w:asciiTheme="minorEastAsia" w:hAnsiTheme="minorEastAsia" w:eastAsiaTheme="minorEastAsia"/>
          <w:szCs w:val="21"/>
          <w:shd w:val="clear" w:color="auto" w:fill="FFFFFF"/>
        </w:rPr>
        <w:t>　政府采购项目电子交易活动适用《浙江省政府采购项目电子交易管理暂行办法》，现将相关注意事项告知如下：</w:t>
      </w:r>
    </w:p>
    <w:p>
      <w:pPr>
        <w:spacing w:line="360" w:lineRule="auto"/>
        <w:ind w:right="42" w:rightChars="20" w:firstLine="210" w:firstLineChars="100"/>
        <w:jc w:val="left"/>
        <w:rPr>
          <w:rFonts w:asciiTheme="minorEastAsia" w:hAnsiTheme="minorEastAsia" w:eastAsiaTheme="minorEastAsia"/>
          <w:szCs w:val="21"/>
        </w:rPr>
      </w:pPr>
      <w:r>
        <w:rPr>
          <w:rFonts w:hint="eastAsia" w:cs="宋体" w:asciiTheme="minorEastAsia" w:hAnsiTheme="minorEastAsia" w:eastAsiaTheme="minorEastAsia"/>
          <w:szCs w:val="21"/>
        </w:rPr>
        <w:t>　1.集中采购机构按照招标文件规定的时间通过电子交易平台组织开标、开启投标文件、开启报价文件，所有投标人均应当准时在线参加，直至评审结束。</w:t>
      </w:r>
    </w:p>
    <w:p>
      <w:pPr>
        <w:pStyle w:val="30"/>
        <w:spacing w:beforeAutospacing="0" w:afterAutospacing="0" w:line="360" w:lineRule="auto"/>
        <w:ind w:right="42" w:rightChars="20" w:firstLine="210" w:firstLineChars="100"/>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　2. 投标文件未按时解密，投标人如提供备份投标文件的，以符合要求的备份投标文件作为依据，否则视为投标文件撤回。投标文件已按时解密的，备份投标文件自动失效。</w:t>
      </w:r>
    </w:p>
    <w:p>
      <w:pPr>
        <w:pStyle w:val="30"/>
        <w:spacing w:beforeAutospacing="0" w:afterAutospacing="0" w:line="360" w:lineRule="auto"/>
        <w:ind w:right="42" w:rightChars="20" w:firstLine="210" w:firstLineChars="100"/>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　3. 采购过程中出现以下情形，导致电子交易平台无法正常运行，或者无法保证电子交易的公平、公正和安全时，集中采购机构可中止电子交易活动：</w:t>
      </w:r>
    </w:p>
    <w:p>
      <w:pPr>
        <w:pStyle w:val="30"/>
        <w:spacing w:beforeAutospacing="0" w:afterAutospacing="0" w:line="360" w:lineRule="auto"/>
        <w:ind w:right="42" w:rightChars="20" w:firstLine="645"/>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（一）电子交易平台发生故障而无法登录访问的； </w:t>
      </w:r>
    </w:p>
    <w:p>
      <w:pPr>
        <w:pStyle w:val="30"/>
        <w:spacing w:beforeAutospacing="0" w:afterAutospacing="0" w:line="360" w:lineRule="auto"/>
        <w:ind w:right="42" w:rightChars="20" w:firstLine="645"/>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（二）电子交易平台应用或数据库出现错误，不能进行正常操作的；</w:t>
      </w:r>
    </w:p>
    <w:p>
      <w:pPr>
        <w:pStyle w:val="30"/>
        <w:spacing w:beforeAutospacing="0" w:afterAutospacing="0" w:line="360" w:lineRule="auto"/>
        <w:ind w:right="42" w:rightChars="20" w:firstLine="645"/>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（三）电子交易平台发现严重安全漏洞，有潜在泄密危险的；</w:t>
      </w:r>
    </w:p>
    <w:p>
      <w:pPr>
        <w:pStyle w:val="30"/>
        <w:spacing w:beforeAutospacing="0" w:afterAutospacing="0" w:line="360" w:lineRule="auto"/>
        <w:ind w:right="42" w:rightChars="20" w:firstLine="645"/>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（四）病毒发作导致不能进行正常操作的； </w:t>
      </w:r>
    </w:p>
    <w:p>
      <w:pPr>
        <w:pStyle w:val="30"/>
        <w:spacing w:beforeAutospacing="0" w:afterAutospacing="0" w:line="360" w:lineRule="auto"/>
        <w:ind w:right="42" w:rightChars="20" w:firstLine="645"/>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（五）其他无法保证电子交易的公平、公正和安全的情况。</w:t>
      </w:r>
    </w:p>
    <w:p>
      <w:pPr>
        <w:pStyle w:val="30"/>
        <w:spacing w:beforeAutospacing="0" w:afterAutospacing="0" w:line="360" w:lineRule="auto"/>
        <w:ind w:right="42" w:rightChars="20" w:firstLine="210"/>
        <w:rPr>
          <w:rFonts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出现前款规定情形，不影响采购公平、公正性的，集中采购机构可以待上述情形消除后继续组织电子交易活动，也可以决定某些环节以纸质形式进行；影响或可能影响采购公平、公正性的，应当重新采购。</w:t>
      </w:r>
    </w:p>
    <w:p>
      <w:pPr>
        <w:spacing w:line="360" w:lineRule="auto"/>
        <w:ind w:right="42" w:rightChars="20" w:firstLine="420" w:firstLineChars="200"/>
        <w:jc w:val="left"/>
        <w:outlineLvl w:val="1"/>
        <w:rPr>
          <w:rFonts w:cs="宋体" w:asciiTheme="minorEastAsia" w:hAnsiTheme="minorEastAsia" w:eastAsiaTheme="minorEastAsia"/>
          <w:szCs w:val="21"/>
          <w:shd w:val="clear" w:color="auto" w:fill="FFFFFF"/>
        </w:rPr>
      </w:pPr>
      <w:bookmarkStart w:id="23" w:name="_Toc27521"/>
      <w:r>
        <w:rPr>
          <w:rFonts w:hint="eastAsia" w:cs="宋体" w:asciiTheme="minorEastAsia" w:hAnsiTheme="minorEastAsia" w:eastAsiaTheme="minorEastAsia"/>
          <w:szCs w:val="21"/>
          <w:shd w:val="clear" w:color="auto" w:fill="FFFFFF"/>
        </w:rPr>
        <w:t>4、评审中需要投标人对投标文件作出澄清、说明或者补正的，评审小组和投标人应当通过电子交易平台交换数据电文。投标人需在半小时内提交澄清说明或补正，投标人已经明确表示澄清说明或补正完毕的除外。</w:t>
      </w:r>
      <w:bookmarkEnd w:id="23"/>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p>
    <w:p>
      <w:pPr>
        <w:spacing w:line="360" w:lineRule="auto"/>
        <w:ind w:firstLine="422" w:firstLineChars="200"/>
        <w:jc w:val="center"/>
        <w:outlineLvl w:val="1"/>
        <w:rPr>
          <w:rFonts w:ascii="宋体" w:hAnsi="宋体" w:cs="宋体"/>
          <w:b/>
          <w:szCs w:val="21"/>
        </w:rPr>
      </w:pPr>
      <w:r>
        <w:rPr>
          <w:rFonts w:hint="eastAsia" w:ascii="宋体" w:hAnsi="宋体" w:cs="宋体"/>
          <w:b/>
          <w:szCs w:val="21"/>
        </w:rPr>
        <w:t>前附表</w:t>
      </w:r>
      <w:bookmarkEnd w:id="20"/>
      <w:bookmarkEnd w:id="21"/>
      <w:bookmarkEnd w:id="22"/>
    </w:p>
    <w:tbl>
      <w:tblPr>
        <w:tblStyle w:val="33"/>
        <w:tblW w:w="9288"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6"/>
        <w:gridCol w:w="8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序号</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项目名称：2022年嘉兴市秀洲区油车港镇镇区环境保洁服务项目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2</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招标编号：ZJJY-2022-024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3</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4</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▲预算金额： 人民币632.6258万元，高于预算金额其投标文件作无效标处理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5</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6</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现场踏勘：自行踏勘（费用自理）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7</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演示及样品：/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8</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答疑与澄清：无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9</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投标文件组成：完整的《投标文件》由资格投标文件、商务技术文件、报价文件三部份组成。样品要求详见第二章采购需求。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10</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投标文件的编制：投标人应先安装“政采云电子交易客户端”，并按照本招标文件和“政府采购云平台”的要求，通过“政采云电子交易客户端”编制并加密投标文件。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11</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12</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投标文件的形式：☑电子投标文件（包括“电子加密投标文件”和“备份投标文件”，在投标文件编制完成后同时生成）；</w:t>
            </w:r>
          </w:p>
          <w:p>
            <w:pPr>
              <w:snapToGrid w:val="0"/>
              <w:spacing w:line="360" w:lineRule="auto"/>
              <w:jc w:val="left"/>
              <w:rPr>
                <w:rFonts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snapToGrid w:val="0"/>
              <w:spacing w:line="360" w:lineRule="auto"/>
              <w:jc w:val="left"/>
              <w:rPr>
                <w:rFonts w:ascii="宋体" w:hAnsi="宋体" w:cs="宋体"/>
                <w:szCs w:val="21"/>
              </w:rPr>
            </w:pPr>
            <w:r>
              <w:rPr>
                <w:rFonts w:hint="eastAsia" w:ascii="宋体" w:hAnsi="宋体" w:cs="宋体"/>
                <w:szCs w:val="21"/>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13</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份数：（1）“电子加密投标文件”：在线上传递交、一份。（2）“备份投标文件”：密封包装后（邮寄形式）投标截止时间前递交一份（邮寄地址：（浙江槿阳建设管理有限公司）嘉兴市秀洲区成秀路205号鼎盛大厦四楼（吴海燕 电话：13758072149）。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14</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投标文件的上传和递交：</w:t>
            </w:r>
          </w:p>
          <w:p>
            <w:pPr>
              <w:snapToGrid w:val="0"/>
              <w:spacing w:line="360" w:lineRule="auto"/>
              <w:jc w:val="left"/>
              <w:rPr>
                <w:rFonts w:ascii="宋体" w:hAnsi="宋体" w:cs="宋体"/>
                <w:szCs w:val="21"/>
              </w:rPr>
            </w:pPr>
            <w:r>
              <w:rPr>
                <w:rFonts w:hint="eastAsia" w:ascii="宋体" w:hAnsi="宋体" w:cs="宋体"/>
                <w:szCs w:val="21"/>
              </w:rPr>
              <w:t>（1）“电子加密投标文件”的上传、递交：</w:t>
            </w:r>
          </w:p>
          <w:p>
            <w:pPr>
              <w:snapToGrid w:val="0"/>
              <w:spacing w:line="360" w:lineRule="auto"/>
              <w:jc w:val="left"/>
              <w:rPr>
                <w:rFonts w:ascii="宋体" w:hAnsi="宋体" w:cs="宋体"/>
                <w:szCs w:val="21"/>
              </w:rPr>
            </w:pPr>
            <w:r>
              <w:rPr>
                <w:rFonts w:hint="eastAsia" w:ascii="宋体" w:hAnsi="宋体" w:cs="宋体"/>
                <w:szCs w:val="21"/>
              </w:rPr>
              <w:t>a.投标人应在投标截止时间前将“电子加密投标文件”成功上传递交至“政府采购云平台”，否则投标无效。</w:t>
            </w:r>
          </w:p>
          <w:p>
            <w:pPr>
              <w:snapToGrid w:val="0"/>
              <w:spacing w:line="360" w:lineRule="auto"/>
              <w:jc w:val="left"/>
              <w:rPr>
                <w:rFonts w:ascii="宋体" w:hAnsi="宋体" w:cs="宋体"/>
                <w:szCs w:val="21"/>
              </w:rPr>
            </w:pPr>
            <w:r>
              <w:rPr>
                <w:rFonts w:hint="eastAsia" w:ascii="宋体" w:hAnsi="宋体" w:cs="宋体"/>
                <w:szCs w:val="21"/>
              </w:rPr>
              <w:t>b.“电子加密投标文件”成功上传递交后，投标人可自行打印投标文件接收回执。</w:t>
            </w:r>
          </w:p>
          <w:p>
            <w:pPr>
              <w:snapToGrid w:val="0"/>
              <w:spacing w:line="360" w:lineRule="auto"/>
              <w:jc w:val="left"/>
              <w:rPr>
                <w:rFonts w:ascii="宋体" w:hAnsi="宋体" w:cs="宋体"/>
                <w:szCs w:val="21"/>
              </w:rPr>
            </w:pPr>
            <w:r>
              <w:rPr>
                <w:rFonts w:hint="eastAsia" w:ascii="宋体" w:hAnsi="宋体" w:cs="宋体"/>
                <w:szCs w:val="21"/>
              </w:rPr>
              <w:t>（2）“备份投标文件”的密封包装、递交：</w:t>
            </w:r>
          </w:p>
          <w:p>
            <w:pPr>
              <w:snapToGrid w:val="0"/>
              <w:spacing w:line="360" w:lineRule="auto"/>
              <w:jc w:val="left"/>
              <w:rPr>
                <w:rFonts w:ascii="宋体" w:hAnsi="宋体" w:cs="宋体"/>
                <w:szCs w:val="21"/>
              </w:rPr>
            </w:pPr>
            <w:r>
              <w:rPr>
                <w:rFonts w:hint="eastAsia" w:ascii="宋体" w:hAnsi="宋体" w:cs="宋体"/>
                <w:szCs w:val="21"/>
              </w:rPr>
              <w:t>a.投标人在“政府采购云平台”完成“电子加密投标文件”的上传递交后，还可以（邮寄形式）在投标截止时间前递交以介质（U盘）存储的 “备份投标文件”（一份）；</w:t>
            </w:r>
          </w:p>
          <w:p>
            <w:pPr>
              <w:snapToGrid w:val="0"/>
              <w:spacing w:line="360" w:lineRule="auto"/>
              <w:jc w:val="left"/>
              <w:rPr>
                <w:rFonts w:ascii="宋体" w:hAnsi="宋体" w:cs="宋体"/>
                <w:szCs w:val="21"/>
              </w:rPr>
            </w:pPr>
            <w:r>
              <w:rPr>
                <w:rFonts w:hint="eastAsia" w:ascii="宋体" w:hAnsi="宋体" w:cs="宋体"/>
                <w:szCs w:val="21"/>
              </w:rPr>
              <w:t>b.“备份投标文件”应当密封包装，并在包装上标注投标项目名称、投标单位名称并加盖公章。没有密封包装或者逾期邮寄送达至上述邮寄地点的“备份投标文件”将不予接收；（非强制递交）</w:t>
            </w:r>
          </w:p>
          <w:p>
            <w:pPr>
              <w:snapToGrid w:val="0"/>
              <w:spacing w:line="360" w:lineRule="auto"/>
              <w:jc w:val="left"/>
              <w:rPr>
                <w:rFonts w:ascii="宋体" w:hAnsi="宋体" w:cs="宋体"/>
                <w:szCs w:val="21"/>
              </w:rPr>
            </w:pPr>
            <w:r>
              <w:rPr>
                <w:rFonts w:hint="eastAsia" w:ascii="宋体" w:hAnsi="宋体" w:cs="宋体"/>
                <w:szCs w:val="21"/>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snapToGrid w:val="0"/>
              <w:spacing w:line="360" w:lineRule="auto"/>
              <w:jc w:val="left"/>
              <w:rPr>
                <w:rFonts w:ascii="宋体" w:hAnsi="宋体" w:cs="宋体"/>
                <w:szCs w:val="21"/>
              </w:rPr>
            </w:pPr>
            <w:r>
              <w:rPr>
                <w:rFonts w:hint="eastAsia" w:ascii="宋体" w:hAnsi="宋体" w:cs="宋体"/>
                <w:szCs w:val="21"/>
              </w:rPr>
              <w:t>d.中标通知书发出前，成交供应商须向招标人（采购代理机构）提供纸质资格文件、资信商务及技术文件、报价文件正本各1份；副本各2份。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15</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电子加密投标文件的解密和异常情况处理：</w:t>
            </w:r>
          </w:p>
          <w:p>
            <w:pPr>
              <w:snapToGrid w:val="0"/>
              <w:spacing w:line="360" w:lineRule="auto"/>
              <w:jc w:val="left"/>
              <w:rPr>
                <w:rFonts w:ascii="宋体" w:hAnsi="宋体" w:cs="宋体"/>
                <w:szCs w:val="21"/>
              </w:rPr>
            </w:pPr>
            <w:r>
              <w:rPr>
                <w:rFonts w:hint="eastAsia" w:ascii="宋体" w:hAnsi="宋体" w:cs="宋体"/>
                <w:szCs w:val="21"/>
              </w:rPr>
              <w:t>（1）开标后，采购组织机构将向各投标人发出“电子加密投标文件”的解密通知，各投标人代表应当在接到解密通知后30分钟内自行完成“电子加密投标文件”的在线解密。</w:t>
            </w:r>
          </w:p>
          <w:p>
            <w:pPr>
              <w:snapToGrid w:val="0"/>
              <w:spacing w:line="360" w:lineRule="auto"/>
              <w:jc w:val="left"/>
              <w:rPr>
                <w:rFonts w:ascii="宋体" w:hAnsi="宋体" w:cs="宋体"/>
                <w:szCs w:val="21"/>
              </w:rPr>
            </w:pPr>
            <w:r>
              <w:rPr>
                <w:rFonts w:hint="eastAsia" w:ascii="宋体" w:hAnsi="宋体" w:cs="宋体"/>
                <w:szCs w:val="21"/>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jc w:val="left"/>
              <w:rPr>
                <w:rFonts w:ascii="宋体" w:hAnsi="宋体" w:cs="宋体"/>
                <w:szCs w:val="21"/>
              </w:rPr>
            </w:pPr>
            <w:r>
              <w:rPr>
                <w:rFonts w:hint="eastAsia" w:ascii="宋体" w:hAnsi="宋体" w:cs="宋体"/>
                <w:szCs w:val="21"/>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16</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投标截止时间及地点：</w:t>
            </w:r>
            <w:r>
              <w:rPr>
                <w:rFonts w:ascii="宋体" w:hAnsi="宋体" w:cs="宋体"/>
                <w:szCs w:val="21"/>
              </w:rPr>
              <w:t>2022年</w:t>
            </w:r>
            <w:r>
              <w:rPr>
                <w:rFonts w:hint="eastAsia" w:ascii="宋体" w:hAnsi="宋体" w:cs="宋体"/>
                <w:szCs w:val="21"/>
              </w:rPr>
              <w:t>06</w:t>
            </w:r>
            <w:r>
              <w:rPr>
                <w:rFonts w:ascii="宋体" w:hAnsi="宋体" w:cs="宋体"/>
                <w:szCs w:val="21"/>
              </w:rPr>
              <w:t>月</w:t>
            </w:r>
            <w:r>
              <w:rPr>
                <w:rFonts w:hint="eastAsia" w:ascii="宋体" w:hAnsi="宋体" w:cs="宋体"/>
                <w:szCs w:val="21"/>
                <w:lang w:val="en-US" w:eastAsia="zh-CN"/>
              </w:rPr>
              <w:t>15</w:t>
            </w:r>
            <w:r>
              <w:rPr>
                <w:rFonts w:ascii="宋体" w:hAnsi="宋体" w:cs="宋体"/>
                <w:szCs w:val="21"/>
              </w:rPr>
              <w:t>日</w:t>
            </w:r>
            <w:r>
              <w:rPr>
                <w:rFonts w:hint="eastAsia" w:ascii="宋体" w:hAnsi="宋体" w:cs="宋体"/>
                <w:szCs w:val="21"/>
                <w:lang w:val="en-US" w:eastAsia="zh-CN"/>
              </w:rPr>
              <w:t>09</w:t>
            </w:r>
            <w:r>
              <w:rPr>
                <w:rFonts w:ascii="宋体" w:hAnsi="宋体" w:cs="宋体"/>
                <w:szCs w:val="21"/>
              </w:rPr>
              <w:t>:</w:t>
            </w:r>
            <w:r>
              <w:rPr>
                <w:rFonts w:hint="eastAsia" w:ascii="宋体" w:hAnsi="宋体" w:cs="宋体"/>
                <w:szCs w:val="21"/>
                <w:lang w:val="en-US" w:eastAsia="zh-CN"/>
              </w:rPr>
              <w:t>00（北京时间）</w:t>
            </w:r>
            <w:r>
              <w:rPr>
                <w:rFonts w:hint="eastAsia" w:ascii="宋体" w:hAnsi="宋体" w:cs="宋体"/>
                <w:szCs w:val="21"/>
              </w:rPr>
              <w:t xml:space="preserve">  </w:t>
            </w:r>
          </w:p>
          <w:p>
            <w:pPr>
              <w:snapToGrid w:val="0"/>
              <w:spacing w:line="360" w:lineRule="auto"/>
              <w:jc w:val="left"/>
              <w:rPr>
                <w:rFonts w:ascii="宋体" w:hAnsi="宋体" w:cs="宋体"/>
                <w:szCs w:val="21"/>
              </w:rPr>
            </w:pPr>
            <w:r>
              <w:rPr>
                <w:rFonts w:hint="eastAsia" w:ascii="宋体" w:hAnsi="宋体" w:cs="宋体"/>
                <w:szCs w:val="21"/>
              </w:rPr>
              <w:t xml:space="preserve">                     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17</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开标时间及地点：</w:t>
            </w:r>
            <w:r>
              <w:rPr>
                <w:rFonts w:ascii="宋体" w:hAnsi="宋体" w:cs="宋体"/>
                <w:szCs w:val="21"/>
              </w:rPr>
              <w:t>2022年</w:t>
            </w:r>
            <w:r>
              <w:rPr>
                <w:rFonts w:hint="eastAsia" w:ascii="宋体" w:hAnsi="宋体" w:cs="宋体"/>
                <w:szCs w:val="21"/>
              </w:rPr>
              <w:t>06</w:t>
            </w:r>
            <w:r>
              <w:rPr>
                <w:rFonts w:ascii="宋体" w:hAnsi="宋体" w:cs="宋体"/>
                <w:szCs w:val="21"/>
              </w:rPr>
              <w:t>月</w:t>
            </w:r>
            <w:r>
              <w:rPr>
                <w:rFonts w:hint="eastAsia" w:ascii="宋体" w:hAnsi="宋体" w:cs="宋体"/>
                <w:szCs w:val="21"/>
                <w:lang w:val="en-US" w:eastAsia="zh-CN"/>
              </w:rPr>
              <w:t>15</w:t>
            </w:r>
            <w:r>
              <w:rPr>
                <w:rFonts w:ascii="宋体" w:hAnsi="宋体" w:cs="宋体"/>
                <w:szCs w:val="21"/>
              </w:rPr>
              <w:t>日</w:t>
            </w:r>
            <w:r>
              <w:rPr>
                <w:rFonts w:hint="eastAsia" w:ascii="宋体" w:hAnsi="宋体" w:cs="宋体"/>
                <w:szCs w:val="21"/>
                <w:lang w:val="en-US" w:eastAsia="zh-CN"/>
              </w:rPr>
              <w:t>09</w:t>
            </w:r>
            <w:r>
              <w:rPr>
                <w:rFonts w:ascii="宋体" w:hAnsi="宋体" w:cs="宋体"/>
                <w:szCs w:val="21"/>
              </w:rPr>
              <w:t>:</w:t>
            </w:r>
            <w:r>
              <w:rPr>
                <w:rFonts w:hint="eastAsia" w:ascii="宋体" w:hAnsi="宋体" w:cs="宋体"/>
                <w:szCs w:val="21"/>
                <w:lang w:val="en-US" w:eastAsia="zh-CN"/>
              </w:rPr>
              <w:t>00（北京时间）</w:t>
            </w:r>
            <w:r>
              <w:rPr>
                <w:rFonts w:hint="eastAsia" w:ascii="宋体" w:hAnsi="宋体" w:cs="宋体"/>
                <w:szCs w:val="21"/>
              </w:rPr>
              <w:t xml:space="preserve">    </w:t>
            </w:r>
          </w:p>
          <w:p>
            <w:pPr>
              <w:snapToGrid w:val="0"/>
              <w:spacing w:line="360" w:lineRule="auto"/>
              <w:jc w:val="left"/>
              <w:rPr>
                <w:rFonts w:ascii="宋体" w:hAnsi="宋体" w:cs="宋体"/>
                <w:szCs w:val="21"/>
              </w:rPr>
            </w:pPr>
            <w:r>
              <w:rPr>
                <w:rFonts w:ascii="宋体" w:hAnsi="宋体" w:cs="宋体"/>
                <w:szCs w:val="21"/>
              </w:rPr>
              <w:t>开标地点（</w:t>
            </w:r>
            <w:r>
              <w:rPr>
                <w:rFonts w:hint="eastAsia" w:ascii="宋体" w:hAnsi="宋体" w:cs="宋体"/>
                <w:szCs w:val="21"/>
              </w:rPr>
              <w:t>线下</w:t>
            </w:r>
            <w:r>
              <w:rPr>
                <w:rFonts w:ascii="宋体" w:hAnsi="宋体" w:cs="宋体"/>
                <w:szCs w:val="21"/>
              </w:rPr>
              <w:t>）：</w:t>
            </w:r>
            <w:r>
              <w:rPr>
                <w:rFonts w:hint="eastAsia" w:ascii="宋体" w:hAnsi="宋体" w:cs="宋体"/>
                <w:szCs w:val="21"/>
              </w:rPr>
              <w:t>嘉兴市公共资源交易中心(嘉兴市广场路350号,蒋水港桥西侧)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18</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19</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履约保证金的收取及退还：</w:t>
            </w:r>
            <w:r>
              <w:rPr>
                <w:rFonts w:hint="eastAsia" w:hAnsi="宋体" w:cs="宋体"/>
                <w:bCs/>
                <w:szCs w:val="21"/>
                <w:shd w:val="clear" w:color="auto" w:fill="FFFFFF"/>
              </w:rPr>
              <w:t>签订合同后5个工作日内，中标单位向采购人缴纳中标金额2.5%作为本项目的履约保证金（收到履约保证金时合同生效，可以以银行、保险公司出具保函形式提交）。</w:t>
            </w:r>
            <w:r>
              <w:rPr>
                <w:rFonts w:hint="eastAsia" w:ascii="宋体" w:hAnsi="宋体" w:cs="宋体"/>
                <w:szCs w:val="21"/>
              </w:rPr>
              <w:t>履约保证金在合同履行完毕后退还。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20</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21</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网上注册：</w:t>
            </w:r>
            <w:r>
              <w:rPr>
                <w:rFonts w:hint="eastAsia" w:ascii="宋体" w:hAnsi="宋体" w:cs="宋体"/>
                <w:szCs w:val="21"/>
              </w:rPr>
              <w:br w:type="textWrapping"/>
            </w:r>
            <w:r>
              <w:rPr>
                <w:rFonts w:hint="eastAsia" w:ascii="宋体" w:hAnsi="宋体" w:cs="宋体"/>
                <w:szCs w:val="21"/>
              </w:rPr>
              <w:t>本项目不接受现场报名，须注册后进行网上报名。在浙江政府采购网进行投标人注册后完成报名；（详情请见第一章公告报名及招标文件的获取）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22</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信用记录：根据财库</w:t>
            </w:r>
            <w:r>
              <w:rPr>
                <w:rFonts w:ascii="宋体" w:hAnsi="宋体" w:cs="宋体"/>
                <w:szCs w:val="21"/>
              </w:rPr>
              <w:t>[2016]125</w:t>
            </w:r>
            <w:r>
              <w:rPr>
                <w:rFonts w:hint="eastAsia" w:ascii="宋体" w:hAnsi="宋体" w:cs="宋体"/>
                <w:szCs w:val="21"/>
              </w:rPr>
              <w:t>号文件，通过“信用中国”网站（</w:t>
            </w:r>
            <w:r>
              <w:rPr>
                <w:rFonts w:ascii="宋体" w:hAnsi="宋体" w:cs="宋体"/>
                <w:szCs w:val="21"/>
              </w:rPr>
              <w:t>www.creditchina.gov.cn</w:t>
            </w:r>
            <w:r>
              <w:rPr>
                <w:rFonts w:hint="eastAsia" w:ascii="宋体" w:hAnsi="宋体" w:cs="宋体"/>
                <w:szCs w:val="21"/>
              </w:rPr>
              <w:t>）、中国政府采购网（</w:t>
            </w:r>
            <w:r>
              <w:rPr>
                <w:rFonts w:ascii="宋体" w:hAnsi="宋体" w:cs="宋体"/>
                <w:szCs w:val="21"/>
              </w:rPr>
              <w:t>www.ccgp.gov.cn</w:t>
            </w:r>
            <w:r>
              <w:rPr>
                <w:rFonts w:hint="eastAsia" w:ascii="宋体" w:hAnsi="宋体" w:cs="宋体"/>
                <w:szCs w:val="21"/>
              </w:rPr>
              <w:t>），以投标截止当日网页查询记录为准。对列入失信被执行人、重大税收违法案件当事人名单、政府采购严重违法失信行为记录名单的供应商，其投标文件将作无效标处理。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23</w:t>
            </w:r>
          </w:p>
        </w:tc>
        <w:tc>
          <w:tcPr>
            <w:tcW w:w="86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eastAsia="宋体" w:cs="宋体"/>
                <w:kern w:val="2"/>
                <w:sz w:val="21"/>
                <w:szCs w:val="21"/>
                <w:lang w:val="en-US" w:eastAsia="zh-CN" w:bidi="ar-SA"/>
              </w:rPr>
            </w:pPr>
            <w:r>
              <w:rPr>
                <w:rFonts w:hint="eastAsia" w:ascii="宋体" w:hAnsi="宋体" w:cs="宋体"/>
                <w:szCs w:val="21"/>
              </w:rPr>
              <w:t>解释：本招标文件的解释权属于招标采购单位。</w:t>
            </w:r>
          </w:p>
        </w:tc>
      </w:tr>
    </w:tbl>
    <w:p>
      <w:pPr>
        <w:snapToGrid w:val="0"/>
        <w:spacing w:line="360" w:lineRule="auto"/>
        <w:ind w:firstLine="422" w:firstLineChars="200"/>
        <w:jc w:val="left"/>
        <w:rPr>
          <w:rFonts w:ascii="宋体" w:hAnsi="宋体" w:cs="宋体"/>
          <w:b/>
          <w:szCs w:val="21"/>
        </w:rPr>
        <w:sectPr>
          <w:pgSz w:w="11906" w:h="16838"/>
          <w:pgMar w:top="1474" w:right="1797" w:bottom="1247" w:left="1797" w:header="851" w:footer="851" w:gutter="0"/>
          <w:cols w:space="720" w:num="1"/>
          <w:docGrid w:linePitch="312" w:charSpace="0"/>
        </w:sectPr>
      </w:pPr>
      <w:bookmarkStart w:id="24" w:name="_Toc50012817"/>
      <w:bookmarkStart w:id="25" w:name="_Toc493511580"/>
      <w:bookmarkStart w:id="26" w:name="_Toc177870536"/>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一、总  则</w:t>
      </w:r>
      <w:bookmarkEnd w:id="24"/>
      <w:bookmarkEnd w:id="25"/>
      <w:bookmarkEnd w:id="26"/>
    </w:p>
    <w:p>
      <w:pPr>
        <w:snapToGrid w:val="0"/>
        <w:spacing w:line="360" w:lineRule="auto"/>
        <w:ind w:firstLine="420" w:firstLineChars="200"/>
        <w:jc w:val="left"/>
        <w:outlineLvl w:val="1"/>
        <w:rPr>
          <w:rFonts w:ascii="宋体" w:hAnsi="宋体" w:cs="宋体"/>
          <w:szCs w:val="21"/>
        </w:rPr>
      </w:pPr>
      <w:bookmarkStart w:id="27" w:name="_Toc177824939"/>
      <w:bookmarkStart w:id="28" w:name="_Toc427915759"/>
      <w:bookmarkStart w:id="29" w:name="_Toc177870537"/>
      <w:bookmarkStart w:id="30" w:name="_Toc177824872"/>
      <w:bookmarkStart w:id="31" w:name="_Toc493511581"/>
      <w:bookmarkStart w:id="32" w:name="_Toc177825120"/>
      <w:bookmarkStart w:id="33" w:name="_Toc50012818"/>
      <w:r>
        <w:rPr>
          <w:rFonts w:hint="eastAsia" w:ascii="宋体" w:hAnsi="宋体" w:cs="宋体"/>
          <w:szCs w:val="21"/>
        </w:rPr>
        <w:t>1、 适用范围</w:t>
      </w:r>
      <w:bookmarkEnd w:id="27"/>
      <w:bookmarkEnd w:id="28"/>
      <w:bookmarkEnd w:id="29"/>
      <w:bookmarkEnd w:id="30"/>
      <w:bookmarkEnd w:id="31"/>
      <w:bookmarkEnd w:id="32"/>
      <w:bookmarkEnd w:id="33"/>
    </w:p>
    <w:p>
      <w:pPr>
        <w:snapToGrid w:val="0"/>
        <w:spacing w:line="360" w:lineRule="auto"/>
        <w:ind w:firstLine="420" w:firstLineChars="200"/>
        <w:jc w:val="left"/>
        <w:outlineLvl w:val="1"/>
        <w:rPr>
          <w:rFonts w:ascii="宋体" w:hAnsi="宋体" w:cs="宋体"/>
          <w:szCs w:val="21"/>
        </w:rPr>
      </w:pPr>
      <w:bookmarkStart w:id="34" w:name="_Toc493511582"/>
      <w:bookmarkStart w:id="35" w:name="_Toc50012819"/>
      <w:r>
        <w:rPr>
          <w:rFonts w:hint="eastAsia" w:ascii="宋体" w:hAnsi="宋体" w:cs="宋体"/>
          <w:szCs w:val="21"/>
        </w:rPr>
        <w:t>1.1、本招标文件适用于本次所述项目的招标。</w:t>
      </w:r>
      <w:bookmarkEnd w:id="34"/>
      <w:bookmarkEnd w:id="35"/>
      <w:bookmarkStart w:id="36" w:name="_Toc177824873"/>
      <w:bookmarkStart w:id="37" w:name="_Toc177824940"/>
      <w:bookmarkStart w:id="38" w:name="_Toc427915760"/>
      <w:bookmarkStart w:id="39" w:name="_Toc177825121"/>
      <w:bookmarkStart w:id="40" w:name="_Toc177870538"/>
    </w:p>
    <w:p>
      <w:pPr>
        <w:snapToGrid w:val="0"/>
        <w:spacing w:line="360" w:lineRule="auto"/>
        <w:ind w:firstLine="420" w:firstLineChars="200"/>
        <w:jc w:val="left"/>
        <w:outlineLvl w:val="1"/>
        <w:rPr>
          <w:rFonts w:ascii="宋体" w:hAnsi="宋体" w:cs="宋体"/>
          <w:szCs w:val="21"/>
        </w:rPr>
      </w:pPr>
      <w:bookmarkStart w:id="41" w:name="_Toc50012820"/>
      <w:bookmarkStart w:id="42" w:name="_Toc493511583"/>
      <w:r>
        <w:rPr>
          <w:rFonts w:hint="eastAsia" w:ascii="宋体" w:hAnsi="宋体" w:cs="宋体"/>
          <w:szCs w:val="21"/>
        </w:rPr>
        <w:t>2、定义</w:t>
      </w:r>
      <w:bookmarkEnd w:id="36"/>
      <w:bookmarkEnd w:id="37"/>
      <w:bookmarkEnd w:id="38"/>
      <w:bookmarkEnd w:id="39"/>
      <w:bookmarkEnd w:id="40"/>
      <w:bookmarkEnd w:id="41"/>
      <w:bookmarkEnd w:id="42"/>
    </w:p>
    <w:p>
      <w:pPr>
        <w:snapToGrid w:val="0"/>
        <w:spacing w:line="360" w:lineRule="auto"/>
        <w:ind w:firstLine="420" w:firstLineChars="200"/>
        <w:jc w:val="left"/>
        <w:outlineLvl w:val="1"/>
        <w:rPr>
          <w:rFonts w:ascii="宋体" w:hAnsi="宋体" w:cs="宋体"/>
          <w:szCs w:val="21"/>
        </w:rPr>
      </w:pPr>
      <w:bookmarkStart w:id="43" w:name="_Toc50012821"/>
      <w:bookmarkStart w:id="44" w:name="_Toc493511584"/>
      <w:r>
        <w:rPr>
          <w:rFonts w:hint="eastAsia" w:ascii="宋体" w:hAnsi="宋体" w:cs="宋体"/>
          <w:szCs w:val="21"/>
        </w:rPr>
        <w:t>2.1、“招标人”系指组织本次招标的代理机构或采购人。</w:t>
      </w:r>
      <w:bookmarkEnd w:id="43"/>
      <w:bookmarkEnd w:id="44"/>
    </w:p>
    <w:p>
      <w:pPr>
        <w:snapToGrid w:val="0"/>
        <w:spacing w:line="360" w:lineRule="auto"/>
        <w:ind w:firstLine="420" w:firstLineChars="200"/>
        <w:jc w:val="left"/>
        <w:outlineLvl w:val="1"/>
        <w:rPr>
          <w:rFonts w:ascii="宋体" w:hAnsi="宋体" w:cs="宋体"/>
          <w:szCs w:val="21"/>
        </w:rPr>
      </w:pPr>
      <w:bookmarkStart w:id="45" w:name="_Toc50012822"/>
      <w:bookmarkStart w:id="46" w:name="_Toc493511585"/>
      <w:r>
        <w:rPr>
          <w:rFonts w:hint="eastAsia" w:ascii="宋体" w:hAnsi="宋体" w:cs="宋体"/>
          <w:szCs w:val="21"/>
        </w:rPr>
        <w:t>2.2、“投标人”系指向招标方提交投标文件的供应商。</w:t>
      </w:r>
      <w:bookmarkEnd w:id="45"/>
      <w:bookmarkEnd w:id="46"/>
    </w:p>
    <w:p>
      <w:pPr>
        <w:snapToGrid w:val="0"/>
        <w:spacing w:line="360" w:lineRule="auto"/>
        <w:ind w:firstLine="420" w:firstLineChars="200"/>
        <w:jc w:val="left"/>
        <w:outlineLvl w:val="1"/>
        <w:rPr>
          <w:rFonts w:ascii="宋体" w:hAnsi="宋体" w:cs="宋体"/>
          <w:szCs w:val="21"/>
        </w:rPr>
      </w:pPr>
      <w:bookmarkStart w:id="47" w:name="_Toc50012823"/>
      <w:bookmarkStart w:id="48" w:name="_Toc493511586"/>
      <w:r>
        <w:rPr>
          <w:rFonts w:hint="eastAsia" w:ascii="宋体" w:hAnsi="宋体" w:cs="宋体"/>
          <w:szCs w:val="21"/>
        </w:rPr>
        <w:t>2.3、“产品”系指供方按招标文件规定，须向采购人提供的一切设备、保险、税金、备品备件、工具、手册及其它有关技术资料和材料。</w:t>
      </w:r>
      <w:bookmarkEnd w:id="47"/>
      <w:bookmarkEnd w:id="48"/>
    </w:p>
    <w:p>
      <w:pPr>
        <w:snapToGrid w:val="0"/>
        <w:spacing w:line="360" w:lineRule="auto"/>
        <w:ind w:firstLine="420" w:firstLineChars="200"/>
        <w:jc w:val="left"/>
        <w:outlineLvl w:val="1"/>
        <w:rPr>
          <w:rFonts w:ascii="宋体" w:hAnsi="宋体" w:cs="宋体"/>
          <w:szCs w:val="21"/>
        </w:rPr>
      </w:pPr>
      <w:bookmarkStart w:id="49" w:name="_Toc50012824"/>
      <w:bookmarkStart w:id="50" w:name="_Toc493511587"/>
      <w:r>
        <w:rPr>
          <w:rFonts w:hint="eastAsia" w:ascii="宋体" w:hAnsi="宋体" w:cs="宋体"/>
          <w:szCs w:val="21"/>
        </w:rPr>
        <w:t>2.4、“服务”系指招标文件规定投标人须承担的安装、调试、技术协助、校准、培训、技术指导以及其他类似的义务。</w:t>
      </w:r>
      <w:bookmarkEnd w:id="49"/>
      <w:bookmarkEnd w:id="50"/>
    </w:p>
    <w:p>
      <w:pPr>
        <w:snapToGrid w:val="0"/>
        <w:spacing w:line="360" w:lineRule="auto"/>
        <w:ind w:firstLine="420" w:firstLineChars="200"/>
        <w:jc w:val="left"/>
        <w:outlineLvl w:val="1"/>
        <w:rPr>
          <w:rFonts w:ascii="宋体" w:hAnsi="宋体" w:cs="宋体"/>
          <w:szCs w:val="21"/>
        </w:rPr>
      </w:pPr>
      <w:bookmarkStart w:id="51" w:name="_Toc50012825"/>
      <w:bookmarkStart w:id="52" w:name="_Toc493511588"/>
      <w:r>
        <w:rPr>
          <w:rFonts w:hint="eastAsia" w:ascii="宋体" w:hAnsi="宋体" w:cs="宋体"/>
          <w:szCs w:val="21"/>
        </w:rPr>
        <w:t>2.5、“项目”系指投标人按招标文件规定向采购人提供的产品和服务。</w:t>
      </w:r>
      <w:bookmarkEnd w:id="51"/>
      <w:bookmarkEnd w:id="52"/>
    </w:p>
    <w:p>
      <w:pPr>
        <w:snapToGrid w:val="0"/>
        <w:spacing w:line="360" w:lineRule="auto"/>
        <w:ind w:firstLine="420" w:firstLineChars="200"/>
        <w:jc w:val="left"/>
        <w:outlineLvl w:val="1"/>
        <w:rPr>
          <w:rFonts w:ascii="宋体" w:hAnsi="宋体" w:cs="宋体"/>
          <w:szCs w:val="21"/>
        </w:rPr>
      </w:pPr>
      <w:bookmarkStart w:id="53" w:name="_Toc50012826"/>
      <w:bookmarkStart w:id="54" w:name="_Toc493511589"/>
      <w:r>
        <w:rPr>
          <w:rFonts w:hint="eastAsia" w:ascii="宋体" w:hAnsi="宋体" w:cs="宋体"/>
          <w:szCs w:val="21"/>
        </w:rPr>
        <w:t>2.6、“书面形式”包括信函、传真、电报、电子文档等。</w:t>
      </w:r>
      <w:bookmarkEnd w:id="53"/>
      <w:bookmarkEnd w:id="54"/>
    </w:p>
    <w:p>
      <w:pPr>
        <w:snapToGrid w:val="0"/>
        <w:spacing w:line="360" w:lineRule="auto"/>
        <w:ind w:firstLine="420" w:firstLineChars="200"/>
        <w:jc w:val="left"/>
        <w:outlineLvl w:val="1"/>
        <w:rPr>
          <w:rFonts w:ascii="宋体" w:hAnsi="宋体" w:cs="宋体"/>
          <w:szCs w:val="21"/>
        </w:rPr>
      </w:pPr>
      <w:bookmarkStart w:id="55" w:name="_Toc50012827"/>
      <w:bookmarkStart w:id="56" w:name="_Toc493511590"/>
      <w:r>
        <w:rPr>
          <w:rFonts w:hint="eastAsia" w:ascii="宋体" w:hAnsi="宋体" w:cs="宋体"/>
          <w:szCs w:val="21"/>
        </w:rPr>
        <w:t>2.7、“▲”系指实质性要求条款。</w:t>
      </w:r>
      <w:bookmarkEnd w:id="55"/>
      <w:bookmarkEnd w:id="56"/>
      <w:bookmarkStart w:id="57" w:name="_Toc427915761"/>
      <w:bookmarkStart w:id="58" w:name="_Toc177870539"/>
    </w:p>
    <w:p>
      <w:pPr>
        <w:snapToGrid w:val="0"/>
        <w:spacing w:line="360" w:lineRule="auto"/>
        <w:ind w:firstLine="420" w:firstLineChars="200"/>
        <w:jc w:val="left"/>
        <w:outlineLvl w:val="1"/>
        <w:rPr>
          <w:rFonts w:ascii="宋体" w:hAnsi="宋体" w:cs="宋体"/>
          <w:szCs w:val="21"/>
        </w:rPr>
      </w:pPr>
      <w:bookmarkStart w:id="59" w:name="_Toc493511591"/>
      <w:bookmarkStart w:id="60" w:name="_Toc50012828"/>
      <w:r>
        <w:rPr>
          <w:rFonts w:hint="eastAsia" w:ascii="宋体" w:hAnsi="宋体" w:cs="宋体"/>
          <w:szCs w:val="21"/>
        </w:rPr>
        <w:t>3、招标方式</w:t>
      </w:r>
      <w:bookmarkEnd w:id="57"/>
      <w:bookmarkEnd w:id="58"/>
      <w:bookmarkEnd w:id="59"/>
      <w:bookmarkEnd w:id="60"/>
    </w:p>
    <w:p>
      <w:pPr>
        <w:snapToGrid w:val="0"/>
        <w:spacing w:line="360" w:lineRule="auto"/>
        <w:ind w:firstLine="420" w:firstLineChars="200"/>
        <w:jc w:val="left"/>
        <w:outlineLvl w:val="1"/>
        <w:rPr>
          <w:rFonts w:ascii="宋体" w:hAnsi="宋体" w:cs="宋体"/>
          <w:szCs w:val="21"/>
        </w:rPr>
      </w:pPr>
      <w:bookmarkStart w:id="61" w:name="_Toc50012829"/>
      <w:bookmarkStart w:id="62" w:name="_Toc493511592"/>
      <w:r>
        <w:rPr>
          <w:rFonts w:hint="eastAsia" w:ascii="宋体" w:hAnsi="宋体" w:cs="宋体"/>
          <w:szCs w:val="21"/>
        </w:rPr>
        <w:t>3.1、本次招标采用公开招标方式进行。</w:t>
      </w:r>
      <w:bookmarkEnd w:id="61"/>
      <w:bookmarkEnd w:id="62"/>
    </w:p>
    <w:p>
      <w:pPr>
        <w:snapToGrid w:val="0"/>
        <w:spacing w:line="360" w:lineRule="auto"/>
        <w:ind w:firstLine="420" w:firstLineChars="200"/>
        <w:jc w:val="left"/>
        <w:outlineLvl w:val="1"/>
        <w:rPr>
          <w:rFonts w:ascii="宋体" w:hAnsi="宋体" w:cs="宋体"/>
          <w:szCs w:val="21"/>
        </w:rPr>
      </w:pPr>
      <w:bookmarkStart w:id="63" w:name="_Toc50012830"/>
      <w:bookmarkStart w:id="64" w:name="_Toc493511593"/>
      <w:r>
        <w:rPr>
          <w:rFonts w:hint="eastAsia" w:ascii="宋体" w:hAnsi="宋体" w:cs="宋体"/>
          <w:szCs w:val="21"/>
        </w:rPr>
        <w:t>3.2、本次招标设定上限价为预算价。</w:t>
      </w:r>
      <w:bookmarkEnd w:id="63"/>
      <w:bookmarkEnd w:id="64"/>
      <w:bookmarkStart w:id="65" w:name="_Toc177825122"/>
      <w:bookmarkStart w:id="66" w:name="_Toc177824874"/>
      <w:bookmarkStart w:id="67" w:name="_Toc177824941"/>
      <w:bookmarkStart w:id="68" w:name="_Toc427915762"/>
      <w:bookmarkStart w:id="69" w:name="_Toc177870540"/>
    </w:p>
    <w:p>
      <w:pPr>
        <w:snapToGrid w:val="0"/>
        <w:spacing w:line="360" w:lineRule="auto"/>
        <w:ind w:firstLine="420" w:firstLineChars="200"/>
        <w:jc w:val="left"/>
        <w:outlineLvl w:val="1"/>
        <w:rPr>
          <w:rFonts w:ascii="宋体" w:hAnsi="宋体" w:cs="宋体"/>
          <w:szCs w:val="21"/>
        </w:rPr>
      </w:pPr>
      <w:bookmarkStart w:id="70" w:name="_Toc50012831"/>
      <w:bookmarkStart w:id="71" w:name="_Toc493511594"/>
      <w:r>
        <w:rPr>
          <w:rFonts w:hint="eastAsia" w:ascii="宋体" w:hAnsi="宋体" w:cs="宋体"/>
          <w:szCs w:val="21"/>
        </w:rPr>
        <w:t>4、投标委托</w:t>
      </w:r>
      <w:bookmarkEnd w:id="65"/>
      <w:bookmarkEnd w:id="66"/>
      <w:bookmarkEnd w:id="67"/>
      <w:bookmarkEnd w:id="68"/>
      <w:bookmarkEnd w:id="69"/>
      <w:bookmarkEnd w:id="70"/>
      <w:bookmarkEnd w:id="71"/>
    </w:p>
    <w:p>
      <w:pPr>
        <w:snapToGrid w:val="0"/>
        <w:spacing w:line="360" w:lineRule="auto"/>
        <w:ind w:firstLine="420" w:firstLineChars="200"/>
        <w:jc w:val="left"/>
        <w:outlineLvl w:val="1"/>
        <w:rPr>
          <w:rFonts w:ascii="宋体" w:hAnsi="宋体" w:cs="宋体"/>
          <w:szCs w:val="21"/>
        </w:rPr>
      </w:pPr>
      <w:bookmarkStart w:id="72" w:name="_Toc493511595"/>
      <w:bookmarkStart w:id="73" w:name="_Toc50012832"/>
      <w:r>
        <w:rPr>
          <w:rFonts w:hint="eastAsia" w:ascii="宋体" w:hAnsi="宋体" w:cs="宋体"/>
          <w:szCs w:val="21"/>
        </w:rPr>
        <w:t>投标人代表须携带居民身份证。如投标人代表不是法定代表人，须有法定代表人出具的授权委托书。（正本用原件，副本可用复印件，格式见第六部分）。</w:t>
      </w:r>
      <w:bookmarkEnd w:id="72"/>
      <w:bookmarkEnd w:id="73"/>
      <w:bookmarkStart w:id="74" w:name="_Toc177824875"/>
      <w:bookmarkStart w:id="75" w:name="_Toc177824942"/>
      <w:bookmarkStart w:id="76" w:name="_Toc177870541"/>
      <w:bookmarkStart w:id="77" w:name="_Toc177825123"/>
      <w:bookmarkStart w:id="78" w:name="_Toc427915763"/>
    </w:p>
    <w:p>
      <w:pPr>
        <w:snapToGrid w:val="0"/>
        <w:spacing w:line="360" w:lineRule="auto"/>
        <w:ind w:firstLine="420" w:firstLineChars="200"/>
        <w:jc w:val="left"/>
        <w:outlineLvl w:val="1"/>
        <w:rPr>
          <w:rFonts w:ascii="宋体" w:hAnsi="宋体" w:cs="宋体"/>
          <w:szCs w:val="21"/>
        </w:rPr>
      </w:pPr>
      <w:bookmarkStart w:id="79" w:name="_Toc493511596"/>
      <w:bookmarkStart w:id="80" w:name="_Toc50012833"/>
      <w:r>
        <w:rPr>
          <w:rFonts w:hint="eastAsia" w:ascii="宋体" w:hAnsi="宋体" w:cs="宋体"/>
          <w:szCs w:val="21"/>
        </w:rPr>
        <w:t>5、投标费用</w:t>
      </w:r>
      <w:bookmarkEnd w:id="74"/>
      <w:bookmarkEnd w:id="75"/>
      <w:bookmarkEnd w:id="76"/>
      <w:bookmarkEnd w:id="77"/>
      <w:bookmarkEnd w:id="78"/>
      <w:bookmarkEnd w:id="79"/>
      <w:bookmarkEnd w:id="80"/>
    </w:p>
    <w:p>
      <w:pPr>
        <w:snapToGrid w:val="0"/>
        <w:spacing w:line="360" w:lineRule="auto"/>
        <w:ind w:firstLine="420" w:firstLineChars="200"/>
        <w:jc w:val="left"/>
        <w:outlineLvl w:val="1"/>
        <w:rPr>
          <w:rFonts w:ascii="宋体" w:hAnsi="宋体" w:cs="宋体"/>
          <w:szCs w:val="21"/>
        </w:rPr>
      </w:pPr>
      <w:bookmarkStart w:id="81" w:name="_Toc493511597"/>
      <w:bookmarkStart w:id="82" w:name="_Toc50012834"/>
      <w:r>
        <w:rPr>
          <w:rFonts w:hint="eastAsia" w:ascii="宋体" w:hAnsi="宋体" w:cs="宋体"/>
          <w:szCs w:val="21"/>
        </w:rPr>
        <w:t>不论投标结果如何，投标人均应自行承担所有与投标有关的全部费用。</w:t>
      </w:r>
      <w:bookmarkEnd w:id="81"/>
      <w:bookmarkEnd w:id="82"/>
    </w:p>
    <w:p>
      <w:pPr>
        <w:snapToGrid w:val="0"/>
        <w:spacing w:line="360" w:lineRule="auto"/>
        <w:ind w:firstLine="420" w:firstLineChars="200"/>
        <w:jc w:val="left"/>
        <w:outlineLvl w:val="1"/>
        <w:rPr>
          <w:rFonts w:ascii="宋体" w:hAnsi="宋体" w:cs="宋体"/>
          <w:szCs w:val="21"/>
        </w:rPr>
      </w:pPr>
      <w:bookmarkStart w:id="83" w:name="_Toc493511598"/>
      <w:bookmarkStart w:id="84" w:name="_Toc50012835"/>
      <w:r>
        <w:rPr>
          <w:rFonts w:hint="eastAsia" w:ascii="宋体" w:hAnsi="宋体" w:cs="宋体"/>
          <w:szCs w:val="21"/>
        </w:rPr>
        <w:t>6、联合体投标</w:t>
      </w:r>
      <w:bookmarkEnd w:id="83"/>
      <w:bookmarkEnd w:id="84"/>
    </w:p>
    <w:p>
      <w:pPr>
        <w:snapToGrid w:val="0"/>
        <w:spacing w:line="360" w:lineRule="auto"/>
        <w:ind w:firstLine="422" w:firstLineChars="200"/>
        <w:jc w:val="left"/>
        <w:outlineLvl w:val="1"/>
        <w:rPr>
          <w:rFonts w:ascii="宋体" w:hAnsi="宋体" w:cs="宋体"/>
          <w:b/>
          <w:szCs w:val="21"/>
        </w:rPr>
      </w:pPr>
      <w:bookmarkStart w:id="85" w:name="_Toc493511599"/>
      <w:bookmarkStart w:id="86" w:name="_Toc50012836"/>
      <w:r>
        <w:rPr>
          <w:rFonts w:hint="eastAsia" w:ascii="宋体" w:hAnsi="宋体" w:cs="宋体"/>
          <w:b/>
          <w:szCs w:val="21"/>
        </w:rPr>
        <w:t>本项目接受联合体投标。</w:t>
      </w:r>
      <w:bookmarkEnd w:id="85"/>
      <w:bookmarkEnd w:id="86"/>
      <w:bookmarkStart w:id="87" w:name="_Toc177870544"/>
    </w:p>
    <w:p>
      <w:pPr>
        <w:snapToGrid w:val="0"/>
        <w:spacing w:line="360" w:lineRule="auto"/>
        <w:ind w:firstLine="420" w:firstLineChars="200"/>
        <w:jc w:val="left"/>
        <w:outlineLvl w:val="1"/>
        <w:rPr>
          <w:rFonts w:ascii="宋体" w:hAnsi="宋体" w:cs="宋体"/>
          <w:szCs w:val="21"/>
        </w:rPr>
      </w:pPr>
      <w:bookmarkStart w:id="88" w:name="_Toc50012837"/>
      <w:r>
        <w:rPr>
          <w:rFonts w:hint="eastAsia" w:ascii="宋体" w:hAnsi="宋体" w:cs="宋体"/>
          <w:szCs w:val="21"/>
        </w:rPr>
        <w:t>7、转包与分包</w:t>
      </w:r>
      <w:bookmarkEnd w:id="88"/>
    </w:p>
    <w:p>
      <w:pPr>
        <w:snapToGrid w:val="0"/>
        <w:spacing w:line="360" w:lineRule="auto"/>
        <w:ind w:firstLine="420" w:firstLineChars="200"/>
        <w:jc w:val="left"/>
        <w:outlineLvl w:val="1"/>
        <w:rPr>
          <w:rFonts w:ascii="宋体" w:hAnsi="宋体" w:cs="宋体"/>
          <w:szCs w:val="21"/>
        </w:rPr>
      </w:pPr>
      <w:bookmarkStart w:id="89" w:name="_Toc50012838"/>
      <w:r>
        <w:rPr>
          <w:rFonts w:hint="eastAsia" w:ascii="宋体" w:hAnsi="宋体" w:cs="宋体"/>
          <w:szCs w:val="21"/>
        </w:rPr>
        <w:t>7.1、本项目不允许转包；</w:t>
      </w:r>
      <w:bookmarkEnd w:id="89"/>
    </w:p>
    <w:p>
      <w:pPr>
        <w:snapToGrid w:val="0"/>
        <w:spacing w:line="360" w:lineRule="auto"/>
        <w:ind w:firstLine="422" w:firstLineChars="200"/>
        <w:jc w:val="left"/>
        <w:outlineLvl w:val="1"/>
        <w:rPr>
          <w:rFonts w:ascii="宋体" w:hAnsi="宋体" w:cs="宋体"/>
          <w:b/>
          <w:kern w:val="0"/>
          <w:szCs w:val="21"/>
        </w:rPr>
      </w:pPr>
      <w:bookmarkStart w:id="90" w:name="_Toc50012839"/>
      <w:r>
        <w:rPr>
          <w:rFonts w:hint="eastAsia" w:ascii="宋体" w:hAnsi="宋体" w:cs="宋体"/>
          <w:b/>
          <w:kern w:val="0"/>
          <w:szCs w:val="21"/>
        </w:rPr>
        <w:t>7.2、</w:t>
      </w:r>
      <w:r>
        <w:rPr>
          <w:rFonts w:hint="eastAsia" w:ascii="宋体" w:hAnsi="宋体" w:cs="宋体"/>
          <w:b/>
          <w:szCs w:val="21"/>
        </w:rPr>
        <w:t>本项目允许分包</w:t>
      </w:r>
      <w:r>
        <w:rPr>
          <w:rFonts w:hint="eastAsia" w:ascii="宋体" w:hAnsi="宋体" w:cs="宋体"/>
          <w:b/>
          <w:kern w:val="0"/>
          <w:szCs w:val="21"/>
        </w:rPr>
        <w:t>。</w:t>
      </w:r>
      <w:bookmarkEnd w:id="90"/>
      <w:bookmarkStart w:id="91" w:name="_Toc430786267"/>
      <w:bookmarkStart w:id="92" w:name="_Toc177870542"/>
    </w:p>
    <w:p>
      <w:pPr>
        <w:snapToGrid w:val="0"/>
        <w:spacing w:line="360" w:lineRule="auto"/>
        <w:ind w:firstLine="422" w:firstLineChars="200"/>
        <w:jc w:val="left"/>
        <w:outlineLvl w:val="1"/>
        <w:rPr>
          <w:rFonts w:ascii="宋体" w:hAnsi="宋体" w:cs="宋体"/>
          <w:b/>
          <w:szCs w:val="21"/>
        </w:rPr>
      </w:pPr>
      <w:bookmarkStart w:id="93" w:name="_Toc50012840"/>
      <w:r>
        <w:rPr>
          <w:rFonts w:hint="eastAsia" w:ascii="宋体" w:hAnsi="宋体" w:cs="宋体"/>
          <w:b/>
          <w:szCs w:val="21"/>
        </w:rPr>
        <w:t>8、特别说明：</w:t>
      </w:r>
      <w:bookmarkEnd w:id="91"/>
      <w:bookmarkEnd w:id="92"/>
      <w:bookmarkEnd w:id="93"/>
    </w:p>
    <w:p>
      <w:pPr>
        <w:pStyle w:val="16"/>
        <w:snapToGrid w:val="0"/>
        <w:spacing w:line="360" w:lineRule="auto"/>
        <w:ind w:firstLine="420" w:firstLineChars="200"/>
        <w:jc w:val="left"/>
        <w:rPr>
          <w:rFonts w:hAnsi="宋体" w:cs="宋体"/>
          <w:spacing w:val="0"/>
          <w:sz w:val="21"/>
          <w:szCs w:val="21"/>
        </w:rPr>
      </w:pPr>
      <w:bookmarkStart w:id="94" w:name="_Toc495603533"/>
      <w:bookmarkStart w:id="95" w:name="_Toc430786268"/>
      <w:bookmarkStart w:id="96" w:name="_Toc177870543"/>
      <w:r>
        <w:rPr>
          <w:rFonts w:hint="eastAsia" w:hAnsi="宋体" w:cs="宋体"/>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6"/>
        <w:snapToGrid w:val="0"/>
        <w:spacing w:line="360" w:lineRule="auto"/>
        <w:ind w:firstLine="420" w:firstLineChars="200"/>
        <w:jc w:val="left"/>
        <w:rPr>
          <w:rFonts w:hAnsi="宋体" w:cs="宋体"/>
          <w:spacing w:val="0"/>
          <w:sz w:val="21"/>
          <w:szCs w:val="21"/>
        </w:rPr>
      </w:pPr>
      <w:r>
        <w:rPr>
          <w:rFonts w:hint="eastAsia" w:hAnsi="宋体" w:cs="宋体"/>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6"/>
        <w:snapToGrid w:val="0"/>
        <w:spacing w:line="360" w:lineRule="auto"/>
        <w:ind w:firstLine="420" w:firstLineChars="200"/>
        <w:jc w:val="left"/>
        <w:rPr>
          <w:rFonts w:hAnsi="宋体" w:cs="宋体"/>
          <w:spacing w:val="0"/>
          <w:sz w:val="21"/>
          <w:szCs w:val="21"/>
        </w:rPr>
      </w:pPr>
      <w:r>
        <w:rPr>
          <w:rFonts w:hint="eastAsia" w:hAnsi="宋体" w:cs="宋体"/>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ind w:firstLine="422" w:firstLineChars="200"/>
        <w:jc w:val="left"/>
        <w:outlineLvl w:val="1"/>
        <w:rPr>
          <w:rFonts w:ascii="宋体" w:hAnsi="宋体" w:cs="宋体"/>
          <w:b/>
          <w:szCs w:val="21"/>
        </w:rPr>
      </w:pPr>
      <w:bookmarkStart w:id="97" w:name="_Toc50012841"/>
      <w:r>
        <w:rPr>
          <w:rFonts w:hint="eastAsia" w:ascii="宋体" w:hAnsi="宋体" w:cs="宋体"/>
          <w:b/>
          <w:szCs w:val="21"/>
        </w:rPr>
        <w:t>9、质疑</w:t>
      </w:r>
      <w:bookmarkEnd w:id="94"/>
      <w:bookmarkEnd w:id="95"/>
      <w:bookmarkEnd w:id="96"/>
      <w:bookmarkEnd w:id="97"/>
    </w:p>
    <w:p>
      <w:pPr>
        <w:pStyle w:val="19"/>
        <w:spacing w:line="360" w:lineRule="auto"/>
        <w:ind w:firstLine="422" w:firstLineChars="200"/>
        <w:jc w:val="left"/>
        <w:outlineLvl w:val="1"/>
        <w:rPr>
          <w:rFonts w:hAnsi="宋体" w:cs="宋体"/>
          <w:b/>
          <w:szCs w:val="21"/>
        </w:rPr>
      </w:pPr>
      <w:bookmarkStart w:id="98" w:name="_Toc495603534"/>
      <w:bookmarkStart w:id="99" w:name="_Toc50012842"/>
      <w:r>
        <w:rPr>
          <w:rFonts w:hint="eastAsia" w:hAnsi="宋体" w:cs="宋体"/>
          <w:b/>
          <w:szCs w:val="21"/>
        </w:rPr>
        <w:t>9.1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作出答复的，可以在答复期满后十五个工作日内向同级采购监管部门投诉。</w:t>
      </w:r>
      <w:bookmarkEnd w:id="98"/>
      <w:bookmarkEnd w:id="99"/>
      <w:bookmarkStart w:id="100" w:name="_Toc495603535"/>
    </w:p>
    <w:p>
      <w:pPr>
        <w:pStyle w:val="19"/>
        <w:spacing w:line="360" w:lineRule="auto"/>
        <w:ind w:firstLine="422" w:firstLineChars="200"/>
        <w:jc w:val="left"/>
        <w:outlineLvl w:val="1"/>
        <w:rPr>
          <w:rFonts w:hAnsi="宋体" w:cs="宋体"/>
          <w:b/>
          <w:szCs w:val="21"/>
        </w:rPr>
      </w:pPr>
      <w:bookmarkStart w:id="101" w:name="_Toc50012843"/>
      <w:r>
        <w:rPr>
          <w:rFonts w:hint="eastAsia" w:hAnsi="宋体" w:cs="宋体"/>
          <w:b/>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bookmarkEnd w:id="100"/>
      <w:bookmarkEnd w:id="101"/>
    </w:p>
    <w:p>
      <w:pPr>
        <w:snapToGrid w:val="0"/>
        <w:spacing w:line="360" w:lineRule="auto"/>
        <w:ind w:firstLine="422" w:firstLineChars="200"/>
        <w:jc w:val="left"/>
        <w:outlineLvl w:val="1"/>
        <w:rPr>
          <w:rFonts w:ascii="宋体" w:hAnsi="宋体" w:cs="宋体"/>
          <w:b/>
          <w:szCs w:val="21"/>
        </w:rPr>
      </w:pPr>
      <w:bookmarkStart w:id="102" w:name="_Toc493511613"/>
      <w:bookmarkStart w:id="103" w:name="_Toc50012844"/>
      <w:r>
        <w:rPr>
          <w:rFonts w:hint="eastAsia" w:ascii="宋体" w:hAnsi="宋体" w:cs="宋体"/>
          <w:b/>
          <w:szCs w:val="21"/>
        </w:rPr>
        <w:t>二 、招标文件</w:t>
      </w:r>
      <w:bookmarkEnd w:id="87"/>
      <w:bookmarkEnd w:id="102"/>
      <w:bookmarkEnd w:id="103"/>
    </w:p>
    <w:p>
      <w:pPr>
        <w:snapToGrid w:val="0"/>
        <w:spacing w:line="360" w:lineRule="auto"/>
        <w:ind w:firstLine="422" w:firstLineChars="200"/>
        <w:jc w:val="left"/>
        <w:outlineLvl w:val="1"/>
        <w:rPr>
          <w:rFonts w:ascii="宋体" w:hAnsi="宋体" w:cs="宋体"/>
          <w:b/>
          <w:szCs w:val="21"/>
        </w:rPr>
      </w:pPr>
      <w:bookmarkStart w:id="104" w:name="_Toc50012845"/>
      <w:bookmarkStart w:id="105" w:name="_Toc493511614"/>
      <w:r>
        <w:rPr>
          <w:rFonts w:hint="eastAsia" w:ascii="宋体" w:hAnsi="宋体" w:cs="宋体"/>
          <w:b/>
          <w:szCs w:val="21"/>
        </w:rPr>
        <w:t>1、招标文件的构成</w:t>
      </w:r>
      <w:bookmarkEnd w:id="104"/>
      <w:bookmarkEnd w:id="105"/>
    </w:p>
    <w:p>
      <w:pPr>
        <w:snapToGrid w:val="0"/>
        <w:spacing w:line="360" w:lineRule="auto"/>
        <w:ind w:firstLine="420" w:firstLineChars="200"/>
        <w:jc w:val="left"/>
        <w:outlineLvl w:val="1"/>
        <w:rPr>
          <w:rFonts w:ascii="宋体" w:hAnsi="宋体" w:cs="宋体"/>
          <w:szCs w:val="21"/>
        </w:rPr>
      </w:pPr>
      <w:bookmarkStart w:id="106" w:name="_Toc493511615"/>
      <w:bookmarkStart w:id="107" w:name="_Toc50012846"/>
      <w:r>
        <w:rPr>
          <w:rFonts w:hint="eastAsia" w:ascii="宋体" w:hAnsi="宋体" w:cs="宋体"/>
          <w:szCs w:val="21"/>
        </w:rPr>
        <w:t>1.1、公开招标采购公告</w:t>
      </w:r>
      <w:bookmarkEnd w:id="106"/>
      <w:bookmarkEnd w:id="107"/>
    </w:p>
    <w:p>
      <w:pPr>
        <w:snapToGrid w:val="0"/>
        <w:spacing w:line="360" w:lineRule="auto"/>
        <w:ind w:firstLine="420" w:firstLineChars="200"/>
        <w:jc w:val="left"/>
        <w:outlineLvl w:val="1"/>
        <w:rPr>
          <w:rFonts w:ascii="宋体" w:hAnsi="宋体" w:cs="宋体"/>
          <w:szCs w:val="21"/>
        </w:rPr>
      </w:pPr>
      <w:bookmarkStart w:id="108" w:name="_Toc493511616"/>
      <w:bookmarkStart w:id="109" w:name="_Toc50012847"/>
      <w:r>
        <w:rPr>
          <w:rFonts w:hint="eastAsia" w:ascii="宋体" w:hAnsi="宋体" w:cs="宋体"/>
          <w:szCs w:val="21"/>
        </w:rPr>
        <w:t>1.2、招标项目要求</w:t>
      </w:r>
      <w:bookmarkEnd w:id="108"/>
      <w:bookmarkEnd w:id="109"/>
    </w:p>
    <w:p>
      <w:pPr>
        <w:snapToGrid w:val="0"/>
        <w:spacing w:line="360" w:lineRule="auto"/>
        <w:ind w:firstLine="420" w:firstLineChars="200"/>
        <w:jc w:val="left"/>
        <w:outlineLvl w:val="1"/>
        <w:rPr>
          <w:rFonts w:ascii="宋体" w:hAnsi="宋体" w:cs="宋体"/>
          <w:szCs w:val="21"/>
        </w:rPr>
      </w:pPr>
      <w:bookmarkStart w:id="110" w:name="_Toc493511617"/>
      <w:bookmarkStart w:id="111" w:name="_Toc50012848"/>
      <w:r>
        <w:rPr>
          <w:rFonts w:hint="eastAsia" w:ascii="宋体" w:hAnsi="宋体" w:cs="宋体"/>
          <w:szCs w:val="21"/>
        </w:rPr>
        <w:t>1.3、投标人须知</w:t>
      </w:r>
      <w:bookmarkEnd w:id="110"/>
      <w:bookmarkEnd w:id="111"/>
    </w:p>
    <w:p>
      <w:pPr>
        <w:snapToGrid w:val="0"/>
        <w:spacing w:line="360" w:lineRule="auto"/>
        <w:ind w:firstLine="420" w:firstLineChars="200"/>
        <w:jc w:val="left"/>
        <w:outlineLvl w:val="1"/>
        <w:rPr>
          <w:rFonts w:ascii="宋体" w:hAnsi="宋体" w:cs="宋体"/>
          <w:szCs w:val="21"/>
        </w:rPr>
      </w:pPr>
      <w:bookmarkStart w:id="112" w:name="_Toc493511618"/>
      <w:bookmarkStart w:id="113" w:name="_Toc50012849"/>
      <w:r>
        <w:rPr>
          <w:rFonts w:hint="eastAsia" w:ascii="宋体" w:hAnsi="宋体" w:cs="宋体"/>
          <w:szCs w:val="21"/>
        </w:rPr>
        <w:t>1.4、评标办法</w:t>
      </w:r>
      <w:bookmarkEnd w:id="112"/>
      <w:bookmarkEnd w:id="113"/>
    </w:p>
    <w:p>
      <w:pPr>
        <w:snapToGrid w:val="0"/>
        <w:spacing w:line="360" w:lineRule="auto"/>
        <w:ind w:firstLine="420" w:firstLineChars="200"/>
        <w:jc w:val="left"/>
        <w:outlineLvl w:val="1"/>
        <w:rPr>
          <w:rFonts w:ascii="宋体" w:hAnsi="宋体" w:cs="宋体"/>
          <w:szCs w:val="21"/>
        </w:rPr>
      </w:pPr>
      <w:bookmarkStart w:id="114" w:name="_Toc50012850"/>
      <w:bookmarkStart w:id="115" w:name="_Toc493511619"/>
      <w:r>
        <w:rPr>
          <w:rFonts w:hint="eastAsia" w:ascii="宋体" w:hAnsi="宋体" w:cs="宋体"/>
          <w:szCs w:val="21"/>
        </w:rPr>
        <w:t>1.5、政府采购合同</w:t>
      </w:r>
      <w:bookmarkEnd w:id="114"/>
      <w:bookmarkEnd w:id="115"/>
    </w:p>
    <w:p>
      <w:pPr>
        <w:snapToGrid w:val="0"/>
        <w:spacing w:line="360" w:lineRule="auto"/>
        <w:ind w:firstLine="420" w:firstLineChars="200"/>
        <w:jc w:val="left"/>
        <w:outlineLvl w:val="1"/>
        <w:rPr>
          <w:rFonts w:ascii="宋体" w:hAnsi="宋体" w:cs="宋体"/>
          <w:szCs w:val="21"/>
        </w:rPr>
      </w:pPr>
      <w:bookmarkStart w:id="116" w:name="_Toc50012851"/>
      <w:bookmarkStart w:id="117" w:name="_Toc493511620"/>
      <w:r>
        <w:rPr>
          <w:rFonts w:hint="eastAsia" w:ascii="宋体" w:hAnsi="宋体" w:cs="宋体"/>
          <w:szCs w:val="21"/>
        </w:rPr>
        <w:t>1.6、投标文件相关文件格式</w:t>
      </w:r>
      <w:bookmarkEnd w:id="116"/>
      <w:bookmarkEnd w:id="117"/>
      <w:bookmarkStart w:id="118" w:name="_Toc482363722"/>
    </w:p>
    <w:p>
      <w:pPr>
        <w:snapToGrid w:val="0"/>
        <w:spacing w:line="360" w:lineRule="auto"/>
        <w:ind w:firstLine="420" w:firstLineChars="200"/>
        <w:jc w:val="left"/>
        <w:outlineLvl w:val="1"/>
        <w:rPr>
          <w:rFonts w:ascii="宋体" w:hAnsi="宋体" w:cs="宋体"/>
          <w:szCs w:val="21"/>
        </w:rPr>
      </w:pPr>
      <w:bookmarkStart w:id="119" w:name="_Toc493511621"/>
      <w:bookmarkStart w:id="120" w:name="_Toc50012852"/>
      <w:r>
        <w:rPr>
          <w:rFonts w:hint="eastAsia" w:ascii="宋体" w:hAnsi="宋体" w:cs="宋体"/>
          <w:szCs w:val="21"/>
        </w:rPr>
        <w:t>1.7、本项目招标文件的澄清、答复、修改、补充的内容（所有内容将以电子文档形式上传于浙江政府采购网网站（</w:t>
      </w:r>
      <w:r>
        <w:fldChar w:fldCharType="begin"/>
      </w:r>
      <w:r>
        <w:instrText xml:space="preserve"> HYPERLINK "https://zfcg.czt.zj.gov.cn/" </w:instrText>
      </w:r>
      <w:r>
        <w:fldChar w:fldCharType="separate"/>
      </w:r>
      <w:r>
        <w:rPr>
          <w:rStyle w:val="40"/>
          <w:rFonts w:hint="eastAsia" w:ascii="宋体" w:hAnsi="宋体" w:cs="宋体"/>
          <w:color w:val="auto"/>
          <w:szCs w:val="21"/>
        </w:rPr>
        <w:t>https://zfcg.czt.zj.gov.cn/</w:t>
      </w:r>
      <w:r>
        <w:rPr>
          <w:rStyle w:val="40"/>
          <w:rFonts w:hint="eastAsia" w:ascii="宋体" w:hAnsi="宋体" w:cs="宋体"/>
          <w:color w:val="auto"/>
          <w:szCs w:val="21"/>
        </w:rPr>
        <w:fldChar w:fldCharType="end"/>
      </w:r>
      <w:r>
        <w:rPr>
          <w:rFonts w:hint="eastAsia" w:ascii="宋体" w:hAnsi="宋体" w:cs="宋体"/>
          <w:szCs w:val="21"/>
        </w:rPr>
        <w:t>）。澄清、答复、修改、补充的内容均作为招标文件的组成部分，具有约束作用。投标人必须自行下载。）</w:t>
      </w:r>
      <w:bookmarkEnd w:id="118"/>
      <w:bookmarkEnd w:id="119"/>
      <w:bookmarkEnd w:id="120"/>
    </w:p>
    <w:p>
      <w:pPr>
        <w:snapToGrid w:val="0"/>
        <w:spacing w:line="360" w:lineRule="auto"/>
        <w:ind w:firstLine="422" w:firstLineChars="200"/>
        <w:jc w:val="left"/>
        <w:outlineLvl w:val="1"/>
        <w:rPr>
          <w:rFonts w:ascii="宋体" w:hAnsi="宋体" w:cs="宋体"/>
          <w:b/>
          <w:szCs w:val="21"/>
        </w:rPr>
      </w:pPr>
      <w:bookmarkStart w:id="121" w:name="_Toc50012853"/>
      <w:bookmarkStart w:id="122" w:name="_Toc493511622"/>
      <w:r>
        <w:rPr>
          <w:rFonts w:hint="eastAsia" w:ascii="宋体" w:hAnsi="宋体" w:cs="宋体"/>
          <w:b/>
          <w:szCs w:val="21"/>
        </w:rPr>
        <w:t>2、存在的风险</w:t>
      </w:r>
      <w:bookmarkEnd w:id="121"/>
      <w:bookmarkEnd w:id="122"/>
    </w:p>
    <w:p>
      <w:pPr>
        <w:snapToGrid w:val="0"/>
        <w:spacing w:line="360" w:lineRule="auto"/>
        <w:ind w:firstLine="420" w:firstLineChars="200"/>
        <w:jc w:val="left"/>
        <w:outlineLvl w:val="1"/>
        <w:rPr>
          <w:rFonts w:ascii="宋体" w:hAnsi="宋体" w:cs="宋体"/>
          <w:szCs w:val="21"/>
        </w:rPr>
      </w:pPr>
      <w:bookmarkStart w:id="123" w:name="_Toc50012854"/>
      <w:bookmarkStart w:id="124" w:name="_Toc493511623"/>
      <w:r>
        <w:rPr>
          <w:rFonts w:hint="eastAsia" w:ascii="宋体" w:hAnsi="宋体" w:cs="宋体"/>
          <w:szCs w:val="21"/>
        </w:rPr>
        <w:t>投标人没有按照招标文件要求提供全部资料，或者投标人没有对招标文件在各方面作出实质性响应是投标人的风险，并可能导致其投标无效。</w:t>
      </w:r>
      <w:bookmarkEnd w:id="123"/>
      <w:bookmarkEnd w:id="124"/>
    </w:p>
    <w:p>
      <w:pPr>
        <w:snapToGrid w:val="0"/>
        <w:spacing w:line="360" w:lineRule="auto"/>
        <w:ind w:firstLine="422" w:firstLineChars="200"/>
        <w:jc w:val="left"/>
        <w:outlineLvl w:val="1"/>
        <w:rPr>
          <w:rFonts w:ascii="宋体" w:hAnsi="宋体" w:cs="宋体"/>
          <w:b/>
          <w:szCs w:val="21"/>
        </w:rPr>
      </w:pPr>
      <w:bookmarkStart w:id="125" w:name="_Toc50012855"/>
      <w:bookmarkStart w:id="126" w:name="_Toc493511624"/>
      <w:r>
        <w:rPr>
          <w:rFonts w:hint="eastAsia" w:ascii="宋体" w:hAnsi="宋体" w:cs="宋体"/>
          <w:b/>
          <w:szCs w:val="21"/>
        </w:rPr>
        <w:t>3、招标文件的澄清与修改</w:t>
      </w:r>
      <w:bookmarkEnd w:id="125"/>
      <w:bookmarkEnd w:id="126"/>
    </w:p>
    <w:p>
      <w:pPr>
        <w:snapToGrid w:val="0"/>
        <w:spacing w:line="360" w:lineRule="auto"/>
        <w:ind w:firstLine="420" w:firstLineChars="200"/>
        <w:jc w:val="left"/>
        <w:outlineLvl w:val="1"/>
        <w:rPr>
          <w:rFonts w:ascii="宋体" w:hAnsi="宋体" w:cs="宋体"/>
          <w:szCs w:val="21"/>
        </w:rPr>
      </w:pPr>
      <w:bookmarkStart w:id="127" w:name="_Toc493511625"/>
      <w:bookmarkStart w:id="128" w:name="_Toc50012856"/>
      <w:r>
        <w:rPr>
          <w:rFonts w:hint="eastAsia" w:ascii="宋体" w:hAnsi="宋体" w:cs="宋体"/>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127"/>
      <w:bookmarkEnd w:id="128"/>
    </w:p>
    <w:p>
      <w:pPr>
        <w:snapToGrid w:val="0"/>
        <w:spacing w:line="360" w:lineRule="auto"/>
        <w:ind w:firstLine="420" w:firstLineChars="200"/>
        <w:jc w:val="left"/>
        <w:outlineLvl w:val="1"/>
        <w:rPr>
          <w:rFonts w:ascii="宋体" w:hAnsi="宋体" w:cs="宋体"/>
          <w:szCs w:val="21"/>
        </w:rPr>
      </w:pPr>
      <w:bookmarkStart w:id="129" w:name="_Toc493511626"/>
      <w:bookmarkStart w:id="130" w:name="_Toc50012857"/>
      <w:r>
        <w:rPr>
          <w:rFonts w:hint="eastAsia" w:ascii="宋体" w:hAnsi="宋体" w:cs="宋体"/>
          <w:szCs w:val="21"/>
        </w:rPr>
        <w:t>3.2、采购代理机构必须以书面形式答复所有购买招标文件的投标人（答复中不包含问题的来源）要求澄清的问题，同时认定其他澄清方式为无效。</w:t>
      </w:r>
      <w:bookmarkEnd w:id="129"/>
      <w:bookmarkEnd w:id="130"/>
    </w:p>
    <w:p>
      <w:pPr>
        <w:snapToGrid w:val="0"/>
        <w:spacing w:line="360" w:lineRule="auto"/>
        <w:ind w:firstLine="420" w:firstLineChars="200"/>
        <w:jc w:val="left"/>
        <w:outlineLvl w:val="1"/>
        <w:rPr>
          <w:rFonts w:ascii="宋体" w:hAnsi="宋体" w:cs="宋体"/>
          <w:szCs w:val="21"/>
        </w:rPr>
      </w:pPr>
      <w:bookmarkStart w:id="131" w:name="_Toc50012858"/>
      <w:bookmarkStart w:id="132" w:name="_Toc493511627"/>
      <w:r>
        <w:rPr>
          <w:rFonts w:hint="eastAsia" w:ascii="宋体" w:hAnsi="宋体" w:cs="宋体"/>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131"/>
      <w:bookmarkEnd w:id="132"/>
    </w:p>
    <w:p>
      <w:pPr>
        <w:snapToGrid w:val="0"/>
        <w:spacing w:line="360" w:lineRule="auto"/>
        <w:ind w:firstLine="420" w:firstLineChars="200"/>
        <w:jc w:val="left"/>
        <w:outlineLvl w:val="1"/>
        <w:rPr>
          <w:rFonts w:ascii="宋体" w:hAnsi="宋体" w:cs="宋体"/>
          <w:szCs w:val="21"/>
        </w:rPr>
      </w:pPr>
      <w:bookmarkStart w:id="133" w:name="_Toc493511628"/>
      <w:bookmarkStart w:id="134" w:name="_Toc50012859"/>
      <w:r>
        <w:rPr>
          <w:rFonts w:hint="eastAsia" w:ascii="宋体" w:hAnsi="宋体" w:cs="宋体"/>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133"/>
      <w:bookmarkEnd w:id="134"/>
    </w:p>
    <w:p>
      <w:pPr>
        <w:snapToGrid w:val="0"/>
        <w:spacing w:line="360" w:lineRule="auto"/>
        <w:ind w:firstLine="420" w:firstLineChars="200"/>
        <w:jc w:val="left"/>
        <w:outlineLvl w:val="1"/>
        <w:rPr>
          <w:rFonts w:ascii="宋体" w:hAnsi="宋体" w:cs="宋体"/>
          <w:szCs w:val="21"/>
        </w:rPr>
      </w:pPr>
      <w:bookmarkStart w:id="135" w:name="_Toc493511629"/>
      <w:bookmarkStart w:id="136" w:name="_Toc50012860"/>
      <w:r>
        <w:rPr>
          <w:rFonts w:hint="eastAsia" w:ascii="宋体" w:hAnsi="宋体" w:cs="宋体"/>
          <w:szCs w:val="21"/>
        </w:rPr>
        <w:t>3.5、招标文件的澄清或者修改都应该通过本代理机构以法定形式发布，采购人非通过本机构，不得擅自澄清或者修改招标文件。</w:t>
      </w:r>
      <w:bookmarkEnd w:id="135"/>
      <w:bookmarkEnd w:id="136"/>
    </w:p>
    <w:p>
      <w:pPr>
        <w:snapToGrid w:val="0"/>
        <w:spacing w:line="360" w:lineRule="auto"/>
        <w:ind w:firstLine="422" w:firstLineChars="200"/>
        <w:jc w:val="left"/>
        <w:outlineLvl w:val="1"/>
        <w:rPr>
          <w:rFonts w:ascii="宋体" w:hAnsi="宋体" w:cs="宋体"/>
          <w:b/>
          <w:szCs w:val="21"/>
        </w:rPr>
      </w:pPr>
      <w:bookmarkStart w:id="137" w:name="_Toc493511630"/>
      <w:bookmarkStart w:id="138" w:name="_Toc177870545"/>
      <w:bookmarkStart w:id="139" w:name="_Toc50012861"/>
      <w:r>
        <w:rPr>
          <w:rFonts w:hint="eastAsia" w:ascii="宋体" w:hAnsi="宋体" w:cs="宋体"/>
          <w:b/>
          <w:szCs w:val="21"/>
        </w:rPr>
        <w:t>三、 投标文件的编制</w:t>
      </w:r>
      <w:bookmarkEnd w:id="137"/>
      <w:bookmarkEnd w:id="138"/>
      <w:bookmarkEnd w:id="139"/>
    </w:p>
    <w:p>
      <w:pPr>
        <w:snapToGrid w:val="0"/>
        <w:spacing w:line="360" w:lineRule="auto"/>
        <w:ind w:firstLine="422" w:firstLineChars="200"/>
        <w:jc w:val="left"/>
        <w:rPr>
          <w:rFonts w:ascii="宋体" w:hAnsi="宋体" w:cs="宋体"/>
          <w:b/>
          <w:szCs w:val="21"/>
        </w:rPr>
      </w:pPr>
      <w:bookmarkStart w:id="140" w:name="_Toc50012862"/>
      <w:bookmarkStart w:id="141" w:name="_Toc33535356"/>
      <w:bookmarkStart w:id="142" w:name="_Toc493511643"/>
      <w:bookmarkStart w:id="143" w:name="_Toc177825125"/>
      <w:bookmarkStart w:id="144" w:name="_Toc177870547"/>
      <w:bookmarkStart w:id="145" w:name="_Toc177824877"/>
      <w:bookmarkStart w:id="146" w:name="_Toc177824944"/>
      <w:r>
        <w:rPr>
          <w:rFonts w:hint="eastAsia" w:ascii="宋体" w:hAnsi="宋体" w:cs="宋体"/>
          <w:b/>
          <w:szCs w:val="21"/>
        </w:rPr>
        <w:t>本项目所涉投标文件格式请详见第六章，未给出的格式请自拟。资信商务及技术文件中不得出现报价，否则投标文件将被视为无效。</w:t>
      </w:r>
      <w:bookmarkEnd w:id="140"/>
      <w:bookmarkEnd w:id="141"/>
    </w:p>
    <w:p>
      <w:pPr>
        <w:snapToGrid w:val="0"/>
        <w:spacing w:line="360" w:lineRule="auto"/>
        <w:ind w:firstLine="422" w:firstLineChars="200"/>
        <w:jc w:val="left"/>
        <w:rPr>
          <w:rFonts w:ascii="宋体" w:hAnsi="宋体" w:cs="宋体"/>
          <w:b/>
          <w:szCs w:val="21"/>
        </w:rPr>
      </w:pPr>
      <w:bookmarkStart w:id="147" w:name="_Toc50012863"/>
      <w:bookmarkStart w:id="148" w:name="_Toc33535357"/>
      <w:r>
        <w:rPr>
          <w:rFonts w:hint="eastAsia" w:ascii="宋体" w:hAnsi="宋体" w:cs="宋体"/>
          <w:b/>
          <w:szCs w:val="21"/>
        </w:rPr>
        <w:t>总体要求：</w:t>
      </w:r>
      <w:bookmarkEnd w:id="147"/>
      <w:bookmarkEnd w:id="148"/>
    </w:p>
    <w:p>
      <w:pPr>
        <w:spacing w:line="360" w:lineRule="auto"/>
        <w:ind w:firstLine="420" w:firstLineChars="200"/>
        <w:jc w:val="left"/>
        <w:rPr>
          <w:rFonts w:ascii="宋体" w:hAnsi="宋体" w:cs="宋体"/>
          <w:szCs w:val="21"/>
        </w:rPr>
      </w:pPr>
      <w:r>
        <w:rPr>
          <w:rFonts w:hint="eastAsia" w:ascii="宋体" w:hAnsi="宋体" w:cs="宋体"/>
          <w:szCs w:val="21"/>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20" w:firstLineChars="200"/>
        <w:jc w:val="left"/>
        <w:rPr>
          <w:rFonts w:ascii="宋体" w:hAnsi="宋体" w:cs="宋体"/>
          <w:szCs w:val="21"/>
        </w:rPr>
      </w:pPr>
      <w:r>
        <w:rPr>
          <w:rFonts w:hint="eastAsia" w:ascii="宋体" w:hAnsi="宋体" w:cs="宋体"/>
          <w:szCs w:val="21"/>
        </w:rPr>
        <w:t>2、投标文件及供应商与采购有关的来往通知，函件和文件均应使用中文。</w:t>
      </w:r>
    </w:p>
    <w:p>
      <w:pPr>
        <w:spacing w:line="360" w:lineRule="auto"/>
        <w:ind w:firstLine="420" w:firstLineChars="200"/>
        <w:jc w:val="left"/>
        <w:rPr>
          <w:rFonts w:ascii="宋体" w:hAnsi="宋体" w:cs="宋体"/>
          <w:szCs w:val="21"/>
        </w:rPr>
      </w:pPr>
      <w:r>
        <w:rPr>
          <w:rFonts w:hint="eastAsia" w:ascii="宋体" w:hAnsi="宋体" w:cs="宋体"/>
          <w:szCs w:val="21"/>
        </w:rPr>
        <w:t>3、供应商应按本文件中提供的文件格式、内容和要求制作投标文件。</w:t>
      </w:r>
    </w:p>
    <w:p>
      <w:pPr>
        <w:spacing w:line="360" w:lineRule="auto"/>
        <w:ind w:firstLine="422" w:firstLineChars="200"/>
        <w:jc w:val="left"/>
        <w:rPr>
          <w:rFonts w:ascii="宋体" w:hAnsi="宋体" w:cs="宋体"/>
          <w:bCs/>
          <w:szCs w:val="21"/>
        </w:rPr>
      </w:pPr>
      <w:r>
        <w:rPr>
          <w:rFonts w:hint="eastAsia" w:ascii="宋体" w:hAnsi="宋体" w:cs="宋体"/>
          <w:b/>
          <w:szCs w:val="21"/>
        </w:rPr>
        <w:t>4、投标文件的效力：投标文件的启用，按先后顺位分别为电子投标文件、电子</w:t>
      </w:r>
      <w:r>
        <w:rPr>
          <w:rFonts w:hint="eastAsia" w:ascii="宋体" w:hAnsi="宋体" w:cs="宋体"/>
          <w:bCs/>
          <w:szCs w:val="21"/>
        </w:rPr>
        <w:t>备份投标文件</w:t>
      </w:r>
      <w:r>
        <w:rPr>
          <w:rFonts w:hint="eastAsia" w:ascii="宋体" w:hAnsi="宋体" w:cs="宋体"/>
          <w:b/>
          <w:szCs w:val="21"/>
        </w:rPr>
        <w:t>。</w:t>
      </w:r>
      <w:r>
        <w:rPr>
          <w:rFonts w:hint="eastAsia" w:ascii="宋体" w:hAnsi="宋体" w:cs="宋体"/>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ind w:firstLine="422" w:firstLineChars="200"/>
        <w:jc w:val="left"/>
        <w:outlineLvl w:val="0"/>
        <w:rPr>
          <w:rFonts w:ascii="宋体" w:hAnsi="宋体" w:cs="宋体"/>
          <w:b/>
          <w:szCs w:val="21"/>
        </w:rPr>
      </w:pPr>
      <w:bookmarkStart w:id="149" w:name="_Toc406402944"/>
      <w:bookmarkStart w:id="150" w:name="_Toc18383"/>
      <w:bookmarkStart w:id="151" w:name="_Toc50012864"/>
      <w:bookmarkStart w:id="152" w:name="_Toc33535358"/>
      <w:bookmarkStart w:id="153" w:name="_Toc406402988"/>
      <w:r>
        <w:rPr>
          <w:rFonts w:hint="eastAsia" w:ascii="宋体" w:hAnsi="宋体" w:cs="宋体"/>
          <w:b/>
          <w:szCs w:val="21"/>
        </w:rPr>
        <w:t>（一）投标文件的组成</w:t>
      </w:r>
      <w:bookmarkEnd w:id="149"/>
      <w:bookmarkEnd w:id="150"/>
      <w:bookmarkEnd w:id="151"/>
      <w:bookmarkEnd w:id="152"/>
      <w:bookmarkEnd w:id="153"/>
    </w:p>
    <w:p>
      <w:pPr>
        <w:snapToGrid w:val="0"/>
        <w:spacing w:line="360" w:lineRule="auto"/>
        <w:ind w:firstLine="422" w:firstLineChars="200"/>
        <w:jc w:val="left"/>
        <w:rPr>
          <w:rFonts w:ascii="宋体" w:hAnsi="宋体" w:cs="宋体"/>
          <w:b/>
          <w:szCs w:val="21"/>
        </w:rPr>
      </w:pPr>
      <w:r>
        <w:rPr>
          <w:rFonts w:hint="eastAsia" w:ascii="宋体" w:hAnsi="宋体" w:cs="宋体"/>
          <w:b/>
          <w:szCs w:val="21"/>
        </w:rPr>
        <w:t>包括电子投标文件和电子备份投标文件（选送），均由资格响应文件、商务技术文件及投标报价文件三部份组成。其中电子投标文件中所须加盖公章部分均采用CA签章。</w:t>
      </w:r>
    </w:p>
    <w:p>
      <w:pPr>
        <w:numPr>
          <w:ilvl w:val="0"/>
          <w:numId w:val="4"/>
        </w:numPr>
        <w:snapToGrid w:val="0"/>
        <w:spacing w:line="360" w:lineRule="auto"/>
        <w:jc w:val="left"/>
        <w:rPr>
          <w:rFonts w:ascii="宋体" w:hAnsi="宋体" w:cs="宋体"/>
          <w:szCs w:val="21"/>
        </w:rPr>
      </w:pPr>
      <w:r>
        <w:rPr>
          <w:rFonts w:hint="eastAsia" w:ascii="宋体" w:hAnsi="宋体" w:cs="宋体"/>
          <w:b/>
          <w:szCs w:val="21"/>
        </w:rPr>
        <w:t>资格响应文件：</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具有独立承担民事责任的能力（供应商营业执照副本复印件）；</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具有良好的商业信誉和健全的财务会计制度【供应商最近一年中任意一个月的财务报表（截止本项目投标截止日前2个月内新注册的单位为则不需提供）】；</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具有履行合同所必需的设备和专业技术能力的承诺函（格式见附件））；</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有依法缴纳税收和社会保障资金的良好记录【（供应商最近一年中任意一个月的完税证明或纳税证明或银行缴税付款凭证等）（截止本项目投标截止日前2个月内新注册的单位为则不需提供）】；</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参加政府采购活动前三年，在经营活动中没有重大违法记录（承诺函（格式见附件））；</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提供自招标公告发布之日起至投标截止日内任意时间的“信用中国”网站（</w:t>
      </w:r>
      <w:r>
        <w:fldChar w:fldCharType="begin"/>
      </w:r>
      <w:r>
        <w:instrText xml:space="preserve"> HYPERLINK "https://www.creditchina.gov.cn/" </w:instrText>
      </w:r>
      <w:r>
        <w:fldChar w:fldCharType="separate"/>
      </w:r>
      <w:r>
        <w:rPr>
          <w:rFonts w:hint="eastAsia" w:ascii="宋体" w:hAnsi="宋体" w:cs="宋体"/>
        </w:rPr>
        <w:t>https://www.creditchina.gov.cn/</w:t>
      </w:r>
      <w:r>
        <w:rPr>
          <w:rFonts w:hint="eastAsia" w:ascii="宋体" w:hAnsi="宋体" w:cs="宋体"/>
        </w:rPr>
        <w:fldChar w:fldCharType="end"/>
      </w:r>
      <w:r>
        <w:rPr>
          <w:rFonts w:hint="eastAsia" w:ascii="宋体" w:hAnsi="宋体" w:cs="宋体"/>
          <w:szCs w:val="21"/>
        </w:rPr>
        <w:t>）（未被信用中国网站</w:t>
      </w:r>
      <w:r>
        <w:fldChar w:fldCharType="begin"/>
      </w:r>
      <w:r>
        <w:instrText xml:space="preserve"> HYPERLINK \t "_blank" </w:instrText>
      </w:r>
      <w:r>
        <w:fldChar w:fldCharType="separate"/>
      </w:r>
      <w:r>
        <w:rPr>
          <w:rFonts w:hint="eastAsia" w:ascii="宋体" w:hAnsi="宋体" w:cs="宋体"/>
          <w:szCs w:val="21"/>
        </w:rPr>
        <w:t>列入失信被执行人、重大税收违法案件当事人名单</w:t>
      </w:r>
      <w:r>
        <w:rPr>
          <w:rFonts w:hint="eastAsia" w:ascii="宋体" w:hAnsi="宋体" w:cs="宋体"/>
          <w:szCs w:val="21"/>
        </w:rPr>
        <w:fldChar w:fldCharType="end"/>
      </w:r>
      <w:r>
        <w:rPr>
          <w:rFonts w:hint="eastAsia" w:ascii="宋体" w:hAnsi="宋体" w:cs="宋体"/>
          <w:szCs w:val="21"/>
        </w:rPr>
        <w:t>的查询网页截图）、中国政府采购网（</w:t>
      </w:r>
      <w:r>
        <w:fldChar w:fldCharType="begin"/>
      </w:r>
      <w:r>
        <w:instrText xml:space="preserve"> HYPERLINK "http://www.ccgp.gov.cn/" </w:instrText>
      </w:r>
      <w:r>
        <w:fldChar w:fldCharType="separate"/>
      </w:r>
      <w:r>
        <w:rPr>
          <w:rFonts w:hint="eastAsia" w:ascii="宋体" w:hAnsi="宋体" w:cs="宋体"/>
        </w:rPr>
        <w:t>http://www.ccgp.gov.cn/</w:t>
      </w:r>
      <w:r>
        <w:rPr>
          <w:rFonts w:hint="eastAsia" w:ascii="宋体" w:hAnsi="宋体" w:cs="宋体"/>
        </w:rPr>
        <w:fldChar w:fldCharType="end"/>
      </w:r>
      <w:r>
        <w:rPr>
          <w:rFonts w:hint="eastAsia" w:ascii="宋体" w:hAnsi="宋体" w:cs="宋体"/>
          <w:szCs w:val="21"/>
        </w:rPr>
        <w:t>）（未被中国政府采购网</w:t>
      </w:r>
      <w:r>
        <w:fldChar w:fldCharType="begin"/>
      </w:r>
      <w:r>
        <w:instrText xml:space="preserve"> HYPERLINK \t "_blank" </w:instrText>
      </w:r>
      <w:r>
        <w:fldChar w:fldCharType="separate"/>
      </w:r>
      <w:r>
        <w:rPr>
          <w:rFonts w:hint="eastAsia" w:ascii="宋体" w:hAnsi="宋体" w:cs="宋体"/>
          <w:szCs w:val="21"/>
        </w:rPr>
        <w:t>列入政府采购严重违法失信行为记录名单</w:t>
      </w:r>
      <w:r>
        <w:rPr>
          <w:rFonts w:hint="eastAsia" w:ascii="宋体" w:hAnsi="宋体" w:cs="宋体"/>
          <w:szCs w:val="21"/>
        </w:rPr>
        <w:fldChar w:fldCharType="end"/>
      </w:r>
      <w:r>
        <w:rPr>
          <w:rFonts w:hint="eastAsia" w:ascii="宋体" w:hAnsi="宋体" w:cs="宋体"/>
          <w:szCs w:val="21"/>
        </w:rPr>
        <w:t>的查询网页截图）（以开标当日采购单位或由采购单位委托的评标委员会核实的查询结果为准）。</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法定代表人授权委托书；</w:t>
      </w:r>
    </w:p>
    <w:p>
      <w:pPr>
        <w:pStyle w:val="55"/>
        <w:numPr>
          <w:ilvl w:val="1"/>
          <w:numId w:val="5"/>
        </w:numPr>
        <w:snapToGrid w:val="0"/>
        <w:spacing w:line="360" w:lineRule="auto"/>
        <w:ind w:left="0" w:firstLine="426" w:firstLineChars="0"/>
        <w:jc w:val="left"/>
        <w:rPr>
          <w:rFonts w:ascii="宋体" w:hAnsi="宋体" w:cs="宋体"/>
          <w:szCs w:val="21"/>
        </w:rPr>
      </w:pPr>
      <w:r>
        <w:rPr>
          <w:rFonts w:hint="eastAsia" w:ascii="宋体" w:hAnsi="宋体" w:cs="宋体"/>
          <w:szCs w:val="21"/>
        </w:rPr>
        <w:t>落实政府采购政策需满足的资格要求：</w:t>
      </w:r>
    </w:p>
    <w:p>
      <w:pPr>
        <w:snapToGrid w:val="0"/>
        <w:ind w:firstLine="422"/>
        <w:jc w:val="left"/>
        <w:rPr>
          <w:rFonts w:cs="宋体"/>
          <w:b/>
          <w:szCs w:val="21"/>
        </w:rPr>
      </w:pPr>
      <w:r>
        <w:rPr>
          <w:rFonts w:hint="eastAsia" w:ascii="宋体" w:hAnsi="宋体" w:cs="宋体"/>
          <w:b/>
          <w:szCs w:val="21"/>
        </w:rPr>
        <w:t>本项目专门面向中小企业（监狱企业及残疾人福利性单位视同小型、微型企业），格式详见《第六章》。</w:t>
      </w:r>
    </w:p>
    <w:p>
      <w:pPr>
        <w:numPr>
          <w:ilvl w:val="0"/>
          <w:numId w:val="4"/>
        </w:numPr>
        <w:snapToGrid w:val="0"/>
        <w:spacing w:line="360" w:lineRule="auto"/>
        <w:jc w:val="left"/>
        <w:rPr>
          <w:rFonts w:ascii="宋体" w:hAnsi="宋体" w:cs="宋体"/>
          <w:b/>
          <w:szCs w:val="21"/>
        </w:rPr>
      </w:pPr>
      <w:r>
        <w:rPr>
          <w:rFonts w:hint="eastAsia" w:ascii="宋体" w:hAnsi="宋体" w:cs="宋体"/>
          <w:b/>
          <w:szCs w:val="21"/>
        </w:rPr>
        <w:t>商务技术文件</w:t>
      </w:r>
    </w:p>
    <w:p>
      <w:pPr>
        <w:numPr>
          <w:ilvl w:val="1"/>
          <w:numId w:val="6"/>
        </w:numPr>
        <w:spacing w:line="360" w:lineRule="auto"/>
        <w:ind w:left="0" w:firstLine="426"/>
        <w:jc w:val="left"/>
        <w:rPr>
          <w:rFonts w:ascii="宋体" w:hAnsi="宋体" w:cs="宋体"/>
        </w:rPr>
      </w:pPr>
      <w:r>
        <w:rPr>
          <w:rFonts w:hint="eastAsia" w:ascii="宋体" w:hAnsi="宋体" w:cs="宋体"/>
        </w:rPr>
        <w:t>投标声明书；</w:t>
      </w:r>
    </w:p>
    <w:p>
      <w:pPr>
        <w:numPr>
          <w:ilvl w:val="1"/>
          <w:numId w:val="6"/>
        </w:numPr>
        <w:spacing w:line="360" w:lineRule="auto"/>
        <w:ind w:left="0" w:firstLine="426"/>
        <w:jc w:val="left"/>
        <w:rPr>
          <w:rFonts w:ascii="宋体" w:hAnsi="宋体" w:cs="宋体"/>
        </w:rPr>
      </w:pPr>
      <w:r>
        <w:rPr>
          <w:rFonts w:hint="eastAsia" w:ascii="宋体" w:hAnsi="宋体" w:cs="宋体"/>
        </w:rPr>
        <w:t>类似案例成功的业绩（合同复印件）；</w:t>
      </w:r>
    </w:p>
    <w:p>
      <w:pPr>
        <w:numPr>
          <w:ilvl w:val="1"/>
          <w:numId w:val="6"/>
        </w:numPr>
        <w:spacing w:line="360" w:lineRule="auto"/>
        <w:ind w:left="0" w:firstLine="426"/>
        <w:jc w:val="left"/>
        <w:rPr>
          <w:rFonts w:ascii="宋体" w:hAnsi="宋体" w:cs="宋体"/>
        </w:rPr>
      </w:pPr>
      <w:r>
        <w:rPr>
          <w:rFonts w:hint="eastAsia" w:ascii="宋体" w:hAnsi="宋体" w:cs="宋体"/>
        </w:rPr>
        <w:t>与本项目实施相关的供应商各类资质证书、认证证书、许可证等（如信誉荣誉等。提供复印件）；</w:t>
      </w:r>
    </w:p>
    <w:p>
      <w:pPr>
        <w:numPr>
          <w:ilvl w:val="1"/>
          <w:numId w:val="6"/>
        </w:numPr>
        <w:spacing w:line="360" w:lineRule="auto"/>
        <w:ind w:left="0" w:firstLine="426"/>
        <w:jc w:val="left"/>
        <w:rPr>
          <w:rFonts w:ascii="宋体" w:hAnsi="宋体" w:cs="宋体"/>
        </w:rPr>
      </w:pPr>
      <w:r>
        <w:rPr>
          <w:rFonts w:hint="eastAsia" w:ascii="宋体" w:hAnsi="宋体" w:cs="宋体"/>
        </w:rPr>
        <w:t>供应商情况介绍；</w:t>
      </w:r>
    </w:p>
    <w:p>
      <w:pPr>
        <w:numPr>
          <w:ilvl w:val="1"/>
          <w:numId w:val="6"/>
        </w:numPr>
        <w:spacing w:line="360" w:lineRule="auto"/>
        <w:ind w:left="0" w:firstLine="426"/>
        <w:jc w:val="left"/>
        <w:rPr>
          <w:rFonts w:ascii="宋体" w:hAnsi="宋体" w:cs="宋体"/>
        </w:rPr>
      </w:pPr>
      <w:r>
        <w:rPr>
          <w:rFonts w:hint="eastAsia" w:ascii="宋体" w:hAnsi="宋体" w:cs="宋体"/>
        </w:rPr>
        <w:t>商务响应表；</w:t>
      </w:r>
    </w:p>
    <w:p>
      <w:pPr>
        <w:numPr>
          <w:ilvl w:val="1"/>
          <w:numId w:val="6"/>
        </w:numPr>
        <w:spacing w:line="360" w:lineRule="auto"/>
        <w:ind w:left="0" w:firstLine="426"/>
        <w:jc w:val="left"/>
        <w:rPr>
          <w:rFonts w:ascii="宋体" w:hAnsi="宋体" w:cs="宋体"/>
        </w:rPr>
      </w:pPr>
      <w:r>
        <w:rPr>
          <w:rFonts w:hint="eastAsia" w:ascii="宋体" w:hAnsi="宋体" w:cs="宋体"/>
        </w:rPr>
        <w:t>技术偏离表；</w:t>
      </w:r>
    </w:p>
    <w:p>
      <w:pPr>
        <w:numPr>
          <w:ilvl w:val="1"/>
          <w:numId w:val="6"/>
        </w:numPr>
        <w:spacing w:line="360" w:lineRule="auto"/>
        <w:ind w:left="0" w:firstLine="426"/>
        <w:jc w:val="left"/>
        <w:rPr>
          <w:rFonts w:ascii="宋体" w:hAnsi="宋体" w:cs="宋体"/>
        </w:rPr>
      </w:pPr>
      <w:r>
        <w:rPr>
          <w:rFonts w:hint="eastAsia" w:ascii="宋体" w:hAnsi="宋体" w:cs="宋体"/>
        </w:rPr>
        <w:t>对本项目系统总体要求的理解；</w:t>
      </w:r>
    </w:p>
    <w:p>
      <w:pPr>
        <w:numPr>
          <w:ilvl w:val="1"/>
          <w:numId w:val="6"/>
        </w:numPr>
        <w:spacing w:line="360" w:lineRule="auto"/>
        <w:ind w:left="0" w:firstLine="426"/>
        <w:jc w:val="left"/>
        <w:rPr>
          <w:rFonts w:ascii="宋体" w:hAnsi="宋体" w:cs="宋体"/>
        </w:rPr>
      </w:pPr>
      <w:r>
        <w:rPr>
          <w:rFonts w:hint="eastAsia" w:ascii="宋体" w:hAnsi="宋体" w:cs="宋体"/>
        </w:rPr>
        <w:t>保证工程质量的技术力量及技术措施；</w:t>
      </w:r>
    </w:p>
    <w:p>
      <w:pPr>
        <w:numPr>
          <w:ilvl w:val="1"/>
          <w:numId w:val="6"/>
        </w:numPr>
        <w:spacing w:line="360" w:lineRule="auto"/>
        <w:ind w:left="0" w:firstLine="426"/>
        <w:jc w:val="left"/>
        <w:rPr>
          <w:rFonts w:ascii="宋体" w:hAnsi="宋体" w:cs="宋体"/>
        </w:rPr>
      </w:pPr>
      <w:r>
        <w:rPr>
          <w:rFonts w:hint="eastAsia" w:ascii="宋体" w:hAnsi="宋体" w:cs="宋体"/>
        </w:rPr>
        <w:t>项目实施人员一览表</w:t>
      </w:r>
    </w:p>
    <w:p>
      <w:pPr>
        <w:numPr>
          <w:ilvl w:val="1"/>
          <w:numId w:val="6"/>
        </w:numPr>
        <w:spacing w:line="360" w:lineRule="auto"/>
        <w:ind w:left="0" w:firstLine="426"/>
        <w:jc w:val="left"/>
        <w:rPr>
          <w:rFonts w:ascii="宋体" w:hAnsi="宋体" w:cs="宋体"/>
        </w:rPr>
      </w:pPr>
      <w:r>
        <w:rPr>
          <w:rFonts w:hint="eastAsia" w:ascii="宋体" w:hAnsi="宋体" w:cs="宋体"/>
        </w:rPr>
        <w:t>保洁人员设置明细表；</w:t>
      </w:r>
    </w:p>
    <w:p>
      <w:pPr>
        <w:numPr>
          <w:ilvl w:val="1"/>
          <w:numId w:val="6"/>
        </w:numPr>
        <w:spacing w:line="360" w:lineRule="auto"/>
        <w:ind w:left="0" w:firstLine="426"/>
        <w:jc w:val="left"/>
        <w:rPr>
          <w:rFonts w:ascii="宋体" w:hAnsi="宋体" w:cs="宋体"/>
        </w:rPr>
      </w:pPr>
      <w:r>
        <w:rPr>
          <w:rFonts w:hint="eastAsia" w:ascii="宋体" w:hAnsi="宋体" w:cs="宋体"/>
        </w:rPr>
        <w:t>技术服务、技术培训、售后服务的内容和措施；</w:t>
      </w:r>
    </w:p>
    <w:p>
      <w:pPr>
        <w:numPr>
          <w:ilvl w:val="1"/>
          <w:numId w:val="6"/>
        </w:numPr>
        <w:spacing w:line="360" w:lineRule="auto"/>
        <w:ind w:left="0" w:firstLine="426"/>
        <w:jc w:val="left"/>
        <w:rPr>
          <w:rFonts w:ascii="宋体" w:hAnsi="宋体" w:cs="宋体"/>
        </w:rPr>
      </w:pPr>
      <w:r>
        <w:rPr>
          <w:rFonts w:hint="eastAsia" w:ascii="宋体" w:hAnsi="宋体" w:cs="宋体"/>
        </w:rPr>
        <w:t>投标人对本项目的合理化建议和改进措施；</w:t>
      </w:r>
    </w:p>
    <w:p>
      <w:pPr>
        <w:numPr>
          <w:ilvl w:val="1"/>
          <w:numId w:val="6"/>
        </w:numPr>
        <w:spacing w:line="360" w:lineRule="auto"/>
        <w:ind w:left="0" w:firstLine="426"/>
        <w:jc w:val="left"/>
        <w:rPr>
          <w:rFonts w:ascii="宋体" w:hAnsi="宋体" w:cs="宋体"/>
        </w:rPr>
      </w:pPr>
      <w:r>
        <w:rPr>
          <w:rFonts w:hint="eastAsia" w:ascii="宋体" w:hAnsi="宋体" w:cs="宋体"/>
        </w:rPr>
        <w:t>承诺书（格式见附件）；</w:t>
      </w:r>
    </w:p>
    <w:p>
      <w:pPr>
        <w:numPr>
          <w:ilvl w:val="1"/>
          <w:numId w:val="6"/>
        </w:numPr>
        <w:spacing w:line="360" w:lineRule="auto"/>
        <w:ind w:left="0" w:firstLine="426"/>
        <w:jc w:val="left"/>
        <w:rPr>
          <w:rFonts w:ascii="宋体" w:hAnsi="宋体" w:cs="宋体"/>
        </w:rPr>
      </w:pPr>
      <w:r>
        <w:rPr>
          <w:rFonts w:hint="eastAsia" w:ascii="宋体" w:hAnsi="宋体" w:cs="宋体"/>
        </w:rPr>
        <w:t>投标人需要说明的其他文件和说明。</w:t>
      </w:r>
    </w:p>
    <w:p>
      <w:pPr>
        <w:numPr>
          <w:ilvl w:val="1"/>
          <w:numId w:val="6"/>
        </w:numPr>
        <w:spacing w:line="360" w:lineRule="auto"/>
        <w:ind w:left="0" w:firstLine="426"/>
        <w:jc w:val="left"/>
        <w:rPr>
          <w:rFonts w:ascii="宋体" w:hAnsi="宋体" w:cs="宋体"/>
        </w:rPr>
      </w:pPr>
      <w:r>
        <w:rPr>
          <w:rFonts w:hint="eastAsia" w:ascii="宋体" w:hAnsi="宋体" w:cs="宋体"/>
        </w:rPr>
        <w:t>未尽事宜请各投标人按评分细则制作技术部份。</w:t>
      </w:r>
    </w:p>
    <w:p>
      <w:pPr>
        <w:numPr>
          <w:ilvl w:val="0"/>
          <w:numId w:val="4"/>
        </w:numPr>
        <w:snapToGrid w:val="0"/>
        <w:spacing w:line="360" w:lineRule="auto"/>
        <w:jc w:val="left"/>
        <w:rPr>
          <w:rFonts w:ascii="宋体" w:hAnsi="宋体" w:cs="宋体"/>
          <w:b/>
          <w:szCs w:val="21"/>
        </w:rPr>
      </w:pPr>
      <w:r>
        <w:rPr>
          <w:rFonts w:hint="eastAsia" w:ascii="宋体" w:hAnsi="宋体" w:cs="宋体"/>
          <w:b/>
          <w:szCs w:val="21"/>
        </w:rPr>
        <w:t>投标报价文件：</w:t>
      </w:r>
    </w:p>
    <w:p>
      <w:pPr>
        <w:pStyle w:val="55"/>
        <w:tabs>
          <w:tab w:val="left" w:pos="0"/>
          <w:tab w:val="left" w:pos="3870"/>
          <w:tab w:val="left" w:pos="4085"/>
        </w:tabs>
        <w:snapToGrid w:val="0"/>
        <w:spacing w:line="360" w:lineRule="auto"/>
        <w:ind w:left="419" w:firstLine="0" w:firstLineChars="0"/>
        <w:jc w:val="left"/>
        <w:rPr>
          <w:rFonts w:ascii="宋体" w:hAnsi="宋体" w:cs="宋体"/>
          <w:szCs w:val="21"/>
        </w:rPr>
      </w:pPr>
      <w:r>
        <w:rPr>
          <w:rFonts w:hint="eastAsia" w:ascii="宋体" w:hAnsi="宋体" w:cs="宋体"/>
          <w:szCs w:val="21"/>
        </w:rPr>
        <w:t xml:space="preserve">3.1、投标函； </w:t>
      </w:r>
    </w:p>
    <w:p>
      <w:pPr>
        <w:pStyle w:val="55"/>
        <w:tabs>
          <w:tab w:val="left" w:pos="0"/>
          <w:tab w:val="left" w:pos="3870"/>
          <w:tab w:val="left" w:pos="4085"/>
        </w:tabs>
        <w:snapToGrid w:val="0"/>
        <w:spacing w:line="360" w:lineRule="auto"/>
        <w:ind w:left="419" w:firstLine="0" w:firstLineChars="0"/>
        <w:jc w:val="left"/>
        <w:rPr>
          <w:rFonts w:ascii="宋体" w:hAnsi="宋体" w:cs="宋体"/>
          <w:szCs w:val="21"/>
        </w:rPr>
      </w:pPr>
      <w:r>
        <w:rPr>
          <w:rFonts w:hint="eastAsia" w:ascii="宋体" w:hAnsi="宋体" w:cs="宋体"/>
          <w:szCs w:val="21"/>
        </w:rPr>
        <w:t>3.2、开标一览表；</w:t>
      </w:r>
    </w:p>
    <w:p>
      <w:pPr>
        <w:pStyle w:val="55"/>
        <w:tabs>
          <w:tab w:val="left" w:pos="0"/>
          <w:tab w:val="left" w:pos="3870"/>
          <w:tab w:val="left" w:pos="4085"/>
        </w:tabs>
        <w:snapToGrid w:val="0"/>
        <w:spacing w:line="360" w:lineRule="auto"/>
        <w:ind w:left="419" w:firstLine="0" w:firstLineChars="0"/>
        <w:jc w:val="left"/>
        <w:rPr>
          <w:rFonts w:ascii="宋体" w:hAnsi="宋体" w:cs="宋体"/>
          <w:szCs w:val="21"/>
        </w:rPr>
      </w:pPr>
      <w:r>
        <w:rPr>
          <w:rFonts w:hint="eastAsia" w:ascii="宋体" w:hAnsi="宋体" w:cs="宋体"/>
          <w:szCs w:val="21"/>
        </w:rPr>
        <w:t>3.3、供应商针对报价需要说明的其他文件和说明。</w:t>
      </w:r>
    </w:p>
    <w:bookmarkEnd w:id="142"/>
    <w:p>
      <w:pPr>
        <w:snapToGrid w:val="0"/>
        <w:spacing w:line="360" w:lineRule="auto"/>
        <w:ind w:firstLine="420" w:firstLineChars="200"/>
        <w:jc w:val="left"/>
        <w:rPr>
          <w:rFonts w:ascii="宋体" w:hAnsi="宋体" w:cs="宋体"/>
          <w:szCs w:val="21"/>
        </w:rPr>
      </w:pPr>
      <w:bookmarkStart w:id="154" w:name="_Toc50012865"/>
      <w:bookmarkStart w:id="155" w:name="_Toc493511656"/>
      <w:r>
        <w:rPr>
          <w:rFonts w:hint="eastAsia" w:ascii="宋体" w:hAnsi="宋体" w:cs="宋体"/>
          <w:szCs w:val="21"/>
        </w:rPr>
        <w:t>▲注：法定代表人授权委托书、投标声明书、投标函、开标一览表必须由法定代表人或负责人或授权代表签名并加盖单位公章。</w:t>
      </w:r>
      <w:bookmarkEnd w:id="154"/>
      <w:bookmarkEnd w:id="155"/>
    </w:p>
    <w:bookmarkEnd w:id="143"/>
    <w:bookmarkEnd w:id="144"/>
    <w:bookmarkEnd w:id="145"/>
    <w:bookmarkEnd w:id="146"/>
    <w:p>
      <w:pPr>
        <w:snapToGrid w:val="0"/>
        <w:spacing w:line="360" w:lineRule="auto"/>
        <w:ind w:firstLine="422" w:firstLineChars="200"/>
        <w:jc w:val="left"/>
        <w:outlineLvl w:val="0"/>
        <w:rPr>
          <w:rFonts w:ascii="宋体" w:hAnsi="宋体" w:cs="宋体"/>
          <w:b/>
          <w:szCs w:val="21"/>
        </w:rPr>
      </w:pPr>
      <w:bookmarkStart w:id="156" w:name="_Toc28902"/>
      <w:bookmarkStart w:id="157" w:name="_Toc33535360"/>
      <w:bookmarkStart w:id="158" w:name="_Toc50012866"/>
      <w:bookmarkStart w:id="159" w:name="_Toc406402990"/>
      <w:bookmarkStart w:id="160" w:name="_Toc385854146"/>
      <w:bookmarkStart w:id="161" w:name="_Toc406402946"/>
      <w:bookmarkStart w:id="162" w:name="_Toc402963084"/>
      <w:bookmarkStart w:id="163" w:name="_Toc402963117"/>
      <w:bookmarkStart w:id="164" w:name="_Toc385854100"/>
      <w:bookmarkStart w:id="165" w:name="_Toc493511751"/>
      <w:r>
        <w:rPr>
          <w:rFonts w:hint="eastAsia" w:ascii="宋体" w:hAnsi="宋体" w:cs="宋体"/>
          <w:b/>
          <w:szCs w:val="21"/>
        </w:rPr>
        <w:t>（二）投标文件的语言及计量</w:t>
      </w:r>
      <w:bookmarkEnd w:id="156"/>
      <w:bookmarkEnd w:id="157"/>
      <w:bookmarkEnd w:id="158"/>
      <w:bookmarkEnd w:id="159"/>
      <w:bookmarkEnd w:id="160"/>
      <w:bookmarkEnd w:id="161"/>
      <w:bookmarkEnd w:id="162"/>
      <w:bookmarkEnd w:id="163"/>
      <w:bookmarkEnd w:id="164"/>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22" w:firstLineChars="200"/>
        <w:jc w:val="left"/>
        <w:outlineLvl w:val="0"/>
        <w:rPr>
          <w:rFonts w:ascii="宋体" w:hAnsi="宋体" w:cs="宋体"/>
          <w:b/>
          <w:szCs w:val="21"/>
        </w:rPr>
      </w:pPr>
      <w:bookmarkStart w:id="166" w:name="_Toc402963118"/>
      <w:bookmarkStart w:id="167" w:name="_Toc50012867"/>
      <w:bookmarkStart w:id="168" w:name="_Toc22463"/>
      <w:bookmarkStart w:id="169" w:name="_Toc385854101"/>
      <w:bookmarkStart w:id="170" w:name="_Toc385854147"/>
      <w:bookmarkStart w:id="171" w:name="_Toc402963085"/>
      <w:bookmarkStart w:id="172" w:name="_Toc406402991"/>
      <w:bookmarkStart w:id="173" w:name="_Toc406402947"/>
      <w:bookmarkStart w:id="174" w:name="_Toc33535361"/>
      <w:r>
        <w:rPr>
          <w:rFonts w:hint="eastAsia" w:ascii="宋体" w:hAnsi="宋体" w:cs="宋体"/>
          <w:b/>
          <w:szCs w:val="21"/>
        </w:rPr>
        <w:t>（三）投标报价</w:t>
      </w:r>
      <w:bookmarkEnd w:id="166"/>
      <w:bookmarkEnd w:id="167"/>
      <w:bookmarkEnd w:id="168"/>
      <w:bookmarkEnd w:id="169"/>
      <w:bookmarkEnd w:id="170"/>
      <w:bookmarkEnd w:id="171"/>
      <w:bookmarkEnd w:id="172"/>
      <w:bookmarkEnd w:id="173"/>
      <w:bookmarkEnd w:id="174"/>
    </w:p>
    <w:p>
      <w:pPr>
        <w:pStyle w:val="19"/>
        <w:snapToGrid w:val="0"/>
        <w:spacing w:line="360" w:lineRule="auto"/>
        <w:ind w:firstLine="420" w:firstLineChars="200"/>
        <w:jc w:val="left"/>
        <w:rPr>
          <w:rFonts w:hAnsi="宋体" w:cs="宋体"/>
          <w:szCs w:val="21"/>
        </w:rPr>
      </w:pPr>
      <w:r>
        <w:rPr>
          <w:rFonts w:hint="eastAsia" w:hAnsi="宋体" w:cs="宋体"/>
          <w:szCs w:val="21"/>
        </w:rPr>
        <w:t>1、投标报价应按招标文件中相关附表格式填写。</w:t>
      </w:r>
    </w:p>
    <w:p>
      <w:pPr>
        <w:pStyle w:val="19"/>
        <w:snapToGrid w:val="0"/>
        <w:spacing w:line="360" w:lineRule="auto"/>
        <w:ind w:firstLine="420" w:firstLineChars="200"/>
        <w:jc w:val="left"/>
        <w:rPr>
          <w:rFonts w:hAnsi="宋体" w:cs="宋体"/>
          <w:szCs w:val="21"/>
        </w:rPr>
      </w:pPr>
      <w:r>
        <w:rPr>
          <w:rFonts w:hint="eastAsia" w:hAnsi="宋体" w:cs="宋体"/>
          <w:szCs w:val="21"/>
        </w:rPr>
        <w:t>2、投标人的投标报价应包括材料、人员工资、加班费、福利费、机械设备费用、税金、利润等为完成本项目实施所需的的一切费用。</w:t>
      </w:r>
    </w:p>
    <w:p>
      <w:pPr>
        <w:pStyle w:val="19"/>
        <w:snapToGrid w:val="0"/>
        <w:spacing w:line="360" w:lineRule="auto"/>
        <w:ind w:firstLine="420" w:firstLineChars="200"/>
        <w:jc w:val="left"/>
        <w:rPr>
          <w:rFonts w:hAnsi="宋体" w:cs="宋体"/>
          <w:szCs w:val="21"/>
        </w:rPr>
      </w:pPr>
      <w:r>
        <w:rPr>
          <w:rFonts w:hint="eastAsia" w:hAnsi="宋体" w:cs="宋体"/>
          <w:szCs w:val="21"/>
        </w:rPr>
        <w:t>3、投标文件只允许有一个报价，有选择的或有条件的报价将不予接受。</w:t>
      </w:r>
    </w:p>
    <w:p>
      <w:pPr>
        <w:snapToGrid w:val="0"/>
        <w:spacing w:line="360" w:lineRule="auto"/>
        <w:ind w:firstLine="422" w:firstLineChars="200"/>
        <w:jc w:val="left"/>
        <w:outlineLvl w:val="0"/>
        <w:rPr>
          <w:rFonts w:ascii="宋体" w:hAnsi="宋体" w:cs="宋体"/>
          <w:b/>
          <w:szCs w:val="21"/>
        </w:rPr>
      </w:pPr>
      <w:r>
        <w:rPr>
          <w:rFonts w:hint="eastAsia" w:ascii="宋体" w:hAnsi="宋体" w:cs="宋体"/>
          <w:b/>
          <w:szCs w:val="21"/>
        </w:rPr>
        <w:t>（四）投标文件的有效期</w:t>
      </w:r>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1、自投标截止日起</w:t>
      </w:r>
      <w:r>
        <w:rPr>
          <w:rFonts w:hint="eastAsia" w:ascii="宋体" w:hAnsi="宋体" w:cs="宋体"/>
          <w:szCs w:val="21"/>
          <w:u w:val="single"/>
        </w:rPr>
        <w:t>60</w:t>
      </w:r>
      <w:r>
        <w:rPr>
          <w:rFonts w:hint="eastAsia" w:ascii="宋体" w:hAnsi="宋体" w:cs="宋体"/>
          <w:szCs w:val="21"/>
        </w:rPr>
        <w:t>天投标文件应保持有效。有效期不足的投标文件将被拒绝。</w:t>
      </w:r>
    </w:p>
    <w:p>
      <w:pPr>
        <w:pStyle w:val="11"/>
        <w:numPr>
          <w:ilvl w:val="0"/>
          <w:numId w:val="0"/>
        </w:numPr>
        <w:snapToGrid w:val="0"/>
        <w:spacing w:line="360" w:lineRule="auto"/>
        <w:ind w:firstLine="420" w:firstLineChars="200"/>
        <w:rPr>
          <w:rFonts w:ascii="宋体" w:hAnsi="宋体" w:cs="宋体"/>
          <w:szCs w:val="21"/>
        </w:rPr>
      </w:pPr>
      <w:r>
        <w:rPr>
          <w:rFonts w:hint="eastAsia" w:ascii="宋体" w:hAnsi="宋体" w:cs="宋体"/>
          <w:szCs w:val="21"/>
        </w:rPr>
        <w:t>2、在特殊情况下，采购人可与供应商协商延长投标书的有效期，这种要求和答复均以书面形式进行。</w:t>
      </w:r>
    </w:p>
    <w:p>
      <w:pPr>
        <w:pStyle w:val="11"/>
        <w:numPr>
          <w:ilvl w:val="0"/>
          <w:numId w:val="0"/>
        </w:numPr>
        <w:tabs>
          <w:tab w:val="left" w:pos="4500"/>
        </w:tabs>
        <w:snapToGrid w:val="0"/>
        <w:spacing w:line="360" w:lineRule="auto"/>
        <w:ind w:firstLine="420" w:firstLineChars="200"/>
        <w:rPr>
          <w:rFonts w:ascii="宋体" w:hAnsi="宋体" w:cs="宋体"/>
          <w:szCs w:val="21"/>
        </w:rPr>
      </w:pPr>
      <w:bookmarkStart w:id="175" w:name="_Toc406402992"/>
      <w:bookmarkStart w:id="176" w:name="_Toc402963086"/>
      <w:bookmarkStart w:id="177" w:name="_Toc33535362"/>
      <w:bookmarkStart w:id="178" w:name="_Toc385854102"/>
      <w:bookmarkStart w:id="179" w:name="_Toc385854148"/>
      <w:bookmarkStart w:id="180" w:name="_Toc406402948"/>
      <w:bookmarkStart w:id="181" w:name="_Toc50012868"/>
      <w:bookmarkStart w:id="182" w:name="_Toc402963119"/>
      <w:r>
        <w:rPr>
          <w:rFonts w:hint="eastAsia" w:ascii="宋体" w:hAnsi="宋体" w:cs="宋体"/>
          <w:szCs w:val="21"/>
        </w:rPr>
        <w:t>3、供应商可拒绝接受延期要求。同意延长有效期的供应商不能修改投标文件。</w:t>
      </w:r>
      <w:bookmarkEnd w:id="175"/>
      <w:bookmarkEnd w:id="176"/>
      <w:bookmarkEnd w:id="177"/>
      <w:bookmarkEnd w:id="178"/>
      <w:bookmarkEnd w:id="179"/>
      <w:bookmarkEnd w:id="180"/>
      <w:bookmarkEnd w:id="181"/>
      <w:bookmarkEnd w:id="182"/>
    </w:p>
    <w:p>
      <w:pPr>
        <w:pStyle w:val="11"/>
        <w:numPr>
          <w:ilvl w:val="0"/>
          <w:numId w:val="0"/>
        </w:numPr>
        <w:tabs>
          <w:tab w:val="left" w:pos="4500"/>
        </w:tabs>
        <w:snapToGrid w:val="0"/>
        <w:spacing w:line="360" w:lineRule="auto"/>
        <w:ind w:firstLine="420" w:firstLineChars="200"/>
        <w:rPr>
          <w:rFonts w:ascii="宋体" w:hAnsi="宋体" w:cs="宋体"/>
          <w:szCs w:val="21"/>
        </w:rPr>
      </w:pPr>
      <w:bookmarkStart w:id="183" w:name="_Toc385854103"/>
      <w:bookmarkStart w:id="184" w:name="_Toc50012869"/>
      <w:bookmarkStart w:id="185" w:name="_Toc385854149"/>
      <w:bookmarkStart w:id="186" w:name="_Toc402963087"/>
      <w:bookmarkStart w:id="187" w:name="_Toc402963120"/>
      <w:bookmarkStart w:id="188" w:name="_Toc406402949"/>
      <w:bookmarkStart w:id="189" w:name="_Toc33535363"/>
      <w:bookmarkStart w:id="190" w:name="_Toc406402993"/>
      <w:r>
        <w:rPr>
          <w:rFonts w:hint="eastAsia" w:ascii="宋体" w:hAnsi="宋体" w:cs="宋体"/>
          <w:szCs w:val="21"/>
        </w:rPr>
        <w:t>4、中标人的投标文件自开标之日起至合同履行完毕止均应保持有效。</w:t>
      </w:r>
      <w:bookmarkEnd w:id="183"/>
      <w:bookmarkEnd w:id="184"/>
      <w:bookmarkEnd w:id="185"/>
      <w:bookmarkEnd w:id="186"/>
      <w:bookmarkEnd w:id="187"/>
      <w:bookmarkEnd w:id="188"/>
      <w:bookmarkEnd w:id="189"/>
      <w:bookmarkEnd w:id="190"/>
    </w:p>
    <w:p>
      <w:pPr>
        <w:snapToGrid w:val="0"/>
        <w:spacing w:line="360" w:lineRule="auto"/>
        <w:ind w:firstLine="422" w:firstLineChars="200"/>
        <w:jc w:val="left"/>
        <w:outlineLvl w:val="0"/>
        <w:rPr>
          <w:rFonts w:ascii="宋体" w:hAnsi="宋体" w:cs="宋体"/>
          <w:b/>
          <w:szCs w:val="21"/>
        </w:rPr>
      </w:pPr>
      <w:bookmarkStart w:id="191" w:name="_Toc50012870"/>
      <w:bookmarkStart w:id="192" w:name="_Toc402963089"/>
      <w:bookmarkStart w:id="193" w:name="_Toc385854151"/>
      <w:bookmarkStart w:id="194" w:name="_Toc406402951"/>
      <w:bookmarkStart w:id="195" w:name="_Toc402963122"/>
      <w:bookmarkStart w:id="196" w:name="_Toc406402995"/>
      <w:bookmarkStart w:id="197" w:name="_Toc33535364"/>
      <w:bookmarkStart w:id="198" w:name="_Toc385854105"/>
      <w:bookmarkStart w:id="199" w:name="_Toc21897"/>
      <w:r>
        <w:rPr>
          <w:rFonts w:hint="eastAsia" w:ascii="宋体" w:hAnsi="宋体" w:cs="宋体"/>
          <w:b/>
          <w:szCs w:val="21"/>
        </w:rPr>
        <w:t>（五）投标文件的签署和份数</w:t>
      </w:r>
      <w:bookmarkEnd w:id="191"/>
      <w:bookmarkEnd w:id="192"/>
      <w:bookmarkEnd w:id="193"/>
      <w:bookmarkEnd w:id="194"/>
      <w:bookmarkEnd w:id="195"/>
      <w:bookmarkEnd w:id="196"/>
      <w:bookmarkEnd w:id="197"/>
      <w:bookmarkEnd w:id="198"/>
      <w:bookmarkEnd w:id="199"/>
    </w:p>
    <w:p>
      <w:pPr>
        <w:pStyle w:val="11"/>
        <w:numPr>
          <w:ilvl w:val="0"/>
          <w:numId w:val="0"/>
        </w:numPr>
        <w:tabs>
          <w:tab w:val="left" w:pos="4500"/>
        </w:tabs>
        <w:snapToGrid w:val="0"/>
        <w:spacing w:line="360" w:lineRule="auto"/>
        <w:ind w:firstLine="420" w:firstLineChars="200"/>
        <w:rPr>
          <w:rFonts w:ascii="宋体" w:hAnsi="宋体" w:cs="宋体"/>
          <w:szCs w:val="21"/>
        </w:rPr>
      </w:pPr>
      <w:bookmarkStart w:id="200" w:name="_Toc31515"/>
      <w:bookmarkStart w:id="201" w:name="_Toc50012871"/>
      <w:r>
        <w:rPr>
          <w:rFonts w:hint="eastAsia" w:ascii="宋体" w:hAnsi="宋体" w:cs="宋体"/>
          <w:szCs w:val="21"/>
        </w:rPr>
        <w:t>投标文件的形式：☑</w:t>
      </w:r>
      <w:r>
        <w:rPr>
          <w:rFonts w:hint="eastAsia" w:ascii="宋体" w:hAnsi="宋体" w:cs="宋体"/>
          <w:b/>
          <w:bCs/>
          <w:szCs w:val="21"/>
        </w:rPr>
        <w:t>电子投标文件（包括“电子加密投标文件”和“备份投标文件”，在投标文件编制完成后同时生成）</w:t>
      </w:r>
      <w:r>
        <w:rPr>
          <w:rFonts w:hint="eastAsia" w:ascii="宋体" w:hAnsi="宋体" w:cs="宋体"/>
          <w:szCs w:val="21"/>
        </w:rPr>
        <w:t>；</w:t>
      </w:r>
      <w:bookmarkEnd w:id="200"/>
      <w:bookmarkEnd w:id="201"/>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02" w:name="_Toc50012872"/>
      <w:bookmarkStart w:id="203" w:name="_Toc19392"/>
      <w:r>
        <w:rPr>
          <w:rFonts w:hint="eastAsia" w:ascii="宋体" w:hAnsi="宋体" w:cs="宋体"/>
          <w:b/>
          <w:bCs/>
          <w:szCs w:val="21"/>
        </w:rPr>
        <w:t>（1）“电子加密投标文件”是指通过“政采云电子交易客户端”完成投标文件编制后生成并加密的数据电文形式的投标文件。</w:t>
      </w:r>
      <w:bookmarkEnd w:id="202"/>
      <w:bookmarkEnd w:id="203"/>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04" w:name="_Toc50012873"/>
      <w:bookmarkStart w:id="205" w:name="_Toc31538"/>
      <w:r>
        <w:rPr>
          <w:rFonts w:hint="eastAsia" w:ascii="宋体" w:hAnsi="宋体" w:cs="宋体"/>
          <w:b/>
          <w:bCs/>
          <w:szCs w:val="21"/>
        </w:rPr>
        <w:t>（2）“备份投标文件”是指与“电子加密投标文件”同时生成的数据电文形式的电子文件（备份标书），其他方式编制的备份投标文件视为无效备份投标文件。</w:t>
      </w:r>
      <w:bookmarkEnd w:id="204"/>
      <w:bookmarkEnd w:id="205"/>
    </w:p>
    <w:p>
      <w:pPr>
        <w:snapToGrid w:val="0"/>
        <w:spacing w:line="360" w:lineRule="auto"/>
        <w:ind w:firstLine="422" w:firstLineChars="200"/>
        <w:jc w:val="left"/>
        <w:outlineLvl w:val="0"/>
        <w:rPr>
          <w:rFonts w:ascii="宋体" w:hAnsi="宋体" w:cs="宋体"/>
          <w:b/>
          <w:szCs w:val="21"/>
        </w:rPr>
      </w:pPr>
      <w:bookmarkStart w:id="206" w:name="_Toc50012874"/>
      <w:bookmarkStart w:id="207" w:name="_Toc6251"/>
      <w:r>
        <w:rPr>
          <w:rFonts w:hint="eastAsia" w:ascii="宋体" w:hAnsi="宋体" w:cs="宋体"/>
          <w:b/>
          <w:szCs w:val="21"/>
        </w:rPr>
        <w:t>（六）</w:t>
      </w:r>
      <w:bookmarkStart w:id="208" w:name="_Toc33535368"/>
      <w:r>
        <w:rPr>
          <w:rFonts w:hint="eastAsia" w:ascii="宋体" w:hAnsi="宋体" w:cs="宋体"/>
          <w:b/>
          <w:szCs w:val="21"/>
        </w:rPr>
        <w:t>投标文件的上传和递交</w:t>
      </w:r>
      <w:bookmarkEnd w:id="206"/>
      <w:bookmarkEnd w:id="207"/>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09" w:name="_Toc20226"/>
      <w:bookmarkStart w:id="210" w:name="_Toc50012875"/>
      <w:r>
        <w:rPr>
          <w:rFonts w:hint="eastAsia" w:ascii="宋体" w:hAnsi="宋体" w:cs="宋体"/>
          <w:b/>
          <w:bCs/>
          <w:szCs w:val="21"/>
        </w:rPr>
        <w:t>（1）“电子加密投标文件”的上传、递交：</w:t>
      </w:r>
      <w:bookmarkEnd w:id="209"/>
      <w:bookmarkEnd w:id="210"/>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11" w:name="_Toc50012876"/>
      <w:bookmarkStart w:id="212" w:name="_Toc3495"/>
      <w:r>
        <w:rPr>
          <w:rFonts w:hint="eastAsia" w:ascii="宋体" w:hAnsi="宋体" w:cs="宋体"/>
          <w:b/>
          <w:bCs/>
          <w:szCs w:val="21"/>
        </w:rPr>
        <w:t>A、投标供应商应在投标截止时间前将“电子加密投标文件”成功上传递交至“政府采购云平台”，否则投标无效。</w:t>
      </w:r>
      <w:bookmarkEnd w:id="211"/>
      <w:bookmarkEnd w:id="212"/>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13" w:name="_Toc50012877"/>
      <w:bookmarkStart w:id="214" w:name="_Toc17127"/>
      <w:r>
        <w:rPr>
          <w:rFonts w:hint="eastAsia" w:ascii="宋体" w:hAnsi="宋体" w:cs="宋体"/>
          <w:b/>
          <w:bCs/>
          <w:szCs w:val="21"/>
        </w:rPr>
        <w:t>B、“电子加密投标文件”成功上传递交后，供应商可自行打印投标文件接收回执。</w:t>
      </w:r>
      <w:bookmarkEnd w:id="213"/>
      <w:bookmarkEnd w:id="214"/>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15" w:name="_Toc50012878"/>
      <w:bookmarkStart w:id="216" w:name="_Toc17998"/>
      <w:r>
        <w:rPr>
          <w:rFonts w:hint="eastAsia" w:ascii="宋体" w:hAnsi="宋体" w:cs="宋体"/>
          <w:b/>
          <w:bCs/>
          <w:szCs w:val="21"/>
        </w:rPr>
        <w:t>（2）“备份投标文件”的密封包装、递交：</w:t>
      </w:r>
      <w:bookmarkEnd w:id="215"/>
      <w:bookmarkEnd w:id="216"/>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17" w:name="_Toc50012879"/>
      <w:bookmarkStart w:id="218" w:name="_Toc11926"/>
      <w:r>
        <w:rPr>
          <w:rFonts w:hint="eastAsia" w:ascii="宋体" w:hAnsi="宋体" w:cs="宋体"/>
          <w:b/>
          <w:bCs/>
          <w:szCs w:val="21"/>
        </w:rPr>
        <w:t>A、投标供应商在“政府采购云平台”完成“电子加密投标文件”的上传递交后，还可以（邮寄形式）在投标截止时间前递交以介质（U盘）存储的 “备份投标文件”（一份）；</w:t>
      </w:r>
      <w:bookmarkEnd w:id="217"/>
      <w:bookmarkEnd w:id="218"/>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19" w:name="_Toc50012880"/>
      <w:bookmarkStart w:id="220" w:name="_Toc19062"/>
      <w:r>
        <w:rPr>
          <w:rFonts w:hint="eastAsia" w:ascii="宋体" w:hAnsi="宋体" w:cs="宋体"/>
          <w:b/>
          <w:bCs/>
          <w:szCs w:val="21"/>
        </w:rPr>
        <w:t>B、“备份投标文件”应当密封包装，并在包装上标注投标项目名称、投标单位名称并加盖公章。没有密封包装或者逾期邮寄送达至邮寄接收地点的“备份投标文件”将不予接收；</w:t>
      </w:r>
      <w:bookmarkEnd w:id="219"/>
      <w:bookmarkEnd w:id="220"/>
    </w:p>
    <w:p>
      <w:pPr>
        <w:pStyle w:val="11"/>
        <w:numPr>
          <w:ilvl w:val="0"/>
          <w:numId w:val="0"/>
        </w:numPr>
        <w:tabs>
          <w:tab w:val="left" w:pos="4500"/>
        </w:tabs>
        <w:snapToGrid w:val="0"/>
        <w:spacing w:line="360" w:lineRule="auto"/>
        <w:ind w:firstLine="422" w:firstLineChars="200"/>
        <w:rPr>
          <w:rFonts w:ascii="宋体" w:hAnsi="宋体" w:cs="宋体"/>
          <w:b/>
          <w:bCs/>
          <w:szCs w:val="21"/>
        </w:rPr>
      </w:pPr>
      <w:bookmarkStart w:id="221" w:name="_Toc13343"/>
      <w:bookmarkStart w:id="222" w:name="_Toc50012881"/>
      <w:r>
        <w:rPr>
          <w:rFonts w:hint="eastAsia" w:ascii="宋体" w:hAnsi="宋体" w:cs="宋体"/>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221"/>
      <w:bookmarkEnd w:id="222"/>
    </w:p>
    <w:p>
      <w:pPr>
        <w:snapToGrid w:val="0"/>
        <w:spacing w:line="360" w:lineRule="auto"/>
        <w:ind w:firstLine="422" w:firstLineChars="200"/>
        <w:jc w:val="left"/>
        <w:outlineLvl w:val="0"/>
        <w:rPr>
          <w:rFonts w:ascii="宋体" w:hAnsi="宋体" w:cs="宋体"/>
          <w:b/>
          <w:szCs w:val="21"/>
        </w:rPr>
      </w:pPr>
      <w:bookmarkStart w:id="223" w:name="_Toc19708"/>
      <w:bookmarkStart w:id="224" w:name="_Toc50012882"/>
      <w:r>
        <w:rPr>
          <w:rFonts w:hint="eastAsia" w:ascii="宋体" w:hAnsi="宋体" w:cs="宋体"/>
          <w:b/>
          <w:szCs w:val="21"/>
        </w:rPr>
        <w:t>（七）投标无效的情形</w:t>
      </w:r>
      <w:bookmarkEnd w:id="208"/>
      <w:bookmarkEnd w:id="223"/>
      <w:bookmarkEnd w:id="224"/>
    </w:p>
    <w:p>
      <w:pPr>
        <w:pStyle w:val="11"/>
        <w:numPr>
          <w:ilvl w:val="0"/>
          <w:numId w:val="0"/>
        </w:numPr>
        <w:tabs>
          <w:tab w:val="left" w:pos="4500"/>
        </w:tabs>
        <w:snapToGrid w:val="0"/>
        <w:spacing w:line="360" w:lineRule="auto"/>
        <w:ind w:firstLine="420" w:firstLineChars="200"/>
        <w:rPr>
          <w:rFonts w:ascii="宋体" w:hAnsi="宋体" w:cs="宋体"/>
          <w:szCs w:val="21"/>
        </w:rPr>
      </w:pPr>
      <w:bookmarkStart w:id="225" w:name="_Toc50012883"/>
      <w:bookmarkStart w:id="226" w:name="_Toc6090"/>
      <w:r>
        <w:rPr>
          <w:rFonts w:hint="eastAsia" w:ascii="宋体" w:hAnsi="宋体" w:cs="宋体"/>
          <w:szCs w:val="21"/>
        </w:rPr>
        <w:t>根据《政府采购货物和服务招标投标管理办法》有下列情形之一的，视为供应商串通投标，其投标无效：</w:t>
      </w:r>
      <w:bookmarkEnd w:id="225"/>
      <w:bookmarkEnd w:id="226"/>
    </w:p>
    <w:p>
      <w:pPr>
        <w:pStyle w:val="11"/>
        <w:numPr>
          <w:ilvl w:val="0"/>
          <w:numId w:val="0"/>
        </w:numPr>
        <w:tabs>
          <w:tab w:val="left" w:pos="4500"/>
        </w:tabs>
        <w:snapToGrid w:val="0"/>
        <w:spacing w:line="360" w:lineRule="auto"/>
        <w:ind w:firstLine="420" w:firstLineChars="200"/>
        <w:rPr>
          <w:rFonts w:ascii="宋体" w:hAnsi="宋体" w:cs="宋体"/>
          <w:szCs w:val="21"/>
        </w:rPr>
      </w:pPr>
      <w:bookmarkStart w:id="227" w:name="_Toc29281"/>
      <w:bookmarkStart w:id="228" w:name="_Toc50012884"/>
      <w:r>
        <w:rPr>
          <w:rFonts w:hint="eastAsia" w:ascii="宋体" w:hAnsi="宋体" w:cs="宋体"/>
          <w:szCs w:val="21"/>
        </w:rPr>
        <w:t>(一)不同供应商的投标文件由同一单位或者个人编制;</w:t>
      </w:r>
      <w:bookmarkEnd w:id="227"/>
      <w:bookmarkEnd w:id="228"/>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(二)不同供应商委托同一单位或者个人办理投标事宜;</w:t>
      </w:r>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(三)不同供应商的投标文件载明的项目管理成员或者联系人员为同一人;</w:t>
      </w:r>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(四)不同供应商的投标文件异常一致或者投标报价呈规律性差异;</w:t>
      </w:r>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(五)不同供应商的投标文件相互混装;</w:t>
      </w:r>
    </w:p>
    <w:p>
      <w:pPr>
        <w:pStyle w:val="11"/>
        <w:numPr>
          <w:ilvl w:val="0"/>
          <w:numId w:val="0"/>
        </w:numPr>
        <w:tabs>
          <w:tab w:val="left" w:pos="4500"/>
        </w:tabs>
        <w:snapToGrid w:val="0"/>
        <w:spacing w:line="360" w:lineRule="auto"/>
        <w:ind w:firstLine="420" w:firstLineChars="200"/>
        <w:rPr>
          <w:rFonts w:ascii="宋体" w:hAnsi="宋体" w:cs="宋体"/>
          <w:szCs w:val="21"/>
        </w:rPr>
      </w:pPr>
      <w:r>
        <w:rPr>
          <w:rFonts w:hint="eastAsia" w:ascii="宋体" w:hAnsi="宋体" w:cs="宋体"/>
          <w:szCs w:val="21"/>
        </w:rPr>
        <w:t>实质上没有响应招标文件要求的投标将被视为无效投标。</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1、电子投标文件解密失败的，且未在规定时间内提交备份投标文件的。</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2、没有通过资格审查的，投标文件将被视为无效。</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3、在符合性审查和商务评审时，如发现下列情形之一的，投标文件将被视为无效：</w:t>
      </w:r>
    </w:p>
    <w:p>
      <w:pPr>
        <w:snapToGrid w:val="0"/>
        <w:spacing w:line="360" w:lineRule="auto"/>
        <w:ind w:firstLine="420" w:firstLineChars="200"/>
        <w:jc w:val="left"/>
        <w:rPr>
          <w:rFonts w:ascii="宋体" w:hAnsi="宋体" w:cs="宋体"/>
          <w:szCs w:val="21"/>
        </w:rPr>
      </w:pPr>
      <w:r>
        <w:rPr>
          <w:rFonts w:hint="eastAsia" w:ascii="宋体" w:hAnsi="宋体" w:cs="宋体"/>
          <w:bCs/>
          <w:szCs w:val="21"/>
        </w:rPr>
        <w:t>（1）</w:t>
      </w:r>
      <w:r>
        <w:rPr>
          <w:rFonts w:hint="eastAsia" w:ascii="宋体" w:hAnsi="宋体" w:cs="宋体"/>
          <w:szCs w:val="21"/>
        </w:rPr>
        <w:t>电子投标文件未按规定要求提供电子签章的；</w:t>
      </w:r>
    </w:p>
    <w:p>
      <w:pPr>
        <w:snapToGrid w:val="0"/>
        <w:spacing w:line="360" w:lineRule="auto"/>
        <w:ind w:firstLine="420" w:firstLineChars="200"/>
        <w:jc w:val="left"/>
        <w:rPr>
          <w:rFonts w:ascii="宋体" w:hAnsi="宋体" w:cs="宋体"/>
          <w:szCs w:val="21"/>
        </w:rPr>
      </w:pPr>
      <w:r>
        <w:rPr>
          <w:rFonts w:hint="eastAsia" w:ascii="宋体" w:hAnsi="宋体" w:cs="宋体"/>
          <w:szCs w:val="21"/>
        </w:rPr>
        <w:t>（2）在资信商务技术文件中出现报价的；</w:t>
      </w:r>
    </w:p>
    <w:p>
      <w:pPr>
        <w:snapToGrid w:val="0"/>
        <w:spacing w:line="360" w:lineRule="auto"/>
        <w:ind w:firstLine="420" w:firstLineChars="200"/>
        <w:jc w:val="left"/>
        <w:rPr>
          <w:rFonts w:ascii="宋体" w:hAnsi="宋体" w:cs="宋体"/>
          <w:szCs w:val="21"/>
        </w:rPr>
      </w:pPr>
      <w:r>
        <w:rPr>
          <w:rFonts w:hint="eastAsia" w:ascii="宋体" w:hAnsi="宋体" w:cs="宋体"/>
          <w:szCs w:val="21"/>
        </w:rPr>
        <w:t>（3）资格证明文件不全的，或者不符合招标文件标明的资格要求的；</w:t>
      </w:r>
    </w:p>
    <w:p>
      <w:pPr>
        <w:snapToGrid w:val="0"/>
        <w:spacing w:line="360" w:lineRule="auto"/>
        <w:ind w:firstLine="420" w:firstLineChars="200"/>
        <w:jc w:val="left"/>
        <w:rPr>
          <w:rFonts w:ascii="宋体" w:hAnsi="宋体" w:cs="宋体"/>
          <w:bCs/>
          <w:kern w:val="0"/>
          <w:szCs w:val="21"/>
        </w:rPr>
      </w:pPr>
      <w:r>
        <w:rPr>
          <w:rFonts w:hint="eastAsia" w:ascii="宋体" w:hAnsi="宋体" w:cs="宋体"/>
          <w:szCs w:val="21"/>
        </w:rPr>
        <w:t>（4）投标文件无法定代表人签字（或盖章）,或未</w:t>
      </w:r>
      <w:r>
        <w:rPr>
          <w:rFonts w:hint="eastAsia" w:ascii="宋体" w:hAnsi="宋体" w:cs="宋体"/>
          <w:bCs/>
          <w:kern w:val="0"/>
          <w:szCs w:val="21"/>
        </w:rPr>
        <w:t>提供法定代表人授权委托书、投标声明书或者填写项目不齐全的；</w:t>
      </w:r>
    </w:p>
    <w:p>
      <w:pPr>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napToGrid w:val="0"/>
          <w:szCs w:val="21"/>
        </w:rPr>
        <w:t>5）</w:t>
      </w:r>
      <w:r>
        <w:rPr>
          <w:rFonts w:hint="eastAsia" w:ascii="宋体" w:hAnsi="宋体" w:cs="宋体"/>
          <w:szCs w:val="21"/>
        </w:rPr>
        <w:t>投标文件格式不规范、项目不齐全或者内容虚假的；</w:t>
      </w:r>
    </w:p>
    <w:p>
      <w:pPr>
        <w:snapToGrid w:val="0"/>
        <w:spacing w:line="360" w:lineRule="auto"/>
        <w:ind w:firstLine="420" w:firstLineChars="200"/>
        <w:jc w:val="left"/>
        <w:rPr>
          <w:rFonts w:ascii="宋体" w:hAnsi="宋体" w:cs="宋体"/>
          <w:szCs w:val="21"/>
        </w:rPr>
      </w:pPr>
      <w:r>
        <w:rPr>
          <w:rFonts w:hint="eastAsia" w:ascii="宋体" w:hAnsi="宋体" w:cs="宋体"/>
          <w:szCs w:val="21"/>
        </w:rPr>
        <w:t>（6）投标文件的实质性内容未使用中文表述、意思表述不明确、前后矛盾或者使用计量单位不符合招标文件要求的（经评标委员会认定并允许其当场更正的笔误除外）；</w:t>
      </w:r>
    </w:p>
    <w:p>
      <w:pPr>
        <w:snapToGrid w:val="0"/>
        <w:spacing w:line="360" w:lineRule="auto"/>
        <w:ind w:firstLine="420" w:firstLineChars="200"/>
        <w:jc w:val="left"/>
        <w:rPr>
          <w:rFonts w:ascii="宋体" w:hAnsi="宋体" w:cs="宋体"/>
          <w:snapToGrid w:val="0"/>
          <w:szCs w:val="21"/>
        </w:rPr>
      </w:pPr>
      <w:r>
        <w:rPr>
          <w:rFonts w:hint="eastAsia" w:ascii="宋体" w:hAnsi="宋体" w:cs="宋体"/>
          <w:szCs w:val="21"/>
        </w:rPr>
        <w:t>（</w:t>
      </w:r>
      <w:r>
        <w:rPr>
          <w:rFonts w:hint="eastAsia" w:ascii="宋体" w:hAnsi="宋体" w:cs="宋体"/>
          <w:snapToGrid w:val="0"/>
          <w:szCs w:val="21"/>
        </w:rPr>
        <w:t>7）投标有效期、交货时间、质保期等商务条款不能满足招标文件要求的；</w:t>
      </w:r>
    </w:p>
    <w:p>
      <w:pPr>
        <w:snapToGrid w:val="0"/>
        <w:spacing w:line="360" w:lineRule="auto"/>
        <w:ind w:firstLine="420" w:firstLineChars="200"/>
        <w:jc w:val="left"/>
        <w:rPr>
          <w:rFonts w:ascii="宋体" w:hAnsi="宋体" w:cs="宋体"/>
          <w:szCs w:val="21"/>
        </w:rPr>
      </w:pPr>
      <w:r>
        <w:rPr>
          <w:rFonts w:hint="eastAsia" w:ascii="宋体" w:hAnsi="宋体" w:cs="宋体"/>
          <w:szCs w:val="21"/>
        </w:rPr>
        <w:t>（8）未实质性响应招标文件要求或者投标文件有招标方不能接受的附加条件的；</w:t>
      </w:r>
    </w:p>
    <w:p>
      <w:pPr>
        <w:snapToGrid w:val="0"/>
        <w:spacing w:line="360" w:lineRule="auto"/>
        <w:ind w:firstLine="420" w:firstLineChars="200"/>
        <w:jc w:val="left"/>
        <w:rPr>
          <w:rFonts w:ascii="宋体" w:hAnsi="宋体" w:cs="宋体"/>
          <w:szCs w:val="21"/>
        </w:rPr>
      </w:pPr>
      <w:r>
        <w:rPr>
          <w:rFonts w:hint="eastAsia" w:ascii="宋体" w:hAnsi="宋体" w:cs="宋体"/>
          <w:szCs w:val="21"/>
        </w:rPr>
        <w:t>（9）不符合本招标文件中的实质性要求条款。</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4、在技术评审时，如发现下列情形之一的，投标文件将被视为无效：</w:t>
      </w:r>
    </w:p>
    <w:p>
      <w:pPr>
        <w:snapToGrid w:val="0"/>
        <w:spacing w:line="360" w:lineRule="auto"/>
        <w:ind w:firstLine="420" w:firstLineChars="200"/>
        <w:jc w:val="left"/>
        <w:rPr>
          <w:rFonts w:ascii="宋体" w:hAnsi="宋体" w:cs="宋体"/>
          <w:szCs w:val="21"/>
        </w:rPr>
      </w:pPr>
      <w:r>
        <w:rPr>
          <w:rFonts w:hint="eastAsia" w:ascii="宋体" w:hAnsi="宋体" w:cs="宋体"/>
          <w:szCs w:val="21"/>
        </w:rPr>
        <w:t>（1）未提供或未如实提供投标货物的技术参数，或者投标文件标明的响应或偏离与事实不符或虚假投标的；</w:t>
      </w:r>
    </w:p>
    <w:p>
      <w:pPr>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napToGrid w:val="0"/>
          <w:szCs w:val="21"/>
        </w:rPr>
        <w:t>明显不符合招标文件要求的规格型号、质量标准，或者与</w:t>
      </w:r>
      <w:r>
        <w:rPr>
          <w:rFonts w:hint="eastAsia" w:ascii="宋体" w:hAnsi="宋体" w:cs="宋体"/>
          <w:szCs w:val="21"/>
        </w:rPr>
        <w:t>招标文件中标“▲”的技术指标、主要功能项目发生实质性偏离的；</w:t>
      </w:r>
    </w:p>
    <w:p>
      <w:pPr>
        <w:pStyle w:val="16"/>
        <w:snapToGrid w:val="0"/>
        <w:spacing w:line="360" w:lineRule="auto"/>
        <w:ind w:firstLine="404" w:firstLineChars="200"/>
        <w:jc w:val="left"/>
        <w:rPr>
          <w:rFonts w:hAnsi="宋体" w:cs="宋体"/>
          <w:sz w:val="21"/>
          <w:szCs w:val="21"/>
        </w:rPr>
      </w:pPr>
      <w:r>
        <w:rPr>
          <w:rFonts w:hint="eastAsia" w:hAnsi="宋体" w:cs="宋体"/>
          <w:snapToGrid w:val="0"/>
          <w:sz w:val="21"/>
          <w:szCs w:val="21"/>
        </w:rPr>
        <w:t>（3）</w:t>
      </w:r>
      <w:r>
        <w:rPr>
          <w:rFonts w:hint="eastAsia" w:hAnsi="宋体" w:cs="宋体"/>
          <w:sz w:val="21"/>
          <w:szCs w:val="21"/>
        </w:rPr>
        <w:t>投标技术方案不明确，存在一个或一个以上备选（替代）投标方案的；</w:t>
      </w:r>
    </w:p>
    <w:p>
      <w:pPr>
        <w:pStyle w:val="16"/>
        <w:snapToGrid w:val="0"/>
        <w:spacing w:line="360" w:lineRule="auto"/>
        <w:ind w:firstLine="406" w:firstLineChars="200"/>
        <w:jc w:val="left"/>
        <w:rPr>
          <w:rFonts w:hAnsi="宋体" w:cs="宋体"/>
          <w:b/>
          <w:bCs/>
          <w:sz w:val="21"/>
          <w:szCs w:val="21"/>
        </w:rPr>
      </w:pPr>
      <w:r>
        <w:rPr>
          <w:rFonts w:hint="eastAsia" w:hAnsi="宋体" w:cs="宋体"/>
          <w:b/>
          <w:bCs/>
          <w:sz w:val="21"/>
          <w:szCs w:val="21"/>
        </w:rPr>
        <w:t>5、在报价评审时，如发现下列情形之一的，投标文件将被视为无效：</w:t>
      </w:r>
    </w:p>
    <w:p>
      <w:pPr>
        <w:pStyle w:val="16"/>
        <w:snapToGrid w:val="0"/>
        <w:spacing w:line="360" w:lineRule="auto"/>
        <w:ind w:firstLine="404" w:firstLineChars="200"/>
        <w:jc w:val="left"/>
        <w:rPr>
          <w:rFonts w:hAnsi="宋体" w:cs="宋体"/>
          <w:sz w:val="21"/>
          <w:szCs w:val="21"/>
        </w:rPr>
      </w:pPr>
      <w:r>
        <w:rPr>
          <w:rFonts w:hint="eastAsia" w:hAnsi="宋体" w:cs="宋体"/>
          <w:sz w:val="21"/>
          <w:szCs w:val="21"/>
        </w:rPr>
        <w:t>（1）未采用人民币报价或者未按照招标文件标明的币种报价的；</w:t>
      </w:r>
    </w:p>
    <w:p>
      <w:pPr>
        <w:pStyle w:val="16"/>
        <w:snapToGrid w:val="0"/>
        <w:spacing w:line="360" w:lineRule="auto"/>
        <w:ind w:firstLine="404" w:firstLineChars="200"/>
        <w:jc w:val="left"/>
        <w:rPr>
          <w:rFonts w:hAnsi="宋体" w:cs="宋体"/>
          <w:sz w:val="21"/>
          <w:szCs w:val="21"/>
        </w:rPr>
      </w:pPr>
      <w:r>
        <w:rPr>
          <w:rFonts w:hint="eastAsia" w:hAnsi="宋体" w:cs="宋体"/>
          <w:sz w:val="21"/>
          <w:szCs w:val="21"/>
        </w:rPr>
        <w:t>（2）报价超出最高限价；</w:t>
      </w:r>
    </w:p>
    <w:p>
      <w:pPr>
        <w:pStyle w:val="16"/>
        <w:snapToGrid w:val="0"/>
        <w:spacing w:line="360" w:lineRule="auto"/>
        <w:ind w:firstLine="404" w:firstLineChars="200"/>
        <w:jc w:val="left"/>
        <w:rPr>
          <w:rFonts w:hAnsi="宋体" w:cs="宋体"/>
          <w:sz w:val="21"/>
          <w:szCs w:val="21"/>
        </w:rPr>
      </w:pPr>
      <w:r>
        <w:rPr>
          <w:rFonts w:hint="eastAsia" w:hAnsi="宋体" w:cs="宋体"/>
          <w:sz w:val="21"/>
          <w:szCs w:val="21"/>
        </w:rPr>
        <w:t xml:space="preserve">（3）投标报价具有选择性，或者开标价格与投标文件承诺的优惠（折扣）价格不一致的。                                                                                            </w:t>
      </w:r>
    </w:p>
    <w:p>
      <w:pPr>
        <w:pStyle w:val="16"/>
        <w:snapToGrid w:val="0"/>
        <w:spacing w:line="360" w:lineRule="auto"/>
        <w:ind w:firstLine="406" w:firstLineChars="200"/>
        <w:jc w:val="left"/>
        <w:rPr>
          <w:rFonts w:hAnsi="宋体" w:cs="宋体"/>
          <w:b/>
          <w:snapToGrid w:val="0"/>
          <w:sz w:val="21"/>
          <w:szCs w:val="21"/>
        </w:rPr>
      </w:pPr>
      <w:r>
        <w:rPr>
          <w:rFonts w:hint="eastAsia" w:hAnsi="宋体" w:cs="宋体"/>
          <w:b/>
          <w:sz w:val="21"/>
          <w:szCs w:val="21"/>
        </w:rPr>
        <w:t>6、被拒绝的投标文件为无效。</w:t>
      </w:r>
    </w:p>
    <w:p>
      <w:pPr>
        <w:pStyle w:val="16"/>
        <w:snapToGrid w:val="0"/>
        <w:spacing w:line="360" w:lineRule="auto"/>
        <w:ind w:firstLine="406" w:firstLineChars="200"/>
        <w:jc w:val="left"/>
        <w:outlineLvl w:val="1"/>
        <w:rPr>
          <w:rFonts w:hAnsi="宋体" w:cs="宋体"/>
          <w:b/>
          <w:snapToGrid w:val="0"/>
          <w:sz w:val="21"/>
          <w:szCs w:val="21"/>
        </w:rPr>
      </w:pPr>
      <w:bookmarkStart w:id="229" w:name="_Toc50012885"/>
      <w:bookmarkStart w:id="230" w:name="_Toc33535369"/>
      <w:r>
        <w:rPr>
          <w:rFonts w:hint="eastAsia" w:hAnsi="宋体" w:cs="宋体"/>
          <w:b/>
          <w:sz w:val="21"/>
          <w:szCs w:val="21"/>
        </w:rPr>
        <w:t>四、开标</w:t>
      </w:r>
      <w:bookmarkEnd w:id="229"/>
      <w:bookmarkEnd w:id="230"/>
    </w:p>
    <w:p>
      <w:pPr>
        <w:pStyle w:val="19"/>
        <w:snapToGrid w:val="0"/>
        <w:spacing w:line="360" w:lineRule="auto"/>
        <w:ind w:firstLine="422" w:firstLineChars="200"/>
        <w:jc w:val="left"/>
        <w:rPr>
          <w:rFonts w:hAnsi="宋体" w:cs="宋体"/>
          <w:b/>
          <w:bCs/>
          <w:szCs w:val="21"/>
        </w:rPr>
      </w:pPr>
      <w:r>
        <w:rPr>
          <w:rFonts w:hint="eastAsia" w:hAnsi="宋体" w:cs="宋体"/>
          <w:b/>
          <w:bCs/>
          <w:szCs w:val="21"/>
        </w:rPr>
        <w:t>（一）开标准备</w:t>
      </w:r>
    </w:p>
    <w:p>
      <w:pPr>
        <w:pStyle w:val="19"/>
        <w:snapToGrid w:val="0"/>
        <w:spacing w:line="360" w:lineRule="auto"/>
        <w:ind w:firstLine="420" w:firstLineChars="200"/>
        <w:jc w:val="left"/>
        <w:rPr>
          <w:rFonts w:hAnsi="宋体" w:cs="宋体"/>
          <w:bCs/>
          <w:szCs w:val="21"/>
        </w:rPr>
      </w:pPr>
      <w:r>
        <w:rPr>
          <w:rFonts w:hint="eastAsia" w:hAnsi="宋体" w:cs="宋体"/>
          <w:bCs/>
          <w:szCs w:val="21"/>
        </w:rPr>
        <w:t>1、开标的准备工作由采购组织机构负责落实；</w:t>
      </w:r>
    </w:p>
    <w:p>
      <w:pPr>
        <w:pStyle w:val="19"/>
        <w:snapToGrid w:val="0"/>
        <w:spacing w:line="360" w:lineRule="auto"/>
        <w:ind w:firstLine="420" w:firstLineChars="200"/>
        <w:jc w:val="left"/>
        <w:rPr>
          <w:rFonts w:hAnsi="宋体" w:cs="宋体"/>
          <w:bCs/>
          <w:szCs w:val="21"/>
        </w:rPr>
      </w:pPr>
      <w:r>
        <w:rPr>
          <w:rFonts w:hint="eastAsia" w:hAnsi="宋体" w:cs="宋体"/>
          <w:bCs/>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9"/>
        <w:snapToGrid w:val="0"/>
        <w:spacing w:line="360" w:lineRule="auto"/>
        <w:ind w:firstLine="422" w:firstLineChars="200"/>
        <w:jc w:val="left"/>
        <w:rPr>
          <w:rFonts w:hAnsi="宋体" w:cs="宋体"/>
          <w:b/>
          <w:bCs/>
          <w:szCs w:val="21"/>
        </w:rPr>
      </w:pPr>
      <w:r>
        <w:rPr>
          <w:rFonts w:hint="eastAsia" w:hAnsi="宋体" w:cs="宋体"/>
          <w:b/>
          <w:bCs/>
          <w:szCs w:val="21"/>
        </w:rPr>
        <w:t>(二 ) 采购人或者采购代理机构职责</w:t>
      </w:r>
    </w:p>
    <w:p>
      <w:pPr>
        <w:pStyle w:val="19"/>
        <w:snapToGrid w:val="0"/>
        <w:spacing w:line="360" w:lineRule="auto"/>
        <w:ind w:firstLine="420" w:firstLineChars="200"/>
        <w:jc w:val="left"/>
        <w:rPr>
          <w:rFonts w:hAnsi="宋体" w:cs="宋体"/>
          <w:bCs/>
          <w:szCs w:val="21"/>
        </w:rPr>
      </w:pPr>
      <w:r>
        <w:rPr>
          <w:rFonts w:hint="eastAsia" w:hAnsi="宋体" w:cs="宋体"/>
          <w:bCs/>
          <w:szCs w:val="21"/>
        </w:rPr>
        <w:t>采购人或者采购代理机构负责组织评标工作，并履行下列职责：</w:t>
      </w:r>
    </w:p>
    <w:p>
      <w:pPr>
        <w:pStyle w:val="19"/>
        <w:snapToGrid w:val="0"/>
        <w:spacing w:line="360" w:lineRule="auto"/>
        <w:ind w:firstLine="420" w:firstLineChars="200"/>
        <w:jc w:val="left"/>
        <w:rPr>
          <w:rFonts w:hAnsi="宋体" w:cs="宋体"/>
          <w:bCs/>
          <w:szCs w:val="21"/>
        </w:rPr>
      </w:pPr>
      <w:r>
        <w:rPr>
          <w:rFonts w:hint="eastAsia" w:hAnsi="宋体" w:cs="宋体"/>
          <w:bCs/>
          <w:szCs w:val="21"/>
        </w:rPr>
        <w:t>1、核对评审专家身份和采购人代表授权函，对评审专家在政府采购活动中的职责履行情况予以记录，并及时将有关违法违规行为向财政部门报告;</w:t>
      </w:r>
    </w:p>
    <w:p>
      <w:pPr>
        <w:pStyle w:val="19"/>
        <w:snapToGrid w:val="0"/>
        <w:spacing w:line="360" w:lineRule="auto"/>
        <w:ind w:firstLine="420" w:firstLineChars="200"/>
        <w:jc w:val="left"/>
        <w:rPr>
          <w:rFonts w:hAnsi="宋体" w:cs="宋体"/>
          <w:bCs/>
          <w:szCs w:val="21"/>
        </w:rPr>
      </w:pPr>
      <w:r>
        <w:rPr>
          <w:rFonts w:hint="eastAsia" w:hAnsi="宋体" w:cs="宋体"/>
          <w:bCs/>
          <w:szCs w:val="21"/>
        </w:rPr>
        <w:t>2、宣布评标纪律;</w:t>
      </w:r>
    </w:p>
    <w:p>
      <w:pPr>
        <w:pStyle w:val="19"/>
        <w:snapToGrid w:val="0"/>
        <w:spacing w:line="360" w:lineRule="auto"/>
        <w:ind w:firstLine="420" w:firstLineChars="200"/>
        <w:jc w:val="left"/>
        <w:rPr>
          <w:rFonts w:hAnsi="宋体" w:cs="宋体"/>
          <w:bCs/>
          <w:szCs w:val="21"/>
        </w:rPr>
      </w:pPr>
      <w:r>
        <w:rPr>
          <w:rFonts w:hint="eastAsia" w:hAnsi="宋体" w:cs="宋体"/>
          <w:bCs/>
          <w:szCs w:val="21"/>
        </w:rPr>
        <w:t>3、公布供应商名单，告知评审专家应当回避的情形;</w:t>
      </w:r>
    </w:p>
    <w:p>
      <w:pPr>
        <w:pStyle w:val="19"/>
        <w:snapToGrid w:val="0"/>
        <w:spacing w:line="360" w:lineRule="auto"/>
        <w:ind w:firstLine="420" w:firstLineChars="200"/>
        <w:jc w:val="left"/>
        <w:rPr>
          <w:rFonts w:hAnsi="宋体" w:cs="宋体"/>
          <w:bCs/>
          <w:szCs w:val="21"/>
        </w:rPr>
      </w:pPr>
      <w:r>
        <w:rPr>
          <w:rFonts w:hint="eastAsia" w:hAnsi="宋体" w:cs="宋体"/>
          <w:bCs/>
          <w:szCs w:val="21"/>
        </w:rPr>
        <w:t>4、组织评标委员会推选评标组长，采购人代表不得担任组长;</w:t>
      </w:r>
    </w:p>
    <w:p>
      <w:pPr>
        <w:pStyle w:val="19"/>
        <w:snapToGrid w:val="0"/>
        <w:spacing w:line="360" w:lineRule="auto"/>
        <w:ind w:firstLine="420" w:firstLineChars="200"/>
        <w:jc w:val="left"/>
        <w:rPr>
          <w:rFonts w:hAnsi="宋体" w:cs="宋体"/>
          <w:bCs/>
          <w:szCs w:val="21"/>
        </w:rPr>
      </w:pPr>
      <w:r>
        <w:rPr>
          <w:rFonts w:hint="eastAsia" w:hAnsi="宋体" w:cs="宋体"/>
          <w:bCs/>
          <w:szCs w:val="21"/>
        </w:rPr>
        <w:t>5、在评标期间采取必要的通讯管理措施，保证评标活动不受外界干扰;</w:t>
      </w:r>
    </w:p>
    <w:p>
      <w:pPr>
        <w:pStyle w:val="19"/>
        <w:snapToGrid w:val="0"/>
        <w:spacing w:line="360" w:lineRule="auto"/>
        <w:ind w:firstLine="420" w:firstLineChars="200"/>
        <w:jc w:val="left"/>
        <w:rPr>
          <w:rFonts w:hAnsi="宋体" w:cs="宋体"/>
          <w:bCs/>
          <w:szCs w:val="21"/>
        </w:rPr>
      </w:pPr>
      <w:r>
        <w:rPr>
          <w:rFonts w:hint="eastAsia" w:hAnsi="宋体" w:cs="宋体"/>
          <w:bCs/>
          <w:szCs w:val="21"/>
        </w:rPr>
        <w:t>6、根据评标委员会的要求介绍政府采购相关政策法规、招标文件;</w:t>
      </w:r>
    </w:p>
    <w:p>
      <w:pPr>
        <w:pStyle w:val="19"/>
        <w:snapToGrid w:val="0"/>
        <w:spacing w:line="360" w:lineRule="auto"/>
        <w:ind w:firstLine="420" w:firstLineChars="200"/>
        <w:jc w:val="left"/>
        <w:rPr>
          <w:rFonts w:hAnsi="宋体" w:cs="宋体"/>
          <w:bCs/>
          <w:szCs w:val="21"/>
        </w:rPr>
      </w:pPr>
      <w:r>
        <w:rPr>
          <w:rFonts w:hint="eastAsia" w:hAnsi="宋体" w:cs="宋体"/>
          <w:bCs/>
          <w:szCs w:val="21"/>
        </w:rPr>
        <w:t>7、维护评标秩序，监督评标委员会依照招标文件规定的评标程序、方法和标准进行独立评审，及时制止和纠正采购人代表、评审专家的倾向性言论或者违法违规行为;</w:t>
      </w:r>
    </w:p>
    <w:p>
      <w:pPr>
        <w:pStyle w:val="19"/>
        <w:snapToGrid w:val="0"/>
        <w:spacing w:line="360" w:lineRule="auto"/>
        <w:ind w:firstLine="420" w:firstLineChars="200"/>
        <w:jc w:val="left"/>
        <w:rPr>
          <w:rFonts w:hAnsi="宋体" w:cs="宋体"/>
          <w:bCs/>
          <w:szCs w:val="21"/>
        </w:rPr>
      </w:pPr>
      <w:r>
        <w:rPr>
          <w:rFonts w:hint="eastAsia" w:hAnsi="宋体" w:cs="宋体"/>
          <w:bCs/>
          <w:szCs w:val="21"/>
        </w:rPr>
        <w:t>8、核对评标结果，根据《政府采购货物和服务招标投标管理办法》，如有第六十四条规定情形的，要求评标委员会复核或者书面说明理由，评标委员会拒绝的，应予记录并向本级财政部门报告;</w:t>
      </w:r>
    </w:p>
    <w:p>
      <w:pPr>
        <w:pStyle w:val="19"/>
        <w:snapToGrid w:val="0"/>
        <w:spacing w:line="360" w:lineRule="auto"/>
        <w:ind w:firstLine="420" w:firstLineChars="200"/>
        <w:jc w:val="left"/>
        <w:rPr>
          <w:rFonts w:hAnsi="宋体" w:cs="宋体"/>
          <w:bCs/>
          <w:szCs w:val="21"/>
        </w:rPr>
      </w:pPr>
      <w:r>
        <w:rPr>
          <w:rFonts w:hint="eastAsia" w:hAnsi="宋体" w:cs="宋体"/>
          <w:bCs/>
          <w:szCs w:val="21"/>
        </w:rPr>
        <w:t>9、评审工作完成后，按照规定向评审专家支付劳务报酬和异地评审差旅费，不得向评审专家以外的其他人员支付评审劳务报酬;</w:t>
      </w:r>
    </w:p>
    <w:p>
      <w:pPr>
        <w:pStyle w:val="19"/>
        <w:snapToGrid w:val="0"/>
        <w:spacing w:line="360" w:lineRule="auto"/>
        <w:ind w:firstLine="420" w:firstLineChars="200"/>
        <w:jc w:val="left"/>
        <w:rPr>
          <w:rFonts w:hAnsi="宋体" w:cs="宋体"/>
          <w:bCs/>
          <w:szCs w:val="21"/>
        </w:rPr>
      </w:pPr>
      <w:r>
        <w:rPr>
          <w:rFonts w:hint="eastAsia" w:hAnsi="宋体" w:cs="宋体"/>
          <w:bCs/>
          <w:szCs w:val="21"/>
        </w:rPr>
        <w:t>10、处理与评标有关的其他事项。</w:t>
      </w:r>
    </w:p>
    <w:p>
      <w:pPr>
        <w:spacing w:line="360" w:lineRule="auto"/>
        <w:ind w:right="42" w:rightChars="20" w:firstLine="422" w:firstLineChars="200"/>
        <w:jc w:val="left"/>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（三）开标流程（两阶段）</w:t>
      </w:r>
    </w:p>
    <w:p>
      <w:pPr>
        <w:pStyle w:val="16"/>
        <w:snapToGrid w:val="0"/>
        <w:spacing w:line="360" w:lineRule="auto"/>
        <w:ind w:firstLine="406" w:firstLineChars="200"/>
        <w:jc w:val="left"/>
        <w:rPr>
          <w:rFonts w:hAnsi="宋体" w:cs="宋体"/>
          <w:b/>
          <w:sz w:val="21"/>
          <w:szCs w:val="21"/>
        </w:rPr>
      </w:pPr>
      <w:r>
        <w:rPr>
          <w:rFonts w:hint="eastAsia" w:hAnsi="宋体" w:cs="宋体"/>
          <w:b/>
          <w:sz w:val="21"/>
          <w:szCs w:val="21"/>
        </w:rPr>
        <w:t>1、开标第一阶段</w:t>
      </w:r>
    </w:p>
    <w:p>
      <w:pPr>
        <w:spacing w:line="360" w:lineRule="auto"/>
        <w:ind w:right="42" w:rightChars="20" w:firstLine="420" w:firstLineChars="200"/>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right="42" w:rightChars="20" w:firstLine="420" w:firstLineChars="200"/>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（2）投标文件解密成功后，开启投标文件，进入资格审查；</w:t>
      </w:r>
    </w:p>
    <w:p>
      <w:pPr>
        <w:spacing w:line="360" w:lineRule="auto"/>
        <w:ind w:right="42" w:rightChars="20" w:firstLine="420" w:firstLineChars="200"/>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（3）开启资格审查通过的投标供应商的商务技术文件进入符合性审查、商务技术评审；</w:t>
      </w:r>
    </w:p>
    <w:p>
      <w:pPr>
        <w:spacing w:line="360" w:lineRule="auto"/>
        <w:ind w:right="42" w:rightChars="20" w:firstLine="420" w:firstLineChars="200"/>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（4）第一阶段开标结束。</w:t>
      </w:r>
    </w:p>
    <w:p>
      <w:pPr>
        <w:spacing w:line="360" w:lineRule="auto"/>
        <w:ind w:firstLine="422" w:firstLineChars="200"/>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2" w:firstLineChars="200"/>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2、开标大会第二阶段</w:t>
      </w:r>
    </w:p>
    <w:p>
      <w:pPr>
        <w:spacing w:line="360" w:lineRule="auto"/>
        <w:ind w:right="42" w:rightChars="20" w:firstLine="420" w:firstLineChars="200"/>
        <w:jc w:val="left"/>
        <w:rPr>
          <w:rFonts w:cs="宋体" w:asciiTheme="minorEastAsia" w:hAnsiTheme="minorEastAsia" w:eastAsiaTheme="minorEastAsia"/>
          <w:kern w:val="0"/>
          <w:szCs w:val="21"/>
        </w:rPr>
      </w:pPr>
      <w:bookmarkStart w:id="231" w:name="_Toc24550037"/>
      <w:bookmarkStart w:id="232" w:name="_Toc33194393"/>
      <w:r>
        <w:rPr>
          <w:rFonts w:hint="eastAsia" w:cs="宋体" w:asciiTheme="minorEastAsia" w:hAnsiTheme="minorEastAsia" w:eastAsiaTheme="minorEastAsia"/>
          <w:kern w:val="0"/>
          <w:szCs w:val="21"/>
        </w:rPr>
        <w:t>（1）符合性审查、商务技术评审结束后，举行开标大会第二阶段会议。</w:t>
      </w:r>
    </w:p>
    <w:p>
      <w:pPr>
        <w:spacing w:line="360" w:lineRule="auto"/>
        <w:ind w:right="42" w:rightChars="20"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（2）开启符合性审查、商务技术评审有效投标人的《报价文件》，唱标结束后，由评标委员会对报价的合理性、准确性等进行审查核实。</w:t>
      </w:r>
    </w:p>
    <w:p>
      <w:pPr>
        <w:spacing w:line="360" w:lineRule="auto"/>
        <w:ind w:right="42" w:rightChars="20"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（3）评审结束后通过政采云系统公布最终结果。</w:t>
      </w:r>
    </w:p>
    <w:p>
      <w:pPr>
        <w:spacing w:line="360" w:lineRule="auto"/>
        <w:ind w:right="42" w:rightChars="20"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特别说明：如遇“政府采购云平台”电子化开标或评审程序调整的，按调整后程序执行。</w:t>
      </w:r>
    </w:p>
    <w:p>
      <w:pPr>
        <w:spacing w:line="360" w:lineRule="auto"/>
        <w:ind w:firstLine="422" w:firstLineChars="200"/>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（四）投标供应商资格审查</w:t>
      </w:r>
      <w:bookmarkEnd w:id="231"/>
      <w:bookmarkEnd w:id="232"/>
    </w:p>
    <w:p>
      <w:pPr>
        <w:spacing w:line="360" w:lineRule="auto"/>
        <w:ind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3、单位负责人为同一人或者存在直接控股、管理关系的不同供应商参加同一合同项下的政府采购活动的，相关投标供应商均作资格无效处理。</w:t>
      </w:r>
    </w:p>
    <w:p>
      <w:pPr>
        <w:pStyle w:val="19"/>
        <w:snapToGrid w:val="0"/>
        <w:spacing w:line="360" w:lineRule="auto"/>
        <w:ind w:firstLine="422" w:firstLineChars="200"/>
        <w:jc w:val="left"/>
        <w:outlineLvl w:val="1"/>
        <w:rPr>
          <w:rFonts w:hAnsi="宋体" w:cs="宋体"/>
          <w:b/>
          <w:szCs w:val="21"/>
        </w:rPr>
      </w:pPr>
      <w:bookmarkStart w:id="233" w:name="_Toc50012886"/>
      <w:bookmarkStart w:id="234" w:name="_Toc33535370"/>
      <w:r>
        <w:rPr>
          <w:rFonts w:hint="eastAsia" w:hAnsi="宋体" w:cs="宋体"/>
          <w:b/>
          <w:szCs w:val="21"/>
        </w:rPr>
        <w:t>五、评标</w:t>
      </w:r>
      <w:bookmarkEnd w:id="233"/>
      <w:bookmarkEnd w:id="234"/>
    </w:p>
    <w:p>
      <w:pPr>
        <w:pStyle w:val="19"/>
        <w:snapToGrid w:val="0"/>
        <w:spacing w:line="360" w:lineRule="auto"/>
        <w:ind w:firstLine="422" w:firstLineChars="200"/>
        <w:jc w:val="left"/>
        <w:rPr>
          <w:rFonts w:hAnsi="宋体" w:cs="宋体"/>
          <w:b/>
          <w:szCs w:val="21"/>
        </w:rPr>
      </w:pPr>
      <w:r>
        <w:rPr>
          <w:rFonts w:hint="eastAsia" w:hAnsi="宋体" w:cs="宋体"/>
          <w:b/>
          <w:szCs w:val="21"/>
        </w:rPr>
        <w:t>（一）组建评标委员会</w:t>
      </w:r>
    </w:p>
    <w:p>
      <w:pPr>
        <w:pStyle w:val="19"/>
        <w:snapToGrid w:val="0"/>
        <w:spacing w:line="360" w:lineRule="auto"/>
        <w:ind w:firstLine="420" w:firstLineChars="200"/>
        <w:jc w:val="left"/>
        <w:rPr>
          <w:rFonts w:hAnsi="宋体" w:cs="宋体"/>
          <w:szCs w:val="21"/>
        </w:rPr>
      </w:pPr>
      <w:r>
        <w:rPr>
          <w:rFonts w:hint="eastAsia" w:hAnsi="宋体" w:cs="宋体"/>
          <w:kern w:val="0"/>
          <w:szCs w:val="21"/>
        </w:rPr>
        <w:t>评标委员会由采购人代表和评审专家组成，</w:t>
      </w:r>
      <w:r>
        <w:rPr>
          <w:rFonts w:hint="eastAsia" w:hAnsi="宋体" w:cs="宋体"/>
          <w:szCs w:val="21"/>
        </w:rPr>
        <w:t>政府采购评审专家4人和采购人代表1人,共7人组成。</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评标委员会负责具体评标事务，并独立履行下列职责：</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1、审查、评价投标文件是否符合招标文件的商务、技术等实质性要求;</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2、要求供应商对投标文件有关事项作出澄清或者说明;</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3、对投标文件进行比较和评价;</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4、确定中标候选人名单，以及根据采购人委托直接确定中标人;</w:t>
      </w:r>
    </w:p>
    <w:p>
      <w:pPr>
        <w:widowControl/>
        <w:shd w:val="clear" w:color="auto" w:fill="FFFFFF"/>
        <w:spacing w:line="360" w:lineRule="auto"/>
        <w:ind w:firstLine="420" w:firstLineChars="200"/>
        <w:jc w:val="left"/>
        <w:rPr>
          <w:rFonts w:ascii="宋体" w:hAnsi="宋体" w:cs="宋体"/>
          <w:kern w:val="0"/>
          <w:szCs w:val="21"/>
        </w:rPr>
      </w:pPr>
      <w:r>
        <w:rPr>
          <w:rFonts w:hint="eastAsia" w:ascii="宋体" w:hAnsi="宋体" w:cs="宋体"/>
          <w:kern w:val="0"/>
          <w:szCs w:val="21"/>
        </w:rPr>
        <w:t>5、向采购人、采购代理机构或者有关部门报告评标中发现的违法行为。</w:t>
      </w:r>
    </w:p>
    <w:p>
      <w:pPr>
        <w:widowControl/>
        <w:shd w:val="clear" w:color="auto" w:fill="FFFFFF"/>
        <w:spacing w:line="360" w:lineRule="auto"/>
        <w:ind w:firstLine="422" w:firstLineChars="200"/>
        <w:jc w:val="left"/>
        <w:rPr>
          <w:rFonts w:ascii="宋体" w:hAnsi="宋体" w:cs="宋体"/>
          <w:b/>
          <w:kern w:val="0"/>
          <w:szCs w:val="21"/>
        </w:rPr>
      </w:pPr>
      <w:r>
        <w:rPr>
          <w:rFonts w:hint="eastAsia" w:ascii="宋体" w:hAnsi="宋体" w:cs="宋体"/>
          <w:b/>
          <w:kern w:val="0"/>
          <w:szCs w:val="21"/>
        </w:rPr>
        <w:t>除采购人代表、评标现场组织人员外，采购人的其他工作人员以及与评标工作无关的人员不得进入评标现场。</w:t>
      </w:r>
    </w:p>
    <w:p>
      <w:pPr>
        <w:pStyle w:val="19"/>
        <w:snapToGrid w:val="0"/>
        <w:spacing w:line="360" w:lineRule="auto"/>
        <w:ind w:firstLine="422" w:firstLineChars="200"/>
        <w:jc w:val="left"/>
        <w:rPr>
          <w:rFonts w:hAnsi="宋体" w:cs="宋体"/>
          <w:b/>
          <w:szCs w:val="21"/>
        </w:rPr>
      </w:pPr>
      <w:r>
        <w:rPr>
          <w:rFonts w:hint="eastAsia" w:hAnsi="宋体" w:cs="宋体"/>
          <w:b/>
          <w:szCs w:val="21"/>
        </w:rPr>
        <w:t>（二）评标的方式</w:t>
      </w:r>
    </w:p>
    <w:p>
      <w:pPr>
        <w:pStyle w:val="19"/>
        <w:snapToGrid w:val="0"/>
        <w:spacing w:line="360" w:lineRule="auto"/>
        <w:ind w:firstLine="420" w:firstLineChars="200"/>
        <w:jc w:val="left"/>
        <w:rPr>
          <w:rFonts w:hAnsi="宋体" w:cs="宋体"/>
          <w:szCs w:val="21"/>
        </w:rPr>
      </w:pPr>
      <w:r>
        <w:rPr>
          <w:rFonts w:hint="eastAsia" w:hAnsi="宋体" w:cs="宋体"/>
          <w:szCs w:val="21"/>
        </w:rPr>
        <w:t>本项目采用不公开方式评标，评标的依据为招标文件和投标文件。</w:t>
      </w:r>
    </w:p>
    <w:p>
      <w:pPr>
        <w:pStyle w:val="19"/>
        <w:snapToGrid w:val="0"/>
        <w:spacing w:line="360" w:lineRule="auto"/>
        <w:ind w:firstLine="422" w:firstLineChars="200"/>
        <w:jc w:val="left"/>
        <w:rPr>
          <w:rFonts w:hAnsi="宋体" w:cs="宋体"/>
          <w:b/>
          <w:bCs/>
          <w:szCs w:val="21"/>
        </w:rPr>
      </w:pPr>
      <w:r>
        <w:rPr>
          <w:rFonts w:hint="eastAsia" w:hAnsi="宋体" w:cs="宋体"/>
          <w:b/>
          <w:szCs w:val="21"/>
        </w:rPr>
        <w:t>（三）</w:t>
      </w:r>
      <w:r>
        <w:rPr>
          <w:rFonts w:hint="eastAsia" w:hAnsi="宋体" w:cs="宋体"/>
          <w:b/>
          <w:bCs/>
          <w:szCs w:val="21"/>
        </w:rPr>
        <w:t>评标程序</w:t>
      </w:r>
    </w:p>
    <w:p>
      <w:pPr>
        <w:pStyle w:val="19"/>
        <w:snapToGrid w:val="0"/>
        <w:spacing w:line="360" w:lineRule="auto"/>
        <w:ind w:firstLine="420" w:firstLineChars="200"/>
        <w:jc w:val="left"/>
        <w:rPr>
          <w:rFonts w:hAnsi="宋体" w:cs="宋体"/>
          <w:bCs/>
          <w:szCs w:val="21"/>
        </w:rPr>
      </w:pPr>
      <w:r>
        <w:rPr>
          <w:rFonts w:hint="eastAsia" w:hAnsi="宋体" w:cs="宋体"/>
          <w:bCs/>
          <w:szCs w:val="21"/>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1、形式审查</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2、实质审查与比较</w:t>
      </w:r>
    </w:p>
    <w:p>
      <w:pPr>
        <w:snapToGrid w:val="0"/>
        <w:spacing w:line="360" w:lineRule="auto"/>
        <w:ind w:firstLine="420" w:firstLineChars="200"/>
        <w:jc w:val="left"/>
        <w:rPr>
          <w:rFonts w:ascii="宋体" w:hAnsi="宋体" w:cs="宋体"/>
          <w:szCs w:val="21"/>
        </w:rPr>
      </w:pPr>
      <w:r>
        <w:rPr>
          <w:rFonts w:hint="eastAsia" w:ascii="宋体" w:hAnsi="宋体" w:cs="宋体"/>
          <w:szCs w:val="21"/>
        </w:rPr>
        <w:t>（1）评标委员会审查投标文件的实质性内容是否符合招标文件的实质性要求。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420" w:firstLineChars="200"/>
        <w:jc w:val="left"/>
        <w:rPr>
          <w:rFonts w:ascii="宋体" w:hAnsi="宋体" w:cs="宋体"/>
          <w:szCs w:val="21"/>
        </w:rPr>
      </w:pPr>
      <w:r>
        <w:rPr>
          <w:rFonts w:hint="eastAsia" w:ascii="宋体" w:hAnsi="宋体" w:cs="宋体"/>
          <w:szCs w:val="21"/>
        </w:rPr>
        <w:t>询标时，供应商代表未到场或者拒绝澄清或者澄清的内容改变了投标文件的实质性内容的，评标委员会有权对该投标文件作出不利于供应商的评判。</w:t>
      </w:r>
    </w:p>
    <w:p>
      <w:pPr>
        <w:snapToGrid w:val="0"/>
        <w:spacing w:line="360" w:lineRule="auto"/>
        <w:ind w:firstLine="420" w:firstLineChars="200"/>
        <w:jc w:val="left"/>
        <w:rPr>
          <w:rFonts w:ascii="宋体" w:hAnsi="宋体" w:cs="宋体"/>
          <w:szCs w:val="21"/>
        </w:rPr>
      </w:pPr>
      <w:r>
        <w:rPr>
          <w:rFonts w:hint="eastAsia" w:ascii="宋体" w:hAnsi="宋体" w:cs="宋体"/>
          <w:szCs w:val="21"/>
        </w:rPr>
        <w:t>（3）各供应商的资信商务及技术分按照评标委员会成员的独立评分结果汇后的算术平均分计算。</w:t>
      </w:r>
    </w:p>
    <w:p>
      <w:pPr>
        <w:snapToGrid w:val="0"/>
        <w:spacing w:line="360" w:lineRule="auto"/>
        <w:ind w:firstLine="420" w:firstLineChars="200"/>
        <w:jc w:val="left"/>
        <w:rPr>
          <w:rFonts w:ascii="宋体" w:hAnsi="宋体" w:cs="宋体"/>
          <w:szCs w:val="21"/>
        </w:rPr>
      </w:pPr>
      <w:r>
        <w:rPr>
          <w:rFonts w:hint="eastAsia" w:ascii="宋体" w:hAnsi="宋体" w:cs="宋体"/>
          <w:szCs w:val="21"/>
        </w:rPr>
        <w:t>（4）采购代理机构工作人员协助评标委员会根据本项目的评分标准操作政府采购业务系统，由系统计算各供应商的商务报价得分。</w:t>
      </w:r>
    </w:p>
    <w:p>
      <w:pPr>
        <w:snapToGrid w:val="0"/>
        <w:spacing w:line="360" w:lineRule="auto"/>
        <w:ind w:firstLine="420" w:firstLineChars="200"/>
        <w:jc w:val="left"/>
        <w:rPr>
          <w:rFonts w:ascii="宋体" w:hAnsi="宋体" w:cs="宋体"/>
          <w:szCs w:val="21"/>
        </w:rPr>
      </w:pPr>
      <w:r>
        <w:rPr>
          <w:rFonts w:hint="eastAsia" w:ascii="宋体" w:hAnsi="宋体" w:cs="宋体"/>
          <w:szCs w:val="21"/>
        </w:rPr>
        <w:t>（5）评标委员会完成评标后,评委对各部分得分汇总,计算出本项目最终得分、性价比、评标价等。评标委员会按评标原则推荐中标候选人同时起草评标报告。</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（四）澄清问题的形式</w:t>
      </w:r>
    </w:p>
    <w:p>
      <w:pPr>
        <w:snapToGrid w:val="0"/>
        <w:spacing w:line="360" w:lineRule="auto"/>
        <w:ind w:firstLine="420" w:firstLineChars="200"/>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60" w:lineRule="auto"/>
        <w:ind w:firstLine="420" w:firstLineChars="200"/>
        <w:jc w:val="left"/>
        <w:rPr>
          <w:rFonts w:ascii="宋体" w:hAnsi="宋体" w:cs="宋体"/>
          <w:kern w:val="0"/>
          <w:szCs w:val="21"/>
        </w:rPr>
      </w:pPr>
      <w:r>
        <w:rPr>
          <w:rFonts w:hint="eastAsia" w:ascii="宋体" w:hAnsi="宋体" w:cs="宋体"/>
          <w:szCs w:val="21"/>
        </w:rPr>
        <w:t>（2）</w:t>
      </w:r>
      <w:r>
        <w:rPr>
          <w:rFonts w:hint="eastAsia" w:ascii="宋体" w:hAnsi="宋体" w:cs="宋体"/>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9"/>
        <w:snapToGrid w:val="0"/>
        <w:spacing w:line="360" w:lineRule="auto"/>
        <w:ind w:firstLine="422" w:firstLineChars="200"/>
        <w:jc w:val="left"/>
        <w:rPr>
          <w:rFonts w:hAnsi="宋体" w:cs="宋体"/>
          <w:b/>
          <w:szCs w:val="21"/>
        </w:rPr>
      </w:pPr>
      <w:r>
        <w:rPr>
          <w:rFonts w:hint="eastAsia" w:hAnsi="宋体" w:cs="宋体"/>
          <w:b/>
          <w:szCs w:val="21"/>
        </w:rPr>
        <w:t>（五）错误修正</w:t>
      </w:r>
    </w:p>
    <w:p>
      <w:pPr>
        <w:pStyle w:val="19"/>
        <w:snapToGrid w:val="0"/>
        <w:spacing w:line="360" w:lineRule="auto"/>
        <w:ind w:firstLine="420" w:firstLineChars="200"/>
        <w:jc w:val="left"/>
        <w:rPr>
          <w:rFonts w:hAnsi="宋体" w:cs="宋体"/>
          <w:szCs w:val="21"/>
        </w:rPr>
      </w:pPr>
      <w:r>
        <w:rPr>
          <w:rFonts w:hint="eastAsia" w:hAnsi="宋体" w:cs="宋体"/>
          <w:szCs w:val="21"/>
        </w:rPr>
        <w:t>投标文件如果出现计算或表达上的错误，修正错误的原则如下：</w:t>
      </w:r>
    </w:p>
    <w:p>
      <w:pPr>
        <w:pStyle w:val="19"/>
        <w:snapToGrid w:val="0"/>
        <w:spacing w:line="360" w:lineRule="auto"/>
        <w:ind w:firstLine="420" w:firstLineChars="200"/>
        <w:jc w:val="left"/>
        <w:rPr>
          <w:rFonts w:hAnsi="宋体" w:cs="宋体"/>
          <w:szCs w:val="21"/>
        </w:rPr>
      </w:pPr>
      <w:r>
        <w:rPr>
          <w:rFonts w:hint="eastAsia" w:hAnsi="宋体" w:cs="宋体"/>
          <w:szCs w:val="21"/>
        </w:rPr>
        <w:t>1、投标文件的大写金额和小写金额不一致的，以大写金额为准；</w:t>
      </w:r>
    </w:p>
    <w:p>
      <w:pPr>
        <w:pStyle w:val="19"/>
        <w:snapToGrid w:val="0"/>
        <w:spacing w:line="360" w:lineRule="auto"/>
        <w:ind w:firstLine="420" w:firstLineChars="200"/>
        <w:jc w:val="left"/>
        <w:rPr>
          <w:rFonts w:hAnsi="宋体" w:cs="宋体"/>
          <w:szCs w:val="21"/>
        </w:rPr>
      </w:pPr>
      <w:r>
        <w:rPr>
          <w:rFonts w:hint="eastAsia" w:hAnsi="宋体" w:cs="宋体"/>
          <w:szCs w:val="21"/>
        </w:rPr>
        <w:t>2、总价金额与按单价汇总金额不一致的，以单价金额计算结果为准；</w:t>
      </w:r>
    </w:p>
    <w:p>
      <w:pPr>
        <w:pStyle w:val="19"/>
        <w:snapToGrid w:val="0"/>
        <w:spacing w:line="360" w:lineRule="auto"/>
        <w:ind w:firstLine="420" w:firstLineChars="200"/>
        <w:jc w:val="left"/>
        <w:rPr>
          <w:rFonts w:hAnsi="宋体" w:cs="宋体"/>
          <w:szCs w:val="21"/>
        </w:rPr>
      </w:pPr>
      <w:r>
        <w:rPr>
          <w:rFonts w:hint="eastAsia" w:hAnsi="宋体" w:cs="宋体"/>
          <w:szCs w:val="21"/>
        </w:rPr>
        <w:t>3、对不同文字文本投标文件的解释发生异议的，以中文文本为准。</w:t>
      </w:r>
    </w:p>
    <w:p>
      <w:pPr>
        <w:pStyle w:val="19"/>
        <w:tabs>
          <w:tab w:val="left" w:pos="630"/>
        </w:tabs>
        <w:snapToGrid w:val="0"/>
        <w:spacing w:line="360" w:lineRule="auto"/>
        <w:ind w:firstLine="422" w:firstLineChars="200"/>
        <w:jc w:val="left"/>
        <w:rPr>
          <w:rFonts w:hAnsi="宋体" w:cs="宋体"/>
          <w:b/>
          <w:szCs w:val="21"/>
        </w:rPr>
      </w:pPr>
      <w:r>
        <w:rPr>
          <w:rFonts w:hint="eastAsia" w:hAnsi="宋体" w:cs="宋体"/>
          <w:b/>
          <w:szCs w:val="21"/>
        </w:rPr>
        <w:t>（六）评标原则和评标办法</w:t>
      </w:r>
    </w:p>
    <w:p>
      <w:pPr>
        <w:pStyle w:val="19"/>
        <w:snapToGrid w:val="0"/>
        <w:spacing w:line="360" w:lineRule="auto"/>
        <w:ind w:firstLine="420" w:firstLineChars="200"/>
        <w:jc w:val="left"/>
        <w:rPr>
          <w:rFonts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9"/>
        <w:snapToGrid w:val="0"/>
        <w:spacing w:line="360" w:lineRule="auto"/>
        <w:ind w:firstLine="420" w:firstLineChars="200"/>
        <w:jc w:val="left"/>
        <w:rPr>
          <w:rFonts w:hAnsi="宋体" w:cs="宋体"/>
          <w:szCs w:val="21"/>
        </w:rPr>
      </w:pPr>
      <w:r>
        <w:rPr>
          <w:rFonts w:hint="eastAsia" w:hAnsi="宋体" w:cs="宋体"/>
          <w:szCs w:val="21"/>
        </w:rPr>
        <w:t>2、评标办法。本项目评标办法是 综合评标法 ，具体评标内容及评分标准等详见《第四章：评标办法及评分标准》。</w:t>
      </w:r>
    </w:p>
    <w:p>
      <w:pPr>
        <w:pStyle w:val="19"/>
        <w:snapToGrid w:val="0"/>
        <w:spacing w:line="360" w:lineRule="auto"/>
        <w:ind w:firstLine="422" w:firstLineChars="200"/>
        <w:jc w:val="left"/>
        <w:rPr>
          <w:rFonts w:hAnsi="宋体" w:cs="宋体"/>
          <w:b/>
          <w:szCs w:val="21"/>
        </w:rPr>
      </w:pPr>
      <w:r>
        <w:rPr>
          <w:rFonts w:hint="eastAsia" w:hAnsi="宋体" w:cs="宋体"/>
          <w:b/>
          <w:szCs w:val="21"/>
        </w:rPr>
        <w:t>（七）评标过程的监控</w:t>
      </w:r>
    </w:p>
    <w:p>
      <w:pPr>
        <w:pStyle w:val="19"/>
        <w:snapToGrid w:val="0"/>
        <w:spacing w:line="360" w:lineRule="auto"/>
        <w:ind w:firstLine="420" w:firstLineChars="200"/>
        <w:jc w:val="left"/>
        <w:rPr>
          <w:rFonts w:hAnsi="宋体" w:cs="宋体"/>
          <w:szCs w:val="21"/>
        </w:rPr>
      </w:pPr>
      <w:r>
        <w:rPr>
          <w:rFonts w:hint="eastAsia" w:hAnsi="宋体" w:cs="宋体"/>
          <w:szCs w:val="21"/>
        </w:rPr>
        <w:t>本项目评标过程实行全程录音、录像监控。供应商在评标过程中所进行的试图影响评标结果的不公正活动，可能导致其投标被拒绝。</w:t>
      </w:r>
    </w:p>
    <w:p>
      <w:pPr>
        <w:pStyle w:val="19"/>
        <w:snapToGrid w:val="0"/>
        <w:spacing w:line="360" w:lineRule="auto"/>
        <w:ind w:firstLine="422" w:firstLineChars="200"/>
        <w:jc w:val="left"/>
        <w:outlineLvl w:val="1"/>
        <w:rPr>
          <w:rFonts w:hAnsi="宋体" w:cs="宋体"/>
          <w:b/>
          <w:szCs w:val="21"/>
        </w:rPr>
      </w:pPr>
      <w:bookmarkStart w:id="235" w:name="_Toc50012887"/>
      <w:bookmarkStart w:id="236" w:name="_Toc33535371"/>
      <w:r>
        <w:rPr>
          <w:rFonts w:hint="eastAsia" w:hAnsi="宋体" w:cs="宋体"/>
          <w:b/>
          <w:szCs w:val="21"/>
        </w:rPr>
        <w:t>六、定标</w:t>
      </w:r>
      <w:bookmarkEnd w:id="235"/>
      <w:bookmarkEnd w:id="236"/>
    </w:p>
    <w:p>
      <w:pPr>
        <w:pStyle w:val="19"/>
        <w:snapToGrid w:val="0"/>
        <w:spacing w:line="360" w:lineRule="auto"/>
        <w:ind w:firstLine="422" w:firstLineChars="200"/>
        <w:jc w:val="left"/>
        <w:rPr>
          <w:rFonts w:hAnsi="宋体" w:cs="宋体"/>
          <w:b/>
          <w:bCs/>
          <w:szCs w:val="21"/>
        </w:rPr>
      </w:pPr>
      <w:r>
        <w:rPr>
          <w:rFonts w:hint="eastAsia" w:hAnsi="宋体" w:cs="宋体"/>
          <w:b/>
          <w:bCs/>
          <w:szCs w:val="21"/>
        </w:rPr>
        <w:t>（一）确定中标人。</w:t>
      </w:r>
    </w:p>
    <w:p>
      <w:pPr>
        <w:snapToGrid w:val="0"/>
        <w:spacing w:line="360" w:lineRule="auto"/>
        <w:ind w:firstLine="420" w:firstLineChars="200"/>
        <w:jc w:val="left"/>
        <w:rPr>
          <w:rFonts w:ascii="宋体" w:hAnsi="宋体" w:cs="宋体"/>
          <w:szCs w:val="21"/>
        </w:rPr>
      </w:pPr>
      <w:r>
        <w:rPr>
          <w:rFonts w:hint="eastAsia" w:ascii="宋体" w:hAnsi="宋体" w:cs="宋体"/>
          <w:szCs w:val="21"/>
        </w:rPr>
        <w:t>1、采购代理机构在评标结束后2个工作日内将评标报告交采购人确认，同时在发布招标公告的网站上对评标结果进行公告。</w:t>
      </w:r>
    </w:p>
    <w:p>
      <w:pPr>
        <w:snapToGrid w:val="0"/>
        <w:spacing w:line="360" w:lineRule="auto"/>
        <w:ind w:firstLine="420" w:firstLineChars="200"/>
        <w:jc w:val="left"/>
        <w:rPr>
          <w:rFonts w:ascii="宋体" w:hAnsi="宋体" w:cs="宋体"/>
          <w:szCs w:val="21"/>
        </w:rPr>
      </w:pPr>
      <w:r>
        <w:rPr>
          <w:rFonts w:hint="eastAsia" w:ascii="宋体" w:hAnsi="宋体" w:cs="宋体"/>
          <w:szCs w:val="21"/>
        </w:rPr>
        <w:t>2、供应商对评标结果无异议的，采购人应在收到评标报告后5个工作日内对评标结果进行确认。如有供应商对评标结果提出质疑的，采购人可在质疑处理完毕后确定中标人。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jc w:val="left"/>
        <w:rPr>
          <w:rFonts w:ascii="宋体" w:hAnsi="宋体" w:cs="宋体"/>
          <w:szCs w:val="21"/>
        </w:rPr>
      </w:pPr>
      <w:r>
        <w:rPr>
          <w:rFonts w:hint="eastAsia" w:ascii="宋体" w:hAnsi="宋体" w:cs="宋体"/>
          <w:szCs w:val="21"/>
        </w:rPr>
        <w:t>3. 在公告中标结果的同时，采购代理机构向中标人发出中标通知书。</w:t>
      </w:r>
    </w:p>
    <w:p>
      <w:pPr>
        <w:pStyle w:val="19"/>
        <w:snapToGrid w:val="0"/>
        <w:spacing w:line="360" w:lineRule="auto"/>
        <w:ind w:firstLine="422" w:firstLineChars="200"/>
        <w:jc w:val="left"/>
        <w:outlineLvl w:val="1"/>
        <w:rPr>
          <w:rFonts w:hAnsi="宋体" w:cs="宋体"/>
          <w:b/>
          <w:szCs w:val="21"/>
        </w:rPr>
      </w:pPr>
      <w:bookmarkStart w:id="237" w:name="_Toc33535372"/>
      <w:bookmarkStart w:id="238" w:name="_Toc50012888"/>
      <w:r>
        <w:rPr>
          <w:rFonts w:hint="eastAsia" w:hAnsi="宋体" w:cs="宋体"/>
          <w:b/>
          <w:szCs w:val="21"/>
        </w:rPr>
        <w:t>七、合同授予</w:t>
      </w:r>
      <w:bookmarkEnd w:id="237"/>
      <w:bookmarkEnd w:id="238"/>
    </w:p>
    <w:p>
      <w:pPr>
        <w:snapToGrid w:val="0"/>
        <w:spacing w:line="360" w:lineRule="auto"/>
        <w:ind w:firstLine="422" w:firstLineChars="200"/>
        <w:jc w:val="left"/>
        <w:rPr>
          <w:rFonts w:ascii="宋体" w:hAnsi="宋体" w:cs="宋体"/>
          <w:bCs/>
          <w:szCs w:val="21"/>
        </w:rPr>
      </w:pPr>
      <w:r>
        <w:rPr>
          <w:rFonts w:hint="eastAsia" w:ascii="宋体" w:hAnsi="宋体" w:cs="宋体"/>
          <w:b/>
          <w:bCs/>
          <w:szCs w:val="21"/>
        </w:rPr>
        <w:t>（一）签订合同</w:t>
      </w:r>
    </w:p>
    <w:p>
      <w:pPr>
        <w:snapToGrid w:val="0"/>
        <w:spacing w:line="360" w:lineRule="auto"/>
        <w:ind w:firstLine="420" w:firstLineChars="200"/>
        <w:jc w:val="left"/>
        <w:rPr>
          <w:rFonts w:ascii="宋体" w:hAnsi="宋体" w:cs="宋体"/>
          <w:szCs w:val="21"/>
        </w:rPr>
      </w:pPr>
      <w:r>
        <w:rPr>
          <w:rFonts w:hint="eastAsia" w:ascii="宋体" w:hAnsi="宋体" w:cs="宋体"/>
          <w:szCs w:val="21"/>
        </w:rPr>
        <w:t>1、采购人与中标人应当在中标公示发出之日起30日内签订政府采购合同。同时，采购机构对合同内容进行审查，如发现与采购结果和投标承诺内容不一致的，将予以纠正。</w:t>
      </w:r>
    </w:p>
    <w:p>
      <w:pPr>
        <w:snapToGrid w:val="0"/>
        <w:spacing w:line="360" w:lineRule="auto"/>
        <w:ind w:firstLine="420" w:firstLineChars="200"/>
        <w:jc w:val="left"/>
        <w:rPr>
          <w:rFonts w:ascii="宋体" w:hAnsi="宋体" w:cs="宋体"/>
          <w:szCs w:val="21"/>
        </w:rPr>
      </w:pPr>
      <w:r>
        <w:rPr>
          <w:rFonts w:hint="eastAsia" w:ascii="宋体" w:hAnsi="宋体" w:cs="宋体"/>
          <w:szCs w:val="21"/>
        </w:rPr>
        <w:t>2、中标人拖延、拒签合同的,将被取消中标资格，并报监督管理部门。</w:t>
      </w:r>
    </w:p>
    <w:p>
      <w:pPr>
        <w:pStyle w:val="19"/>
        <w:snapToGrid w:val="0"/>
        <w:spacing w:line="360" w:lineRule="auto"/>
        <w:ind w:firstLine="422" w:firstLineChars="200"/>
        <w:jc w:val="left"/>
        <w:rPr>
          <w:rFonts w:hAnsi="宋体" w:cs="宋体"/>
          <w:b/>
          <w:szCs w:val="21"/>
        </w:rPr>
      </w:pPr>
      <w:r>
        <w:rPr>
          <w:rFonts w:hint="eastAsia" w:hAnsi="宋体" w:cs="宋体"/>
          <w:b/>
          <w:szCs w:val="21"/>
        </w:rPr>
        <w:t>（二）履约保证金</w:t>
      </w:r>
    </w:p>
    <w:p>
      <w:pPr>
        <w:pStyle w:val="19"/>
        <w:snapToGrid w:val="0"/>
        <w:spacing w:line="360" w:lineRule="auto"/>
        <w:ind w:firstLine="420" w:firstLineChars="200"/>
        <w:jc w:val="left"/>
        <w:rPr>
          <w:rFonts w:hAnsi="宋体" w:cs="宋体"/>
          <w:szCs w:val="21"/>
        </w:rPr>
      </w:pPr>
      <w:r>
        <w:rPr>
          <w:rFonts w:hint="eastAsia" w:hAnsi="宋体" w:cs="宋体"/>
          <w:szCs w:val="21"/>
        </w:rPr>
        <w:t>1、中标人应根据招标文件确定的履约保证金的金额，向采购人交纳履约保证金。</w:t>
      </w:r>
    </w:p>
    <w:p>
      <w:pPr>
        <w:pStyle w:val="19"/>
        <w:snapToGrid w:val="0"/>
        <w:spacing w:line="360" w:lineRule="auto"/>
        <w:ind w:firstLine="420" w:firstLineChars="200"/>
        <w:jc w:val="left"/>
        <w:rPr>
          <w:rFonts w:hAnsi="宋体" w:cs="宋体"/>
          <w:szCs w:val="21"/>
        </w:rPr>
      </w:pPr>
      <w:r>
        <w:rPr>
          <w:rFonts w:hint="eastAsia" w:hAnsi="宋体" w:cs="宋体"/>
          <w:szCs w:val="21"/>
        </w:rPr>
        <w:t>2、如中标人不按双方合同约定履约，则没收其全部履约保证金，履约保证金不足以赔偿损失的，按实际损失赔偿。</w:t>
      </w:r>
    </w:p>
    <w:p>
      <w:pPr>
        <w:snapToGrid w:val="0"/>
        <w:spacing w:line="360" w:lineRule="auto"/>
        <w:ind w:firstLine="422" w:firstLineChars="200"/>
        <w:jc w:val="left"/>
        <w:outlineLvl w:val="1"/>
        <w:rPr>
          <w:rFonts w:ascii="宋体" w:hAnsi="宋体" w:cs="宋体"/>
          <w:b/>
          <w:szCs w:val="21"/>
        </w:rPr>
      </w:pPr>
      <w:bookmarkStart w:id="239" w:name="_Toc50012889"/>
      <w:r>
        <w:rPr>
          <w:rFonts w:hint="eastAsia" w:ascii="宋体" w:hAnsi="宋体" w:cs="宋体"/>
          <w:b/>
          <w:szCs w:val="21"/>
        </w:rPr>
        <w:t>八、招标代理费</w:t>
      </w:r>
      <w:bookmarkEnd w:id="165"/>
      <w:bookmarkEnd w:id="239"/>
    </w:p>
    <w:p>
      <w:pPr>
        <w:pStyle w:val="19"/>
        <w:snapToGrid w:val="0"/>
        <w:spacing w:line="360" w:lineRule="auto"/>
        <w:ind w:firstLine="420" w:firstLineChars="200"/>
        <w:jc w:val="left"/>
        <w:rPr>
          <w:rFonts w:hAnsi="宋体" w:cs="宋体"/>
          <w:szCs w:val="21"/>
        </w:rPr>
      </w:pPr>
      <w:bookmarkStart w:id="240" w:name="_Toc493511752"/>
      <w:r>
        <w:rPr>
          <w:rFonts w:hint="eastAsia" w:hAnsi="宋体" w:cs="宋体"/>
          <w:szCs w:val="21"/>
        </w:rPr>
        <w:t>1、根据“国家发展和改革委员会办公厅《关于招标代理服务收费有关问题的通知》（发改办价格【2003】857号、财库【2018】2号第十五条）”规定，招标代理机构向中标人收取招标代理服务费。</w:t>
      </w:r>
    </w:p>
    <w:p>
      <w:pPr>
        <w:pStyle w:val="19"/>
        <w:snapToGrid w:val="0"/>
        <w:spacing w:line="360" w:lineRule="auto"/>
        <w:ind w:firstLine="420" w:firstLineChars="200"/>
        <w:jc w:val="left"/>
        <w:rPr>
          <w:rFonts w:hAnsi="宋体" w:cs="宋体"/>
          <w:szCs w:val="21"/>
        </w:rPr>
      </w:pPr>
      <w:r>
        <w:rPr>
          <w:rFonts w:hint="eastAsia" w:hAnsi="宋体" w:cs="宋体"/>
          <w:szCs w:val="21"/>
        </w:rPr>
        <w:t>2、中标人应在收取《中标通知书》时向采购代理机构交纳招标代理服务费，服务费的收费标准按浙价服〔2003〕77号文规定计算</w:t>
      </w:r>
      <w:bookmarkEnd w:id="240"/>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noWrap/>
            <w:vAlign w:val="center"/>
          </w:tcPr>
          <w:p>
            <w:pPr>
              <w:snapToGrid w:val="0"/>
              <w:spacing w:line="360" w:lineRule="auto"/>
              <w:ind w:firstLine="420" w:firstLineChars="200"/>
              <w:jc w:val="left"/>
              <w:outlineLvl w:val="1"/>
              <w:rPr>
                <w:rFonts w:ascii="宋体" w:hAnsi="宋体" w:cs="宋体"/>
                <w:szCs w:val="21"/>
              </w:rPr>
            </w:pPr>
            <w:bookmarkStart w:id="241" w:name="_Toc493511753"/>
            <w:bookmarkStart w:id="242" w:name="_Toc50012890"/>
            <w:r>
              <w:rPr>
                <w:rFonts w:hint="eastAsia" w:ascii="宋体" w:hAnsi="宋体" w:cs="宋体"/>
                <w:szCs w:val="21"/>
              </w:rPr>
              <w:t>中标金额（万元）</w:t>
            </w:r>
            <w:bookmarkEnd w:id="241"/>
            <w:bookmarkEnd w:id="242"/>
          </w:p>
        </w:tc>
        <w:tc>
          <w:tcPr>
            <w:tcW w:w="2160" w:type="dxa"/>
            <w:tcBorders>
              <w:top w:val="double" w:color="auto" w:sz="4" w:space="0"/>
              <w:left w:val="single" w:color="auto" w:sz="6" w:space="0"/>
              <w:bottom w:val="single" w:color="auto" w:sz="6" w:space="0"/>
              <w:right w:val="double" w:color="auto" w:sz="4" w:space="0"/>
            </w:tcBorders>
            <w:shd w:val="clear" w:color="auto" w:fill="D9D9D9"/>
            <w:noWrap/>
          </w:tcPr>
          <w:p>
            <w:pPr>
              <w:snapToGrid w:val="0"/>
              <w:spacing w:line="360" w:lineRule="auto"/>
              <w:jc w:val="left"/>
              <w:outlineLvl w:val="1"/>
              <w:rPr>
                <w:rFonts w:ascii="宋体" w:hAnsi="宋体" w:cs="宋体"/>
                <w:szCs w:val="21"/>
              </w:rPr>
            </w:pPr>
            <w:bookmarkStart w:id="243" w:name="_Toc50012891"/>
            <w:bookmarkStart w:id="244" w:name="_Toc493511754"/>
            <w:r>
              <w:rPr>
                <w:rFonts w:hint="eastAsia" w:ascii="宋体" w:hAnsi="宋体" w:cs="宋体"/>
                <w:szCs w:val="21"/>
              </w:rPr>
              <w:t>服务类招标收费费率</w:t>
            </w:r>
            <w:bookmarkEnd w:id="243"/>
            <w:bookmarkEnd w:id="24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tcPr>
          <w:p>
            <w:pPr>
              <w:snapToGrid w:val="0"/>
              <w:spacing w:line="360" w:lineRule="auto"/>
              <w:ind w:firstLine="420" w:firstLineChars="200"/>
              <w:jc w:val="left"/>
              <w:outlineLvl w:val="1"/>
              <w:rPr>
                <w:rFonts w:ascii="宋体" w:hAnsi="宋体" w:cs="宋体"/>
                <w:szCs w:val="21"/>
              </w:rPr>
            </w:pPr>
            <w:bookmarkStart w:id="245" w:name="_Toc493511755"/>
            <w:bookmarkStart w:id="246" w:name="_Toc50012892"/>
            <w:r>
              <w:rPr>
                <w:rFonts w:hint="eastAsia" w:ascii="宋体" w:hAnsi="宋体" w:cs="宋体"/>
                <w:szCs w:val="21"/>
              </w:rPr>
              <w:t>100以下</w:t>
            </w:r>
            <w:bookmarkEnd w:id="245"/>
            <w:bookmarkEnd w:id="246"/>
          </w:p>
        </w:tc>
        <w:tc>
          <w:tcPr>
            <w:tcW w:w="2160" w:type="dxa"/>
            <w:tcBorders>
              <w:top w:val="single" w:color="auto" w:sz="6" w:space="0"/>
              <w:left w:val="single" w:color="auto" w:sz="6" w:space="0"/>
              <w:bottom w:val="single" w:color="auto" w:sz="6" w:space="0"/>
              <w:right w:val="double" w:color="auto" w:sz="4" w:space="0"/>
            </w:tcBorders>
            <w:noWrap/>
            <w:vAlign w:val="center"/>
          </w:tcPr>
          <w:p>
            <w:pPr>
              <w:snapToGrid w:val="0"/>
              <w:spacing w:line="360" w:lineRule="auto"/>
              <w:ind w:firstLine="420" w:firstLineChars="200"/>
              <w:jc w:val="left"/>
              <w:outlineLvl w:val="1"/>
              <w:rPr>
                <w:rFonts w:ascii="宋体" w:hAnsi="宋体" w:cs="宋体"/>
                <w:szCs w:val="21"/>
              </w:rPr>
            </w:pPr>
            <w:bookmarkStart w:id="247" w:name="_Toc493511756"/>
            <w:bookmarkStart w:id="248" w:name="_Toc50012893"/>
            <w:r>
              <w:rPr>
                <w:rFonts w:hint="eastAsia" w:ascii="宋体" w:hAnsi="宋体" w:cs="宋体"/>
                <w:szCs w:val="21"/>
              </w:rPr>
              <w:t>1.5％</w:t>
            </w:r>
            <w:bookmarkEnd w:id="247"/>
            <w:bookmarkEnd w:id="24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tcPr>
          <w:p>
            <w:pPr>
              <w:snapToGrid w:val="0"/>
              <w:spacing w:line="360" w:lineRule="auto"/>
              <w:ind w:firstLine="420" w:firstLineChars="200"/>
              <w:jc w:val="left"/>
              <w:outlineLvl w:val="1"/>
              <w:rPr>
                <w:rFonts w:ascii="宋体" w:hAnsi="宋体" w:cs="宋体"/>
                <w:szCs w:val="21"/>
              </w:rPr>
            </w:pPr>
            <w:bookmarkStart w:id="249" w:name="_Toc50012894"/>
            <w:bookmarkStart w:id="250" w:name="_Toc493511757"/>
            <w:r>
              <w:rPr>
                <w:rFonts w:hint="eastAsia" w:ascii="宋体" w:hAnsi="宋体" w:cs="宋体"/>
                <w:szCs w:val="21"/>
              </w:rPr>
              <w:t>100-500</w:t>
            </w:r>
            <w:bookmarkEnd w:id="249"/>
            <w:bookmarkEnd w:id="250"/>
          </w:p>
        </w:tc>
        <w:tc>
          <w:tcPr>
            <w:tcW w:w="2160" w:type="dxa"/>
            <w:tcBorders>
              <w:top w:val="single" w:color="auto" w:sz="6" w:space="0"/>
              <w:left w:val="single" w:color="auto" w:sz="6" w:space="0"/>
              <w:bottom w:val="single" w:color="auto" w:sz="6" w:space="0"/>
              <w:right w:val="double" w:color="auto" w:sz="4" w:space="0"/>
            </w:tcBorders>
            <w:noWrap/>
            <w:vAlign w:val="center"/>
          </w:tcPr>
          <w:p>
            <w:pPr>
              <w:snapToGrid w:val="0"/>
              <w:spacing w:line="360" w:lineRule="auto"/>
              <w:ind w:firstLine="420" w:firstLineChars="200"/>
              <w:jc w:val="left"/>
              <w:outlineLvl w:val="1"/>
              <w:rPr>
                <w:rFonts w:ascii="宋体" w:hAnsi="宋体" w:cs="宋体"/>
                <w:szCs w:val="21"/>
              </w:rPr>
            </w:pPr>
            <w:bookmarkStart w:id="251" w:name="_Toc50012895"/>
            <w:bookmarkStart w:id="252" w:name="_Toc493511758"/>
            <w:r>
              <w:rPr>
                <w:rFonts w:hint="eastAsia" w:ascii="宋体" w:hAnsi="宋体" w:cs="宋体"/>
                <w:szCs w:val="21"/>
              </w:rPr>
              <w:t>0.8％</w:t>
            </w:r>
            <w:bookmarkEnd w:id="251"/>
            <w:bookmarkEnd w:id="25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tcPr>
          <w:p>
            <w:pPr>
              <w:snapToGrid w:val="0"/>
              <w:spacing w:line="360" w:lineRule="auto"/>
              <w:ind w:firstLine="420" w:firstLineChars="200"/>
              <w:jc w:val="left"/>
              <w:outlineLvl w:val="1"/>
              <w:rPr>
                <w:rFonts w:ascii="宋体" w:hAnsi="宋体" w:cs="宋体"/>
                <w:szCs w:val="21"/>
              </w:rPr>
            </w:pPr>
            <w:bookmarkStart w:id="253" w:name="_Toc493511759"/>
            <w:bookmarkStart w:id="254" w:name="_Toc50012896"/>
            <w:r>
              <w:rPr>
                <w:rFonts w:hint="eastAsia" w:ascii="宋体" w:hAnsi="宋体" w:cs="宋体"/>
                <w:szCs w:val="21"/>
              </w:rPr>
              <w:t>500-1000</w:t>
            </w:r>
            <w:bookmarkEnd w:id="253"/>
            <w:bookmarkEnd w:id="254"/>
          </w:p>
        </w:tc>
        <w:tc>
          <w:tcPr>
            <w:tcW w:w="2160" w:type="dxa"/>
            <w:tcBorders>
              <w:top w:val="single" w:color="auto" w:sz="6" w:space="0"/>
              <w:left w:val="single" w:color="auto" w:sz="6" w:space="0"/>
              <w:bottom w:val="single" w:color="auto" w:sz="6" w:space="0"/>
              <w:right w:val="double" w:color="auto" w:sz="4" w:space="0"/>
            </w:tcBorders>
            <w:noWrap/>
            <w:vAlign w:val="center"/>
          </w:tcPr>
          <w:p>
            <w:pPr>
              <w:snapToGrid w:val="0"/>
              <w:spacing w:line="360" w:lineRule="auto"/>
              <w:ind w:firstLine="420" w:firstLineChars="200"/>
              <w:jc w:val="left"/>
              <w:outlineLvl w:val="1"/>
              <w:rPr>
                <w:rFonts w:ascii="宋体" w:hAnsi="宋体" w:cs="宋体"/>
                <w:szCs w:val="21"/>
              </w:rPr>
            </w:pPr>
            <w:bookmarkStart w:id="255" w:name="_Toc50012897"/>
            <w:bookmarkStart w:id="256" w:name="_Toc493511760"/>
            <w:r>
              <w:rPr>
                <w:rFonts w:hint="eastAsia" w:ascii="宋体" w:hAnsi="宋体" w:cs="宋体"/>
                <w:szCs w:val="21"/>
              </w:rPr>
              <w:t>0.45％</w:t>
            </w:r>
            <w:bookmarkEnd w:id="255"/>
            <w:bookmarkEnd w:id="25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tcPr>
          <w:p>
            <w:pPr>
              <w:snapToGrid w:val="0"/>
              <w:spacing w:line="360" w:lineRule="auto"/>
              <w:ind w:firstLine="420" w:firstLineChars="200"/>
              <w:jc w:val="left"/>
              <w:outlineLvl w:val="1"/>
              <w:rPr>
                <w:rFonts w:ascii="宋体" w:hAnsi="宋体" w:cs="宋体"/>
                <w:szCs w:val="21"/>
              </w:rPr>
            </w:pPr>
            <w:r>
              <w:rPr>
                <w:rFonts w:hint="eastAsia" w:ascii="宋体" w:hAnsi="宋体" w:cs="宋体"/>
                <w:szCs w:val="21"/>
              </w:rPr>
              <w:t>1000-5000</w:t>
            </w:r>
          </w:p>
        </w:tc>
        <w:tc>
          <w:tcPr>
            <w:tcW w:w="2160" w:type="dxa"/>
            <w:tcBorders>
              <w:top w:val="single" w:color="auto" w:sz="6" w:space="0"/>
              <w:left w:val="single" w:color="auto" w:sz="6" w:space="0"/>
              <w:bottom w:val="single" w:color="auto" w:sz="6" w:space="0"/>
              <w:right w:val="double" w:color="auto" w:sz="4" w:space="0"/>
            </w:tcBorders>
            <w:noWrap/>
            <w:vAlign w:val="center"/>
          </w:tcPr>
          <w:p>
            <w:pPr>
              <w:snapToGrid w:val="0"/>
              <w:spacing w:line="360" w:lineRule="auto"/>
              <w:ind w:firstLine="420" w:firstLineChars="200"/>
              <w:jc w:val="left"/>
              <w:outlineLvl w:val="1"/>
              <w:rPr>
                <w:rFonts w:ascii="宋体" w:hAnsi="宋体" w:cs="宋体"/>
                <w:szCs w:val="21"/>
              </w:rPr>
            </w:pPr>
            <w:r>
              <w:rPr>
                <w:rFonts w:hint="eastAsia" w:ascii="宋体" w:hAnsi="宋体" w:cs="宋体"/>
                <w:szCs w:val="21"/>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noWrap/>
          </w:tcPr>
          <w:p>
            <w:pPr>
              <w:snapToGrid w:val="0"/>
              <w:spacing w:line="360" w:lineRule="auto"/>
              <w:ind w:firstLine="420" w:firstLineChars="200"/>
              <w:jc w:val="left"/>
              <w:outlineLvl w:val="1"/>
              <w:rPr>
                <w:rFonts w:ascii="宋体" w:hAnsi="宋体" w:cs="宋体"/>
                <w:szCs w:val="21"/>
              </w:rPr>
            </w:pPr>
            <w:r>
              <w:rPr>
                <w:rFonts w:hint="eastAsia" w:ascii="宋体" w:hAnsi="宋体" w:cs="宋体"/>
                <w:szCs w:val="21"/>
              </w:rPr>
              <w:t>5000-10000</w:t>
            </w:r>
          </w:p>
        </w:tc>
        <w:tc>
          <w:tcPr>
            <w:tcW w:w="2160" w:type="dxa"/>
            <w:tcBorders>
              <w:top w:val="single" w:color="auto" w:sz="6" w:space="0"/>
              <w:left w:val="single" w:color="auto" w:sz="6" w:space="0"/>
              <w:bottom w:val="single" w:color="auto" w:sz="6" w:space="0"/>
              <w:right w:val="double" w:color="auto" w:sz="4" w:space="0"/>
            </w:tcBorders>
            <w:noWrap/>
            <w:vAlign w:val="center"/>
          </w:tcPr>
          <w:p>
            <w:pPr>
              <w:snapToGrid w:val="0"/>
              <w:spacing w:line="360" w:lineRule="auto"/>
              <w:ind w:firstLine="420" w:firstLineChars="200"/>
              <w:jc w:val="left"/>
              <w:outlineLvl w:val="1"/>
              <w:rPr>
                <w:rFonts w:ascii="宋体" w:hAnsi="宋体" w:cs="宋体"/>
                <w:szCs w:val="21"/>
              </w:rPr>
            </w:pPr>
            <w:r>
              <w:rPr>
                <w:rFonts w:hint="eastAsia" w:ascii="宋体" w:hAnsi="宋体" w:cs="宋体"/>
                <w:szCs w:val="21"/>
              </w:rPr>
              <w:t>0.10%</w:t>
            </w:r>
          </w:p>
        </w:tc>
      </w:tr>
    </w:tbl>
    <w:p>
      <w:pPr>
        <w:pStyle w:val="19"/>
        <w:snapToGrid w:val="0"/>
        <w:spacing w:line="360" w:lineRule="auto"/>
        <w:ind w:firstLine="420" w:firstLineChars="200"/>
        <w:jc w:val="left"/>
        <w:rPr>
          <w:rFonts w:hAnsi="宋体" w:cs="宋体"/>
          <w:szCs w:val="21"/>
        </w:rPr>
      </w:pPr>
      <w:bookmarkStart w:id="257" w:name="_Toc493511761"/>
      <w:bookmarkStart w:id="258" w:name="_Toc50012898"/>
      <w:r>
        <w:rPr>
          <w:rFonts w:hint="eastAsia" w:hAnsi="宋体" w:cs="宋体"/>
          <w:szCs w:val="21"/>
        </w:rPr>
        <w:t>例如：某项目服务类招标代理业务中标金额为900万元，计算中标服务费收费额如下：</w:t>
      </w:r>
      <w:bookmarkEnd w:id="257"/>
      <w:bookmarkEnd w:id="258"/>
    </w:p>
    <w:p>
      <w:pPr>
        <w:pStyle w:val="19"/>
        <w:snapToGrid w:val="0"/>
        <w:spacing w:line="360" w:lineRule="auto"/>
        <w:ind w:firstLine="420" w:firstLineChars="200"/>
        <w:jc w:val="left"/>
        <w:rPr>
          <w:rFonts w:hAnsi="宋体" w:cs="宋体"/>
          <w:szCs w:val="21"/>
        </w:rPr>
      </w:pPr>
      <w:bookmarkStart w:id="259" w:name="_Toc493511762"/>
      <w:bookmarkStart w:id="260" w:name="_Toc50012899"/>
      <w:r>
        <w:rPr>
          <w:rFonts w:hint="eastAsia" w:hAnsi="宋体" w:cs="宋体"/>
          <w:szCs w:val="21"/>
        </w:rPr>
        <w:t>100万元 × 1.5% = 1.5万元</w:t>
      </w:r>
      <w:bookmarkEnd w:id="259"/>
      <w:bookmarkEnd w:id="260"/>
    </w:p>
    <w:p>
      <w:pPr>
        <w:pStyle w:val="19"/>
        <w:snapToGrid w:val="0"/>
        <w:spacing w:line="360" w:lineRule="auto"/>
        <w:ind w:firstLine="420" w:firstLineChars="200"/>
        <w:jc w:val="left"/>
        <w:rPr>
          <w:rFonts w:hAnsi="宋体" w:cs="宋体"/>
          <w:szCs w:val="21"/>
        </w:rPr>
      </w:pPr>
      <w:bookmarkStart w:id="261" w:name="_Toc50012900"/>
      <w:bookmarkStart w:id="262" w:name="_Toc493511763"/>
      <w:r>
        <w:rPr>
          <w:rFonts w:hint="eastAsia" w:hAnsi="宋体" w:cs="宋体"/>
          <w:szCs w:val="21"/>
        </w:rPr>
        <w:t>（500-100）万元 × 0.8% = 3.2万元</w:t>
      </w:r>
      <w:bookmarkEnd w:id="261"/>
      <w:bookmarkEnd w:id="262"/>
    </w:p>
    <w:p>
      <w:pPr>
        <w:pStyle w:val="19"/>
        <w:snapToGrid w:val="0"/>
        <w:spacing w:line="360" w:lineRule="auto"/>
        <w:ind w:firstLine="420" w:firstLineChars="200"/>
        <w:jc w:val="left"/>
        <w:rPr>
          <w:rFonts w:hAnsi="宋体" w:cs="宋体"/>
          <w:szCs w:val="21"/>
        </w:rPr>
      </w:pPr>
      <w:bookmarkStart w:id="263" w:name="_Toc50012901"/>
      <w:bookmarkStart w:id="264" w:name="_Toc493511764"/>
      <w:r>
        <w:rPr>
          <w:rFonts w:hint="eastAsia" w:hAnsi="宋体" w:cs="宋体"/>
          <w:szCs w:val="21"/>
        </w:rPr>
        <w:t>（900-500）万元×0.45% = 1.8万元</w:t>
      </w:r>
      <w:bookmarkEnd w:id="263"/>
      <w:bookmarkEnd w:id="264"/>
    </w:p>
    <w:p>
      <w:pPr>
        <w:pStyle w:val="19"/>
        <w:snapToGrid w:val="0"/>
        <w:spacing w:line="360" w:lineRule="auto"/>
        <w:ind w:firstLine="420" w:firstLineChars="200"/>
        <w:jc w:val="left"/>
        <w:rPr>
          <w:rFonts w:hAnsi="宋体" w:cs="宋体"/>
          <w:szCs w:val="21"/>
        </w:rPr>
      </w:pPr>
      <w:bookmarkStart w:id="265" w:name="_Toc50012902"/>
      <w:bookmarkStart w:id="266" w:name="_Toc493511765"/>
      <w:r>
        <w:rPr>
          <w:rFonts w:hint="eastAsia" w:hAnsi="宋体" w:cs="宋体"/>
          <w:szCs w:val="21"/>
        </w:rPr>
        <w:t>计收费 = 1.5万元 + 3.2万元+1.8万元 = 6.5万元</w:t>
      </w:r>
      <w:bookmarkEnd w:id="265"/>
      <w:bookmarkEnd w:id="266"/>
    </w:p>
    <w:p>
      <w:pPr>
        <w:pStyle w:val="19"/>
        <w:snapToGrid w:val="0"/>
        <w:spacing w:line="360" w:lineRule="auto"/>
        <w:ind w:firstLine="420" w:firstLineChars="200"/>
        <w:jc w:val="left"/>
        <w:rPr>
          <w:rFonts w:hAnsi="宋体" w:cs="宋体"/>
          <w:szCs w:val="21"/>
        </w:rPr>
      </w:pPr>
      <w:bookmarkStart w:id="267" w:name="_Toc493511766"/>
      <w:bookmarkStart w:id="268" w:name="_Toc50012903"/>
      <w:r>
        <w:rPr>
          <w:rFonts w:hint="eastAsia" w:hAnsi="宋体" w:cs="宋体"/>
          <w:szCs w:val="21"/>
        </w:rPr>
        <w:t>3、</w:t>
      </w:r>
      <w:bookmarkEnd w:id="267"/>
      <w:r>
        <w:rPr>
          <w:rFonts w:hint="eastAsia" w:hAnsi="宋体" w:cs="宋体"/>
          <w:szCs w:val="21"/>
        </w:rPr>
        <w:t>本项目以服务类招标收费标准收取中标服务费，对于招标代理服务费不足5000元的按5000元计取招标代理服务费。</w:t>
      </w:r>
      <w:bookmarkEnd w:id="268"/>
    </w:p>
    <w:p>
      <w:pPr>
        <w:pStyle w:val="19"/>
        <w:snapToGrid w:val="0"/>
        <w:spacing w:line="360" w:lineRule="auto"/>
        <w:ind w:firstLine="420" w:firstLineChars="200"/>
        <w:jc w:val="left"/>
        <w:rPr>
          <w:rFonts w:hAnsi="宋体" w:cs="宋体"/>
          <w:szCs w:val="21"/>
        </w:rPr>
      </w:pPr>
      <w:bookmarkStart w:id="269" w:name="_Toc493511767"/>
      <w:r>
        <w:rPr>
          <w:rFonts w:hint="eastAsia" w:hAnsi="宋体" w:cs="宋体"/>
          <w:szCs w:val="21"/>
        </w:rPr>
        <w:t>4、服务费的货币为人民币。</w:t>
      </w:r>
      <w:bookmarkEnd w:id="269"/>
    </w:p>
    <w:p>
      <w:pPr>
        <w:pStyle w:val="19"/>
        <w:snapToGrid w:val="0"/>
        <w:spacing w:line="360" w:lineRule="auto"/>
        <w:ind w:firstLine="420" w:firstLineChars="200"/>
        <w:jc w:val="left"/>
        <w:rPr>
          <w:rFonts w:hAnsi="宋体" w:cs="宋体"/>
          <w:szCs w:val="21"/>
        </w:rPr>
      </w:pPr>
      <w:bookmarkStart w:id="270" w:name="_Toc493511768"/>
      <w:r>
        <w:rPr>
          <w:rFonts w:hint="eastAsia" w:hAnsi="宋体" w:cs="宋体"/>
          <w:szCs w:val="21"/>
        </w:rPr>
        <w:t>5、服务费支付方式：一次性以银行划账、电汇、汇票或支票的形式支付。</w:t>
      </w:r>
      <w:bookmarkEnd w:id="270"/>
    </w:p>
    <w:p>
      <w:pPr>
        <w:pStyle w:val="19"/>
        <w:snapToGrid w:val="0"/>
        <w:spacing w:line="360" w:lineRule="auto"/>
        <w:ind w:firstLine="420" w:firstLineChars="200"/>
        <w:jc w:val="left"/>
        <w:rPr>
          <w:rFonts w:hAnsi="宋体" w:cs="宋体"/>
          <w:szCs w:val="21"/>
        </w:rPr>
      </w:pPr>
      <w:bookmarkStart w:id="271" w:name="_Toc493511769"/>
      <w:r>
        <w:rPr>
          <w:rFonts w:hint="eastAsia" w:hAnsi="宋体" w:cs="宋体"/>
          <w:szCs w:val="21"/>
        </w:rPr>
        <w:t>6、服务费以银行划账方式按下列要求提交：</w:t>
      </w:r>
      <w:bookmarkEnd w:id="271"/>
    </w:p>
    <w:p>
      <w:pPr>
        <w:pStyle w:val="19"/>
        <w:snapToGrid w:val="0"/>
        <w:spacing w:line="360" w:lineRule="auto"/>
        <w:ind w:firstLine="420" w:firstLineChars="200"/>
        <w:jc w:val="left"/>
        <w:rPr>
          <w:rFonts w:hAnsi="宋体" w:cs="宋体"/>
          <w:szCs w:val="21"/>
        </w:rPr>
      </w:pPr>
      <w:bookmarkStart w:id="272" w:name="_Toc493511770"/>
      <w:r>
        <w:rPr>
          <w:rFonts w:hint="eastAsia" w:hAnsi="宋体" w:cs="宋体"/>
          <w:szCs w:val="21"/>
        </w:rPr>
        <w:t>收款人：浙江槿阳建设管理有限公司</w:t>
      </w:r>
      <w:bookmarkEnd w:id="272"/>
    </w:p>
    <w:p>
      <w:pPr>
        <w:pStyle w:val="19"/>
        <w:snapToGrid w:val="0"/>
        <w:spacing w:line="360" w:lineRule="auto"/>
        <w:ind w:firstLine="420" w:firstLineChars="200"/>
        <w:jc w:val="left"/>
        <w:rPr>
          <w:rFonts w:hAnsi="宋体" w:cs="宋体"/>
          <w:szCs w:val="21"/>
        </w:rPr>
      </w:pPr>
      <w:bookmarkStart w:id="273" w:name="_Toc493511771"/>
      <w:r>
        <w:rPr>
          <w:rFonts w:hint="eastAsia" w:hAnsi="宋体" w:cs="宋体"/>
          <w:szCs w:val="21"/>
        </w:rPr>
        <w:t>户名：浙江槿阳建设管理有限公司</w:t>
      </w:r>
      <w:bookmarkEnd w:id="273"/>
    </w:p>
    <w:p>
      <w:pPr>
        <w:pStyle w:val="19"/>
        <w:snapToGrid w:val="0"/>
        <w:spacing w:line="360" w:lineRule="auto"/>
        <w:ind w:firstLine="420" w:firstLineChars="200"/>
        <w:jc w:val="left"/>
        <w:rPr>
          <w:rFonts w:hAnsi="宋体" w:cs="宋体"/>
          <w:szCs w:val="21"/>
        </w:rPr>
      </w:pPr>
      <w:bookmarkStart w:id="274" w:name="_Toc493511772"/>
      <w:r>
        <w:rPr>
          <w:rFonts w:hint="eastAsia" w:hAnsi="宋体" w:cs="宋体"/>
          <w:szCs w:val="21"/>
        </w:rPr>
        <w:t>开户银行：</w:t>
      </w:r>
      <w:bookmarkEnd w:id="274"/>
      <w:r>
        <w:rPr>
          <w:rFonts w:hint="eastAsia" w:hAnsi="宋体" w:cs="宋体"/>
          <w:szCs w:val="21"/>
        </w:rPr>
        <w:t>中国建设银行股份有限公司嘉兴秀洲支行</w:t>
      </w:r>
    </w:p>
    <w:p>
      <w:pPr>
        <w:pStyle w:val="19"/>
        <w:snapToGrid w:val="0"/>
        <w:spacing w:line="360" w:lineRule="auto"/>
        <w:ind w:firstLine="420" w:firstLineChars="200"/>
        <w:jc w:val="left"/>
        <w:rPr>
          <w:rFonts w:hAnsi="宋体" w:cs="宋体"/>
          <w:sz w:val="24"/>
          <w:szCs w:val="24"/>
        </w:rPr>
      </w:pPr>
      <w:bookmarkStart w:id="275" w:name="_Toc493511773"/>
      <w:r>
        <w:rPr>
          <w:rFonts w:hint="eastAsia" w:hAnsi="宋体" w:cs="宋体"/>
          <w:szCs w:val="21"/>
        </w:rPr>
        <w:t>账号：</w:t>
      </w:r>
      <w:bookmarkEnd w:id="275"/>
      <w:bookmarkStart w:id="276" w:name="_Toc493511774"/>
      <w:r>
        <w:rPr>
          <w:rFonts w:hint="eastAsia" w:hAnsi="宋体" w:cs="宋体"/>
          <w:sz w:val="24"/>
          <w:szCs w:val="24"/>
        </w:rPr>
        <w:t>3305 0163 8035 0000 1451</w:t>
      </w:r>
    </w:p>
    <w:p>
      <w:pPr>
        <w:pStyle w:val="19"/>
        <w:snapToGrid w:val="0"/>
        <w:spacing w:line="360" w:lineRule="auto"/>
        <w:ind w:firstLine="420" w:firstLineChars="200"/>
        <w:jc w:val="left"/>
        <w:rPr>
          <w:rFonts w:hAnsi="宋体" w:cs="宋体"/>
          <w:szCs w:val="21"/>
        </w:rPr>
      </w:pPr>
      <w:r>
        <w:rPr>
          <w:rFonts w:hint="eastAsia" w:hAnsi="宋体" w:cs="宋体"/>
          <w:szCs w:val="21"/>
        </w:rPr>
        <w:t>服务费支付时间：服务费必须在中标人领取《中标通知书》时一次性付清</w:t>
      </w:r>
      <w:bookmarkEnd w:id="276"/>
      <w:bookmarkStart w:id="277" w:name="_Toc493511775"/>
      <w:r>
        <w:rPr>
          <w:rFonts w:hint="eastAsia" w:hAnsi="宋体" w:cs="宋体"/>
          <w:szCs w:val="21"/>
        </w:rPr>
        <w:t>；</w:t>
      </w:r>
    </w:p>
    <w:p>
      <w:pPr>
        <w:pStyle w:val="19"/>
        <w:numPr>
          <w:ilvl w:val="0"/>
          <w:numId w:val="7"/>
        </w:numPr>
        <w:snapToGrid w:val="0"/>
        <w:spacing w:line="360" w:lineRule="auto"/>
        <w:ind w:firstLine="420" w:firstLineChars="200"/>
        <w:jc w:val="left"/>
        <w:rPr>
          <w:rFonts w:hAnsi="宋体" w:cs="宋体"/>
          <w:szCs w:val="21"/>
        </w:rPr>
      </w:pPr>
      <w:r>
        <w:rPr>
          <w:rFonts w:hint="eastAsia" w:hAnsi="宋体" w:cs="宋体"/>
          <w:szCs w:val="21"/>
        </w:rPr>
        <w:t>服务费不在投标报价中单列。</w:t>
      </w:r>
      <w:bookmarkEnd w:id="277"/>
    </w:p>
    <w:p>
      <w:pPr>
        <w:spacing w:line="360" w:lineRule="auto"/>
        <w:ind w:firstLine="420" w:firstLineChars="200"/>
        <w:jc w:val="left"/>
        <w:rPr>
          <w:rFonts w:ascii="宋体" w:hAnsi="宋体" w:cs="宋体"/>
          <w:szCs w:val="21"/>
        </w:rPr>
      </w:pPr>
    </w:p>
    <w:p>
      <w:pPr>
        <w:pStyle w:val="44"/>
        <w:outlineLvl w:val="0"/>
        <w:rPr>
          <w:rStyle w:val="41"/>
          <w:rFonts w:ascii="宋体" w:hAnsi="宋体" w:eastAsia="宋体" w:cs="宋体"/>
          <w:b/>
          <w:bCs w:val="0"/>
          <w:szCs w:val="21"/>
        </w:rPr>
      </w:pPr>
      <w:bookmarkStart w:id="278" w:name="_Toc493511776"/>
      <w:bookmarkStart w:id="279" w:name="_Toc170792807"/>
      <w:bookmarkStart w:id="280" w:name="_Toc177870559"/>
      <w:r>
        <w:rPr>
          <w:rFonts w:hint="eastAsia" w:ascii="宋体" w:eastAsia="宋体" w:cs="宋体"/>
          <w:sz w:val="21"/>
          <w:szCs w:val="21"/>
        </w:rPr>
        <w:br w:type="page"/>
      </w:r>
      <w:bookmarkStart w:id="281" w:name="_Toc8"/>
      <w:bookmarkStart w:id="282" w:name="_Toc50012904"/>
      <w:r>
        <w:rPr>
          <w:rStyle w:val="41"/>
          <w:rFonts w:hint="eastAsia" w:ascii="宋体" w:hAnsi="宋体" w:eastAsia="宋体" w:cs="宋体"/>
          <w:b/>
          <w:bCs w:val="0"/>
          <w:szCs w:val="21"/>
        </w:rPr>
        <w:t>第四章  评标办法及评分标准</w:t>
      </w:r>
      <w:bookmarkEnd w:id="278"/>
      <w:bookmarkEnd w:id="281"/>
      <w:bookmarkEnd w:id="282"/>
    </w:p>
    <w:p>
      <w:pPr>
        <w:spacing w:line="360" w:lineRule="auto"/>
        <w:ind w:firstLine="420" w:firstLineChars="200"/>
        <w:jc w:val="left"/>
        <w:rPr>
          <w:rFonts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w:t>
      </w:r>
    </w:p>
    <w:bookmarkEnd w:id="279"/>
    <w:bookmarkEnd w:id="280"/>
    <w:p>
      <w:pPr>
        <w:pStyle w:val="3"/>
        <w:numPr>
          <w:ilvl w:val="0"/>
          <w:numId w:val="8"/>
        </w:numPr>
        <w:rPr>
          <w:rFonts w:ascii="宋体" w:hAnsi="宋体" w:eastAsia="宋体" w:cs="宋体"/>
        </w:rPr>
      </w:pPr>
      <w:bookmarkStart w:id="283" w:name="_Toc170792802"/>
      <w:r>
        <w:rPr>
          <w:rFonts w:hint="eastAsia" w:ascii="宋体" w:hAnsi="宋体" w:eastAsia="宋体" w:cs="宋体"/>
        </w:rPr>
        <w:t>总则</w:t>
      </w:r>
    </w:p>
    <w:p>
      <w:pPr>
        <w:spacing w:line="360" w:lineRule="auto"/>
        <w:ind w:firstLine="420" w:firstLineChars="200"/>
        <w:jc w:val="left"/>
        <w:rPr>
          <w:rFonts w:ascii="宋体" w:hAnsi="宋体" w:cs="宋体"/>
          <w:bCs/>
          <w:szCs w:val="21"/>
        </w:rPr>
      </w:pPr>
      <w:r>
        <w:rPr>
          <w:rFonts w:hint="eastAsia" w:ascii="宋体" w:hAnsi="宋体" w:cs="宋体"/>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Pr>
          <w:rFonts w:hint="eastAsia" w:ascii="宋体" w:hAnsi="宋体" w:cs="宋体"/>
          <w:b/>
          <w:szCs w:val="21"/>
        </w:rPr>
        <w:t>第一</w:t>
      </w:r>
      <w:r>
        <w:rPr>
          <w:rFonts w:hint="eastAsia" w:ascii="宋体" w:hAnsi="宋体" w:cs="宋体"/>
          <w:szCs w:val="21"/>
        </w:rPr>
        <w:t>的投标人为中标候选人，排名第二的投标人为候补中标候选人……其他投标人中标候选资格依此类推。</w:t>
      </w:r>
      <w:r>
        <w:rPr>
          <w:rFonts w:hint="eastAsia" w:ascii="宋体" w:hAnsi="宋体" w:cs="宋体"/>
          <w:bCs/>
          <w:szCs w:val="21"/>
        </w:rPr>
        <w:t>评分过程中采用四舍五入法，并保留小数2位。</w:t>
      </w:r>
    </w:p>
    <w:p>
      <w:pPr>
        <w:spacing w:line="360" w:lineRule="auto"/>
        <w:ind w:firstLine="420" w:firstLineChars="200"/>
        <w:jc w:val="left"/>
        <w:rPr>
          <w:rFonts w:ascii="宋体" w:hAnsi="宋体" w:cs="宋体"/>
          <w:szCs w:val="21"/>
        </w:rPr>
      </w:pPr>
      <w:r>
        <w:rPr>
          <w:rFonts w:hint="eastAsia" w:ascii="宋体" w:hAnsi="宋体" w:cs="宋体"/>
          <w:szCs w:val="21"/>
        </w:rPr>
        <w:t>投标人评标</w:t>
      </w:r>
      <w:r>
        <w:rPr>
          <w:rFonts w:hint="eastAsia" w:ascii="宋体" w:hAnsi="宋体" w:cs="宋体"/>
          <w:bCs/>
          <w:szCs w:val="21"/>
        </w:rPr>
        <w:t>综合得分=价格分+(技术分+资信、商务及其他分)</w:t>
      </w:r>
    </w:p>
    <w:p>
      <w:pPr>
        <w:pStyle w:val="3"/>
        <w:numPr>
          <w:ilvl w:val="0"/>
          <w:numId w:val="8"/>
        </w:numPr>
        <w:rPr>
          <w:rFonts w:ascii="宋体" w:hAnsi="宋体" w:eastAsia="宋体" w:cs="宋体"/>
        </w:rPr>
      </w:pPr>
      <w:r>
        <w:rPr>
          <w:rFonts w:hint="eastAsia" w:ascii="宋体" w:hAnsi="宋体" w:eastAsia="宋体" w:cs="宋体"/>
        </w:rPr>
        <w:t>评标内容及标准</w:t>
      </w:r>
    </w:p>
    <w:p>
      <w:pPr>
        <w:pStyle w:val="19"/>
        <w:numPr>
          <w:ilvl w:val="0"/>
          <w:numId w:val="9"/>
        </w:numPr>
        <w:tabs>
          <w:tab w:val="left" w:pos="630"/>
        </w:tabs>
        <w:spacing w:line="360" w:lineRule="auto"/>
        <w:jc w:val="left"/>
        <w:rPr>
          <w:rFonts w:hAnsi="宋体" w:cs="宋体"/>
          <w:b/>
          <w:szCs w:val="21"/>
        </w:rPr>
      </w:pPr>
      <w:r>
        <w:rPr>
          <w:rFonts w:hint="eastAsia" w:hAnsi="宋体" w:cs="宋体"/>
          <w:b/>
          <w:szCs w:val="21"/>
        </w:rPr>
        <w:t>价格分（15分）</w:t>
      </w:r>
    </w:p>
    <w:p>
      <w:pPr>
        <w:pStyle w:val="19"/>
        <w:tabs>
          <w:tab w:val="left" w:pos="630"/>
        </w:tabs>
        <w:spacing w:line="360" w:lineRule="auto"/>
        <w:ind w:firstLine="420" w:firstLineChars="200"/>
        <w:jc w:val="left"/>
        <w:rPr>
          <w:rFonts w:hAnsi="宋体" w:cs="宋体"/>
          <w:bCs/>
          <w:szCs w:val="21"/>
        </w:rPr>
      </w:pPr>
      <w:r>
        <w:rPr>
          <w:rFonts w:hint="eastAsia" w:hAnsi="宋体" w:cs="宋体"/>
          <w:bCs/>
          <w:szCs w:val="21"/>
        </w:rPr>
        <w:t>1、价格分采用低价优先法计算，即满足招标文件要求且投标价格最低的投标报价为评标基准价，其他投标人的价格分按照下列公式计算：</w:t>
      </w:r>
    </w:p>
    <w:p>
      <w:pPr>
        <w:pStyle w:val="19"/>
        <w:tabs>
          <w:tab w:val="left" w:pos="630"/>
        </w:tabs>
        <w:spacing w:line="360" w:lineRule="auto"/>
        <w:ind w:firstLine="420" w:firstLineChars="200"/>
        <w:jc w:val="left"/>
        <w:rPr>
          <w:rFonts w:hAnsi="宋体" w:cs="宋体"/>
          <w:szCs w:val="21"/>
        </w:rPr>
      </w:pPr>
      <w:r>
        <w:rPr>
          <w:rFonts w:hint="eastAsia" w:hAnsi="宋体" w:cs="宋体"/>
          <w:szCs w:val="21"/>
        </w:rPr>
        <w:t>价格分=（评标基准价/投标报价）×15%×100</w:t>
      </w:r>
    </w:p>
    <w:p>
      <w:pPr>
        <w:pStyle w:val="19"/>
        <w:tabs>
          <w:tab w:val="left" w:pos="630"/>
        </w:tabs>
        <w:spacing w:line="360" w:lineRule="auto"/>
        <w:ind w:firstLine="420" w:firstLineChars="200"/>
        <w:jc w:val="left"/>
        <w:rPr>
          <w:rFonts w:hAnsi="宋体" w:cs="宋体"/>
          <w:bCs/>
          <w:szCs w:val="21"/>
        </w:rPr>
      </w:pPr>
      <w:r>
        <w:rPr>
          <w:rFonts w:hint="eastAsia" w:hAnsi="宋体" w:cs="宋体"/>
          <w:bCs/>
          <w:szCs w:val="21"/>
        </w:rPr>
        <w:t>2、投标人的投标报价超过采购人设定的最高限价，将作为无效标。</w:t>
      </w:r>
    </w:p>
    <w:p>
      <w:pPr>
        <w:pStyle w:val="19"/>
        <w:tabs>
          <w:tab w:val="left" w:pos="630"/>
        </w:tabs>
        <w:spacing w:line="500" w:lineRule="exact"/>
        <w:ind w:firstLine="420" w:firstLineChars="200"/>
        <w:jc w:val="left"/>
        <w:rPr>
          <w:rFonts w:hAnsi="宋体" w:cs="宋体"/>
          <w:bCs/>
          <w:szCs w:val="21"/>
        </w:rPr>
      </w:pPr>
      <w:r>
        <w:rPr>
          <w:rFonts w:hint="eastAsia" w:hAnsi="宋体" w:cs="宋体"/>
          <w:bCs/>
          <w:szCs w:val="21"/>
        </w:rPr>
        <w:t>3、评标委员会认为供应商的报价明显低于其他通过符合性审查供应商的报价，有可能</w:t>
      </w:r>
      <w:r>
        <w:rPr>
          <w:rFonts w:hint="eastAsia" w:hAnsi="宋体" w:cs="宋体"/>
          <w:szCs w:val="21"/>
        </w:rPr>
        <w:t>影响产品质量或者不能诚信履约的，应当要求其在评标现场合理的时间内提供书面说明，必要时提交相关证明材料;供应商不能证明</w:t>
      </w:r>
      <w:r>
        <w:rPr>
          <w:rFonts w:hint="eastAsia" w:hAnsi="宋体" w:cs="宋体"/>
          <w:bCs/>
          <w:szCs w:val="21"/>
        </w:rPr>
        <w:t>其报价合理性的，评标委员会应当将其作为无效投标处理。</w:t>
      </w:r>
    </w:p>
    <w:p>
      <w:pPr>
        <w:pStyle w:val="19"/>
        <w:tabs>
          <w:tab w:val="left" w:pos="0"/>
        </w:tabs>
        <w:spacing w:line="500" w:lineRule="exact"/>
        <w:ind w:firstLine="567" w:firstLineChars="270"/>
        <w:jc w:val="left"/>
        <w:rPr>
          <w:rFonts w:hAnsi="宋体" w:cs="宋体"/>
          <w:bCs/>
          <w:szCs w:val="21"/>
        </w:rPr>
      </w:pPr>
      <w:r>
        <w:rPr>
          <w:rFonts w:hint="eastAsia" w:hAnsi="宋体" w:cs="宋体"/>
          <w:bCs/>
          <w:szCs w:val="21"/>
        </w:rPr>
        <w:t>4、扶持政策说明：</w:t>
      </w:r>
    </w:p>
    <w:p>
      <w:pPr>
        <w:pStyle w:val="19"/>
        <w:numPr>
          <w:ilvl w:val="0"/>
          <w:numId w:val="10"/>
        </w:numPr>
        <w:spacing w:line="360" w:lineRule="auto"/>
        <w:ind w:left="0" w:firstLine="424" w:firstLineChars="202"/>
        <w:jc w:val="left"/>
        <w:rPr>
          <w:rFonts w:hAnsi="宋体" w:cs="宋体"/>
          <w:bCs/>
          <w:szCs w:val="21"/>
        </w:rPr>
      </w:pPr>
      <w:r>
        <w:rPr>
          <w:rFonts w:hint="eastAsia" w:hAnsi="宋体" w:cs="宋体"/>
          <w:bCs/>
          <w:szCs w:val="21"/>
        </w:rPr>
        <w:t>本次采购为专门面向中小企业预留采购份额的采购项目。</w:t>
      </w:r>
    </w:p>
    <w:p>
      <w:pPr>
        <w:pStyle w:val="19"/>
        <w:numPr>
          <w:ilvl w:val="0"/>
          <w:numId w:val="11"/>
        </w:numPr>
        <w:spacing w:line="360" w:lineRule="auto"/>
        <w:jc w:val="left"/>
        <w:rPr>
          <w:rFonts w:asciiTheme="minorEastAsia" w:hAnsiTheme="minorEastAsia" w:eastAsiaTheme="minorEastAsia"/>
          <w:szCs w:val="21"/>
        </w:rPr>
      </w:pPr>
      <w:bookmarkStart w:id="309" w:name="_GoBack"/>
      <w:bookmarkEnd w:id="309"/>
      <w:r>
        <w:rPr>
          <w:rFonts w:hint="eastAsia" w:asciiTheme="minorEastAsia" w:hAnsiTheme="minorEastAsia" w:eastAsiaTheme="minorEastAsia"/>
          <w:szCs w:val="21"/>
        </w:rPr>
        <w:t>本项目对应的中小企业划分标准所属行业：其他未列明行业。项目属性：服务类。</w:t>
      </w:r>
    </w:p>
    <w:p>
      <w:pPr>
        <w:pStyle w:val="19"/>
        <w:tabs>
          <w:tab w:val="left" w:pos="0"/>
        </w:tabs>
        <w:spacing w:line="360" w:lineRule="auto"/>
        <w:ind w:firstLine="210" w:firstLineChars="100"/>
        <w:jc w:val="left"/>
        <w:rPr>
          <w:rFonts w:hAnsi="宋体" w:cs="宋体"/>
          <w:szCs w:val="21"/>
        </w:rPr>
      </w:pPr>
      <w:r>
        <w:rPr>
          <w:rFonts w:hint="eastAsia" w:hAnsi="宋体" w:cs="宋体"/>
          <w:bCs/>
          <w:szCs w:val="21"/>
        </w:rPr>
        <w:t>（3）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9"/>
        <w:tabs>
          <w:tab w:val="left" w:pos="0"/>
        </w:tabs>
        <w:spacing w:line="360" w:lineRule="auto"/>
        <w:ind w:firstLine="105" w:firstLineChars="50"/>
        <w:jc w:val="left"/>
        <w:rPr>
          <w:rFonts w:hAnsi="宋体" w:cs="宋体"/>
          <w:bCs/>
          <w:szCs w:val="21"/>
        </w:rPr>
      </w:pPr>
      <w:r>
        <w:rPr>
          <w:rFonts w:hint="eastAsia" w:hAnsi="宋体" w:cs="宋体"/>
          <w:bCs/>
          <w:szCs w:val="21"/>
        </w:rPr>
        <w:t>（4）监狱企业和残疾人福利性单位视同小型、微型企业，按《财政部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pPr>
        <w:pStyle w:val="19"/>
        <w:tabs>
          <w:tab w:val="left" w:pos="630"/>
        </w:tabs>
        <w:rPr>
          <w:rFonts w:hAnsi="宋体" w:cs="宋体"/>
          <w:b/>
          <w:bCs/>
          <w:szCs w:val="21"/>
        </w:rPr>
      </w:pPr>
      <w:r>
        <w:rPr>
          <w:rFonts w:hint="eastAsia" w:hAnsi="宋体" w:cs="宋体"/>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widowControl/>
        <w:rPr>
          <w:rFonts w:ascii="宋体" w:hAnsi="宋体" w:cs="宋体"/>
          <w:b/>
          <w:szCs w:val="21"/>
        </w:rPr>
        <w:sectPr>
          <w:pgSz w:w="11906" w:h="16838"/>
          <w:pgMar w:top="1474" w:right="1797" w:bottom="1247" w:left="1797" w:header="851" w:footer="851" w:gutter="0"/>
          <w:cols w:space="720" w:num="1"/>
        </w:sectPr>
      </w:pPr>
    </w:p>
    <w:p>
      <w:pPr>
        <w:pStyle w:val="19"/>
        <w:numPr>
          <w:ilvl w:val="0"/>
          <w:numId w:val="9"/>
        </w:numPr>
        <w:tabs>
          <w:tab w:val="left" w:pos="630"/>
        </w:tabs>
        <w:spacing w:line="360" w:lineRule="auto"/>
        <w:jc w:val="left"/>
        <w:rPr>
          <w:rFonts w:hAnsi="宋体" w:cs="宋体"/>
          <w:b/>
          <w:szCs w:val="21"/>
        </w:rPr>
      </w:pPr>
      <w:r>
        <w:rPr>
          <w:rFonts w:hint="eastAsia" w:hAnsi="宋体" w:cs="宋体"/>
          <w:b/>
          <w:szCs w:val="21"/>
        </w:rPr>
        <w:t>技术分：</w:t>
      </w:r>
    </w:p>
    <w:tbl>
      <w:tblPr>
        <w:tblStyle w:val="33"/>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547"/>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rPr>
                <w:rFonts w:ascii="宋体" w:hAnsi="宋体" w:cs="宋体"/>
                <w:szCs w:val="21"/>
              </w:rPr>
            </w:pPr>
            <w:r>
              <w:rPr>
                <w:rFonts w:hint="eastAsia" w:ascii="宋体" w:hAnsi="宋体" w:cs="宋体"/>
                <w:szCs w:val="21"/>
              </w:rPr>
              <w:t>序号</w:t>
            </w:r>
          </w:p>
        </w:tc>
        <w:tc>
          <w:tcPr>
            <w:tcW w:w="7547" w:type="dxa"/>
          </w:tcPr>
          <w:p>
            <w:pPr>
              <w:spacing w:line="360" w:lineRule="auto"/>
              <w:ind w:firstLine="420"/>
              <w:jc w:val="center"/>
              <w:rPr>
                <w:rFonts w:ascii="宋体" w:hAnsi="宋体" w:cs="宋体"/>
                <w:szCs w:val="21"/>
              </w:rPr>
            </w:pPr>
            <w:r>
              <w:rPr>
                <w:rFonts w:hint="eastAsia" w:ascii="宋体" w:hAnsi="宋体" w:cs="宋体"/>
                <w:szCs w:val="21"/>
              </w:rPr>
              <w:t>评分标准</w:t>
            </w:r>
          </w:p>
        </w:tc>
        <w:tc>
          <w:tcPr>
            <w:tcW w:w="1099" w:type="dxa"/>
          </w:tcPr>
          <w:p>
            <w:pPr>
              <w:spacing w:line="360" w:lineRule="auto"/>
              <w:rPr>
                <w:rFonts w:ascii="宋体" w:hAnsi="宋体" w:cs="宋体"/>
                <w:szCs w:val="21"/>
              </w:rPr>
            </w:pPr>
            <w:r>
              <w:rPr>
                <w:rFonts w:hint="eastAsia" w:ascii="宋体" w:hAnsi="宋体" w:cs="宋体"/>
                <w:szCs w:val="21"/>
              </w:rPr>
              <w:t>最高分值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rPr>
                <w:rFonts w:ascii="宋体" w:hAnsi="宋体" w:cs="宋体"/>
                <w:szCs w:val="21"/>
              </w:rPr>
            </w:pPr>
            <w:r>
              <w:rPr>
                <w:rFonts w:hint="eastAsia" w:ascii="宋体" w:hAnsi="宋体" w:cs="宋体"/>
                <w:szCs w:val="21"/>
              </w:rPr>
              <w:t>1</w:t>
            </w:r>
          </w:p>
        </w:tc>
        <w:tc>
          <w:tcPr>
            <w:tcW w:w="7547" w:type="dxa"/>
          </w:tcPr>
          <w:p>
            <w:pPr>
              <w:spacing w:line="360" w:lineRule="auto"/>
              <w:rPr>
                <w:rFonts w:ascii="宋体" w:hAnsi="宋体" w:cs="宋体"/>
                <w:szCs w:val="21"/>
              </w:rPr>
            </w:pPr>
            <w:r>
              <w:rPr>
                <w:rFonts w:hint="eastAsia" w:ascii="宋体" w:hAnsi="宋体" w:cs="宋体"/>
                <w:szCs w:val="21"/>
              </w:rPr>
              <w:t>根据投标单位针对对本项目服务区域的了解及分析是否到位、准确，重、难点区域的分析进行综合评审；</w:t>
            </w:r>
          </w:p>
          <w:p>
            <w:pPr>
              <w:spacing w:line="360" w:lineRule="auto"/>
              <w:rPr>
                <w:rFonts w:ascii="宋体" w:hAnsi="宋体" w:cs="宋体"/>
                <w:szCs w:val="21"/>
              </w:rPr>
            </w:pPr>
            <w:r>
              <w:rPr>
                <w:rFonts w:hint="eastAsia" w:ascii="宋体" w:hAnsi="宋体" w:cs="宋体"/>
                <w:szCs w:val="21"/>
              </w:rPr>
              <w:t>完整性、准确性；（0-3分）</w:t>
            </w:r>
          </w:p>
          <w:p>
            <w:pPr>
              <w:spacing w:line="360" w:lineRule="auto"/>
              <w:rPr>
                <w:rFonts w:ascii="宋体" w:hAnsi="宋体" w:cs="宋体"/>
                <w:szCs w:val="21"/>
              </w:rPr>
            </w:pPr>
            <w:r>
              <w:rPr>
                <w:rFonts w:hint="eastAsia" w:ascii="宋体" w:hAnsi="宋体" w:cs="宋体"/>
                <w:szCs w:val="21"/>
              </w:rPr>
              <w:t>重点区域分析；（0-3分）</w:t>
            </w:r>
          </w:p>
          <w:p>
            <w:pPr>
              <w:spacing w:line="360" w:lineRule="auto"/>
              <w:ind w:firstLine="31" w:firstLineChars="15"/>
              <w:rPr>
                <w:rFonts w:ascii="宋体" w:hAnsi="宋体" w:cs="宋体"/>
                <w:szCs w:val="21"/>
              </w:rPr>
            </w:pPr>
            <w:r>
              <w:rPr>
                <w:rFonts w:hint="eastAsia" w:ascii="宋体" w:hAnsi="宋体" w:cs="宋体"/>
                <w:szCs w:val="21"/>
              </w:rPr>
              <w:t>难点区域分析；（0-3分）</w:t>
            </w:r>
          </w:p>
        </w:tc>
        <w:tc>
          <w:tcPr>
            <w:tcW w:w="1099" w:type="dxa"/>
          </w:tcPr>
          <w:p>
            <w:pPr>
              <w:spacing w:line="360" w:lineRule="auto"/>
              <w:ind w:firstLine="420"/>
              <w:rPr>
                <w:rFonts w:ascii="宋体" w:hAnsi="宋体" w:cs="宋体"/>
                <w:szCs w:val="21"/>
              </w:rPr>
            </w:pPr>
            <w:r>
              <w:rPr>
                <w:rFonts w:hint="eastAsia" w:ascii="宋体" w:hAnsi="宋体" w:cs="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rPr>
                <w:rFonts w:ascii="宋体" w:hAnsi="宋体" w:cs="宋体"/>
                <w:szCs w:val="21"/>
              </w:rPr>
            </w:pPr>
            <w:r>
              <w:rPr>
                <w:rFonts w:hint="eastAsia" w:ascii="宋体" w:hAnsi="宋体" w:cs="宋体"/>
                <w:szCs w:val="21"/>
              </w:rPr>
              <w:t>2</w:t>
            </w:r>
          </w:p>
        </w:tc>
        <w:tc>
          <w:tcPr>
            <w:tcW w:w="7547" w:type="dxa"/>
          </w:tcPr>
          <w:p>
            <w:pPr>
              <w:spacing w:line="360" w:lineRule="auto"/>
              <w:ind w:firstLine="31" w:firstLineChars="15"/>
              <w:rPr>
                <w:rFonts w:ascii="宋体" w:hAnsi="宋体" w:cs="宋体"/>
                <w:szCs w:val="21"/>
              </w:rPr>
            </w:pPr>
            <w:r>
              <w:rPr>
                <w:rFonts w:hint="eastAsia" w:ascii="宋体" w:hAnsi="宋体" w:cs="宋体"/>
                <w:szCs w:val="21"/>
              </w:rPr>
              <w:t>根据投标人针对对本项目提供的镇区保洁整体实施方案内容的</w:t>
            </w:r>
          </w:p>
          <w:p>
            <w:pPr>
              <w:spacing w:line="360" w:lineRule="auto"/>
              <w:ind w:firstLine="31" w:firstLineChars="15"/>
              <w:rPr>
                <w:rFonts w:ascii="宋体" w:hAnsi="宋体" w:cs="宋体"/>
                <w:szCs w:val="21"/>
              </w:rPr>
            </w:pPr>
            <w:r>
              <w:rPr>
                <w:rFonts w:hint="eastAsia" w:ascii="宋体" w:hAnsi="宋体" w:cs="宋体"/>
                <w:szCs w:val="21"/>
              </w:rPr>
              <w:t>完整性进行综合打分；（0-3分）</w:t>
            </w:r>
          </w:p>
          <w:p>
            <w:pPr>
              <w:spacing w:line="360" w:lineRule="auto"/>
              <w:ind w:firstLine="31" w:firstLineChars="15"/>
              <w:rPr>
                <w:rFonts w:ascii="宋体" w:hAnsi="宋体" w:cs="宋体"/>
                <w:szCs w:val="21"/>
              </w:rPr>
            </w:pPr>
            <w:r>
              <w:rPr>
                <w:rFonts w:hint="eastAsia" w:ascii="宋体" w:hAnsi="宋体" w:cs="宋体"/>
                <w:szCs w:val="21"/>
              </w:rPr>
              <w:t>合理性进行综合打分；（0-3分）</w:t>
            </w:r>
          </w:p>
          <w:p>
            <w:pPr>
              <w:spacing w:line="360" w:lineRule="auto"/>
              <w:ind w:firstLine="31" w:firstLineChars="15"/>
              <w:rPr>
                <w:rFonts w:ascii="宋体" w:hAnsi="宋体" w:cs="宋体"/>
                <w:szCs w:val="21"/>
              </w:rPr>
            </w:pPr>
            <w:r>
              <w:rPr>
                <w:rFonts w:hint="eastAsia" w:ascii="宋体" w:hAnsi="宋体" w:cs="宋体"/>
                <w:szCs w:val="21"/>
              </w:rPr>
              <w:t>可行性进行综合打分；（0-3分）</w:t>
            </w:r>
          </w:p>
        </w:tc>
        <w:tc>
          <w:tcPr>
            <w:tcW w:w="1099" w:type="dxa"/>
          </w:tcPr>
          <w:p>
            <w:pPr>
              <w:spacing w:line="360" w:lineRule="auto"/>
              <w:ind w:firstLine="420"/>
              <w:rPr>
                <w:rFonts w:ascii="宋体" w:hAnsi="宋体" w:cs="宋体"/>
                <w:szCs w:val="21"/>
              </w:rPr>
            </w:pPr>
            <w:r>
              <w:rPr>
                <w:rFonts w:hint="eastAsia" w:ascii="宋体" w:hAnsi="宋体" w:cs="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rPr>
                <w:rFonts w:ascii="宋体" w:hAnsi="宋体" w:cs="宋体"/>
                <w:szCs w:val="21"/>
              </w:rPr>
            </w:pPr>
            <w:r>
              <w:rPr>
                <w:rFonts w:hint="eastAsia" w:ascii="宋体" w:hAnsi="宋体" w:cs="宋体"/>
                <w:szCs w:val="21"/>
              </w:rPr>
              <w:t>3</w:t>
            </w:r>
          </w:p>
        </w:tc>
        <w:tc>
          <w:tcPr>
            <w:tcW w:w="7547" w:type="dxa"/>
            <w:vAlign w:val="center"/>
          </w:tcPr>
          <w:p>
            <w:pPr>
              <w:spacing w:line="360" w:lineRule="auto"/>
              <w:ind w:firstLine="31" w:firstLineChars="15"/>
              <w:rPr>
                <w:rFonts w:ascii="宋体" w:hAnsi="宋体" w:cs="宋体"/>
                <w:szCs w:val="21"/>
              </w:rPr>
            </w:pPr>
            <w:r>
              <w:rPr>
                <w:rFonts w:hint="eastAsia" w:ascii="宋体" w:hAnsi="宋体" w:cs="宋体"/>
                <w:szCs w:val="21"/>
              </w:rPr>
              <w:t>根据投标人针对本项目实施质量的各项规章制度进行综合评审，分别为：</w:t>
            </w:r>
          </w:p>
          <w:p>
            <w:pPr>
              <w:spacing w:line="360" w:lineRule="auto"/>
              <w:ind w:firstLine="31" w:firstLineChars="15"/>
              <w:rPr>
                <w:rFonts w:ascii="宋体" w:hAnsi="宋体" w:cs="宋体"/>
                <w:szCs w:val="21"/>
              </w:rPr>
            </w:pPr>
            <w:r>
              <w:rPr>
                <w:rFonts w:hint="eastAsia" w:ascii="宋体" w:hAnsi="宋体" w:cs="宋体"/>
                <w:szCs w:val="21"/>
              </w:rPr>
              <w:t>工作绩效考核制度的合理性、完整性；（0-3分）</w:t>
            </w:r>
          </w:p>
          <w:p>
            <w:pPr>
              <w:spacing w:line="360" w:lineRule="auto"/>
              <w:ind w:firstLine="31" w:firstLineChars="15"/>
              <w:rPr>
                <w:rFonts w:ascii="宋体" w:hAnsi="宋体" w:cs="宋体"/>
                <w:szCs w:val="21"/>
              </w:rPr>
            </w:pPr>
            <w:r>
              <w:rPr>
                <w:rFonts w:hint="eastAsia" w:ascii="宋体" w:hAnsi="宋体" w:cs="宋体"/>
                <w:szCs w:val="21"/>
              </w:rPr>
              <w:t>新增人员招录制度的合理性、完整性；（0-2分）</w:t>
            </w:r>
          </w:p>
          <w:p>
            <w:pPr>
              <w:spacing w:line="360" w:lineRule="auto"/>
              <w:ind w:firstLine="31" w:firstLineChars="15"/>
              <w:rPr>
                <w:rFonts w:ascii="宋体" w:hAnsi="宋体" w:cs="宋体"/>
                <w:szCs w:val="21"/>
              </w:rPr>
            </w:pPr>
            <w:r>
              <w:rPr>
                <w:rFonts w:hint="eastAsia" w:ascii="宋体" w:hAnsi="宋体" w:cs="宋体"/>
                <w:szCs w:val="21"/>
              </w:rPr>
              <w:t>稳定员工队伍制度的合理性、完整性；（0-1分）</w:t>
            </w:r>
          </w:p>
          <w:p>
            <w:pPr>
              <w:spacing w:line="360" w:lineRule="auto"/>
              <w:ind w:firstLine="31" w:firstLineChars="15"/>
              <w:rPr>
                <w:rFonts w:ascii="宋体" w:hAnsi="宋体" w:cs="宋体"/>
                <w:szCs w:val="21"/>
              </w:rPr>
            </w:pPr>
            <w:r>
              <w:rPr>
                <w:rFonts w:hint="eastAsia" w:ascii="宋体" w:hAnsi="宋体" w:cs="宋体"/>
                <w:szCs w:val="21"/>
              </w:rPr>
              <w:t>工作纪律管理制度的合理性、完整性；（0-4分）</w:t>
            </w:r>
          </w:p>
          <w:p>
            <w:pPr>
              <w:spacing w:line="360" w:lineRule="auto"/>
              <w:ind w:firstLine="31" w:firstLineChars="15"/>
              <w:rPr>
                <w:rFonts w:ascii="宋体" w:hAnsi="宋体" w:cs="宋体"/>
                <w:szCs w:val="21"/>
              </w:rPr>
            </w:pPr>
            <w:r>
              <w:rPr>
                <w:rFonts w:hint="eastAsia" w:ascii="宋体" w:hAnsi="宋体" w:cs="宋体"/>
                <w:szCs w:val="21"/>
              </w:rPr>
              <w:t>安全管理制度的合理性、完整性；（0-4分）</w:t>
            </w:r>
          </w:p>
          <w:p>
            <w:pPr>
              <w:spacing w:line="360" w:lineRule="auto"/>
              <w:ind w:firstLine="31" w:firstLineChars="15"/>
              <w:rPr>
                <w:rFonts w:ascii="宋体" w:hAnsi="宋体" w:cs="宋体"/>
                <w:szCs w:val="21"/>
              </w:rPr>
            </w:pPr>
            <w:r>
              <w:rPr>
                <w:rFonts w:hint="eastAsia" w:ascii="宋体" w:hAnsi="宋体" w:cs="宋体"/>
                <w:szCs w:val="21"/>
              </w:rPr>
              <w:t>业务操作流程制度的合理性、完整性。（0-3分）</w:t>
            </w:r>
          </w:p>
        </w:tc>
        <w:tc>
          <w:tcPr>
            <w:tcW w:w="1099" w:type="dxa"/>
          </w:tcPr>
          <w:p>
            <w:pPr>
              <w:spacing w:line="360" w:lineRule="auto"/>
              <w:ind w:firstLine="420"/>
              <w:rPr>
                <w:rFonts w:ascii="宋体" w:hAnsi="宋体" w:cs="宋体"/>
                <w:szCs w:val="21"/>
              </w:rPr>
            </w:pPr>
            <w:r>
              <w:rPr>
                <w:rFonts w:hint="eastAsia" w:ascii="宋体" w:hAnsi="宋体" w:cs="宋体"/>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rPr>
                <w:rFonts w:ascii="宋体" w:hAnsi="宋体" w:cs="宋体"/>
                <w:szCs w:val="21"/>
              </w:rPr>
            </w:pPr>
            <w:r>
              <w:rPr>
                <w:rFonts w:hint="eastAsia" w:ascii="宋体" w:hAnsi="宋体" w:cs="宋体"/>
                <w:szCs w:val="21"/>
              </w:rPr>
              <w:t>4</w:t>
            </w:r>
          </w:p>
        </w:tc>
        <w:tc>
          <w:tcPr>
            <w:tcW w:w="7547" w:type="dxa"/>
          </w:tcPr>
          <w:p>
            <w:pPr>
              <w:spacing w:line="360" w:lineRule="auto"/>
              <w:ind w:firstLine="31" w:firstLineChars="15"/>
              <w:rPr>
                <w:rFonts w:ascii="宋体" w:hAnsi="宋体" w:cs="宋体"/>
                <w:szCs w:val="21"/>
              </w:rPr>
            </w:pPr>
            <w:r>
              <w:rPr>
                <w:rFonts w:hint="eastAsia" w:ascii="宋体" w:hAnsi="宋体" w:cs="宋体"/>
                <w:kern w:val="0"/>
                <w:szCs w:val="21"/>
                <w:lang w:val="zh-CN"/>
              </w:rPr>
              <w:t>保证本项目实施的各种工作措施，如质量保证措施、安全措施、文明措施、经济措施、管理措施，每项各0-</w:t>
            </w:r>
            <w:r>
              <w:rPr>
                <w:rFonts w:hint="eastAsia" w:ascii="宋体" w:hAnsi="宋体" w:cs="宋体"/>
                <w:kern w:val="0"/>
                <w:szCs w:val="21"/>
              </w:rPr>
              <w:t>2</w:t>
            </w:r>
            <w:r>
              <w:rPr>
                <w:rFonts w:hint="eastAsia" w:ascii="宋体" w:hAnsi="宋体" w:cs="宋体"/>
                <w:kern w:val="0"/>
                <w:szCs w:val="21"/>
                <w:lang w:val="zh-CN"/>
              </w:rPr>
              <w:t>分；根据措施的完整性、合理性、科学性、可行性等综合评分，</w:t>
            </w:r>
            <w:r>
              <w:rPr>
                <w:rFonts w:hint="eastAsia" w:ascii="宋体" w:hAnsi="宋体" w:cs="宋体"/>
                <w:kern w:val="0"/>
                <w:szCs w:val="21"/>
              </w:rPr>
              <w:t>最高得10</w:t>
            </w:r>
            <w:r>
              <w:rPr>
                <w:rFonts w:hint="eastAsia" w:ascii="宋体" w:hAnsi="宋体" w:cs="宋体"/>
                <w:kern w:val="0"/>
                <w:szCs w:val="21"/>
                <w:lang w:val="zh-CN"/>
              </w:rPr>
              <w:t>分。</w:t>
            </w:r>
          </w:p>
        </w:tc>
        <w:tc>
          <w:tcPr>
            <w:tcW w:w="1099" w:type="dxa"/>
          </w:tcPr>
          <w:p>
            <w:pPr>
              <w:spacing w:line="360" w:lineRule="auto"/>
              <w:ind w:firstLine="420"/>
              <w:rPr>
                <w:rFonts w:ascii="宋体" w:hAnsi="宋体" w:cs="宋体"/>
                <w:szCs w:val="21"/>
              </w:rPr>
            </w:pPr>
            <w:r>
              <w:rPr>
                <w:rFonts w:hint="eastAsia" w:ascii="宋体" w:hAnsi="宋体" w:cs="宋体"/>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852" w:type="dxa"/>
            <w:tcBorders>
              <w:bottom w:val="single" w:color="auto" w:sz="4" w:space="0"/>
            </w:tcBorders>
          </w:tcPr>
          <w:p>
            <w:pPr>
              <w:spacing w:line="360" w:lineRule="auto"/>
              <w:ind w:firstLine="33" w:firstLineChars="16"/>
              <w:rPr>
                <w:rFonts w:ascii="宋体" w:hAnsi="宋体" w:cs="宋体"/>
                <w:szCs w:val="21"/>
              </w:rPr>
            </w:pPr>
            <w:r>
              <w:rPr>
                <w:rFonts w:hint="eastAsia" w:ascii="宋体" w:hAnsi="宋体" w:cs="宋体"/>
                <w:szCs w:val="21"/>
              </w:rPr>
              <w:t>5</w:t>
            </w:r>
          </w:p>
        </w:tc>
        <w:tc>
          <w:tcPr>
            <w:tcW w:w="7547" w:type="dxa"/>
            <w:tcBorders>
              <w:bottom w:val="single" w:color="auto" w:sz="4" w:space="0"/>
            </w:tcBorders>
          </w:tcPr>
          <w:p>
            <w:pPr>
              <w:spacing w:line="360" w:lineRule="auto"/>
              <w:rPr>
                <w:rFonts w:ascii="宋体" w:hAnsi="宋体" w:cs="宋体"/>
                <w:szCs w:val="21"/>
              </w:rPr>
            </w:pPr>
            <w:r>
              <w:rPr>
                <w:rFonts w:hint="eastAsia" w:ascii="宋体" w:hAnsi="宋体" w:cs="宋体"/>
                <w:kern w:val="0"/>
                <w:szCs w:val="21"/>
                <w:lang w:val="zh-CN"/>
              </w:rPr>
              <w:t>针对本项目管理人员的机构设置、项目实施人员配备情况（机构设置</w:t>
            </w:r>
            <w:r>
              <w:rPr>
                <w:rFonts w:hint="eastAsia" w:ascii="宋体" w:hAnsi="宋体" w:cs="宋体"/>
                <w:kern w:val="0"/>
                <w:szCs w:val="21"/>
              </w:rPr>
              <w:t>科学性</w:t>
            </w:r>
            <w:r>
              <w:rPr>
                <w:rFonts w:hint="eastAsia" w:ascii="宋体" w:hAnsi="宋体" w:cs="宋体"/>
                <w:kern w:val="0"/>
                <w:szCs w:val="21"/>
                <w:lang w:val="zh-CN"/>
              </w:rPr>
              <w:t>、人员配备是合理、人员素质等）综合评分（0—</w:t>
            </w:r>
            <w:r>
              <w:rPr>
                <w:rFonts w:hint="eastAsia" w:ascii="宋体" w:hAnsi="宋体" w:cs="宋体"/>
                <w:kern w:val="0"/>
                <w:szCs w:val="21"/>
              </w:rPr>
              <w:t>9</w:t>
            </w:r>
            <w:r>
              <w:rPr>
                <w:rFonts w:hint="eastAsia" w:ascii="宋体" w:hAnsi="宋体" w:cs="宋体"/>
                <w:kern w:val="0"/>
                <w:szCs w:val="21"/>
                <w:lang w:val="zh-CN"/>
              </w:rPr>
              <w:t>分）</w:t>
            </w:r>
          </w:p>
        </w:tc>
        <w:tc>
          <w:tcPr>
            <w:tcW w:w="1099" w:type="dxa"/>
            <w:tcBorders>
              <w:bottom w:val="single" w:color="auto" w:sz="4" w:space="0"/>
            </w:tcBorders>
          </w:tcPr>
          <w:p>
            <w:pPr>
              <w:spacing w:line="360" w:lineRule="auto"/>
              <w:ind w:firstLine="420"/>
              <w:rPr>
                <w:rFonts w:ascii="宋体" w:hAnsi="宋体" w:cs="宋体"/>
                <w:szCs w:val="21"/>
              </w:rPr>
            </w:pPr>
            <w:r>
              <w:rPr>
                <w:rFonts w:hint="eastAsia" w:ascii="宋体" w:hAnsi="宋体" w:cs="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6</w:t>
            </w:r>
          </w:p>
        </w:tc>
        <w:tc>
          <w:tcPr>
            <w:tcW w:w="7547" w:type="dxa"/>
          </w:tcPr>
          <w:p>
            <w:pPr>
              <w:spacing w:line="360" w:lineRule="auto"/>
              <w:ind w:firstLine="31" w:firstLineChars="15"/>
              <w:rPr>
                <w:rFonts w:ascii="宋体" w:hAnsi="宋体" w:cs="宋体"/>
                <w:bCs/>
                <w:szCs w:val="21"/>
              </w:rPr>
            </w:pPr>
            <w:r>
              <w:rPr>
                <w:rFonts w:hint="eastAsia" w:ascii="宋体" w:hAnsi="宋体" w:cs="宋体"/>
                <w:bCs/>
                <w:szCs w:val="21"/>
              </w:rPr>
              <w:t>投标单位针对本项目投入的机械、车辆、设备，并承诺中标后签订合同前所有机械、车辆、设备到位，根据其配备的合理性、设备的先进性，比较得分；（0—6分）</w:t>
            </w:r>
          </w:p>
        </w:tc>
        <w:tc>
          <w:tcPr>
            <w:tcW w:w="1099" w:type="dxa"/>
          </w:tcPr>
          <w:p>
            <w:pPr>
              <w:spacing w:line="360" w:lineRule="auto"/>
              <w:ind w:firstLine="420"/>
              <w:rPr>
                <w:rFonts w:ascii="宋体" w:hAnsi="宋体" w:cs="宋体"/>
                <w:szCs w:val="21"/>
              </w:rPr>
            </w:pPr>
            <w:r>
              <w:rPr>
                <w:rFonts w:hint="eastAsia" w:ascii="宋体" w:hAnsi="宋体" w:cs="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7</w:t>
            </w:r>
          </w:p>
        </w:tc>
        <w:tc>
          <w:tcPr>
            <w:tcW w:w="7547" w:type="dxa"/>
          </w:tcPr>
          <w:p>
            <w:pPr>
              <w:spacing w:line="360" w:lineRule="auto"/>
              <w:ind w:firstLine="31" w:firstLineChars="15"/>
              <w:rPr>
                <w:rFonts w:ascii="宋体" w:hAnsi="宋体" w:cs="宋体"/>
                <w:szCs w:val="21"/>
              </w:rPr>
            </w:pPr>
            <w:r>
              <w:rPr>
                <w:rFonts w:hint="eastAsia" w:ascii="宋体" w:hAnsi="宋体" w:cs="宋体"/>
                <w:bCs/>
                <w:szCs w:val="21"/>
              </w:rPr>
              <w:t>各级人员的业务培训措施、平均工资水平及社保缴纳情况或合作医疗保险、以及其它各类商业保险情况，根据其保障的完整性，比较得分；（0—5分）</w:t>
            </w:r>
          </w:p>
        </w:tc>
        <w:tc>
          <w:tcPr>
            <w:tcW w:w="1099" w:type="dxa"/>
          </w:tcPr>
          <w:p>
            <w:pPr>
              <w:spacing w:line="360" w:lineRule="auto"/>
              <w:ind w:firstLine="420"/>
              <w:rPr>
                <w:rFonts w:ascii="宋体" w:hAnsi="宋体" w:cs="宋体"/>
                <w:szCs w:val="21"/>
              </w:rPr>
            </w:pPr>
            <w:r>
              <w:rPr>
                <w:rFonts w:hint="eastAsia" w:ascii="宋体" w:hAnsi="宋体" w:cs="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8</w:t>
            </w:r>
          </w:p>
        </w:tc>
        <w:tc>
          <w:tcPr>
            <w:tcW w:w="7547" w:type="dxa"/>
          </w:tcPr>
          <w:p>
            <w:pPr>
              <w:spacing w:line="360" w:lineRule="auto"/>
              <w:ind w:firstLine="31" w:firstLineChars="15"/>
              <w:rPr>
                <w:rFonts w:ascii="宋体" w:hAnsi="宋体" w:cs="宋体"/>
                <w:szCs w:val="21"/>
              </w:rPr>
            </w:pPr>
            <w:r>
              <w:rPr>
                <w:rFonts w:hint="eastAsia" w:ascii="宋体" w:hAnsi="宋体" w:cs="宋体"/>
                <w:szCs w:val="21"/>
              </w:rPr>
              <w:t>应针对本项目编制应急处理方案，根据方案的完整性、全面性、可行性等综合评分；（0-5分）</w:t>
            </w:r>
          </w:p>
        </w:tc>
        <w:tc>
          <w:tcPr>
            <w:tcW w:w="1099" w:type="dxa"/>
          </w:tcPr>
          <w:p>
            <w:pPr>
              <w:spacing w:line="360" w:lineRule="auto"/>
              <w:ind w:firstLine="420"/>
              <w:rPr>
                <w:rFonts w:ascii="宋体" w:hAnsi="宋体" w:cs="宋体"/>
                <w:szCs w:val="21"/>
              </w:rPr>
            </w:pPr>
            <w:r>
              <w:rPr>
                <w:rFonts w:hint="eastAsia" w:ascii="宋体" w:hAnsi="宋体" w:cs="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9</w:t>
            </w:r>
          </w:p>
        </w:tc>
        <w:tc>
          <w:tcPr>
            <w:tcW w:w="7547" w:type="dxa"/>
          </w:tcPr>
          <w:p>
            <w:pPr>
              <w:spacing w:line="360" w:lineRule="auto"/>
              <w:ind w:firstLine="31" w:firstLineChars="15"/>
              <w:rPr>
                <w:rFonts w:ascii="宋体" w:hAnsi="宋体" w:cs="宋体"/>
                <w:bCs/>
                <w:szCs w:val="21"/>
              </w:rPr>
            </w:pPr>
            <w:r>
              <w:rPr>
                <w:rFonts w:hint="eastAsia" w:ascii="宋体" w:hAnsi="宋体" w:cs="宋体"/>
                <w:szCs w:val="21"/>
              </w:rPr>
              <w:t>根据对本项目建设需求深入了解，针对项目推进和实施中可能会出现的问题和存在的困难，并结合自身专业、经验等实际情况，提出合理化建议以及解决对策。</w:t>
            </w:r>
            <w:r>
              <w:rPr>
                <w:rFonts w:hint="eastAsia" w:ascii="宋体" w:hAnsi="宋体" w:cs="宋体"/>
                <w:bCs/>
                <w:szCs w:val="21"/>
              </w:rPr>
              <w:t>（0-4分）</w:t>
            </w:r>
          </w:p>
        </w:tc>
        <w:tc>
          <w:tcPr>
            <w:tcW w:w="1099" w:type="dxa"/>
          </w:tcPr>
          <w:p>
            <w:pPr>
              <w:spacing w:line="360" w:lineRule="auto"/>
              <w:ind w:firstLine="420"/>
              <w:rPr>
                <w:rFonts w:ascii="宋体" w:hAnsi="宋体" w:cs="宋体"/>
                <w:szCs w:val="21"/>
              </w:rPr>
            </w:pPr>
            <w:r>
              <w:rPr>
                <w:rFonts w:hint="eastAsia" w:ascii="宋体" w:hAnsi="宋体" w:cs="宋体"/>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10</w:t>
            </w:r>
          </w:p>
        </w:tc>
        <w:tc>
          <w:tcPr>
            <w:tcW w:w="7547" w:type="dxa"/>
          </w:tcPr>
          <w:p>
            <w:pPr>
              <w:spacing w:line="360" w:lineRule="auto"/>
              <w:ind w:firstLine="31" w:firstLineChars="15"/>
              <w:rPr>
                <w:rFonts w:ascii="宋体" w:hAnsi="宋体" w:cs="宋体"/>
                <w:szCs w:val="21"/>
              </w:rPr>
            </w:pPr>
            <w:r>
              <w:rPr>
                <w:rFonts w:hint="eastAsia" w:ascii="宋体" w:hAnsi="宋体" w:cs="宋体"/>
                <w:szCs w:val="21"/>
              </w:rPr>
              <w:t>针对本项目的合理化建议及改进措施，根据科学性、合理性、可行性等综合评分</w:t>
            </w:r>
            <w:r>
              <w:rPr>
                <w:rFonts w:hint="eastAsia" w:ascii="宋体" w:hAnsi="宋体" w:cs="宋体"/>
                <w:bCs/>
                <w:szCs w:val="21"/>
              </w:rPr>
              <w:t>（0-4分）</w:t>
            </w:r>
          </w:p>
        </w:tc>
        <w:tc>
          <w:tcPr>
            <w:tcW w:w="1099" w:type="dxa"/>
          </w:tcPr>
          <w:p>
            <w:pPr>
              <w:spacing w:line="360" w:lineRule="auto"/>
              <w:ind w:firstLine="420"/>
              <w:rPr>
                <w:rFonts w:ascii="宋体" w:hAnsi="宋体" w:cs="宋体"/>
                <w:szCs w:val="21"/>
              </w:rPr>
            </w:pPr>
            <w:r>
              <w:rPr>
                <w:rFonts w:hint="eastAsia" w:ascii="宋体" w:hAnsi="宋体" w:cs="宋体"/>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line="360" w:lineRule="auto"/>
              <w:ind w:firstLine="33" w:firstLineChars="16"/>
              <w:rPr>
                <w:rFonts w:ascii="宋体" w:hAnsi="宋体" w:cs="宋体"/>
                <w:szCs w:val="21"/>
              </w:rPr>
            </w:pPr>
            <w:r>
              <w:rPr>
                <w:rFonts w:hint="eastAsia" w:ascii="宋体" w:hAnsi="宋体" w:cs="宋体"/>
                <w:szCs w:val="21"/>
              </w:rPr>
              <w:t>11</w:t>
            </w:r>
          </w:p>
        </w:tc>
        <w:tc>
          <w:tcPr>
            <w:tcW w:w="7547" w:type="dxa"/>
          </w:tcPr>
          <w:p>
            <w:pPr>
              <w:spacing w:line="360" w:lineRule="auto"/>
              <w:ind w:firstLine="31" w:firstLineChars="15"/>
              <w:rPr>
                <w:rFonts w:ascii="宋体" w:hAnsi="宋体" w:cs="宋体"/>
                <w:bCs/>
                <w:szCs w:val="21"/>
              </w:rPr>
            </w:pPr>
            <w:r>
              <w:rPr>
                <w:rFonts w:hint="eastAsia" w:ascii="宋体" w:hAnsi="宋体" w:cs="宋体"/>
                <w:szCs w:val="21"/>
              </w:rPr>
              <w:t>根据投标单位是否有完善的监督自查体系，以及体系的完整性、科学性、可操作性，综合打分</w:t>
            </w:r>
            <w:r>
              <w:rPr>
                <w:rFonts w:hint="eastAsia" w:ascii="宋体" w:hAnsi="宋体" w:cs="宋体"/>
                <w:bCs/>
                <w:szCs w:val="21"/>
              </w:rPr>
              <w:t>（0-4分）</w:t>
            </w:r>
          </w:p>
        </w:tc>
        <w:tc>
          <w:tcPr>
            <w:tcW w:w="1099" w:type="dxa"/>
          </w:tcPr>
          <w:p>
            <w:pPr>
              <w:spacing w:line="360" w:lineRule="auto"/>
              <w:ind w:firstLine="420"/>
              <w:rPr>
                <w:rFonts w:ascii="宋体" w:hAnsi="宋体" w:cs="宋体"/>
                <w:szCs w:val="21"/>
              </w:rPr>
            </w:pPr>
            <w:r>
              <w:rPr>
                <w:rFonts w:hint="eastAsia" w:ascii="宋体" w:hAnsi="宋体" w:cs="宋体"/>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99" w:type="dxa"/>
            <w:gridSpan w:val="2"/>
          </w:tcPr>
          <w:p>
            <w:pPr>
              <w:spacing w:line="360" w:lineRule="auto"/>
              <w:ind w:firstLine="420"/>
              <w:rPr>
                <w:rFonts w:ascii="宋体" w:hAnsi="宋体" w:cs="宋体"/>
                <w:bCs/>
                <w:szCs w:val="21"/>
              </w:rPr>
            </w:pPr>
            <w:r>
              <w:rPr>
                <w:rFonts w:hint="eastAsia" w:ascii="宋体" w:hAnsi="宋体" w:cs="宋体"/>
                <w:szCs w:val="21"/>
              </w:rPr>
              <w:t>小计</w:t>
            </w:r>
          </w:p>
        </w:tc>
        <w:tc>
          <w:tcPr>
            <w:tcW w:w="1099" w:type="dxa"/>
          </w:tcPr>
          <w:p>
            <w:pPr>
              <w:spacing w:line="360" w:lineRule="auto"/>
              <w:ind w:firstLine="42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=SUM(ABOVE) </w:instrText>
            </w:r>
            <w:r>
              <w:rPr>
                <w:rFonts w:hint="eastAsia" w:ascii="宋体" w:hAnsi="宋体" w:cs="宋体"/>
                <w:szCs w:val="21"/>
              </w:rPr>
              <w:fldChar w:fldCharType="separate"/>
            </w:r>
            <w:r>
              <w:rPr>
                <w:rFonts w:hint="eastAsia" w:ascii="宋体" w:hAnsi="宋体" w:cs="宋体"/>
                <w:szCs w:val="21"/>
              </w:rPr>
              <w:t>82</w:t>
            </w:r>
            <w:r>
              <w:rPr>
                <w:rFonts w:hint="eastAsia" w:ascii="宋体" w:hAnsi="宋体" w:cs="宋体"/>
                <w:szCs w:val="21"/>
              </w:rPr>
              <w:fldChar w:fldCharType="end"/>
            </w:r>
          </w:p>
        </w:tc>
      </w:tr>
    </w:tbl>
    <w:p>
      <w:pPr>
        <w:pStyle w:val="15"/>
        <w:spacing w:after="0" w:line="360" w:lineRule="auto"/>
        <w:ind w:firstLine="420" w:firstLineChars="200"/>
        <w:jc w:val="left"/>
        <w:rPr>
          <w:rFonts w:ascii="宋体" w:hAnsi="宋体" w:cs="宋体"/>
          <w:szCs w:val="21"/>
        </w:rPr>
      </w:pPr>
    </w:p>
    <w:p>
      <w:pPr>
        <w:spacing w:line="360" w:lineRule="auto"/>
        <w:jc w:val="left"/>
        <w:rPr>
          <w:rFonts w:ascii="宋体" w:hAnsi="宋体" w:cs="宋体"/>
          <w:b/>
          <w:bCs/>
          <w:szCs w:val="21"/>
        </w:rPr>
      </w:pPr>
      <w:r>
        <w:rPr>
          <w:rFonts w:hint="eastAsia" w:ascii="宋体" w:hAnsi="宋体" w:cs="宋体"/>
          <w:b/>
          <w:bCs/>
          <w:szCs w:val="21"/>
        </w:rPr>
        <w:t xml:space="preserve">（三）资信商务及其他分 </w:t>
      </w:r>
    </w:p>
    <w:tbl>
      <w:tblPr>
        <w:tblStyle w:val="3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36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19"/>
              <w:wordWrap w:val="0"/>
              <w:spacing w:line="360" w:lineRule="auto"/>
              <w:rPr>
                <w:rFonts w:hAnsi="宋体" w:cs="宋体"/>
                <w:szCs w:val="21"/>
              </w:rPr>
            </w:pPr>
            <w:bookmarkStart w:id="284" w:name="_Toc493511826"/>
            <w:bookmarkStart w:id="285" w:name="_Toc417992896"/>
            <w:bookmarkStart w:id="286" w:name="_Toc416422800"/>
            <w:r>
              <w:rPr>
                <w:rFonts w:hint="eastAsia" w:hAnsi="宋体" w:cs="宋体"/>
                <w:szCs w:val="21"/>
              </w:rPr>
              <w:t>序号</w:t>
            </w:r>
          </w:p>
        </w:tc>
        <w:tc>
          <w:tcPr>
            <w:tcW w:w="7360" w:type="dxa"/>
            <w:vAlign w:val="center"/>
          </w:tcPr>
          <w:p>
            <w:pPr>
              <w:pStyle w:val="19"/>
              <w:wordWrap w:val="0"/>
              <w:spacing w:line="360" w:lineRule="auto"/>
              <w:ind w:firstLine="400"/>
              <w:rPr>
                <w:rFonts w:hAnsi="宋体" w:cs="宋体"/>
                <w:szCs w:val="21"/>
              </w:rPr>
            </w:pPr>
            <w:r>
              <w:rPr>
                <w:rFonts w:hint="eastAsia" w:hAnsi="宋体" w:cs="宋体"/>
                <w:szCs w:val="21"/>
              </w:rPr>
              <w:t>评分标准</w:t>
            </w:r>
          </w:p>
        </w:tc>
        <w:tc>
          <w:tcPr>
            <w:tcW w:w="1179" w:type="dxa"/>
            <w:vAlign w:val="center"/>
          </w:tcPr>
          <w:p>
            <w:pPr>
              <w:pStyle w:val="19"/>
              <w:wordWrap w:val="0"/>
              <w:spacing w:line="360" w:lineRule="auto"/>
              <w:ind w:right="-38" w:rightChars="-18"/>
              <w:rPr>
                <w:rFonts w:hAnsi="宋体" w:cs="宋体"/>
                <w:szCs w:val="21"/>
              </w:rPr>
            </w:pPr>
            <w:r>
              <w:rPr>
                <w:rFonts w:hint="eastAsia" w:hAnsi="宋体" w:cs="宋体"/>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19"/>
              <w:wordWrap w:val="0"/>
              <w:spacing w:line="360" w:lineRule="auto"/>
              <w:rPr>
                <w:rFonts w:hAnsi="宋体" w:cs="宋体"/>
                <w:szCs w:val="21"/>
              </w:rPr>
            </w:pPr>
            <w:r>
              <w:rPr>
                <w:rFonts w:hint="eastAsia" w:hAnsi="宋体" w:cs="宋体"/>
                <w:szCs w:val="21"/>
              </w:rPr>
              <w:t>1</w:t>
            </w:r>
          </w:p>
        </w:tc>
        <w:tc>
          <w:tcPr>
            <w:tcW w:w="7360" w:type="dxa"/>
          </w:tcPr>
          <w:p>
            <w:pPr>
              <w:spacing w:line="360" w:lineRule="auto"/>
              <w:ind w:right="-109" w:rightChars="-52"/>
              <w:rPr>
                <w:rFonts w:ascii="宋体" w:hAnsi="宋体" w:cs="宋体"/>
                <w:bCs/>
                <w:szCs w:val="21"/>
              </w:rPr>
            </w:pPr>
            <w:r>
              <w:rPr>
                <w:rFonts w:hint="eastAsia" w:ascii="宋体" w:hAnsi="宋体" w:cs="宋体"/>
                <w:szCs w:val="21"/>
              </w:rPr>
              <w:t>投标人通过质量管理体系、环境认证体系、职业健康安全管理体系,凭有效期内的相关证书复印件每项得0.5分，最高1.5分；</w:t>
            </w:r>
          </w:p>
        </w:tc>
        <w:tc>
          <w:tcPr>
            <w:tcW w:w="1179" w:type="dxa"/>
            <w:vAlign w:val="center"/>
          </w:tcPr>
          <w:p>
            <w:pPr>
              <w:pStyle w:val="19"/>
              <w:wordWrap w:val="0"/>
              <w:spacing w:line="360" w:lineRule="auto"/>
              <w:jc w:val="center"/>
              <w:rPr>
                <w:rFonts w:hAnsi="宋体" w:cs="宋体"/>
                <w:szCs w:val="21"/>
              </w:rPr>
            </w:pPr>
            <w:r>
              <w:rPr>
                <w:rFonts w:hint="eastAsia"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19"/>
              <w:wordWrap w:val="0"/>
              <w:spacing w:line="360" w:lineRule="auto"/>
              <w:rPr>
                <w:rFonts w:hAnsi="宋体" w:cs="宋体"/>
                <w:szCs w:val="21"/>
              </w:rPr>
            </w:pPr>
            <w:r>
              <w:rPr>
                <w:rFonts w:hint="eastAsia" w:hAnsi="宋体" w:cs="宋体"/>
                <w:szCs w:val="21"/>
              </w:rPr>
              <w:t>2</w:t>
            </w:r>
          </w:p>
        </w:tc>
        <w:tc>
          <w:tcPr>
            <w:tcW w:w="7360" w:type="dxa"/>
          </w:tcPr>
          <w:p>
            <w:pPr>
              <w:spacing w:line="360" w:lineRule="auto"/>
              <w:ind w:firstLine="109" w:firstLineChars="52"/>
              <w:rPr>
                <w:rFonts w:ascii="宋体" w:hAnsi="宋体" w:cs="宋体"/>
                <w:szCs w:val="21"/>
              </w:rPr>
            </w:pPr>
            <w:r>
              <w:rPr>
                <w:rFonts w:hint="eastAsia" w:ascii="宋体" w:hAnsi="宋体" w:cs="宋体"/>
                <w:bCs/>
                <w:szCs w:val="21"/>
              </w:rPr>
              <w:t>成功案例及业绩（0-1.5）</w:t>
            </w:r>
            <w:r>
              <w:rPr>
                <w:rFonts w:hint="eastAsia" w:ascii="宋体" w:hAnsi="宋体" w:cs="宋体"/>
                <w:szCs w:val="21"/>
              </w:rPr>
              <w:t>投标人近三年</w:t>
            </w:r>
            <w:r>
              <w:rPr>
                <w:rFonts w:hint="eastAsia"/>
              </w:rPr>
              <w:t>（自投标截止日起往前追溯3年，以合同签订时间为准）</w:t>
            </w:r>
            <w:r>
              <w:rPr>
                <w:rFonts w:hint="eastAsia" w:ascii="宋体" w:hAnsi="宋体" w:cs="宋体"/>
                <w:szCs w:val="21"/>
              </w:rPr>
              <w:t>内成功实施的同类项目的业绩或案例，单个合同每个得0.5分，本项最高得1.5分（提供项目合同复印件及用户意见评价书，无合同、用户意见评价书或评价不合格的，不得分）。</w:t>
            </w:r>
          </w:p>
        </w:tc>
        <w:tc>
          <w:tcPr>
            <w:tcW w:w="1179" w:type="dxa"/>
            <w:vAlign w:val="center"/>
          </w:tcPr>
          <w:p>
            <w:pPr>
              <w:pStyle w:val="19"/>
              <w:wordWrap w:val="0"/>
              <w:spacing w:line="360" w:lineRule="auto"/>
              <w:jc w:val="center"/>
              <w:rPr>
                <w:rFonts w:hAnsi="宋体" w:cs="宋体"/>
                <w:szCs w:val="21"/>
              </w:rPr>
            </w:pPr>
            <w:r>
              <w:rPr>
                <w:rFonts w:hint="eastAsia"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9" w:type="dxa"/>
            <w:gridSpan w:val="2"/>
            <w:vAlign w:val="center"/>
          </w:tcPr>
          <w:p>
            <w:pPr>
              <w:pStyle w:val="19"/>
              <w:wordWrap w:val="0"/>
              <w:spacing w:line="360" w:lineRule="auto"/>
              <w:ind w:firstLine="400"/>
              <w:rPr>
                <w:rFonts w:hAnsi="宋体" w:cs="宋体"/>
                <w:szCs w:val="21"/>
              </w:rPr>
            </w:pPr>
            <w:r>
              <w:rPr>
                <w:rFonts w:hint="eastAsia" w:hAnsi="宋体" w:cs="宋体"/>
                <w:szCs w:val="21"/>
              </w:rPr>
              <w:t>小计</w:t>
            </w:r>
          </w:p>
        </w:tc>
        <w:tc>
          <w:tcPr>
            <w:tcW w:w="1179" w:type="dxa"/>
            <w:vAlign w:val="center"/>
          </w:tcPr>
          <w:p>
            <w:pPr>
              <w:pStyle w:val="19"/>
              <w:spacing w:line="360" w:lineRule="auto"/>
              <w:ind w:firstLine="27" w:firstLineChars="13"/>
              <w:jc w:val="center"/>
              <w:rPr>
                <w:rFonts w:hAnsi="宋体" w:cs="宋体"/>
                <w:szCs w:val="21"/>
              </w:rPr>
            </w:pPr>
            <w:r>
              <w:rPr>
                <w:rFonts w:hint="eastAsia" w:hAnsi="宋体" w:cs="宋体"/>
                <w:szCs w:val="21"/>
              </w:rPr>
              <w:t>3</w:t>
            </w:r>
          </w:p>
        </w:tc>
      </w:tr>
    </w:tbl>
    <w:p>
      <w:pPr>
        <w:spacing w:line="360" w:lineRule="auto"/>
        <w:jc w:val="left"/>
        <w:rPr>
          <w:rFonts w:ascii="宋体" w:hAnsi="宋体" w:cs="宋体"/>
          <w:b/>
          <w:bCs/>
          <w:szCs w:val="21"/>
        </w:rPr>
      </w:pPr>
    </w:p>
    <w:p>
      <w:pPr>
        <w:pStyle w:val="44"/>
        <w:outlineLvl w:val="0"/>
        <w:rPr>
          <w:rStyle w:val="41"/>
          <w:rFonts w:ascii="宋体" w:hAnsi="宋体" w:eastAsia="宋体" w:cs="宋体"/>
          <w:b/>
          <w:bCs w:val="0"/>
          <w:szCs w:val="21"/>
        </w:rPr>
      </w:pPr>
      <w:bookmarkStart w:id="287" w:name="_Toc21373"/>
      <w:bookmarkStart w:id="288" w:name="_Toc50012905"/>
      <w:r>
        <w:rPr>
          <w:rStyle w:val="41"/>
          <w:rFonts w:hint="eastAsia" w:ascii="宋体" w:hAnsi="宋体" w:eastAsia="宋体" w:cs="宋体"/>
          <w:b/>
          <w:bCs w:val="0"/>
          <w:szCs w:val="21"/>
        </w:rPr>
        <w:t>第五章  政府采购合同</w:t>
      </w:r>
      <w:bookmarkEnd w:id="284"/>
      <w:bookmarkEnd w:id="285"/>
      <w:bookmarkEnd w:id="286"/>
      <w:bookmarkEnd w:id="287"/>
      <w:bookmarkEnd w:id="288"/>
    </w:p>
    <w:p>
      <w:pPr>
        <w:pStyle w:val="26"/>
        <w:spacing w:before="0" w:after="0" w:line="360" w:lineRule="auto"/>
        <w:ind w:firstLine="422" w:firstLineChars="200"/>
        <w:outlineLvl w:val="0"/>
        <w:rPr>
          <w:rFonts w:ascii="宋体" w:hAnsi="宋体" w:cs="宋体"/>
          <w:sz w:val="21"/>
          <w:szCs w:val="21"/>
        </w:rPr>
      </w:pPr>
      <w:bookmarkStart w:id="289" w:name="_Toc416422801"/>
      <w:bookmarkStart w:id="290" w:name="_Toc417992897"/>
      <w:bookmarkStart w:id="291" w:name="_Toc427915780"/>
      <w:bookmarkStart w:id="292" w:name="_Toc9686"/>
      <w:bookmarkStart w:id="293" w:name="_Toc416422466"/>
      <w:bookmarkStart w:id="294" w:name="_Toc50012906"/>
      <w:bookmarkStart w:id="295" w:name="_Toc493511827"/>
      <w:r>
        <w:rPr>
          <w:rFonts w:hint="eastAsia" w:ascii="宋体" w:hAnsi="宋体" w:cs="宋体"/>
          <w:sz w:val="21"/>
          <w:szCs w:val="21"/>
        </w:rPr>
        <w:t>政府采购合同</w:t>
      </w:r>
      <w:bookmarkEnd w:id="289"/>
      <w:bookmarkEnd w:id="290"/>
      <w:bookmarkEnd w:id="291"/>
      <w:bookmarkEnd w:id="292"/>
      <w:bookmarkEnd w:id="293"/>
      <w:bookmarkEnd w:id="294"/>
      <w:bookmarkEnd w:id="295"/>
    </w:p>
    <w:p>
      <w:pPr>
        <w:spacing w:line="360" w:lineRule="auto"/>
        <w:ind w:firstLine="422" w:firstLineChars="200"/>
        <w:jc w:val="center"/>
        <w:rPr>
          <w:rFonts w:ascii="宋体" w:hAnsi="宋体" w:cs="宋体"/>
          <w:b/>
          <w:szCs w:val="21"/>
        </w:rPr>
      </w:pPr>
      <w:r>
        <w:rPr>
          <w:rFonts w:hint="eastAsia" w:ascii="宋体" w:hAnsi="宋体" w:cs="宋体"/>
          <w:b/>
          <w:szCs w:val="21"/>
        </w:rPr>
        <w:t>一、通用必备条款部份</w:t>
      </w:r>
    </w:p>
    <w:p>
      <w:pPr>
        <w:pStyle w:val="19"/>
        <w:snapToGrid w:val="0"/>
        <w:spacing w:line="360" w:lineRule="auto"/>
        <w:ind w:firstLine="422" w:firstLineChars="200"/>
        <w:jc w:val="left"/>
        <w:rPr>
          <w:rFonts w:hAnsi="宋体" w:cs="宋体"/>
          <w:bCs/>
          <w:szCs w:val="21"/>
        </w:rPr>
      </w:pPr>
      <w:r>
        <w:rPr>
          <w:rFonts w:hint="eastAsia" w:hAnsi="宋体" w:cs="宋体"/>
          <w:b/>
          <w:szCs w:val="21"/>
        </w:rPr>
        <w:t>合同编号：</w:t>
      </w:r>
    </w:p>
    <w:p>
      <w:pPr>
        <w:pStyle w:val="19"/>
        <w:snapToGrid w:val="0"/>
        <w:spacing w:line="360" w:lineRule="auto"/>
        <w:ind w:firstLine="422" w:firstLineChars="200"/>
        <w:jc w:val="left"/>
        <w:rPr>
          <w:rFonts w:hAnsi="宋体" w:cs="宋体"/>
          <w:bCs/>
          <w:szCs w:val="21"/>
        </w:rPr>
      </w:pPr>
      <w:r>
        <w:rPr>
          <w:rFonts w:hint="eastAsia" w:hAnsi="宋体" w:cs="宋体"/>
          <w:b/>
          <w:szCs w:val="21"/>
        </w:rPr>
        <w:t>政府采购计划（预算）确认号：</w:t>
      </w:r>
    </w:p>
    <w:p>
      <w:pPr>
        <w:pStyle w:val="19"/>
        <w:snapToGrid w:val="0"/>
        <w:spacing w:line="360" w:lineRule="auto"/>
        <w:ind w:firstLine="422" w:firstLineChars="200"/>
        <w:jc w:val="left"/>
        <w:rPr>
          <w:rFonts w:hAnsi="宋体" w:cs="宋体"/>
          <w:szCs w:val="21"/>
        </w:rPr>
      </w:pPr>
      <w:r>
        <w:rPr>
          <w:rFonts w:hint="eastAsia" w:hAnsi="宋体" w:cs="宋体"/>
          <w:b/>
          <w:szCs w:val="21"/>
        </w:rPr>
        <w:t>预算金额</w:t>
      </w:r>
      <w:r>
        <w:rPr>
          <w:rFonts w:hint="eastAsia" w:hAnsi="宋体" w:cs="宋体"/>
          <w:szCs w:val="21"/>
        </w:rPr>
        <w:t xml:space="preserve">： </w:t>
      </w:r>
    </w:p>
    <w:p>
      <w:pPr>
        <w:snapToGrid w:val="0"/>
        <w:spacing w:line="360" w:lineRule="auto"/>
        <w:ind w:firstLine="422" w:firstLineChars="200"/>
        <w:jc w:val="left"/>
        <w:rPr>
          <w:rFonts w:ascii="宋体" w:hAnsi="宋体" w:cs="宋体"/>
          <w:szCs w:val="21"/>
        </w:rPr>
      </w:pPr>
      <w:r>
        <w:rPr>
          <w:rFonts w:hint="eastAsia" w:ascii="宋体" w:hAnsi="宋体" w:cs="宋体"/>
          <w:b/>
          <w:szCs w:val="21"/>
        </w:rPr>
        <w:t>采购人（以下称甲方）：</w:t>
      </w:r>
    </w:p>
    <w:p>
      <w:pPr>
        <w:pStyle w:val="19"/>
        <w:snapToGrid w:val="0"/>
        <w:spacing w:line="360" w:lineRule="auto"/>
        <w:ind w:firstLine="422" w:firstLineChars="200"/>
        <w:jc w:val="left"/>
        <w:rPr>
          <w:rFonts w:hAnsi="宋体" w:cs="宋体"/>
          <w:b/>
          <w:szCs w:val="21"/>
        </w:rPr>
      </w:pPr>
      <w:r>
        <w:rPr>
          <w:rFonts w:hint="eastAsia" w:hAnsi="宋体" w:cs="宋体"/>
          <w:b/>
          <w:szCs w:val="21"/>
        </w:rPr>
        <w:t>供应商（以下称乙方）：</w:t>
      </w:r>
    </w:p>
    <w:p>
      <w:pPr>
        <w:pStyle w:val="19"/>
        <w:snapToGrid w:val="0"/>
        <w:spacing w:line="360" w:lineRule="auto"/>
        <w:ind w:firstLine="422" w:firstLineChars="200"/>
        <w:jc w:val="left"/>
        <w:rPr>
          <w:rFonts w:hAnsi="宋体" w:cs="宋体"/>
          <w:szCs w:val="21"/>
        </w:rPr>
      </w:pPr>
      <w:r>
        <w:rPr>
          <w:rFonts w:hint="eastAsia" w:hAnsi="宋体" w:cs="宋体"/>
          <w:b/>
          <w:szCs w:val="21"/>
        </w:rPr>
        <w:t>采购代理机构：</w:t>
      </w:r>
    </w:p>
    <w:p>
      <w:pPr>
        <w:pStyle w:val="19"/>
        <w:snapToGrid w:val="0"/>
        <w:spacing w:line="360" w:lineRule="auto"/>
        <w:ind w:firstLine="422" w:firstLineChars="200"/>
        <w:jc w:val="left"/>
        <w:rPr>
          <w:rFonts w:hAnsi="宋体" w:cs="宋体"/>
          <w:szCs w:val="21"/>
        </w:rPr>
      </w:pPr>
      <w:r>
        <w:rPr>
          <w:rFonts w:hint="eastAsia" w:hAnsi="宋体" w:cs="宋体"/>
          <w:b/>
          <w:szCs w:val="21"/>
        </w:rPr>
        <w:t>采购方式：</w:t>
      </w:r>
      <w:r>
        <w:rPr>
          <w:rFonts w:hint="eastAsia" w:hAnsi="宋体" w:cs="宋体"/>
          <w:szCs w:val="21"/>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根据《中华人民共和国政府采购法》、《中华人民共和国民法典》等法律法规的规定，甲、乙双方按照</w:t>
      </w:r>
      <w:r>
        <w:rPr>
          <w:rFonts w:hint="eastAsia" w:ascii="宋体" w:hAnsi="宋体" w:cs="宋体"/>
          <w:bCs/>
          <w:kern w:val="36"/>
          <w:szCs w:val="21"/>
        </w:rPr>
        <w:t>项目</w:t>
      </w:r>
      <w:r>
        <w:rPr>
          <w:rFonts w:hint="eastAsia" w:ascii="宋体" w:hAnsi="宋体" w:cs="宋体"/>
          <w:szCs w:val="21"/>
        </w:rPr>
        <w:t>采购结果签订本合同。</w:t>
      </w:r>
    </w:p>
    <w:p>
      <w:pPr>
        <w:shd w:val="clear" w:color="auto" w:fill="FFFFFF"/>
        <w:tabs>
          <w:tab w:val="left" w:pos="916"/>
          <w:tab w:val="left" w:pos="1832"/>
          <w:tab w:val="left" w:pos="2748"/>
        </w:tabs>
        <w:spacing w:line="360" w:lineRule="auto"/>
        <w:ind w:firstLine="422" w:firstLineChars="200"/>
        <w:jc w:val="left"/>
        <w:rPr>
          <w:rFonts w:ascii="宋体" w:hAnsi="宋体" w:cs="宋体"/>
          <w:b/>
          <w:szCs w:val="21"/>
        </w:rPr>
      </w:pPr>
      <w:r>
        <w:rPr>
          <w:rFonts w:hint="eastAsia" w:ascii="宋体" w:hAnsi="宋体" w:cs="宋体"/>
          <w:b/>
          <w:szCs w:val="21"/>
        </w:rPr>
        <w:t>第一条 合同组成</w:t>
      </w:r>
      <w:r>
        <w:rPr>
          <w:rFonts w:hint="eastAsia" w:ascii="宋体" w:hAnsi="宋体" w:cs="宋体"/>
          <w:b/>
          <w:szCs w:val="21"/>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组成本合同的所有文件必须为书面形式。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第二条 合同标的与相关属性</w:t>
      </w:r>
    </w:p>
    <w:p>
      <w:pPr>
        <w:snapToGrid w:val="0"/>
        <w:spacing w:line="360" w:lineRule="auto"/>
        <w:ind w:firstLine="420" w:firstLineChars="200"/>
        <w:jc w:val="left"/>
        <w:rPr>
          <w:rFonts w:ascii="宋体" w:hAnsi="宋体" w:cs="宋体"/>
          <w:szCs w:val="21"/>
        </w:rPr>
      </w:pPr>
      <w:r>
        <w:rPr>
          <w:rFonts w:hint="eastAsia" w:ascii="宋体" w:hAnsi="宋体" w:cs="宋体"/>
          <w:szCs w:val="21"/>
        </w:rPr>
        <w:t>1、本次采购的是</w:t>
      </w:r>
      <w:r>
        <w:rPr>
          <w:rFonts w:hint="eastAsia" w:ascii="宋体" w:hAnsi="宋体" w:cs="宋体"/>
          <w:bCs/>
          <w:kern w:val="36"/>
          <w:szCs w:val="21"/>
        </w:rPr>
        <w:t>项目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1、本合同项下总价款为（大写）              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3、本合同付款方式为以下第           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（1）本合同项下的采购资金系甲方自行支付，付款程序为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（2）本合同项下的采购资金须财政直接支付，付款程序为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4、本合同项下的采购资金付款进度按招投标文件规定，未规定时按以下第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（1）一次性付款：乙方合同履行达到         （条件）时，一次性付款；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（2）分期付款         时支付         ；         时支付         ；         时支付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按以下第         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1、本项目设置履约保证金，乙方应于         （时间）向甲方提交履约保证金         元（不得高于本合同金额的2.5%）。履约保证金在         （时间）退还乙方。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1、因履行本合同引起的或与本合同有关的争议，甲、乙双方应首先通过友好协商解决，如果协商不能解决争议，则采取以下第         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（2）向         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szCs w:val="21"/>
        </w:rPr>
      </w:pPr>
      <w:r>
        <w:rPr>
          <w:rFonts w:hint="eastAsia" w:ascii="宋体" w:hAnsi="宋体" w:cs="宋体"/>
          <w:szCs w:val="21"/>
        </w:rPr>
        <w:t>本合同一式五份，甲乙双方各执二份，一份送招标代理机构存档。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cs="宋体"/>
          <w:b/>
          <w:szCs w:val="21"/>
        </w:rPr>
      </w:pPr>
      <w:r>
        <w:rPr>
          <w:rFonts w:hint="eastAsia" w:ascii="宋体" w:hAnsi="宋体" w:cs="宋体"/>
          <w:b/>
          <w:szCs w:val="21"/>
        </w:rPr>
        <w:t>二、特殊专用条款部份</w:t>
      </w:r>
    </w:p>
    <w:p>
      <w:pPr>
        <w:numPr>
          <w:ilvl w:val="0"/>
          <w:numId w:val="12"/>
        </w:numPr>
        <w:autoSpaceDE w:val="0"/>
        <w:autoSpaceDN w:val="0"/>
        <w:adjustRightInd w:val="0"/>
        <w:spacing w:line="360" w:lineRule="auto"/>
        <w:ind w:left="0" w:firstLine="422" w:firstLineChars="200"/>
        <w:jc w:val="left"/>
        <w:rPr>
          <w:rFonts w:ascii="宋体" w:hAnsi="宋体" w:cs="宋体"/>
          <w:b/>
          <w:kern w:val="36"/>
          <w:szCs w:val="21"/>
        </w:rPr>
      </w:pPr>
      <w:r>
        <w:rPr>
          <w:rFonts w:hint="eastAsia" w:ascii="宋体" w:hAnsi="宋体" w:cs="宋体"/>
          <w:b/>
          <w:kern w:val="36"/>
          <w:szCs w:val="21"/>
        </w:rPr>
        <w:t>服务内容</w:t>
      </w:r>
    </w:p>
    <w:p>
      <w:pPr>
        <w:autoSpaceDE w:val="0"/>
        <w:autoSpaceDN w:val="0"/>
        <w:adjustRightInd w:val="0"/>
        <w:spacing w:line="360" w:lineRule="auto"/>
        <w:ind w:firstLine="422" w:firstLineChars="200"/>
        <w:jc w:val="left"/>
        <w:rPr>
          <w:rFonts w:ascii="宋体" w:hAnsi="宋体" w:cs="宋体"/>
          <w:b/>
          <w:kern w:val="36"/>
          <w:szCs w:val="21"/>
        </w:rPr>
      </w:pPr>
      <w:r>
        <w:rPr>
          <w:rFonts w:hint="eastAsia" w:ascii="宋体" w:hAnsi="宋体" w:cs="宋体"/>
          <w:b/>
          <w:kern w:val="36"/>
          <w:szCs w:val="21"/>
        </w:rPr>
        <w:t>……</w:t>
      </w:r>
    </w:p>
    <w:p>
      <w:pPr>
        <w:pStyle w:val="19"/>
        <w:snapToGrid w:val="0"/>
        <w:spacing w:line="360" w:lineRule="auto"/>
        <w:ind w:firstLine="422" w:firstLineChars="200"/>
        <w:jc w:val="left"/>
        <w:rPr>
          <w:rFonts w:hAnsi="宋体" w:cs="宋体"/>
          <w:b/>
          <w:szCs w:val="21"/>
        </w:rPr>
      </w:pPr>
      <w:r>
        <w:rPr>
          <w:rFonts w:hint="eastAsia" w:hAnsi="宋体" w:cs="宋体"/>
          <w:b/>
          <w:szCs w:val="21"/>
        </w:rPr>
        <w:t>第二条 合同履行时间、履行方式及履行地点</w:t>
      </w:r>
    </w:p>
    <w:p>
      <w:pPr>
        <w:pStyle w:val="19"/>
        <w:snapToGrid w:val="0"/>
        <w:spacing w:line="360" w:lineRule="auto"/>
        <w:ind w:firstLine="420" w:firstLineChars="200"/>
        <w:jc w:val="left"/>
        <w:rPr>
          <w:rFonts w:hAnsi="宋体" w:cs="宋体"/>
          <w:bCs/>
          <w:szCs w:val="21"/>
        </w:rPr>
      </w:pPr>
      <w:r>
        <w:rPr>
          <w:rFonts w:hint="eastAsia" w:hAnsi="宋体" w:cs="宋体"/>
          <w:bCs/>
          <w:szCs w:val="21"/>
        </w:rPr>
        <w:t>1、</w:t>
      </w:r>
      <w:r>
        <w:rPr>
          <w:rFonts w:hint="eastAsia" w:hAnsi="宋体" w:cs="宋体"/>
          <w:szCs w:val="21"/>
        </w:rPr>
        <w:t>履行时间</w:t>
      </w:r>
      <w:r>
        <w:rPr>
          <w:rFonts w:hint="eastAsia" w:hAnsi="宋体" w:cs="宋体"/>
          <w:bCs/>
          <w:szCs w:val="21"/>
        </w:rPr>
        <w:t>：</w:t>
      </w:r>
    </w:p>
    <w:p>
      <w:pPr>
        <w:pStyle w:val="19"/>
        <w:snapToGrid w:val="0"/>
        <w:spacing w:line="360" w:lineRule="auto"/>
        <w:ind w:firstLine="420" w:firstLineChars="200"/>
        <w:jc w:val="left"/>
        <w:rPr>
          <w:rFonts w:hAnsi="宋体" w:cs="宋体"/>
          <w:bCs/>
          <w:szCs w:val="21"/>
        </w:rPr>
      </w:pPr>
      <w:r>
        <w:rPr>
          <w:rFonts w:hint="eastAsia" w:hAnsi="宋体" w:cs="宋体"/>
          <w:bCs/>
          <w:szCs w:val="21"/>
        </w:rPr>
        <w:t>2、</w:t>
      </w:r>
      <w:r>
        <w:rPr>
          <w:rFonts w:hint="eastAsia" w:hAnsi="宋体" w:cs="宋体"/>
          <w:szCs w:val="21"/>
        </w:rPr>
        <w:t>履行方式</w:t>
      </w:r>
      <w:r>
        <w:rPr>
          <w:rFonts w:hint="eastAsia" w:hAnsi="宋体" w:cs="宋体"/>
          <w:bCs/>
          <w:szCs w:val="21"/>
        </w:rPr>
        <w:t>：</w:t>
      </w:r>
    </w:p>
    <w:p>
      <w:pPr>
        <w:pStyle w:val="19"/>
        <w:snapToGrid w:val="0"/>
        <w:spacing w:line="360" w:lineRule="auto"/>
        <w:ind w:firstLine="420" w:firstLineChars="200"/>
        <w:jc w:val="left"/>
        <w:rPr>
          <w:rFonts w:hAnsi="宋体" w:cs="宋体"/>
          <w:bCs/>
          <w:szCs w:val="21"/>
        </w:rPr>
      </w:pPr>
      <w:r>
        <w:rPr>
          <w:rFonts w:hint="eastAsia" w:hAnsi="宋体" w:cs="宋体"/>
          <w:bCs/>
          <w:szCs w:val="21"/>
        </w:rPr>
        <w:t>3、</w:t>
      </w:r>
      <w:r>
        <w:rPr>
          <w:rFonts w:hint="eastAsia" w:hAnsi="宋体" w:cs="宋体"/>
          <w:szCs w:val="21"/>
        </w:rPr>
        <w:t>履行地点</w:t>
      </w:r>
      <w:r>
        <w:rPr>
          <w:rFonts w:hint="eastAsia" w:hAnsi="宋体" w:cs="宋体"/>
          <w:bCs/>
          <w:szCs w:val="21"/>
        </w:rPr>
        <w:t>：</w:t>
      </w:r>
    </w:p>
    <w:p>
      <w:pPr>
        <w:pStyle w:val="19"/>
        <w:snapToGrid w:val="0"/>
        <w:spacing w:line="360" w:lineRule="auto"/>
        <w:ind w:firstLine="422" w:firstLineChars="200"/>
        <w:jc w:val="left"/>
        <w:rPr>
          <w:rFonts w:hAnsi="宋体" w:cs="宋体"/>
          <w:b/>
          <w:szCs w:val="21"/>
        </w:rPr>
      </w:pPr>
      <w:r>
        <w:rPr>
          <w:rFonts w:hint="eastAsia" w:hAnsi="宋体" w:cs="宋体"/>
          <w:b/>
          <w:szCs w:val="21"/>
        </w:rPr>
        <w:t>第三条 技术资料</w:t>
      </w:r>
    </w:p>
    <w:p>
      <w:pPr>
        <w:pStyle w:val="19"/>
        <w:snapToGrid w:val="0"/>
        <w:spacing w:line="360" w:lineRule="auto"/>
        <w:ind w:firstLine="420" w:firstLineChars="200"/>
        <w:jc w:val="left"/>
        <w:rPr>
          <w:rFonts w:hAnsi="宋体" w:cs="宋体"/>
          <w:szCs w:val="21"/>
        </w:rPr>
      </w:pPr>
      <w:r>
        <w:rPr>
          <w:rFonts w:hint="eastAsia" w:hAnsi="宋体" w:cs="宋体"/>
          <w:szCs w:val="21"/>
        </w:rPr>
        <w:t>1、乙方应按招标文件规定的时间向甲方提供有关技术资料。</w:t>
      </w:r>
    </w:p>
    <w:p>
      <w:pPr>
        <w:pStyle w:val="19"/>
        <w:snapToGrid w:val="0"/>
        <w:spacing w:line="360" w:lineRule="auto"/>
        <w:ind w:firstLine="420" w:firstLineChars="200"/>
        <w:jc w:val="left"/>
        <w:rPr>
          <w:rFonts w:hAnsi="宋体" w:cs="宋体"/>
          <w:szCs w:val="21"/>
        </w:rPr>
      </w:pPr>
      <w:r>
        <w:rPr>
          <w:rFonts w:hint="eastAsia" w:hAnsi="宋体" w:cs="宋体"/>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snapToGrid w:val="0"/>
        <w:spacing w:line="360" w:lineRule="auto"/>
        <w:ind w:firstLine="422" w:firstLineChars="200"/>
        <w:jc w:val="left"/>
        <w:rPr>
          <w:rFonts w:hAnsi="宋体" w:cs="宋体"/>
          <w:b/>
          <w:szCs w:val="21"/>
        </w:rPr>
      </w:pPr>
      <w:r>
        <w:rPr>
          <w:rFonts w:hint="eastAsia" w:hAnsi="宋体" w:cs="宋体"/>
          <w:b/>
          <w:szCs w:val="21"/>
        </w:rPr>
        <w:t>第四条 知识产权</w:t>
      </w:r>
    </w:p>
    <w:p>
      <w:pPr>
        <w:pStyle w:val="19"/>
        <w:snapToGrid w:val="0"/>
        <w:spacing w:line="360" w:lineRule="auto"/>
        <w:ind w:firstLine="420" w:firstLineChars="200"/>
        <w:jc w:val="left"/>
        <w:rPr>
          <w:rFonts w:hAnsi="宋体" w:cs="宋体"/>
          <w:b/>
          <w:bCs/>
          <w:szCs w:val="21"/>
        </w:rPr>
      </w:pPr>
      <w:r>
        <w:rPr>
          <w:rFonts w:hint="eastAsia" w:hAnsi="宋体" w:cs="宋体"/>
          <w:szCs w:val="21"/>
        </w:rPr>
        <w:t>乙方应保证提供服务过程中不会侵犯任何第三方的</w:t>
      </w:r>
      <w:r>
        <w:rPr>
          <w:rFonts w:hint="eastAsia" w:hAnsi="宋体" w:cs="宋体"/>
          <w:b/>
          <w:szCs w:val="21"/>
        </w:rPr>
        <w:t>知识产权</w:t>
      </w:r>
      <w:r>
        <w:rPr>
          <w:rFonts w:hint="eastAsia" w:hAnsi="宋体" w:cs="宋体"/>
          <w:b/>
          <w:bCs/>
          <w:szCs w:val="21"/>
        </w:rPr>
        <w:t>。</w:t>
      </w:r>
    </w:p>
    <w:p>
      <w:pPr>
        <w:pStyle w:val="19"/>
        <w:snapToGrid w:val="0"/>
        <w:spacing w:line="360" w:lineRule="auto"/>
        <w:ind w:firstLine="422" w:firstLineChars="200"/>
        <w:jc w:val="left"/>
        <w:rPr>
          <w:rFonts w:hAnsi="宋体" w:cs="宋体"/>
          <w:b/>
          <w:szCs w:val="21"/>
        </w:rPr>
      </w:pPr>
      <w:r>
        <w:rPr>
          <w:rFonts w:hint="eastAsia" w:hAnsi="宋体" w:cs="宋体"/>
          <w:b/>
          <w:szCs w:val="21"/>
        </w:rPr>
        <w:t>第五条 履约保证金</w:t>
      </w:r>
    </w:p>
    <w:p>
      <w:pPr>
        <w:pStyle w:val="19"/>
        <w:snapToGrid w:val="0"/>
        <w:spacing w:line="360" w:lineRule="auto"/>
        <w:ind w:firstLine="420" w:firstLineChars="200"/>
        <w:jc w:val="left"/>
        <w:rPr>
          <w:rFonts w:hAnsi="宋体" w:cs="宋体"/>
          <w:szCs w:val="21"/>
        </w:rPr>
      </w:pPr>
      <w:r>
        <w:rPr>
          <w:rFonts w:hint="eastAsia" w:hAnsi="宋体" w:cs="宋体"/>
          <w:szCs w:val="21"/>
        </w:rPr>
        <w:t>乙方交纳人民币△元作为本合同的履约保证金。</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第六条 税费</w:t>
      </w:r>
    </w:p>
    <w:p>
      <w:pPr>
        <w:snapToGrid w:val="0"/>
        <w:spacing w:line="360" w:lineRule="auto"/>
        <w:ind w:firstLine="420" w:firstLineChars="200"/>
        <w:jc w:val="left"/>
        <w:rPr>
          <w:rFonts w:ascii="宋体" w:hAnsi="宋体" w:cs="宋体"/>
          <w:szCs w:val="21"/>
        </w:rPr>
      </w:pPr>
      <w:r>
        <w:rPr>
          <w:rFonts w:hint="eastAsia" w:ascii="宋体" w:hAnsi="宋体" w:cs="宋体"/>
          <w:szCs w:val="21"/>
        </w:rPr>
        <w:t>本合同执行中相关的一切税费均由乙方负担。</w:t>
      </w:r>
    </w:p>
    <w:p>
      <w:pPr>
        <w:pStyle w:val="19"/>
        <w:snapToGrid w:val="0"/>
        <w:spacing w:line="360" w:lineRule="auto"/>
        <w:ind w:firstLine="422" w:firstLineChars="200"/>
        <w:jc w:val="left"/>
        <w:rPr>
          <w:rFonts w:hAnsi="宋体" w:cs="宋体"/>
          <w:b/>
          <w:szCs w:val="21"/>
        </w:rPr>
      </w:pPr>
      <w:r>
        <w:rPr>
          <w:rFonts w:hint="eastAsia" w:hAnsi="宋体" w:cs="宋体"/>
          <w:b/>
          <w:szCs w:val="21"/>
        </w:rPr>
        <w:t>第七条 违约责任</w:t>
      </w:r>
    </w:p>
    <w:p>
      <w:pPr>
        <w:pStyle w:val="19"/>
        <w:snapToGrid w:val="0"/>
        <w:spacing w:line="360" w:lineRule="auto"/>
        <w:ind w:firstLine="420" w:firstLineChars="200"/>
        <w:jc w:val="left"/>
        <w:rPr>
          <w:rFonts w:hAnsi="宋体" w:cs="宋体"/>
          <w:szCs w:val="21"/>
        </w:rPr>
      </w:pPr>
      <w:r>
        <w:rPr>
          <w:rFonts w:hint="eastAsia" w:hAnsi="宋体" w:cs="宋体"/>
          <w:szCs w:val="21"/>
        </w:rPr>
        <w:t>......</w:t>
      </w:r>
    </w:p>
    <w:p>
      <w:pPr>
        <w:pStyle w:val="19"/>
        <w:snapToGrid w:val="0"/>
        <w:spacing w:line="360" w:lineRule="auto"/>
        <w:ind w:firstLine="422" w:firstLineChars="200"/>
        <w:jc w:val="left"/>
        <w:rPr>
          <w:rFonts w:hAnsi="宋体" w:cs="宋体"/>
          <w:b/>
          <w:szCs w:val="21"/>
        </w:rPr>
      </w:pPr>
      <w:r>
        <w:rPr>
          <w:rFonts w:hint="eastAsia" w:hAnsi="宋体" w:cs="宋体"/>
          <w:b/>
          <w:szCs w:val="21"/>
        </w:rPr>
        <w:t>第八条 不可抗力事件处理</w:t>
      </w:r>
    </w:p>
    <w:p>
      <w:pPr>
        <w:pStyle w:val="19"/>
        <w:snapToGrid w:val="0"/>
        <w:spacing w:line="360" w:lineRule="auto"/>
        <w:ind w:firstLine="420" w:firstLineChars="200"/>
        <w:jc w:val="left"/>
        <w:rPr>
          <w:rFonts w:hAnsi="宋体" w:cs="宋体"/>
          <w:szCs w:val="21"/>
        </w:rPr>
      </w:pPr>
      <w:r>
        <w:rPr>
          <w:rFonts w:hint="eastAsia" w:hAnsi="宋体" w:cs="宋体"/>
          <w:szCs w:val="21"/>
        </w:rPr>
        <w:t>1、在合同有效期内，任何一方因不可抗力事件导致不能履行合同，则合同履行期可延长，其延长期与不可抗力影响期相同。</w:t>
      </w:r>
    </w:p>
    <w:p>
      <w:pPr>
        <w:pStyle w:val="19"/>
        <w:snapToGrid w:val="0"/>
        <w:spacing w:line="360" w:lineRule="auto"/>
        <w:ind w:firstLine="420" w:firstLineChars="200"/>
        <w:jc w:val="left"/>
        <w:rPr>
          <w:rFonts w:hAnsi="宋体" w:cs="宋体"/>
          <w:szCs w:val="21"/>
        </w:rPr>
      </w:pPr>
      <w:r>
        <w:rPr>
          <w:rFonts w:hint="eastAsia" w:hAnsi="宋体" w:cs="宋体"/>
          <w:szCs w:val="21"/>
        </w:rPr>
        <w:t>2、不可抗力事件发生后，应立即通知对方，并寄送有关权威机构出具的证明。</w:t>
      </w:r>
    </w:p>
    <w:p>
      <w:pPr>
        <w:pStyle w:val="19"/>
        <w:snapToGrid w:val="0"/>
        <w:spacing w:line="360" w:lineRule="auto"/>
        <w:ind w:firstLine="420" w:firstLineChars="200"/>
        <w:jc w:val="left"/>
        <w:rPr>
          <w:rFonts w:hAnsi="宋体" w:cs="宋体"/>
          <w:szCs w:val="21"/>
        </w:rPr>
      </w:pPr>
      <w:r>
        <w:rPr>
          <w:rFonts w:hint="eastAsia" w:hAnsi="宋体" w:cs="宋体"/>
          <w:szCs w:val="21"/>
        </w:rPr>
        <w:t>3、不可抗力事件延续120天以上，双方应通过友好协商，确定是否继续履行合同。</w:t>
      </w:r>
    </w:p>
    <w:p>
      <w:pPr>
        <w:pStyle w:val="19"/>
        <w:snapToGrid w:val="0"/>
        <w:spacing w:line="360" w:lineRule="auto"/>
        <w:ind w:firstLine="422" w:firstLineChars="200"/>
        <w:jc w:val="left"/>
        <w:rPr>
          <w:rFonts w:hAnsi="宋体" w:cs="宋体"/>
          <w:b/>
          <w:szCs w:val="21"/>
        </w:rPr>
      </w:pPr>
      <w:r>
        <w:rPr>
          <w:rFonts w:hint="eastAsia" w:hAnsi="宋体" w:cs="宋体"/>
          <w:b/>
          <w:szCs w:val="21"/>
        </w:rPr>
        <w:t>第九条 诉讼</w:t>
      </w:r>
    </w:p>
    <w:p>
      <w:pPr>
        <w:pStyle w:val="19"/>
        <w:snapToGrid w:val="0"/>
        <w:spacing w:line="360" w:lineRule="auto"/>
        <w:ind w:firstLine="420" w:firstLineChars="200"/>
        <w:jc w:val="left"/>
        <w:rPr>
          <w:rFonts w:hAnsi="宋体" w:cs="宋体"/>
          <w:szCs w:val="21"/>
        </w:rPr>
      </w:pPr>
      <w:r>
        <w:rPr>
          <w:rFonts w:hint="eastAsia" w:hAnsi="宋体" w:cs="宋体"/>
          <w:szCs w:val="21"/>
        </w:rPr>
        <w:t>双方在执行合同中所发生的一切争议，应通过协商解决。如协商不成，可向甲方所在地法院起诉。</w:t>
      </w:r>
    </w:p>
    <w:p>
      <w:pPr>
        <w:pStyle w:val="19"/>
        <w:snapToGrid w:val="0"/>
        <w:spacing w:line="360" w:lineRule="auto"/>
        <w:ind w:firstLine="422" w:firstLineChars="200"/>
        <w:jc w:val="left"/>
        <w:rPr>
          <w:rFonts w:hAnsi="宋体" w:cs="宋体"/>
          <w:b/>
          <w:szCs w:val="21"/>
        </w:rPr>
      </w:pPr>
      <w:r>
        <w:rPr>
          <w:rFonts w:hint="eastAsia" w:hAnsi="宋体" w:cs="宋体"/>
          <w:b/>
          <w:szCs w:val="21"/>
        </w:rPr>
        <w:t>第十条 合同生效及其它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1、合同经双方法定代表人或授权委托代理人签字并加盖单位公章后生效。</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2、本合同未尽事宜，遵照《</w:t>
      </w:r>
      <w:r>
        <w:rPr>
          <w:rFonts w:hint="eastAsia" w:ascii="宋体" w:hAnsi="宋体" w:cs="宋体"/>
          <w:kern w:val="0"/>
          <w:szCs w:val="21"/>
        </w:rPr>
        <w:t>中华人民共和国政府</w:t>
      </w:r>
      <w:r>
        <w:rPr>
          <w:rFonts w:hint="eastAsia" w:ascii="宋体" w:hAnsi="宋体" w:cs="宋体"/>
          <w:szCs w:val="21"/>
        </w:rPr>
        <w:t>民法典》有关条文执行。</w:t>
      </w:r>
    </w:p>
    <w:p>
      <w:pPr>
        <w:pStyle w:val="19"/>
        <w:snapToGrid w:val="0"/>
        <w:spacing w:line="360" w:lineRule="auto"/>
        <w:ind w:firstLine="420" w:firstLineChars="200"/>
        <w:jc w:val="left"/>
        <w:rPr>
          <w:rFonts w:hAnsi="宋体" w:cs="宋体"/>
          <w:szCs w:val="21"/>
        </w:rPr>
      </w:pPr>
    </w:p>
    <w:p>
      <w:pPr>
        <w:pStyle w:val="19"/>
        <w:snapToGrid w:val="0"/>
        <w:spacing w:line="360" w:lineRule="auto"/>
        <w:ind w:firstLine="420" w:firstLineChars="200"/>
        <w:jc w:val="left"/>
        <w:rPr>
          <w:rFonts w:hAnsi="宋体" w:cs="宋体"/>
          <w:szCs w:val="21"/>
        </w:rPr>
      </w:pPr>
    </w:p>
    <w:p>
      <w:pPr>
        <w:pStyle w:val="19"/>
        <w:snapToGrid w:val="0"/>
        <w:spacing w:line="360" w:lineRule="auto"/>
        <w:ind w:firstLine="420" w:firstLineChars="200"/>
        <w:jc w:val="left"/>
        <w:rPr>
          <w:rFonts w:hAnsi="宋体" w:cs="宋体"/>
          <w:szCs w:val="21"/>
        </w:rPr>
      </w:pPr>
      <w:r>
        <w:rPr>
          <w:rFonts w:hint="eastAsia" w:hAnsi="宋体" w:cs="宋体"/>
          <w:szCs w:val="21"/>
        </w:rPr>
        <w:t xml:space="preserve">  甲方：                                   乙方： </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地址：                                   地址： </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法定（授权）代表人：                     法定（授权）代表人：</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联系电话：</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开户银行：</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银行账号：</w:t>
      </w:r>
    </w:p>
    <w:p>
      <w:pPr>
        <w:pStyle w:val="19"/>
        <w:snapToGrid w:val="0"/>
        <w:spacing w:line="360" w:lineRule="auto"/>
        <w:ind w:firstLine="420" w:firstLineChars="200"/>
        <w:jc w:val="left"/>
        <w:rPr>
          <w:rFonts w:hAnsi="宋体" w:cs="宋体"/>
          <w:szCs w:val="21"/>
        </w:rPr>
      </w:pPr>
      <w:r>
        <w:rPr>
          <w:rFonts w:hint="eastAsia" w:hAnsi="宋体" w:cs="宋体"/>
          <w:szCs w:val="21"/>
        </w:rPr>
        <w:t xml:space="preserve">  签字日期：    年  月  日                签字日期：   年  月  日</w:t>
      </w:r>
    </w:p>
    <w:p>
      <w:pPr>
        <w:pStyle w:val="44"/>
        <w:outlineLvl w:val="0"/>
        <w:rPr>
          <w:rStyle w:val="41"/>
          <w:rFonts w:ascii="宋体" w:hAnsi="宋体" w:eastAsia="宋体" w:cs="宋体"/>
          <w:b/>
          <w:bCs w:val="0"/>
          <w:szCs w:val="21"/>
        </w:rPr>
      </w:pPr>
      <w:r>
        <w:rPr>
          <w:rFonts w:hint="eastAsia" w:ascii="宋体" w:eastAsia="宋体" w:cs="宋体"/>
          <w:sz w:val="21"/>
          <w:szCs w:val="21"/>
        </w:rPr>
        <w:br w:type="page"/>
      </w:r>
      <w:bookmarkEnd w:id="283"/>
      <w:bookmarkStart w:id="296" w:name="_Toc493511828"/>
      <w:bookmarkStart w:id="297" w:name="_Toc17105"/>
      <w:bookmarkStart w:id="298" w:name="_Toc50012907"/>
      <w:r>
        <w:rPr>
          <w:rStyle w:val="41"/>
          <w:rFonts w:hint="eastAsia" w:ascii="宋体" w:hAnsi="宋体" w:eastAsia="宋体" w:cs="宋体"/>
          <w:b/>
          <w:bCs w:val="0"/>
          <w:szCs w:val="21"/>
        </w:rPr>
        <w:t>第六章　投标文件相关格式</w:t>
      </w:r>
      <w:bookmarkEnd w:id="296"/>
      <w:bookmarkEnd w:id="297"/>
      <w:bookmarkEnd w:id="298"/>
    </w:p>
    <w:p>
      <w:pPr>
        <w:spacing w:line="360" w:lineRule="auto"/>
        <w:ind w:firstLine="420" w:firstLineChars="200"/>
        <w:jc w:val="left"/>
        <w:rPr>
          <w:rFonts w:ascii="宋体" w:hAnsi="宋体" w:cs="宋体"/>
          <w:szCs w:val="21"/>
        </w:rPr>
      </w:pPr>
    </w:p>
    <w:p>
      <w:pPr>
        <w:spacing w:line="360" w:lineRule="auto"/>
        <w:jc w:val="center"/>
        <w:rPr>
          <w:rFonts w:ascii="宋体" w:hAnsi="宋体" w:cs="宋体"/>
          <w:b/>
          <w:szCs w:val="21"/>
        </w:rPr>
      </w:pPr>
      <w:bookmarkStart w:id="299" w:name="_Toc50012909"/>
      <w:bookmarkStart w:id="300" w:name="_Toc430786287"/>
      <w:r>
        <w:rPr>
          <w:rFonts w:hint="eastAsia" w:ascii="宋体" w:hAnsi="宋体" w:cs="宋体"/>
          <w:b/>
          <w:szCs w:val="21"/>
        </w:rPr>
        <w:t>2022年嘉兴市秀洲区油车港镇镇区环境保洁服务项目</w:t>
      </w:r>
    </w:p>
    <w:p>
      <w:pPr>
        <w:spacing w:line="360" w:lineRule="auto"/>
        <w:jc w:val="center"/>
        <w:rPr>
          <w:rFonts w:ascii="宋体" w:hAnsi="宋体" w:cs="宋体"/>
          <w:b/>
          <w:szCs w:val="21"/>
        </w:rPr>
      </w:pPr>
      <w:r>
        <w:rPr>
          <w:rFonts w:hint="eastAsia" w:ascii="宋体" w:hAnsi="宋体" w:cs="宋体"/>
          <w:b/>
          <w:szCs w:val="21"/>
        </w:rPr>
        <w:t>资格响应文件/商务技术文件/报价文件</w:t>
      </w:r>
      <w:bookmarkEnd w:id="299"/>
    </w:p>
    <w:p>
      <w:pPr>
        <w:spacing w:line="360" w:lineRule="auto"/>
        <w:jc w:val="center"/>
        <w:rPr>
          <w:rFonts w:ascii="宋体" w:hAnsi="宋体" w:cs="宋体"/>
          <w:b/>
          <w:szCs w:val="21"/>
        </w:rPr>
      </w:pPr>
      <w:bookmarkStart w:id="301" w:name="_Toc50012910"/>
      <w:r>
        <w:rPr>
          <w:rFonts w:hint="eastAsia" w:ascii="宋体" w:hAnsi="宋体" w:cs="宋体"/>
          <w:b/>
          <w:szCs w:val="21"/>
        </w:rPr>
        <w:t>项目编号：</w:t>
      </w:r>
      <w:bookmarkEnd w:id="301"/>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bookmarkStart w:id="302" w:name="_Toc50012911"/>
      <w:r>
        <w:rPr>
          <w:rFonts w:hint="eastAsia" w:ascii="宋体" w:hAnsi="宋体" w:cs="宋体"/>
          <w:b/>
          <w:szCs w:val="21"/>
        </w:rPr>
        <w:t>投</w:t>
      </w:r>
      <w:bookmarkEnd w:id="302"/>
    </w:p>
    <w:p>
      <w:pPr>
        <w:spacing w:line="360" w:lineRule="auto"/>
        <w:jc w:val="center"/>
        <w:rPr>
          <w:rFonts w:ascii="宋体" w:hAnsi="宋体" w:cs="宋体"/>
          <w:b/>
          <w:szCs w:val="21"/>
        </w:rPr>
      </w:pPr>
      <w:bookmarkStart w:id="303" w:name="_Toc50012912"/>
      <w:r>
        <w:rPr>
          <w:rFonts w:hint="eastAsia" w:ascii="宋体" w:hAnsi="宋体" w:cs="宋体"/>
          <w:b/>
          <w:szCs w:val="21"/>
        </w:rPr>
        <w:t>标</w:t>
      </w:r>
      <w:bookmarkEnd w:id="303"/>
    </w:p>
    <w:p>
      <w:pPr>
        <w:spacing w:line="360" w:lineRule="auto"/>
        <w:jc w:val="center"/>
        <w:rPr>
          <w:rFonts w:ascii="宋体" w:hAnsi="宋体" w:cs="宋体"/>
          <w:b/>
          <w:szCs w:val="21"/>
        </w:rPr>
      </w:pPr>
      <w:bookmarkStart w:id="304" w:name="_Toc50012913"/>
      <w:r>
        <w:rPr>
          <w:rFonts w:hint="eastAsia" w:ascii="宋体" w:hAnsi="宋体" w:cs="宋体"/>
          <w:b/>
          <w:szCs w:val="21"/>
        </w:rPr>
        <w:t>文</w:t>
      </w:r>
      <w:bookmarkEnd w:id="304"/>
    </w:p>
    <w:p>
      <w:pPr>
        <w:spacing w:line="360" w:lineRule="auto"/>
        <w:jc w:val="center"/>
        <w:rPr>
          <w:rFonts w:ascii="宋体" w:hAnsi="宋体" w:cs="宋体"/>
          <w:b/>
          <w:szCs w:val="21"/>
        </w:rPr>
      </w:pPr>
      <w:bookmarkStart w:id="305" w:name="_Toc50012914"/>
      <w:r>
        <w:rPr>
          <w:rFonts w:hint="eastAsia" w:ascii="宋体" w:hAnsi="宋体" w:cs="宋体"/>
          <w:b/>
          <w:szCs w:val="21"/>
        </w:rPr>
        <w:t>件</w:t>
      </w:r>
      <w:bookmarkEnd w:id="305"/>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3"/>
      </w:pPr>
    </w:p>
    <w:p/>
    <w:p>
      <w:pPr>
        <w:pStyle w:val="3"/>
      </w:pPr>
    </w:p>
    <w:p/>
    <w:p>
      <w:pPr>
        <w:pStyle w:val="3"/>
      </w:pPr>
    </w:p>
    <w:p/>
    <w:p>
      <w:pPr>
        <w:pStyle w:val="3"/>
      </w:pPr>
    </w:p>
    <w:p/>
    <w:p>
      <w:pPr>
        <w:pStyle w:val="3"/>
      </w:pPr>
    </w:p>
    <w:p/>
    <w:p>
      <w:pPr>
        <w:pStyle w:val="3"/>
      </w:pPr>
    </w:p>
    <w:p/>
    <w:p>
      <w:pPr>
        <w:spacing w:line="360" w:lineRule="auto"/>
        <w:ind w:firstLine="2741" w:firstLineChars="1300"/>
        <w:rPr>
          <w:rFonts w:ascii="宋体" w:hAnsi="宋体" w:cs="宋体"/>
          <w:b/>
          <w:szCs w:val="21"/>
        </w:rPr>
      </w:pPr>
      <w:bookmarkStart w:id="306" w:name="_Toc50012915"/>
      <w:r>
        <w:rPr>
          <w:rFonts w:hint="eastAsia" w:ascii="宋体" w:hAnsi="宋体" w:cs="宋体"/>
          <w:b/>
          <w:szCs w:val="21"/>
        </w:rPr>
        <w:t>投标人全称：（加盖单位公章）</w:t>
      </w:r>
      <w:bookmarkEnd w:id="306"/>
    </w:p>
    <w:p>
      <w:pPr>
        <w:spacing w:line="360" w:lineRule="auto"/>
        <w:rPr>
          <w:rFonts w:ascii="宋体" w:hAnsi="宋体" w:cs="宋体"/>
          <w:b/>
          <w:szCs w:val="21"/>
        </w:rPr>
      </w:pPr>
    </w:p>
    <w:p>
      <w:pPr>
        <w:spacing w:line="360" w:lineRule="auto"/>
        <w:ind w:right="560"/>
        <w:jc w:val="center"/>
        <w:rPr>
          <w:rFonts w:ascii="宋体" w:hAnsi="宋体" w:cs="宋体"/>
          <w:b/>
          <w:szCs w:val="21"/>
        </w:rPr>
      </w:pPr>
      <w:bookmarkStart w:id="307" w:name="_Toc50012916"/>
      <w:r>
        <w:rPr>
          <w:rFonts w:hint="eastAsia" w:ascii="宋体" w:hAnsi="宋体" w:cs="宋体"/>
          <w:b/>
          <w:szCs w:val="21"/>
        </w:rPr>
        <w:t>年   月   日</w:t>
      </w:r>
      <w:bookmarkEnd w:id="307"/>
    </w:p>
    <w:bookmarkEnd w:id="300"/>
    <w:p>
      <w:pPr>
        <w:snapToGrid w:val="0"/>
        <w:spacing w:line="360" w:lineRule="auto"/>
        <w:ind w:right="420" w:firstLine="422" w:firstLineChars="200"/>
        <w:jc w:val="center"/>
        <w:rPr>
          <w:rFonts w:ascii="宋体" w:hAnsi="宋体" w:cs="宋体"/>
          <w:b/>
          <w:szCs w:val="21"/>
        </w:rPr>
      </w:pPr>
      <w:r>
        <w:rPr>
          <w:rFonts w:hint="eastAsia" w:ascii="宋体" w:hAnsi="宋体" w:cs="宋体"/>
          <w:b/>
          <w:szCs w:val="21"/>
        </w:rPr>
        <w:br w:type="page"/>
      </w:r>
    </w:p>
    <w:p>
      <w:pPr>
        <w:snapToGrid w:val="0"/>
        <w:ind w:right="420" w:firstLine="422" w:firstLineChars="200"/>
        <w:jc w:val="center"/>
        <w:rPr>
          <w:rFonts w:ascii="宋体" w:hAnsi="宋体" w:cs="宋体"/>
          <w:b/>
          <w:szCs w:val="21"/>
        </w:rPr>
      </w:pPr>
    </w:p>
    <w:p>
      <w:pPr>
        <w:snapToGrid w:val="0"/>
        <w:ind w:right="420" w:firstLine="422" w:firstLineChars="200"/>
        <w:jc w:val="center"/>
        <w:rPr>
          <w:rFonts w:ascii="宋体" w:hAnsi="宋体" w:cs="宋体"/>
          <w:b/>
          <w:szCs w:val="21"/>
        </w:rPr>
      </w:pPr>
      <w:r>
        <w:rPr>
          <w:rFonts w:hint="eastAsia" w:ascii="宋体" w:hAnsi="宋体" w:cs="宋体"/>
          <w:b/>
          <w:szCs w:val="21"/>
        </w:rPr>
        <w:t>政府采购活动现场确认声明书</w:t>
      </w:r>
    </w:p>
    <w:p>
      <w:pPr>
        <w:pStyle w:val="47"/>
        <w:snapToGrid w:val="0"/>
        <w:ind w:firstLine="422" w:firstLineChars="200"/>
        <w:jc w:val="left"/>
        <w:rPr>
          <w:rFonts w:hAnsi="宋体" w:eastAsia="宋体" w:cs="宋体"/>
          <w:b/>
          <w:sz w:val="21"/>
          <w:szCs w:val="21"/>
        </w:rPr>
      </w:pPr>
      <w:r>
        <w:rPr>
          <w:rFonts w:hint="eastAsia" w:hAnsi="宋体" w:eastAsia="宋体" w:cs="宋体"/>
          <w:b/>
          <w:sz w:val="21"/>
          <w:szCs w:val="21"/>
        </w:rPr>
        <w:t>（要求在电子投标文件解密后，将以下表格填写完成后，在通过邮箱278594919@qq.com将照片传给代理公司，不要封存于投标文件里）</w:t>
      </w:r>
    </w:p>
    <w:p>
      <w:pPr>
        <w:pStyle w:val="47"/>
        <w:snapToGrid w:val="0"/>
        <w:jc w:val="left"/>
        <w:rPr>
          <w:rFonts w:hAnsi="宋体" w:eastAsia="宋体" w:cs="宋体"/>
          <w:b/>
          <w:sz w:val="21"/>
          <w:szCs w:val="21"/>
        </w:rPr>
      </w:pPr>
      <w:r>
        <w:rPr>
          <w:rFonts w:hint="eastAsia" w:hAnsi="宋体" w:eastAsia="宋体" w:cs="宋体"/>
          <w:b/>
          <w:kern w:val="0"/>
          <w:sz w:val="21"/>
          <w:szCs w:val="21"/>
          <w:u w:val="single"/>
        </w:rPr>
        <w:t>嘉兴市秀洲区油车港镇人民政府</w:t>
      </w:r>
      <w:r>
        <w:rPr>
          <w:rFonts w:hint="eastAsia" w:hAnsi="宋体" w:eastAsia="宋体" w:cs="宋体"/>
          <w:kern w:val="0"/>
          <w:sz w:val="21"/>
          <w:szCs w:val="21"/>
        </w:rPr>
        <w:t>：</w:t>
      </w:r>
    </w:p>
    <w:p>
      <w:pPr>
        <w:pStyle w:val="47"/>
        <w:snapToGrid w:val="0"/>
        <w:spacing w:line="360" w:lineRule="auto"/>
        <w:ind w:right="42" w:rightChars="20" w:firstLine="444" w:firstLineChars="200"/>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本人经由</w:t>
      </w:r>
      <w:r>
        <w:rPr>
          <w:rFonts w:asciiTheme="minorEastAsia" w:hAnsiTheme="minorEastAsia" w:eastAsiaTheme="minorEastAsia"/>
          <w:spacing w:val="6"/>
          <w:sz w:val="21"/>
          <w:szCs w:val="21"/>
          <w:u w:val="single"/>
        </w:rPr>
        <w:t xml:space="preserve">                  （单位）</w:t>
      </w:r>
      <w:r>
        <w:rPr>
          <w:rFonts w:asciiTheme="minorEastAsia" w:hAnsiTheme="minorEastAsia" w:eastAsiaTheme="minorEastAsia"/>
          <w:spacing w:val="6"/>
          <w:sz w:val="21"/>
          <w:szCs w:val="21"/>
        </w:rPr>
        <w:t>负责人</w:t>
      </w:r>
      <w:r>
        <w:rPr>
          <w:rFonts w:asciiTheme="minorEastAsia" w:hAnsiTheme="minorEastAsia" w:eastAsiaTheme="minorEastAsia"/>
          <w:spacing w:val="6"/>
          <w:sz w:val="21"/>
          <w:szCs w:val="21"/>
          <w:u w:val="single"/>
        </w:rPr>
        <w:t xml:space="preserve">        （姓名）</w:t>
      </w:r>
      <w:r>
        <w:rPr>
          <w:rFonts w:asciiTheme="minorEastAsia" w:hAnsiTheme="minorEastAsia" w:eastAsiaTheme="minorEastAsia"/>
          <w:spacing w:val="6"/>
          <w:sz w:val="21"/>
          <w:szCs w:val="21"/>
        </w:rPr>
        <w:t>合法授权参加</w:t>
      </w:r>
      <w:r>
        <w:rPr>
          <w:rFonts w:hint="eastAsia" w:asciiTheme="minorEastAsia" w:hAnsiTheme="minorEastAsia" w:eastAsiaTheme="minorEastAsia"/>
          <w:b/>
          <w:spacing w:val="6"/>
          <w:sz w:val="21"/>
          <w:szCs w:val="21"/>
          <w:u w:val="single"/>
        </w:rPr>
        <w:t>2022年嘉兴市秀洲区油车港镇镇区环境保洁服务项目</w:t>
      </w:r>
      <w:r>
        <w:rPr>
          <w:rFonts w:asciiTheme="minorEastAsia" w:hAnsiTheme="minorEastAsia" w:eastAsiaTheme="minorEastAsia"/>
          <w:spacing w:val="6"/>
          <w:sz w:val="21"/>
          <w:szCs w:val="21"/>
        </w:rPr>
        <w:t>（编号：</w:t>
      </w:r>
      <w:r>
        <w:rPr>
          <w:rFonts w:hint="eastAsia" w:asciiTheme="minorEastAsia" w:hAnsiTheme="minorEastAsia" w:eastAsiaTheme="minorEastAsia"/>
          <w:spacing w:val="6"/>
          <w:sz w:val="21"/>
          <w:szCs w:val="21"/>
          <w:u w:val="single"/>
        </w:rPr>
        <w:t>ZJJY-2022-024</w:t>
      </w:r>
      <w:r>
        <w:rPr>
          <w:rFonts w:asciiTheme="minorEastAsia" w:hAnsiTheme="minorEastAsia" w:eastAsiaTheme="minorEastAsia"/>
          <w:spacing w:val="6"/>
          <w:sz w:val="21"/>
          <w:szCs w:val="21"/>
        </w:rPr>
        <w:t xml:space="preserve">）政府采购活动，经与本单位法人代表（负责人）联系确认，现就有关公平竞争事项郑重声明如下： </w:t>
      </w:r>
    </w:p>
    <w:p>
      <w:pPr>
        <w:pStyle w:val="48"/>
        <w:widowControl/>
        <w:numPr>
          <w:ilvl w:val="0"/>
          <w:numId w:val="13"/>
        </w:numPr>
        <w:snapToGrid w:val="0"/>
        <w:spacing w:line="360" w:lineRule="auto"/>
        <w:ind w:right="42" w:rightChars="20" w:firstLine="420" w:firstLineChars="200"/>
        <w:jc w:val="left"/>
        <w:rPr>
          <w:rFonts w:hint="default" w:asciiTheme="minorEastAsia" w:hAnsiTheme="minorEastAsia" w:eastAsiaTheme="minorEastAsia"/>
          <w:kern w:val="0"/>
          <w:szCs w:val="21"/>
        </w:rPr>
      </w:pPr>
      <w:r>
        <w:rPr>
          <w:rFonts w:asciiTheme="minorEastAsia" w:hAnsiTheme="minorEastAsia" w:eastAsiaTheme="minorEastAsia"/>
          <w:kern w:val="0"/>
          <w:szCs w:val="21"/>
        </w:rPr>
        <w:t xml:space="preserve">本单位与采购人之间 </w:t>
      </w:r>
      <w:r>
        <w:rPr>
          <w:rFonts w:cs="宋体" w:asciiTheme="minorEastAsia" w:hAnsiTheme="minorEastAsia" w:eastAsiaTheme="minorEastAsia"/>
          <w:kern w:val="0"/>
          <w:szCs w:val="21"/>
        </w:rPr>
        <w:t>□</w:t>
      </w:r>
      <w:r>
        <w:rPr>
          <w:rFonts w:asciiTheme="minorEastAsia" w:hAnsiTheme="minorEastAsia" w:eastAsiaTheme="minorEastAsia"/>
          <w:kern w:val="0"/>
          <w:szCs w:val="21"/>
        </w:rPr>
        <w:t xml:space="preserve">不存在利害关系 </w:t>
      </w:r>
      <w:r>
        <w:rPr>
          <w:rFonts w:cs="宋体" w:asciiTheme="minorEastAsia" w:hAnsiTheme="minorEastAsia" w:eastAsiaTheme="minorEastAsia"/>
          <w:kern w:val="0"/>
          <w:szCs w:val="21"/>
        </w:rPr>
        <w:t>□</w:t>
      </w:r>
      <w:r>
        <w:rPr>
          <w:rFonts w:asciiTheme="minorEastAsia" w:hAnsiTheme="minorEastAsia" w:eastAsiaTheme="minorEastAsia"/>
          <w:kern w:val="0"/>
          <w:szCs w:val="21"/>
        </w:rPr>
        <w:t>存在下列利害关系：</w:t>
      </w:r>
    </w:p>
    <w:p>
      <w:pPr>
        <w:pStyle w:val="48"/>
        <w:widowControl/>
        <w:snapToGrid w:val="0"/>
        <w:spacing w:line="360" w:lineRule="auto"/>
        <w:ind w:right="42" w:rightChars="20" w:firstLine="420" w:firstLineChars="200"/>
        <w:jc w:val="left"/>
        <w:rPr>
          <w:rFonts w:hint="default" w:asciiTheme="minorEastAsia" w:hAnsiTheme="minorEastAsia" w:eastAsiaTheme="minorEastAsia"/>
          <w:kern w:val="0"/>
          <w:szCs w:val="21"/>
        </w:rPr>
      </w:pPr>
      <w:r>
        <w:rPr>
          <w:rFonts w:asciiTheme="minorEastAsia" w:hAnsiTheme="minorEastAsia" w:eastAsiaTheme="minorEastAsia"/>
          <w:kern w:val="0"/>
          <w:szCs w:val="21"/>
        </w:rPr>
        <w:t xml:space="preserve">  A.投资关系    B.行政隶属关系    C.业务指导关系</w:t>
      </w:r>
    </w:p>
    <w:p>
      <w:pPr>
        <w:pStyle w:val="48"/>
        <w:widowControl/>
        <w:snapToGrid w:val="0"/>
        <w:spacing w:line="360" w:lineRule="auto"/>
        <w:ind w:right="42" w:rightChars="20" w:firstLine="420" w:firstLineChars="200"/>
        <w:jc w:val="left"/>
        <w:rPr>
          <w:rFonts w:hint="default" w:asciiTheme="minorEastAsia" w:hAnsiTheme="minorEastAsia" w:eastAsiaTheme="minorEastAsia"/>
          <w:kern w:val="0"/>
          <w:szCs w:val="21"/>
        </w:rPr>
      </w:pPr>
      <w:r>
        <w:rPr>
          <w:rFonts w:asciiTheme="minorEastAsia" w:hAnsiTheme="minorEastAsia" w:eastAsiaTheme="minorEastAsia"/>
          <w:kern w:val="0"/>
          <w:szCs w:val="21"/>
        </w:rPr>
        <w:t xml:space="preserve">  D.其他可能</w:t>
      </w:r>
      <w:r>
        <w:rPr>
          <w:rFonts w:asciiTheme="minorEastAsia" w:hAnsiTheme="minorEastAsia" w:eastAsiaTheme="minorEastAsia"/>
          <w:szCs w:val="21"/>
        </w:rPr>
        <w:t>影响采购公正的</w:t>
      </w:r>
      <w:r>
        <w:rPr>
          <w:rFonts w:asciiTheme="minorEastAsia" w:hAnsiTheme="minorEastAsia" w:eastAsiaTheme="minorEastAsia"/>
          <w:kern w:val="0"/>
          <w:szCs w:val="21"/>
        </w:rPr>
        <w:t>利害关系</w:t>
      </w:r>
      <w:r>
        <w:rPr>
          <w:rFonts w:asciiTheme="minorEastAsia" w:hAnsiTheme="minorEastAsia" w:eastAsiaTheme="minorEastAsia"/>
          <w:kern w:val="0"/>
          <w:szCs w:val="21"/>
          <w:u w:val="single"/>
        </w:rPr>
        <w:t xml:space="preserve">（如有，请如实说明）                 </w:t>
      </w:r>
      <w:r>
        <w:rPr>
          <w:rFonts w:asciiTheme="minorEastAsia" w:hAnsiTheme="minorEastAsia" w:eastAsiaTheme="minorEastAsia"/>
          <w:kern w:val="0"/>
          <w:szCs w:val="21"/>
        </w:rPr>
        <w:t>。</w:t>
      </w:r>
    </w:p>
    <w:p>
      <w:pPr>
        <w:pStyle w:val="48"/>
        <w:widowControl/>
        <w:snapToGrid w:val="0"/>
        <w:spacing w:line="360" w:lineRule="auto"/>
        <w:ind w:right="42" w:rightChars="20" w:firstLine="444" w:firstLineChars="200"/>
        <w:jc w:val="left"/>
        <w:rPr>
          <w:rFonts w:hint="default" w:asciiTheme="minorEastAsia" w:hAnsiTheme="minorEastAsia" w:eastAsiaTheme="minorEastAsia"/>
          <w:kern w:val="0"/>
          <w:szCs w:val="21"/>
        </w:rPr>
      </w:pPr>
      <w:r>
        <w:rPr>
          <w:rFonts w:asciiTheme="minorEastAsia" w:hAnsiTheme="minorEastAsia" w:eastAsiaTheme="minorEastAsia"/>
          <w:spacing w:val="6"/>
          <w:szCs w:val="21"/>
        </w:rPr>
        <w:t xml:space="preserve">  二、</w:t>
      </w:r>
      <w:r>
        <w:rPr>
          <w:rFonts w:asciiTheme="minorEastAsia" w:hAnsiTheme="minorEastAsia" w:eastAsiaTheme="minorEastAsia"/>
          <w:kern w:val="0"/>
          <w:szCs w:val="21"/>
        </w:rPr>
        <w:t xml:space="preserve">现已清楚知道参加本项目采购活动的其他所有投标人名称，本单位 </w:t>
      </w:r>
      <w:r>
        <w:rPr>
          <w:rFonts w:cs="宋体" w:asciiTheme="minorEastAsia" w:hAnsiTheme="minorEastAsia" w:eastAsiaTheme="minorEastAsia"/>
          <w:kern w:val="0"/>
          <w:szCs w:val="21"/>
        </w:rPr>
        <w:t>□与其他所有投标人之间均</w:t>
      </w:r>
      <w:r>
        <w:rPr>
          <w:rFonts w:asciiTheme="minorEastAsia" w:hAnsiTheme="minorEastAsia" w:eastAsiaTheme="minorEastAsia"/>
          <w:kern w:val="0"/>
          <w:szCs w:val="21"/>
        </w:rPr>
        <w:t xml:space="preserve">不存在利害关系 </w:t>
      </w:r>
      <w:r>
        <w:rPr>
          <w:rFonts w:cs="宋体" w:asciiTheme="minorEastAsia" w:hAnsiTheme="minorEastAsia" w:eastAsiaTheme="minorEastAsia"/>
          <w:kern w:val="0"/>
          <w:szCs w:val="21"/>
        </w:rPr>
        <w:t>□与</w:t>
      </w:r>
      <w:r>
        <w:rPr>
          <w:rFonts w:cs="宋体" w:asciiTheme="minorEastAsia" w:hAnsiTheme="minorEastAsia" w:eastAsiaTheme="minorEastAsia"/>
          <w:kern w:val="0"/>
          <w:szCs w:val="21"/>
          <w:u w:val="single"/>
        </w:rPr>
        <w:t xml:space="preserve">           （投标人名称）</w:t>
      </w:r>
      <w:r>
        <w:rPr>
          <w:rFonts w:cs="宋体" w:asciiTheme="minorEastAsia" w:hAnsiTheme="minorEastAsia" w:eastAsiaTheme="minorEastAsia"/>
          <w:kern w:val="0"/>
          <w:szCs w:val="21"/>
        </w:rPr>
        <w:t>之间</w:t>
      </w:r>
      <w:r>
        <w:rPr>
          <w:rFonts w:asciiTheme="minorEastAsia" w:hAnsiTheme="minorEastAsia" w:eastAsiaTheme="minorEastAsia"/>
          <w:kern w:val="0"/>
          <w:szCs w:val="21"/>
        </w:rPr>
        <w:t>存在下列利害关系：</w:t>
      </w:r>
    </w:p>
    <w:p>
      <w:pPr>
        <w:pStyle w:val="47"/>
        <w:snapToGrid w:val="0"/>
        <w:spacing w:line="360" w:lineRule="auto"/>
        <w:ind w:right="42" w:rightChars="20" w:firstLine="420" w:firstLineChars="200"/>
        <w:jc w:val="left"/>
        <w:rPr>
          <w:rFonts w:asciiTheme="minorEastAsia" w:hAnsiTheme="minorEastAsia" w:eastAsiaTheme="minorEastAsia"/>
          <w:kern w:val="0"/>
          <w:sz w:val="21"/>
          <w:szCs w:val="21"/>
        </w:rPr>
      </w:pPr>
      <w:r>
        <w:rPr>
          <w:rFonts w:asciiTheme="minorEastAsia" w:hAnsiTheme="minorEastAsia" w:eastAsiaTheme="minorEastAsia"/>
          <w:kern w:val="0"/>
          <w:sz w:val="21"/>
          <w:szCs w:val="21"/>
        </w:rPr>
        <w:t xml:space="preserve">  A.法定代表人或负责人或实际控制人是同一人</w:t>
      </w:r>
    </w:p>
    <w:p>
      <w:pPr>
        <w:pStyle w:val="47"/>
        <w:snapToGrid w:val="0"/>
        <w:spacing w:line="360" w:lineRule="auto"/>
        <w:ind w:right="42" w:rightChars="20" w:firstLine="420" w:firstLineChars="200"/>
        <w:jc w:val="left"/>
        <w:rPr>
          <w:rFonts w:asciiTheme="minorEastAsia" w:hAnsiTheme="minorEastAsia" w:eastAsiaTheme="minorEastAsia"/>
          <w:spacing w:val="6"/>
          <w:sz w:val="21"/>
          <w:szCs w:val="21"/>
        </w:rPr>
      </w:pPr>
      <w:r>
        <w:rPr>
          <w:rFonts w:asciiTheme="minorEastAsia" w:hAnsiTheme="minorEastAsia" w:eastAsiaTheme="minorEastAsia"/>
          <w:kern w:val="0"/>
          <w:sz w:val="21"/>
          <w:szCs w:val="21"/>
        </w:rPr>
        <w:t xml:space="preserve">  B.法定代表人或负责人或实际控制人是夫妻关系</w:t>
      </w:r>
    </w:p>
    <w:p>
      <w:pPr>
        <w:pStyle w:val="47"/>
        <w:snapToGrid w:val="0"/>
        <w:spacing w:line="360" w:lineRule="auto"/>
        <w:ind w:right="42" w:rightChars="20" w:firstLine="420" w:firstLineChars="200"/>
        <w:jc w:val="left"/>
        <w:rPr>
          <w:rFonts w:asciiTheme="minorEastAsia" w:hAnsiTheme="minorEastAsia" w:eastAsiaTheme="minorEastAsia"/>
          <w:spacing w:val="6"/>
          <w:sz w:val="21"/>
          <w:szCs w:val="21"/>
        </w:rPr>
      </w:pPr>
      <w:r>
        <w:rPr>
          <w:rFonts w:asciiTheme="minorEastAsia" w:hAnsiTheme="minorEastAsia" w:eastAsiaTheme="minorEastAsia"/>
          <w:kern w:val="0"/>
          <w:sz w:val="21"/>
          <w:szCs w:val="21"/>
        </w:rPr>
        <w:t xml:space="preserve">  C.法定代表人或负责人或实际控制人是直系血亲关系</w:t>
      </w:r>
    </w:p>
    <w:p>
      <w:pPr>
        <w:pStyle w:val="47"/>
        <w:snapToGrid w:val="0"/>
        <w:spacing w:line="360" w:lineRule="auto"/>
        <w:ind w:right="42" w:rightChars="20" w:firstLine="420" w:firstLineChars="200"/>
        <w:jc w:val="left"/>
        <w:rPr>
          <w:rFonts w:asciiTheme="minorEastAsia" w:hAnsiTheme="minorEastAsia" w:eastAsiaTheme="minorEastAsia"/>
          <w:spacing w:val="6"/>
          <w:sz w:val="21"/>
          <w:szCs w:val="21"/>
        </w:rPr>
      </w:pPr>
      <w:r>
        <w:rPr>
          <w:rFonts w:asciiTheme="minorEastAsia" w:hAnsiTheme="minorEastAsia" w:eastAsiaTheme="minorEastAsia"/>
          <w:kern w:val="0"/>
          <w:sz w:val="21"/>
          <w:szCs w:val="21"/>
        </w:rPr>
        <w:t xml:space="preserve">  D.法定代表人或负责人或实际控制人存在三代以内旁系血亲关系</w:t>
      </w:r>
    </w:p>
    <w:p>
      <w:pPr>
        <w:pStyle w:val="47"/>
        <w:snapToGrid w:val="0"/>
        <w:spacing w:line="360" w:lineRule="auto"/>
        <w:ind w:right="42" w:rightChars="20" w:firstLine="420" w:firstLineChars="200"/>
        <w:jc w:val="left"/>
        <w:rPr>
          <w:rFonts w:asciiTheme="minorEastAsia" w:hAnsiTheme="minorEastAsia" w:eastAsiaTheme="minorEastAsia"/>
          <w:kern w:val="0"/>
          <w:sz w:val="21"/>
          <w:szCs w:val="21"/>
        </w:rPr>
      </w:pPr>
      <w:r>
        <w:rPr>
          <w:rFonts w:asciiTheme="minorEastAsia" w:hAnsiTheme="minorEastAsia" w:eastAsiaTheme="minorEastAsia"/>
          <w:kern w:val="0"/>
          <w:sz w:val="21"/>
          <w:szCs w:val="21"/>
        </w:rPr>
        <w:t xml:space="preserve">  E.法定代表人或负责人或实际控制人存在近姻亲关系</w:t>
      </w:r>
    </w:p>
    <w:p>
      <w:pPr>
        <w:pStyle w:val="47"/>
        <w:snapToGrid w:val="0"/>
        <w:spacing w:line="360" w:lineRule="auto"/>
        <w:ind w:right="42" w:rightChars="20" w:firstLine="420" w:firstLineChars="200"/>
        <w:jc w:val="left"/>
        <w:rPr>
          <w:rFonts w:asciiTheme="minorEastAsia" w:hAnsiTheme="minorEastAsia" w:eastAsiaTheme="minorEastAsia"/>
          <w:kern w:val="0"/>
          <w:sz w:val="21"/>
          <w:szCs w:val="21"/>
        </w:rPr>
      </w:pPr>
      <w:r>
        <w:rPr>
          <w:rFonts w:asciiTheme="minorEastAsia" w:hAnsiTheme="minorEastAsia" w:eastAsiaTheme="minorEastAsia"/>
          <w:kern w:val="0"/>
          <w:sz w:val="21"/>
          <w:szCs w:val="21"/>
        </w:rPr>
        <w:t xml:space="preserve">  F.法定代表人或负责人或实际控制人存在股份控制或实际控制关系</w:t>
      </w:r>
    </w:p>
    <w:p>
      <w:pPr>
        <w:pStyle w:val="47"/>
        <w:snapToGrid w:val="0"/>
        <w:spacing w:line="360" w:lineRule="auto"/>
        <w:ind w:right="42" w:rightChars="20" w:firstLine="420" w:firstLineChars="200"/>
        <w:jc w:val="left"/>
        <w:rPr>
          <w:rFonts w:asciiTheme="minorEastAsia" w:hAnsiTheme="minorEastAsia" w:eastAsiaTheme="minorEastAsia"/>
          <w:kern w:val="0"/>
          <w:sz w:val="21"/>
          <w:szCs w:val="21"/>
        </w:rPr>
      </w:pPr>
      <w:r>
        <w:rPr>
          <w:rFonts w:asciiTheme="minorEastAsia" w:hAnsiTheme="minorEastAsia" w:eastAsiaTheme="minorEastAsia"/>
          <w:kern w:val="0"/>
          <w:sz w:val="21"/>
          <w:szCs w:val="21"/>
        </w:rPr>
        <w:t xml:space="preserve">  G.存在共同直接或间接投资设立子公司、联营企业和合营企业情况</w:t>
      </w:r>
    </w:p>
    <w:p>
      <w:pPr>
        <w:pStyle w:val="47"/>
        <w:snapToGrid w:val="0"/>
        <w:spacing w:line="360" w:lineRule="auto"/>
        <w:ind w:right="42" w:rightChars="20" w:firstLine="420" w:firstLineChars="200"/>
        <w:jc w:val="left"/>
        <w:rPr>
          <w:rFonts w:asciiTheme="minorEastAsia" w:hAnsiTheme="minorEastAsia" w:eastAsiaTheme="minorEastAsia"/>
          <w:sz w:val="21"/>
          <w:szCs w:val="21"/>
        </w:rPr>
      </w:pPr>
      <w:r>
        <w:rPr>
          <w:rFonts w:asciiTheme="minorEastAsia" w:hAnsiTheme="minorEastAsia" w:eastAsiaTheme="minorEastAsia"/>
          <w:kern w:val="0"/>
          <w:sz w:val="21"/>
          <w:szCs w:val="21"/>
        </w:rPr>
        <w:t xml:space="preserve">  H.存在分级代理或代销关系、同一生产制造商关系、</w:t>
      </w:r>
      <w:r>
        <w:rPr>
          <w:rFonts w:asciiTheme="minorEastAsia" w:hAnsiTheme="minorEastAsia" w:eastAsiaTheme="minorEastAsia"/>
          <w:sz w:val="21"/>
          <w:szCs w:val="21"/>
        </w:rPr>
        <w:t>管理关系、重要业务（占主营业务收入50%以上）或重要财务往来关系（如融资）等其他实质性控制关系</w:t>
      </w:r>
    </w:p>
    <w:p>
      <w:pPr>
        <w:pStyle w:val="47"/>
        <w:snapToGrid w:val="0"/>
        <w:spacing w:line="360" w:lineRule="auto"/>
        <w:ind w:right="42" w:rightChars="20" w:firstLine="420" w:firstLineChars="200"/>
        <w:jc w:val="left"/>
        <w:rPr>
          <w:rFonts w:asciiTheme="minorEastAsia" w:hAnsiTheme="minorEastAsia" w:eastAsiaTheme="minorEastAsia"/>
          <w:spacing w:val="6"/>
          <w:sz w:val="21"/>
          <w:szCs w:val="21"/>
        </w:rPr>
      </w:pPr>
      <w:r>
        <w:rPr>
          <w:rFonts w:asciiTheme="minorEastAsia" w:hAnsiTheme="minorEastAsia" w:eastAsiaTheme="minorEastAsia"/>
          <w:sz w:val="21"/>
          <w:szCs w:val="21"/>
        </w:rPr>
        <w:t xml:space="preserve">    I</w:t>
      </w:r>
      <w:r>
        <w:rPr>
          <w:rFonts w:asciiTheme="minorEastAsia" w:hAnsiTheme="minorEastAsia" w:eastAsiaTheme="minorEastAsia"/>
          <w:kern w:val="0"/>
          <w:sz w:val="21"/>
          <w:szCs w:val="21"/>
        </w:rPr>
        <w:t>.</w:t>
      </w:r>
      <w:r>
        <w:rPr>
          <w:rFonts w:asciiTheme="minorEastAsia" w:hAnsiTheme="minorEastAsia" w:eastAsiaTheme="minorEastAsia"/>
          <w:sz w:val="21"/>
          <w:szCs w:val="21"/>
        </w:rPr>
        <w:t>其他利害关系情况</w:t>
      </w:r>
      <w:r>
        <w:rPr>
          <w:rFonts w:asciiTheme="minorEastAsia" w:hAnsiTheme="minorEastAsia" w:eastAsiaTheme="minorEastAsia"/>
          <w:kern w:val="0"/>
          <w:sz w:val="21"/>
          <w:szCs w:val="21"/>
        </w:rPr>
        <w:t>。</w:t>
      </w:r>
    </w:p>
    <w:p>
      <w:pPr>
        <w:pStyle w:val="48"/>
        <w:widowControl/>
        <w:numPr>
          <w:ilvl w:val="0"/>
          <w:numId w:val="14"/>
        </w:numPr>
        <w:snapToGrid w:val="0"/>
        <w:spacing w:line="360" w:lineRule="auto"/>
        <w:ind w:right="42" w:rightChars="20" w:firstLine="420" w:firstLineChars="200"/>
        <w:jc w:val="left"/>
        <w:rPr>
          <w:rFonts w:hint="default" w:asciiTheme="minorEastAsia" w:hAnsiTheme="minorEastAsia" w:eastAsiaTheme="minorEastAsia"/>
          <w:kern w:val="0"/>
          <w:szCs w:val="21"/>
        </w:rPr>
      </w:pPr>
      <w:r>
        <w:rPr>
          <w:rFonts w:asciiTheme="minorEastAsia" w:hAnsiTheme="minorEastAsia" w:eastAsiaTheme="minorEastAsia"/>
          <w:szCs w:val="21"/>
        </w:rPr>
        <w:t>现已清楚知道并</w:t>
      </w:r>
      <w:r>
        <w:rPr>
          <w:rFonts w:asciiTheme="minorEastAsia" w:hAnsiTheme="minorEastAsia" w:eastAsiaTheme="minorEastAsia"/>
          <w:kern w:val="0"/>
          <w:szCs w:val="21"/>
        </w:rPr>
        <w:t>严格遵守政府采购法律法规和现场纪律。</w:t>
      </w:r>
    </w:p>
    <w:p>
      <w:pPr>
        <w:pStyle w:val="48"/>
        <w:widowControl/>
        <w:numPr>
          <w:ilvl w:val="0"/>
          <w:numId w:val="14"/>
        </w:numPr>
        <w:snapToGrid w:val="0"/>
        <w:spacing w:line="360" w:lineRule="auto"/>
        <w:ind w:right="42" w:rightChars="20" w:firstLine="420" w:firstLineChars="200"/>
        <w:jc w:val="left"/>
        <w:rPr>
          <w:rFonts w:hint="default" w:asciiTheme="minorEastAsia" w:hAnsiTheme="minorEastAsia" w:eastAsiaTheme="minorEastAsia"/>
          <w:kern w:val="0"/>
          <w:szCs w:val="21"/>
        </w:rPr>
      </w:pPr>
      <w:r>
        <w:rPr>
          <w:rFonts w:asciiTheme="minorEastAsia" w:hAnsiTheme="minorEastAsia" w:eastAsiaTheme="minorEastAsia"/>
          <w:kern w:val="0"/>
          <w:szCs w:val="21"/>
        </w:rPr>
        <w:t>我发现投标人之间存在或可能存在上述第二条第项利害关系。</w:t>
      </w:r>
    </w:p>
    <w:p>
      <w:pPr>
        <w:pStyle w:val="47"/>
        <w:snapToGrid w:val="0"/>
        <w:spacing w:line="360" w:lineRule="auto"/>
        <w:ind w:right="42" w:rightChars="20" w:firstLine="420" w:firstLineChars="200"/>
        <w:jc w:val="left"/>
        <w:rPr>
          <w:rFonts w:asciiTheme="minorEastAsia" w:hAnsiTheme="minorEastAsia" w:eastAsiaTheme="minorEastAsia"/>
          <w:sz w:val="21"/>
          <w:szCs w:val="21"/>
        </w:rPr>
      </w:pPr>
    </w:p>
    <w:p>
      <w:pPr>
        <w:pStyle w:val="47"/>
        <w:snapToGrid w:val="0"/>
        <w:spacing w:line="360" w:lineRule="auto"/>
        <w:ind w:right="42" w:rightChars="20" w:firstLine="420" w:firstLineChars="200"/>
        <w:jc w:val="left"/>
        <w:rPr>
          <w:rFonts w:asciiTheme="minorEastAsia" w:hAnsiTheme="minorEastAsia" w:eastAsiaTheme="minorEastAsia"/>
          <w:sz w:val="21"/>
          <w:szCs w:val="21"/>
        </w:rPr>
      </w:pPr>
    </w:p>
    <w:p>
      <w:pPr>
        <w:pStyle w:val="47"/>
        <w:snapToGrid w:val="0"/>
        <w:spacing w:line="360" w:lineRule="auto"/>
        <w:ind w:right="42" w:rightChars="2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法定代表人或其授权代表签字（或盖章）</w:t>
      </w:r>
      <w:r>
        <w:rPr>
          <w:rFonts w:asciiTheme="minorEastAsia" w:hAnsiTheme="minorEastAsia" w:eastAsiaTheme="minorEastAsia"/>
          <w:sz w:val="21"/>
          <w:szCs w:val="21"/>
        </w:rPr>
        <w:t>：</w:t>
      </w:r>
    </w:p>
    <w:p>
      <w:pPr>
        <w:snapToGrid w:val="0"/>
        <w:spacing w:line="360" w:lineRule="auto"/>
        <w:ind w:right="42" w:rightChars="20" w:firstLine="420" w:firstLineChars="200"/>
        <w:jc w:val="left"/>
        <w:rPr>
          <w:rFonts w:asciiTheme="minorEastAsia" w:hAnsiTheme="minorEastAsia" w:eastAsiaTheme="minorEastAsia"/>
          <w:b/>
          <w:szCs w:val="21"/>
        </w:rPr>
      </w:pPr>
      <w:r>
        <w:rPr>
          <w:rFonts w:asciiTheme="minorEastAsia" w:hAnsiTheme="minorEastAsia" w:eastAsiaTheme="minorEastAsia"/>
          <w:szCs w:val="21"/>
        </w:rPr>
        <w:t xml:space="preserve"> 年  月  日</w:t>
      </w:r>
    </w:p>
    <w:p>
      <w:pPr>
        <w:snapToGrid w:val="0"/>
        <w:spacing w:line="360" w:lineRule="auto"/>
        <w:jc w:val="left"/>
        <w:rPr>
          <w:rFonts w:ascii="宋体" w:hAnsi="宋体" w:cs="宋体"/>
          <w:b/>
          <w:szCs w:val="21"/>
        </w:rPr>
      </w:pPr>
      <w:r>
        <w:rPr>
          <w:rFonts w:hint="eastAsia" w:ascii="宋体" w:hAnsi="宋体" w:cs="宋体"/>
          <w:b/>
          <w:szCs w:val="21"/>
        </w:rPr>
        <w:br w:type="page"/>
      </w:r>
      <w:r>
        <w:rPr>
          <w:rFonts w:hint="eastAsia" w:ascii="宋体" w:hAnsi="宋体" w:cs="宋体"/>
          <w:b/>
          <w:szCs w:val="21"/>
        </w:rPr>
        <w:t>投标声明书格式：</w:t>
      </w:r>
    </w:p>
    <w:p>
      <w:pPr>
        <w:snapToGrid w:val="0"/>
        <w:spacing w:line="360" w:lineRule="auto"/>
        <w:ind w:firstLine="422" w:firstLineChars="200"/>
        <w:jc w:val="center"/>
        <w:rPr>
          <w:rFonts w:ascii="宋体" w:hAnsi="宋体" w:cs="宋体"/>
          <w:b/>
          <w:szCs w:val="21"/>
        </w:rPr>
      </w:pPr>
      <w:r>
        <w:rPr>
          <w:rFonts w:hint="eastAsia" w:ascii="宋体" w:hAnsi="宋体" w:cs="宋体"/>
          <w:b/>
          <w:szCs w:val="21"/>
        </w:rPr>
        <w:t>投标声明书</w:t>
      </w:r>
    </w:p>
    <w:p>
      <w:pPr>
        <w:snapToGrid w:val="0"/>
        <w:spacing w:line="360" w:lineRule="auto"/>
        <w:ind w:firstLine="420" w:firstLineChars="200"/>
        <w:jc w:val="left"/>
        <w:rPr>
          <w:rFonts w:ascii="宋体" w:hAnsi="宋体" w:cs="宋体"/>
          <w:szCs w:val="21"/>
        </w:rPr>
      </w:pPr>
      <w:r>
        <w:rPr>
          <w:rFonts w:hint="eastAsia" w:ascii="宋体" w:hAnsi="宋体" w:cs="宋体"/>
          <w:szCs w:val="21"/>
        </w:rPr>
        <w:t>致：</w:t>
      </w:r>
      <w:r>
        <w:rPr>
          <w:rFonts w:hint="eastAsia" w:ascii="宋体" w:hAnsi="宋体" w:cs="宋体"/>
          <w:kern w:val="0"/>
          <w:szCs w:val="21"/>
          <w:u w:val="single"/>
        </w:rPr>
        <w:t>嘉兴市秀洲区油车港镇人民政府</w:t>
      </w:r>
      <w:r>
        <w:rPr>
          <w:rFonts w:hint="eastAsia" w:ascii="宋体" w:hAnsi="宋体" w:cs="宋体"/>
          <w:szCs w:val="21"/>
        </w:rPr>
        <w:t>（招标采购单位名称）：</w:t>
      </w:r>
    </w:p>
    <w:p>
      <w:pPr>
        <w:snapToGrid w:val="0"/>
        <w:spacing w:line="360" w:lineRule="auto"/>
        <w:ind w:firstLine="420" w:firstLineChars="200"/>
        <w:jc w:val="left"/>
        <w:rPr>
          <w:rFonts w:ascii="宋体" w:hAnsi="宋体" w:cs="宋体"/>
          <w:szCs w:val="21"/>
        </w:rPr>
      </w:pPr>
      <w:r>
        <w:rPr>
          <w:rFonts w:hint="eastAsia" w:ascii="宋体" w:hAnsi="宋体" w:cs="宋体"/>
          <w:szCs w:val="21"/>
          <w:u w:val="single"/>
        </w:rPr>
        <w:t>　　　　　</w:t>
      </w:r>
      <w:r>
        <w:rPr>
          <w:rFonts w:hint="eastAsia" w:ascii="宋体" w:hAnsi="宋体" w:cs="宋体"/>
          <w:szCs w:val="21"/>
        </w:rPr>
        <w:t>（投标人名称）系中华人民共和国合法企业，经营地址</w:t>
      </w:r>
      <w:r>
        <w:rPr>
          <w:rFonts w:hint="eastAsia" w:ascii="宋体" w:hAnsi="宋体" w:cs="宋体"/>
          <w:szCs w:val="21"/>
          <w:u w:val="single"/>
        </w:rPr>
        <w:t>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我</w:t>
      </w:r>
      <w:r>
        <w:rPr>
          <w:rFonts w:hint="eastAsia" w:ascii="宋体" w:hAnsi="宋体" w:cs="宋体"/>
          <w:szCs w:val="21"/>
          <w:u w:val="single"/>
        </w:rPr>
        <w:t>　　　　　</w:t>
      </w:r>
      <w:r>
        <w:rPr>
          <w:rFonts w:hint="eastAsia" w:ascii="宋体" w:hAnsi="宋体" w:cs="宋体"/>
          <w:szCs w:val="21"/>
        </w:rPr>
        <w:t>（姓名）系</w:t>
      </w:r>
      <w:r>
        <w:rPr>
          <w:rFonts w:hint="eastAsia" w:ascii="宋体" w:hAnsi="宋体" w:cs="宋体"/>
          <w:szCs w:val="21"/>
          <w:u w:val="single"/>
        </w:rPr>
        <w:t>　　　　　</w:t>
      </w:r>
      <w:r>
        <w:rPr>
          <w:rFonts w:hint="eastAsia" w:ascii="宋体" w:hAnsi="宋体" w:cs="宋体"/>
          <w:szCs w:val="21"/>
        </w:rPr>
        <w:t>（投标人名称）的法定代表人，我方愿意参加贵方组织的</w:t>
      </w:r>
      <w:r>
        <w:rPr>
          <w:rFonts w:hint="eastAsia" w:ascii="宋体" w:hAnsi="宋体" w:cs="宋体"/>
          <w:szCs w:val="21"/>
          <w:u w:val="single"/>
        </w:rPr>
        <w:t>　　　　　</w:t>
      </w:r>
      <w:r>
        <w:rPr>
          <w:rFonts w:hint="eastAsia" w:ascii="宋体" w:hAnsi="宋体" w:cs="宋体"/>
          <w:szCs w:val="21"/>
        </w:rPr>
        <w:t>项目的投标，为便于贵方公正、择优地确定中标人及其投标产品和服务，我方就本次投标有关事项郑重声明如下：</w:t>
      </w:r>
    </w:p>
    <w:p>
      <w:pPr>
        <w:snapToGrid w:val="0"/>
        <w:spacing w:line="360" w:lineRule="auto"/>
        <w:ind w:firstLine="420" w:firstLineChars="200"/>
        <w:jc w:val="left"/>
        <w:rPr>
          <w:rFonts w:ascii="宋体" w:hAnsi="宋体" w:cs="宋体"/>
          <w:szCs w:val="21"/>
        </w:rPr>
      </w:pPr>
      <w:r>
        <w:rPr>
          <w:rFonts w:hint="eastAsia" w:ascii="宋体" w:hAnsi="宋体" w:cs="宋体"/>
          <w:szCs w:val="21"/>
        </w:rPr>
        <w:t>1、我方向贵方提交的所有投标文件、资料都是准确的和真实的。</w:t>
      </w:r>
    </w:p>
    <w:p>
      <w:pPr>
        <w:snapToGrid w:val="0"/>
        <w:spacing w:line="360" w:lineRule="auto"/>
        <w:ind w:firstLine="420" w:firstLineChars="200"/>
        <w:jc w:val="left"/>
        <w:rPr>
          <w:rFonts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s="宋体"/>
          <w:szCs w:val="21"/>
        </w:rPr>
      </w:pPr>
      <w:r>
        <w:rPr>
          <w:rFonts w:hint="eastAsia" w:ascii="宋体" w:hAnsi="宋体" w:cs="宋体"/>
          <w:spacing w:val="15"/>
          <w:kern w:val="0"/>
          <w:szCs w:val="21"/>
        </w:rPr>
        <w:t>3、我方此次向贵方提供的服务内容为</w:t>
      </w:r>
      <w:r>
        <w:rPr>
          <w:rFonts w:hint="eastAsia" w:ascii="宋体" w:hAnsi="宋体" w:cs="宋体"/>
          <w:szCs w:val="21"/>
          <w:u w:val="single"/>
        </w:rPr>
        <w:t>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4、我方诚意提请贵方关注：近期有关项目的售后服务等方面的重大决策和事项有：</w:t>
      </w:r>
    </w:p>
    <w:p>
      <w:pPr>
        <w:snapToGrid w:val="0"/>
        <w:spacing w:line="360" w:lineRule="auto"/>
        <w:ind w:firstLine="420" w:firstLineChars="200"/>
        <w:jc w:val="left"/>
        <w:rPr>
          <w:rFonts w:ascii="宋体" w:hAnsi="宋体" w:cs="宋体"/>
          <w:szCs w:val="21"/>
        </w:rPr>
      </w:pPr>
      <w:r>
        <w:rPr>
          <w:rFonts w:hint="eastAsia" w:ascii="宋体" w:hAnsi="宋体" w:cs="宋体"/>
          <w:szCs w:val="21"/>
          <w:u w:val="single"/>
        </w:rPr>
        <w:t>　　　　　　　　　　　　　　　　　　　　　　　　　　</w:t>
      </w:r>
    </w:p>
    <w:p>
      <w:pPr>
        <w:snapToGrid w:val="0"/>
        <w:spacing w:line="360" w:lineRule="auto"/>
        <w:ind w:firstLine="420" w:firstLineChars="200"/>
        <w:jc w:val="left"/>
        <w:rPr>
          <w:rFonts w:ascii="宋体" w:hAnsi="宋体" w:cs="宋体"/>
          <w:szCs w:val="21"/>
        </w:rPr>
      </w:pPr>
      <w:r>
        <w:rPr>
          <w:rFonts w:hint="eastAsia" w:ascii="宋体" w:hAnsi="宋体" w:cs="宋体"/>
          <w:szCs w:val="21"/>
        </w:rPr>
        <w:t>5、我方及由本人担任法定代表人的其他机构最近三年内被通报或者被处罚的违法行为有：</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u w:val="single"/>
        </w:rPr>
        <w:t>　　　　　　　　　　　　　　　　　　　　　　　　　　　</w:t>
      </w:r>
    </w:p>
    <w:p>
      <w:pPr>
        <w:snapToGrid w:val="0"/>
        <w:spacing w:line="360" w:lineRule="auto"/>
        <w:ind w:firstLine="420" w:firstLineChars="200"/>
        <w:jc w:val="left"/>
        <w:rPr>
          <w:rFonts w:ascii="宋体" w:hAnsi="宋体" w:cs="宋体"/>
          <w:szCs w:val="21"/>
        </w:rPr>
      </w:pPr>
      <w:r>
        <w:rPr>
          <w:rFonts w:hint="eastAsia" w:ascii="宋体" w:hAnsi="宋体" w:cs="宋体"/>
          <w:szCs w:val="21"/>
        </w:rPr>
        <w:t>6、以上事项如有虚假或隐瞒，我方愿意承担一切后果，并不再寻求任何旨在减轻或免除法律责任的辩解。</w:t>
      </w: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法定代表人签字（或盖章）：</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投标人公章：                      年    月    日</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br w:type="page"/>
      </w:r>
      <w:r>
        <w:rPr>
          <w:rFonts w:hint="eastAsia" w:ascii="宋体" w:hAnsi="宋体" w:cs="宋体"/>
          <w:b/>
          <w:szCs w:val="21"/>
        </w:rPr>
        <w:t>法定代表人授权委托书格式：</w:t>
      </w:r>
    </w:p>
    <w:p>
      <w:pPr>
        <w:snapToGrid w:val="0"/>
        <w:spacing w:line="360" w:lineRule="auto"/>
        <w:ind w:firstLine="422" w:firstLineChars="200"/>
        <w:jc w:val="center"/>
        <w:rPr>
          <w:rFonts w:ascii="宋体" w:hAnsi="宋体" w:cs="宋体"/>
          <w:b/>
          <w:szCs w:val="21"/>
        </w:rPr>
      </w:pPr>
      <w:r>
        <w:rPr>
          <w:rFonts w:hint="eastAsia" w:ascii="宋体" w:hAnsi="宋体" w:cs="宋体"/>
          <w:b/>
          <w:szCs w:val="21"/>
        </w:rPr>
        <w:t>法定代表人授权委托书</w:t>
      </w:r>
    </w:p>
    <w:p>
      <w:pPr>
        <w:snapToGrid w:val="0"/>
        <w:spacing w:line="360" w:lineRule="auto"/>
        <w:ind w:firstLine="420" w:firstLineChars="200"/>
        <w:jc w:val="left"/>
        <w:rPr>
          <w:rFonts w:ascii="宋体" w:hAnsi="宋体" w:cs="宋体"/>
          <w:bCs/>
          <w:szCs w:val="21"/>
        </w:rPr>
      </w:pPr>
    </w:p>
    <w:p>
      <w:pPr>
        <w:snapToGrid w:val="0"/>
        <w:spacing w:line="360" w:lineRule="auto"/>
        <w:ind w:firstLine="420" w:firstLineChars="200"/>
        <w:jc w:val="left"/>
        <w:rPr>
          <w:rFonts w:ascii="宋体" w:hAnsi="宋体" w:cs="宋体"/>
          <w:b/>
          <w:bCs/>
          <w:szCs w:val="21"/>
        </w:rPr>
      </w:pPr>
      <w:r>
        <w:rPr>
          <w:rFonts w:hint="eastAsia" w:ascii="宋体" w:hAnsi="宋体" w:cs="宋体"/>
          <w:bCs/>
          <w:szCs w:val="21"/>
        </w:rPr>
        <w:t>致：</w:t>
      </w:r>
      <w:r>
        <w:rPr>
          <w:rFonts w:hint="eastAsia" w:ascii="宋体" w:hAnsi="宋体" w:cs="宋体"/>
          <w:kern w:val="0"/>
          <w:szCs w:val="21"/>
          <w:u w:val="single"/>
        </w:rPr>
        <w:t>嘉兴市秀洲区油车港镇人民政府</w:t>
      </w:r>
      <w:r>
        <w:rPr>
          <w:rFonts w:hint="eastAsia" w:ascii="宋体" w:hAnsi="宋体" w:cs="宋体"/>
          <w:szCs w:val="21"/>
        </w:rPr>
        <w:t>（招标采购单位名称）：</w:t>
      </w:r>
    </w:p>
    <w:p>
      <w:pPr>
        <w:shd w:val="clear" w:color="auto" w:fill="FFFFFF"/>
        <w:snapToGrid w:val="0"/>
        <w:spacing w:line="360" w:lineRule="auto"/>
        <w:ind w:firstLine="420" w:firstLineChars="200"/>
        <w:jc w:val="left"/>
        <w:rPr>
          <w:rFonts w:ascii="宋体" w:hAnsi="宋体" w:cs="宋体"/>
          <w:b/>
          <w:bCs/>
          <w:szCs w:val="21"/>
          <w:u w:val="single"/>
        </w:rPr>
      </w:pPr>
      <w:r>
        <w:rPr>
          <w:rFonts w:hint="eastAsia" w:ascii="宋体" w:hAnsi="宋体" w:cs="宋体"/>
          <w:kern w:val="0"/>
          <w:szCs w:val="21"/>
          <w:lang w:val="zh-CN"/>
        </w:rPr>
        <w:t xml:space="preserve"> 兹委派我公司</w:t>
      </w:r>
      <w:r>
        <w:rPr>
          <w:rFonts w:hint="eastAsia" w:ascii="宋体" w:hAnsi="宋体" w:cs="宋体"/>
          <w:szCs w:val="21"/>
          <w:u w:val="single"/>
        </w:rPr>
        <w:t>　　　　　</w:t>
      </w:r>
      <w:r>
        <w:rPr>
          <w:rFonts w:hint="eastAsia" w:ascii="宋体" w:hAnsi="宋体" w:cs="宋体"/>
          <w:kern w:val="0"/>
          <w:szCs w:val="21"/>
          <w:lang w:val="zh-CN"/>
        </w:rPr>
        <w:t>先生/女士(其在本公司的职务是：</w:t>
      </w:r>
      <w:r>
        <w:rPr>
          <w:rFonts w:hint="eastAsia" w:ascii="宋体" w:hAnsi="宋体" w:cs="宋体"/>
          <w:szCs w:val="21"/>
          <w:u w:val="single"/>
        </w:rPr>
        <w:t>　　　　　</w:t>
      </w:r>
      <w:r>
        <w:rPr>
          <w:rFonts w:hint="eastAsia" w:ascii="宋体" w:hAnsi="宋体" w:cs="宋体"/>
          <w:kern w:val="0"/>
          <w:szCs w:val="21"/>
          <w:lang w:val="zh-CN"/>
        </w:rPr>
        <w:t>，联系电话：</w:t>
      </w:r>
      <w:r>
        <w:rPr>
          <w:rFonts w:hint="eastAsia" w:ascii="宋体" w:hAnsi="宋体" w:cs="宋体"/>
          <w:szCs w:val="21"/>
          <w:u w:val="single"/>
        </w:rPr>
        <w:t>　　　　　</w:t>
      </w:r>
      <w:r>
        <w:rPr>
          <w:rFonts w:hint="eastAsia" w:ascii="宋体" w:hAnsi="宋体" w:cs="宋体"/>
          <w:kern w:val="0"/>
          <w:szCs w:val="21"/>
          <w:lang w:val="zh-CN"/>
        </w:rPr>
        <w:t>手机：</w:t>
      </w:r>
      <w:r>
        <w:rPr>
          <w:rFonts w:hint="eastAsia" w:ascii="宋体" w:hAnsi="宋体" w:cs="宋体"/>
          <w:szCs w:val="21"/>
          <w:u w:val="single"/>
        </w:rPr>
        <w:t>　　　　　</w:t>
      </w:r>
      <w:r>
        <w:rPr>
          <w:rFonts w:hint="eastAsia" w:ascii="宋体" w:hAnsi="宋体" w:cs="宋体"/>
          <w:kern w:val="0"/>
          <w:szCs w:val="21"/>
          <w:lang w:val="zh-CN"/>
        </w:rPr>
        <w:t>传真：</w:t>
      </w:r>
      <w:r>
        <w:rPr>
          <w:rFonts w:hint="eastAsia" w:ascii="宋体" w:hAnsi="宋体" w:cs="宋体"/>
          <w:szCs w:val="21"/>
          <w:u w:val="single"/>
        </w:rPr>
        <w:t>　　　　　</w:t>
      </w:r>
      <w:r>
        <w:rPr>
          <w:rFonts w:hint="eastAsia" w:ascii="宋体" w:hAnsi="宋体" w:cs="宋体"/>
          <w:kern w:val="0"/>
          <w:szCs w:val="21"/>
          <w:lang w:val="zh-CN"/>
        </w:rPr>
        <w:t>)，代表我公司全权处理</w:t>
      </w:r>
    </w:p>
    <w:p>
      <w:pPr>
        <w:shd w:val="clear" w:color="auto" w:fill="FFFFFF"/>
        <w:snapToGrid w:val="0"/>
        <w:spacing w:line="360" w:lineRule="auto"/>
        <w:jc w:val="left"/>
        <w:rPr>
          <w:rFonts w:ascii="宋体" w:hAnsi="宋体" w:cs="宋体"/>
          <w:szCs w:val="21"/>
        </w:rPr>
      </w:pPr>
      <w:r>
        <w:rPr>
          <w:rFonts w:hint="eastAsia" w:ascii="宋体" w:hAnsi="宋体" w:cs="宋体"/>
          <w:b/>
          <w:bCs/>
          <w:szCs w:val="21"/>
        </w:rPr>
        <w:t>项目</w:t>
      </w:r>
      <w:r>
        <w:rPr>
          <w:rFonts w:hint="eastAsia" w:ascii="宋体" w:hAnsi="宋体" w:cs="宋体"/>
          <w:szCs w:val="21"/>
        </w:rPr>
        <w:t>(编号：ZJJY-2022-024)政府采购投标的一切事项</w:t>
      </w:r>
      <w:r>
        <w:rPr>
          <w:rFonts w:hint="eastAsia" w:ascii="宋体" w:hAnsi="宋体" w:cs="宋体"/>
          <w:kern w:val="0"/>
          <w:szCs w:val="21"/>
          <w:lang w:val="zh-CN"/>
        </w:rPr>
        <w:t>。</w:t>
      </w:r>
    </w:p>
    <w:p>
      <w:pPr>
        <w:shd w:val="clear" w:color="auto" w:fill="FFFFFF"/>
        <w:snapToGrid w:val="0"/>
        <w:spacing w:line="360" w:lineRule="auto"/>
        <w:ind w:firstLine="420" w:firstLineChars="200"/>
        <w:jc w:val="left"/>
        <w:rPr>
          <w:rFonts w:ascii="宋体" w:hAnsi="宋体" w:cs="宋体"/>
          <w:kern w:val="0"/>
          <w:szCs w:val="21"/>
        </w:rPr>
      </w:pPr>
      <w:r>
        <w:rPr>
          <w:rFonts w:hint="eastAsia" w:ascii="宋体" w:hAnsi="宋体" w:cs="宋体"/>
          <w:kern w:val="0"/>
          <w:szCs w:val="21"/>
          <w:lang w:val="zh-CN"/>
        </w:rPr>
        <w:t xml:space="preserve">    特此告知。</w:t>
      </w:r>
    </w:p>
    <w:p>
      <w:pPr>
        <w:shd w:val="clear" w:color="auto" w:fill="FFFFFF"/>
        <w:snapToGrid w:val="0"/>
        <w:spacing w:line="360" w:lineRule="auto"/>
        <w:ind w:firstLine="420" w:firstLineChars="200"/>
        <w:jc w:val="left"/>
        <w:rPr>
          <w:rFonts w:ascii="宋体" w:hAnsi="宋体" w:cs="宋体"/>
          <w:kern w:val="0"/>
          <w:szCs w:val="21"/>
        </w:rPr>
      </w:pPr>
    </w:p>
    <w:p>
      <w:pPr>
        <w:shd w:val="clear" w:color="auto" w:fill="FFFFFF"/>
        <w:snapToGrid w:val="0"/>
        <w:spacing w:line="360" w:lineRule="auto"/>
        <w:ind w:firstLine="420" w:firstLineChars="200"/>
        <w:jc w:val="left"/>
        <w:rPr>
          <w:rFonts w:ascii="宋体" w:hAnsi="宋体" w:cs="宋体"/>
          <w:kern w:val="0"/>
          <w:szCs w:val="21"/>
          <w:lang w:val="zh-CN"/>
        </w:rPr>
      </w:pP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被授权人签名：                 法定代表人签字（或盖章）：</w:t>
      </w:r>
    </w:p>
    <w:p>
      <w:pPr>
        <w:snapToGrid w:val="0"/>
        <w:spacing w:line="360" w:lineRule="auto"/>
        <w:ind w:firstLine="420" w:firstLineChars="200"/>
        <w:jc w:val="left"/>
        <w:rPr>
          <w:rFonts w:ascii="宋体" w:hAnsi="宋体" w:cs="宋体"/>
          <w:szCs w:val="21"/>
        </w:rPr>
      </w:pPr>
      <w:r>
        <w:rPr>
          <w:rFonts w:hint="eastAsia" w:ascii="宋体" w:hAnsi="宋体" w:cs="宋体"/>
          <w:szCs w:val="21"/>
        </w:rPr>
        <w:t>职务：                          职务：</w:t>
      </w:r>
    </w:p>
    <w:p>
      <w:pPr>
        <w:snapToGrid w:val="0"/>
        <w:spacing w:line="360" w:lineRule="auto"/>
        <w:ind w:firstLine="420" w:firstLineChars="200"/>
        <w:jc w:val="left"/>
        <w:rPr>
          <w:rFonts w:ascii="宋体" w:hAnsi="宋体" w:cs="宋体"/>
          <w:szCs w:val="21"/>
        </w:rPr>
      </w:pPr>
      <w:r>
        <w:rPr>
          <w:rFonts w:hint="eastAsia" w:ascii="宋体" w:hAnsi="宋体" w:cs="宋体"/>
          <w:szCs w:val="21"/>
        </w:rPr>
        <w:t>被授权人身份证号码：</w:t>
      </w: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  投标人公章：</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                                        年    月    日</w:t>
      </w:r>
    </w:p>
    <w:p>
      <w:pPr>
        <w:snapToGrid w:val="0"/>
        <w:spacing w:line="360" w:lineRule="auto"/>
        <w:ind w:firstLine="420" w:firstLineChars="200"/>
        <w:jc w:val="left"/>
        <w:rPr>
          <w:rFonts w:ascii="宋体" w:hAnsi="宋体" w:cs="宋体"/>
          <w:szCs w:val="21"/>
        </w:rPr>
      </w:pPr>
    </w:p>
    <w:p>
      <w:pPr>
        <w:pStyle w:val="19"/>
        <w:snapToGrid w:val="0"/>
        <w:spacing w:line="360" w:lineRule="auto"/>
        <w:ind w:firstLine="420" w:firstLineChars="200"/>
        <w:jc w:val="left"/>
        <w:rPr>
          <w:rFonts w:hAnsi="宋体" w:cs="宋体"/>
          <w:szCs w:val="21"/>
        </w:rPr>
      </w:pPr>
      <w:r>
        <w:rPr>
          <w:rFonts w:hint="eastAsia" w:hAnsi="宋体" w:cs="宋体"/>
          <w:szCs w:val="21"/>
        </w:rPr>
        <w:t>附法定代表人及被授权人身份证正反面复印件</w:t>
      </w:r>
    </w:p>
    <w:p>
      <w:pPr>
        <w:snapToGrid w:val="0"/>
        <w:spacing w:line="360" w:lineRule="auto"/>
        <w:ind w:firstLine="420" w:firstLineChars="200"/>
        <w:jc w:val="left"/>
        <w:rPr>
          <w:rFonts w:ascii="宋体" w:hAnsi="宋体" w:cs="宋体"/>
          <w:b/>
          <w:szCs w:val="21"/>
        </w:rPr>
      </w:pPr>
      <w:r>
        <w:rPr>
          <w:rFonts w:hint="eastAsia" w:ascii="宋体" w:hAnsi="宋体" w:cs="宋体"/>
          <w:szCs w:val="21"/>
        </w:rPr>
        <w:br w:type="page"/>
      </w:r>
      <w:r>
        <w:rPr>
          <w:rFonts w:hint="eastAsia" w:ascii="宋体" w:hAnsi="宋体" w:cs="宋体"/>
          <w:b/>
          <w:szCs w:val="21"/>
        </w:rPr>
        <w:t>具有履行合同所必需的设备和专业技术能力承诺函：</w:t>
      </w:r>
    </w:p>
    <w:p>
      <w:pPr>
        <w:spacing w:line="360" w:lineRule="auto"/>
        <w:ind w:firstLine="422" w:firstLineChars="200"/>
        <w:jc w:val="left"/>
        <w:rPr>
          <w:rFonts w:ascii="宋体" w:hAnsi="宋体" w:cs="宋体"/>
          <w:b/>
          <w:szCs w:val="21"/>
        </w:rPr>
      </w:pPr>
    </w:p>
    <w:p>
      <w:pPr>
        <w:spacing w:line="360" w:lineRule="auto"/>
        <w:ind w:firstLine="422" w:firstLineChars="200"/>
        <w:jc w:val="center"/>
        <w:rPr>
          <w:rFonts w:ascii="宋体" w:hAnsi="宋体" w:cs="宋体"/>
          <w:b/>
          <w:szCs w:val="21"/>
        </w:rPr>
      </w:pPr>
      <w:r>
        <w:rPr>
          <w:rFonts w:hint="eastAsia" w:ascii="宋体" w:hAnsi="宋体" w:cs="宋体"/>
          <w:b/>
          <w:szCs w:val="21"/>
        </w:rPr>
        <w:t>具有履行合同所必需的设备和专业技术能力承诺函</w:t>
      </w:r>
    </w:p>
    <w:p>
      <w:pPr>
        <w:spacing w:line="360" w:lineRule="auto"/>
        <w:ind w:firstLine="422" w:firstLineChars="200"/>
        <w:jc w:val="left"/>
        <w:rPr>
          <w:rFonts w:ascii="宋体" w:hAnsi="宋体" w:cs="宋体"/>
          <w:szCs w:val="21"/>
        </w:rPr>
      </w:pPr>
      <w:r>
        <w:rPr>
          <w:rFonts w:hint="eastAsia" w:ascii="宋体" w:hAnsi="宋体" w:cs="宋体"/>
          <w:b/>
          <w:kern w:val="0"/>
          <w:szCs w:val="21"/>
          <w:u w:val="single"/>
        </w:rPr>
        <w:t>嘉兴市秀洲区油车港镇人民政府</w:t>
      </w:r>
      <w:r>
        <w:rPr>
          <w:rFonts w:hint="eastAsia" w:ascii="宋体" w:hAnsi="宋体" w:cs="宋体"/>
          <w:szCs w:val="21"/>
        </w:rPr>
        <w:t>：</w:t>
      </w:r>
    </w:p>
    <w:p>
      <w:pPr>
        <w:snapToGrid w:val="0"/>
        <w:spacing w:line="360" w:lineRule="auto"/>
        <w:ind w:firstLine="420" w:firstLineChars="200"/>
        <w:jc w:val="left"/>
        <w:rPr>
          <w:rFonts w:ascii="宋体" w:hAnsi="宋体" w:cs="宋体"/>
          <w:szCs w:val="21"/>
          <w:shd w:val="clear" w:color="auto" w:fill="FFFFFF"/>
        </w:rPr>
      </w:pPr>
    </w:p>
    <w:p>
      <w:pPr>
        <w:snapToGrid w:val="0"/>
        <w:spacing w:line="360" w:lineRule="auto"/>
        <w:ind w:firstLine="420" w:firstLineChars="200"/>
        <w:jc w:val="left"/>
        <w:rPr>
          <w:rFonts w:ascii="宋体" w:hAnsi="宋体" w:cs="宋体"/>
          <w:szCs w:val="21"/>
        </w:rPr>
      </w:pPr>
      <w:r>
        <w:rPr>
          <w:rFonts w:hint="eastAsia" w:ascii="宋体" w:hAnsi="宋体" w:cs="宋体"/>
          <w:szCs w:val="21"/>
          <w:shd w:val="clear" w:color="auto" w:fill="FFFFFF"/>
        </w:rPr>
        <w:t>本公司</w:t>
      </w:r>
      <w:r>
        <w:rPr>
          <w:rFonts w:hint="eastAsia" w:ascii="宋体" w:hAnsi="宋体" w:cs="宋体"/>
          <w:szCs w:val="21"/>
          <w:u w:val="single"/>
        </w:rPr>
        <w:t>　　　　　</w:t>
      </w:r>
      <w:r>
        <w:rPr>
          <w:rFonts w:hint="eastAsia" w:ascii="宋体" w:hAnsi="宋体" w:cs="宋体"/>
          <w:szCs w:val="21"/>
          <w:shd w:val="clear" w:color="auto" w:fill="FFFFFF"/>
        </w:rPr>
        <w:t>（公司名称）参加</w:t>
      </w:r>
      <w:r>
        <w:rPr>
          <w:rFonts w:hint="eastAsia" w:ascii="宋体" w:hAnsi="宋体" w:cs="宋体"/>
          <w:szCs w:val="21"/>
          <w:u w:val="single"/>
        </w:rPr>
        <w:t>　　　　　</w:t>
      </w:r>
      <w:r>
        <w:rPr>
          <w:rFonts w:hint="eastAsia" w:ascii="宋体" w:hAnsi="宋体" w:cs="宋体"/>
          <w:szCs w:val="21"/>
          <w:shd w:val="clear" w:color="auto" w:fill="FFFFFF"/>
        </w:rPr>
        <w:t>投标活动，现承诺如下：</w:t>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shd w:val="clear" w:color="auto" w:fill="FFFFFF"/>
        </w:rPr>
        <w:t>我公司具有履行合同所需的设备和专业技术能力；</w:t>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shd w:val="clear" w:color="auto" w:fill="FFFFFF"/>
        </w:rPr>
        <w:t>如违反以上承诺，本公司愿承担一切法律责任。</w:t>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snapToGrid w:val="0"/>
        <w:spacing w:line="360" w:lineRule="auto"/>
        <w:ind w:firstLine="420" w:firstLineChars="200"/>
        <w:jc w:val="left"/>
        <w:rPr>
          <w:rFonts w:ascii="宋体" w:hAnsi="宋体" w:cs="宋体"/>
          <w:szCs w:val="21"/>
          <w:u w:val="single"/>
        </w:rPr>
      </w:pPr>
    </w:p>
    <w:p>
      <w:pPr>
        <w:snapToGrid w:val="0"/>
        <w:spacing w:line="360" w:lineRule="auto"/>
        <w:ind w:firstLine="420" w:firstLineChars="200"/>
        <w:jc w:val="left"/>
        <w:rPr>
          <w:rFonts w:ascii="宋体" w:hAnsi="宋体" w:cs="宋体"/>
          <w:szCs w:val="21"/>
        </w:rPr>
      </w:pPr>
    </w:p>
    <w:p>
      <w:pPr>
        <w:snapToGrid w:val="0"/>
        <w:spacing w:line="360" w:lineRule="auto"/>
        <w:ind w:firstLine="422" w:firstLineChars="200"/>
        <w:jc w:val="left"/>
        <w:rPr>
          <w:rFonts w:ascii="宋体" w:hAnsi="宋体" w:cs="宋体"/>
          <w:b/>
          <w:szCs w:val="21"/>
        </w:rPr>
      </w:pPr>
    </w:p>
    <w:p>
      <w:pPr>
        <w:snapToGrid w:val="0"/>
        <w:spacing w:line="360" w:lineRule="auto"/>
        <w:ind w:firstLine="422" w:firstLineChars="200"/>
        <w:jc w:val="left"/>
        <w:rPr>
          <w:rFonts w:ascii="宋体" w:hAnsi="宋体" w:cs="宋体"/>
          <w:b/>
          <w:szCs w:val="21"/>
        </w:rPr>
      </w:pPr>
      <w:r>
        <w:rPr>
          <w:rFonts w:hint="eastAsia" w:ascii="宋体" w:hAnsi="宋体" w:cs="宋体"/>
          <w:b/>
          <w:szCs w:val="21"/>
        </w:rPr>
        <w:br w:type="page"/>
      </w:r>
      <w:r>
        <w:rPr>
          <w:rFonts w:hint="eastAsia" w:ascii="宋体" w:hAnsi="宋体" w:cs="宋体"/>
          <w:b/>
          <w:szCs w:val="21"/>
        </w:rPr>
        <w:t>参加政府采购活动前三年，在经营活动中没有重大违法记录（承诺函）</w:t>
      </w:r>
    </w:p>
    <w:p>
      <w:pPr>
        <w:spacing w:line="360" w:lineRule="auto"/>
        <w:ind w:firstLine="420" w:firstLineChars="200"/>
        <w:jc w:val="left"/>
        <w:rPr>
          <w:rFonts w:ascii="宋体" w:hAnsi="宋体" w:cs="宋体"/>
          <w:szCs w:val="21"/>
          <w:u w:val="single"/>
        </w:rPr>
      </w:pPr>
    </w:p>
    <w:p>
      <w:pPr>
        <w:spacing w:line="360" w:lineRule="auto"/>
        <w:ind w:firstLine="422" w:firstLineChars="200"/>
        <w:jc w:val="center"/>
        <w:rPr>
          <w:rFonts w:ascii="宋体" w:hAnsi="宋体" w:cs="宋体"/>
          <w:szCs w:val="21"/>
        </w:rPr>
      </w:pPr>
      <w:r>
        <w:rPr>
          <w:rFonts w:hint="eastAsia" w:ascii="宋体" w:hAnsi="宋体" w:cs="宋体"/>
          <w:b/>
          <w:kern w:val="0"/>
          <w:szCs w:val="21"/>
          <w:u w:val="single"/>
        </w:rPr>
        <w:t>嘉兴市秀洲区油车港镇人民政府</w:t>
      </w:r>
      <w:r>
        <w:rPr>
          <w:rFonts w:hint="eastAsia" w:ascii="宋体" w:hAnsi="宋体" w:cs="宋体"/>
          <w:szCs w:val="21"/>
        </w:rPr>
        <w:t>：</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我公司声明截止投标时间近三年以来，在经营活动中没有重大违法记录；也没有因违反《浙江省政府采购投标人注册及诚信管理暂行办法》被列入“黑名单”，正在处罚有效期。</w:t>
      </w:r>
    </w:p>
    <w:p>
      <w:pPr>
        <w:spacing w:line="360" w:lineRule="auto"/>
        <w:ind w:firstLine="420" w:firstLineChars="200"/>
        <w:jc w:val="left"/>
        <w:rPr>
          <w:rFonts w:ascii="宋体" w:hAnsi="宋体" w:cs="宋体"/>
          <w:szCs w:val="21"/>
        </w:rPr>
      </w:pPr>
      <w:r>
        <w:rPr>
          <w:rFonts w:hint="eastAsia" w:ascii="宋体" w:hAnsi="宋体" w:cs="宋体"/>
          <w:szCs w:val="21"/>
        </w:rPr>
        <w:t>特此承诺。</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snapToGrid w:val="0"/>
        <w:spacing w:line="360" w:lineRule="auto"/>
        <w:ind w:firstLine="420" w:firstLineChars="200"/>
        <w:jc w:val="left"/>
        <w:rPr>
          <w:rFonts w:ascii="宋体" w:hAnsi="宋体" w:cs="宋体"/>
          <w:szCs w:val="21"/>
        </w:rPr>
        <w:sectPr>
          <w:pgSz w:w="11907" w:h="16839"/>
          <w:pgMar w:top="1474" w:right="1797" w:bottom="1247" w:left="1797" w:header="851" w:footer="851" w:gutter="0"/>
          <w:cols w:space="720" w:num="1"/>
          <w:docGrid w:linePitch="312" w:charSpace="0"/>
        </w:sectPr>
      </w:pPr>
    </w:p>
    <w:p>
      <w:pPr>
        <w:rPr>
          <w:rFonts w:ascii="宋体" w:hAnsi="宋体" w:cs="宋体"/>
        </w:rPr>
      </w:pPr>
    </w:p>
    <w:p>
      <w:pPr>
        <w:pStyle w:val="19"/>
        <w:snapToGrid w:val="0"/>
        <w:spacing w:line="360" w:lineRule="auto"/>
        <w:ind w:firstLine="422" w:firstLineChars="200"/>
        <w:jc w:val="left"/>
        <w:rPr>
          <w:rFonts w:hAnsi="宋体" w:cs="宋体"/>
          <w:b/>
          <w:szCs w:val="21"/>
        </w:rPr>
      </w:pPr>
      <w:r>
        <w:rPr>
          <w:rFonts w:hint="eastAsia" w:hAnsi="宋体" w:cs="宋体"/>
          <w:b/>
          <w:szCs w:val="21"/>
        </w:rPr>
        <w:t>中小企业声明函</w:t>
      </w:r>
    </w:p>
    <w:p>
      <w:pPr>
        <w:snapToGrid w:val="0"/>
        <w:spacing w:line="460" w:lineRule="exact"/>
        <w:jc w:val="center"/>
        <w:rPr>
          <w:rFonts w:ascii="宋体" w:hAnsi="宋体" w:cs="宋体"/>
          <w:b/>
          <w:szCs w:val="21"/>
        </w:rPr>
      </w:pPr>
      <w:r>
        <w:rPr>
          <w:rFonts w:hint="eastAsia" w:ascii="宋体" w:hAnsi="宋体" w:cs="宋体"/>
          <w:b/>
          <w:szCs w:val="21"/>
        </w:rPr>
        <w:t>中小企业声明函（工程、服务）</w:t>
      </w:r>
    </w:p>
    <w:p>
      <w:pPr>
        <w:pStyle w:val="53"/>
        <w:spacing w:line="460" w:lineRule="exact"/>
        <w:ind w:right="157" w:firstLine="875" w:firstLineChars="417"/>
        <w:rPr>
          <w:rFonts w:hint="default" w:ascii="宋体" w:hAnsi="宋体" w:eastAsia="宋体" w:cs="宋体"/>
          <w:color w:val="auto"/>
          <w:sz w:val="21"/>
          <w:szCs w:val="21"/>
        </w:rPr>
      </w:pPr>
      <w:r>
        <w:rPr>
          <w:rFonts w:ascii="宋体" w:hAnsi="宋体" w:eastAsia="宋体" w:cs="宋体"/>
          <w:color w:val="auto"/>
          <w:sz w:val="21"/>
          <w:szCs w:val="21"/>
        </w:rPr>
        <w:t>本公司（联合体）郑重声明，根据《政府采购促进中小企业发展管理办法》（财库﹝2020﹞46 号）的规定，本公司（联合体）参加</w:t>
      </w:r>
      <w:r>
        <w:rPr>
          <w:rFonts w:ascii="宋体" w:hAnsi="宋体" w:eastAsia="宋体" w:cs="宋体"/>
          <w:color w:val="auto"/>
          <w:sz w:val="21"/>
          <w:szCs w:val="21"/>
          <w:u w:val="single"/>
        </w:rPr>
        <w:t>（单位名称）</w:t>
      </w:r>
      <w:r>
        <w:rPr>
          <w:rFonts w:ascii="宋体" w:hAnsi="宋体" w:eastAsia="宋体" w:cs="宋体"/>
          <w:color w:val="auto"/>
          <w:sz w:val="21"/>
          <w:szCs w:val="21"/>
        </w:rPr>
        <w:t>的</w:t>
      </w:r>
      <w:r>
        <w:rPr>
          <w:rFonts w:ascii="宋体" w:hAnsi="宋体" w:eastAsia="宋体" w:cs="宋体"/>
          <w:color w:val="auto"/>
          <w:sz w:val="21"/>
          <w:szCs w:val="21"/>
          <w:u w:val="single"/>
        </w:rPr>
        <w:t>（项目名称）</w:t>
      </w:r>
      <w:r>
        <w:rPr>
          <w:rFonts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53"/>
        <w:spacing w:line="460" w:lineRule="exact"/>
        <w:ind w:right="157" w:firstLine="875" w:firstLineChars="417"/>
        <w:rPr>
          <w:rFonts w:hint="default" w:ascii="宋体" w:hAnsi="宋体" w:eastAsia="宋体" w:cs="宋体"/>
          <w:color w:val="auto"/>
          <w:sz w:val="21"/>
          <w:szCs w:val="21"/>
        </w:rPr>
      </w:pPr>
      <w:r>
        <w:rPr>
          <w:rFonts w:ascii="宋体" w:hAnsi="宋体" w:eastAsia="宋体" w:cs="宋体"/>
          <w:color w:val="auto"/>
          <w:sz w:val="21"/>
          <w:szCs w:val="21"/>
        </w:rPr>
        <w:t xml:space="preserve">1. </w:t>
      </w:r>
      <w:r>
        <w:rPr>
          <w:rFonts w:ascii="宋体" w:hAnsi="宋体" w:eastAsia="宋体" w:cs="宋体"/>
          <w:color w:val="auto"/>
          <w:sz w:val="21"/>
          <w:szCs w:val="21"/>
          <w:u w:val="single"/>
        </w:rPr>
        <w:t>（标的名称）</w:t>
      </w:r>
      <w:r>
        <w:rPr>
          <w:rFonts w:ascii="宋体" w:hAnsi="宋体" w:eastAsia="宋体" w:cs="宋体"/>
          <w:color w:val="auto"/>
          <w:sz w:val="21"/>
          <w:szCs w:val="21"/>
        </w:rPr>
        <w:t>，属于</w:t>
      </w:r>
      <w:r>
        <w:rPr>
          <w:rFonts w:ascii="宋体" w:hAnsi="宋体" w:eastAsia="宋体" w:cs="宋体"/>
          <w:color w:val="auto"/>
          <w:sz w:val="21"/>
          <w:szCs w:val="21"/>
          <w:u w:val="single"/>
        </w:rPr>
        <w:t>（采购文件中明确的所属行业）</w:t>
      </w:r>
      <w:r>
        <w:rPr>
          <w:rFonts w:ascii="宋体" w:hAnsi="宋体" w:eastAsia="宋体" w:cs="宋体"/>
          <w:color w:val="auto"/>
          <w:sz w:val="21"/>
          <w:szCs w:val="21"/>
        </w:rPr>
        <w:t>；承建（承接）企业为</w:t>
      </w:r>
      <w:r>
        <w:rPr>
          <w:rFonts w:ascii="宋体" w:hAnsi="宋体" w:eastAsia="宋体" w:cs="宋体"/>
          <w:color w:val="auto"/>
          <w:sz w:val="21"/>
          <w:szCs w:val="21"/>
          <w:u w:val="single"/>
        </w:rPr>
        <w:t>（企业名称）</w:t>
      </w:r>
      <w:r>
        <w:rPr>
          <w:rFonts w:ascii="宋体" w:hAnsi="宋体" w:eastAsia="宋体" w:cs="宋体"/>
          <w:color w:val="auto"/>
          <w:sz w:val="21"/>
          <w:szCs w:val="21"/>
        </w:rPr>
        <w:t>，从业人员 人，营业收入为 万元，资产总额为 万元，属于（中型企业、小型企业、微型企业）；</w:t>
      </w:r>
    </w:p>
    <w:p>
      <w:pPr>
        <w:pStyle w:val="53"/>
        <w:spacing w:line="460" w:lineRule="exact"/>
        <w:ind w:right="157" w:firstLine="875" w:firstLineChars="417"/>
        <w:rPr>
          <w:rFonts w:hint="default" w:ascii="宋体" w:hAnsi="宋体" w:eastAsia="宋体" w:cs="宋体"/>
          <w:color w:val="auto"/>
          <w:sz w:val="21"/>
          <w:szCs w:val="21"/>
        </w:rPr>
      </w:pPr>
      <w:r>
        <w:rPr>
          <w:rFonts w:ascii="宋体" w:hAnsi="宋体" w:eastAsia="宋体" w:cs="宋体"/>
          <w:color w:val="auto"/>
          <w:sz w:val="21"/>
          <w:szCs w:val="21"/>
        </w:rPr>
        <w:t xml:space="preserve">2. </w:t>
      </w:r>
      <w:r>
        <w:rPr>
          <w:rFonts w:ascii="宋体" w:hAnsi="宋体" w:eastAsia="宋体" w:cs="宋体"/>
          <w:color w:val="auto"/>
          <w:sz w:val="21"/>
          <w:szCs w:val="21"/>
          <w:u w:val="single"/>
        </w:rPr>
        <w:t>（标的名称）</w:t>
      </w:r>
      <w:r>
        <w:rPr>
          <w:rFonts w:ascii="宋体" w:hAnsi="宋体" w:eastAsia="宋体" w:cs="宋体"/>
          <w:color w:val="auto"/>
          <w:sz w:val="21"/>
          <w:szCs w:val="21"/>
        </w:rPr>
        <w:t>，属于</w:t>
      </w:r>
      <w:r>
        <w:rPr>
          <w:rFonts w:ascii="宋体" w:hAnsi="宋体" w:eastAsia="宋体" w:cs="宋体"/>
          <w:color w:val="auto"/>
          <w:sz w:val="21"/>
          <w:szCs w:val="21"/>
          <w:u w:val="single"/>
        </w:rPr>
        <w:t>（采购文件中明确的所属行业）</w:t>
      </w:r>
      <w:r>
        <w:rPr>
          <w:rFonts w:ascii="宋体" w:hAnsi="宋体" w:eastAsia="宋体" w:cs="宋体"/>
          <w:color w:val="auto"/>
          <w:sz w:val="21"/>
          <w:szCs w:val="21"/>
        </w:rPr>
        <w:t>；承建（承接）企业为</w:t>
      </w:r>
      <w:r>
        <w:rPr>
          <w:rFonts w:ascii="宋体" w:hAnsi="宋体" w:eastAsia="宋体" w:cs="宋体"/>
          <w:color w:val="auto"/>
          <w:sz w:val="21"/>
          <w:szCs w:val="21"/>
          <w:u w:val="single"/>
        </w:rPr>
        <w:t>（企业名称）</w:t>
      </w:r>
      <w:r>
        <w:rPr>
          <w:rFonts w:ascii="宋体" w:hAnsi="宋体" w:eastAsia="宋体" w:cs="宋体"/>
          <w:color w:val="auto"/>
          <w:sz w:val="21"/>
          <w:szCs w:val="21"/>
        </w:rPr>
        <w:t>，从业人员 人，营业收入为 万元，资产总额为 万元，属于</w:t>
      </w:r>
      <w:r>
        <w:rPr>
          <w:rFonts w:ascii="宋体" w:hAnsi="宋体" w:eastAsia="宋体" w:cs="宋体"/>
          <w:color w:val="auto"/>
          <w:sz w:val="21"/>
          <w:szCs w:val="21"/>
          <w:u w:val="single"/>
        </w:rPr>
        <w:t>（中型企业、小型企业、微型企业）</w:t>
      </w:r>
      <w:r>
        <w:rPr>
          <w:rFonts w:ascii="宋体" w:hAnsi="宋体" w:eastAsia="宋体" w:cs="宋体"/>
          <w:color w:val="auto"/>
          <w:sz w:val="21"/>
          <w:szCs w:val="21"/>
        </w:rPr>
        <w:t>；</w:t>
      </w:r>
    </w:p>
    <w:p>
      <w:pPr>
        <w:pStyle w:val="53"/>
        <w:spacing w:line="460" w:lineRule="exact"/>
        <w:ind w:right="157" w:firstLine="875" w:firstLineChars="417"/>
        <w:rPr>
          <w:rFonts w:hint="default" w:ascii="宋体" w:hAnsi="宋体" w:eastAsia="宋体" w:cs="宋体"/>
          <w:color w:val="auto"/>
          <w:sz w:val="21"/>
          <w:szCs w:val="21"/>
        </w:rPr>
      </w:pPr>
      <w:r>
        <w:rPr>
          <w:rFonts w:ascii="宋体" w:hAnsi="宋体" w:eastAsia="宋体" w:cs="宋体"/>
          <w:color w:val="auto"/>
          <w:sz w:val="21"/>
          <w:szCs w:val="21"/>
        </w:rPr>
        <w:t>……</w:t>
      </w:r>
    </w:p>
    <w:p>
      <w:pPr>
        <w:pStyle w:val="53"/>
        <w:spacing w:line="460" w:lineRule="exact"/>
        <w:ind w:right="157" w:firstLine="642"/>
        <w:rPr>
          <w:rFonts w:hint="default" w:ascii="宋体" w:hAnsi="宋体" w:eastAsia="宋体" w:cs="宋体"/>
          <w:color w:val="auto"/>
          <w:sz w:val="21"/>
          <w:szCs w:val="21"/>
        </w:rPr>
      </w:pPr>
      <w:r>
        <w:rPr>
          <w:rFonts w:ascii="宋体" w:hAnsi="宋体" w:eastAsia="宋体" w:cs="宋体"/>
          <w:color w:val="auto"/>
          <w:sz w:val="21"/>
          <w:szCs w:val="21"/>
        </w:rPr>
        <w:t>以上企业，不属于大企业的分支机构，不存在控股股东为大企业的情形，也不存在与大企业的负责人为同一人的情形。</w:t>
      </w:r>
    </w:p>
    <w:p>
      <w:pPr>
        <w:pStyle w:val="53"/>
        <w:spacing w:line="460" w:lineRule="exact"/>
        <w:ind w:right="157" w:firstLine="642"/>
        <w:rPr>
          <w:rFonts w:hint="default" w:ascii="宋体" w:hAnsi="宋体" w:eastAsia="宋体" w:cs="宋体"/>
          <w:color w:val="auto"/>
          <w:sz w:val="21"/>
          <w:szCs w:val="21"/>
        </w:rPr>
      </w:pPr>
      <w:r>
        <w:rPr>
          <w:rFonts w:ascii="宋体" w:hAnsi="宋体" w:eastAsia="宋体" w:cs="宋体"/>
          <w:color w:val="auto"/>
          <w:sz w:val="21"/>
          <w:szCs w:val="21"/>
        </w:rPr>
        <w:t>本企业对上述声明内容的真实性负责。如有虚假，将依法承担相应责任。</w:t>
      </w:r>
    </w:p>
    <w:p>
      <w:pPr>
        <w:pStyle w:val="54"/>
        <w:spacing w:line="460" w:lineRule="exact"/>
        <w:rPr>
          <w:rFonts w:hint="default" w:ascii="宋体" w:hAnsi="宋体" w:eastAsia="宋体" w:cs="宋体"/>
          <w:color w:val="auto"/>
          <w:sz w:val="21"/>
          <w:szCs w:val="21"/>
        </w:rPr>
      </w:pPr>
    </w:p>
    <w:p>
      <w:pPr>
        <w:pStyle w:val="53"/>
        <w:spacing w:line="460" w:lineRule="exact"/>
        <w:ind w:right="157" w:firstLine="642"/>
        <w:rPr>
          <w:rFonts w:hint="default" w:ascii="宋体" w:hAnsi="宋体" w:eastAsia="宋体" w:cs="宋体"/>
          <w:color w:val="auto"/>
          <w:spacing w:val="20"/>
          <w:sz w:val="21"/>
          <w:szCs w:val="21"/>
          <w:u w:val="single"/>
        </w:rPr>
      </w:pPr>
      <w:r>
        <w:rPr>
          <w:rFonts w:ascii="宋体" w:hAnsi="宋体" w:eastAsia="宋体" w:cs="宋体"/>
          <w:color w:val="auto"/>
          <w:spacing w:val="20"/>
          <w:sz w:val="21"/>
          <w:szCs w:val="21"/>
        </w:rPr>
        <w:t>供应商名称：</w:t>
      </w:r>
      <w:r>
        <w:rPr>
          <w:rFonts w:ascii="宋体" w:hAnsi="宋体" w:eastAsia="宋体" w:cs="宋体"/>
          <w:color w:val="auto"/>
          <w:spacing w:val="20"/>
          <w:sz w:val="21"/>
          <w:szCs w:val="21"/>
          <w:u w:val="single"/>
        </w:rPr>
        <w:t>（盖章）</w:t>
      </w:r>
    </w:p>
    <w:p>
      <w:pPr>
        <w:pStyle w:val="53"/>
        <w:spacing w:line="460" w:lineRule="exact"/>
        <w:ind w:right="157" w:firstLine="642"/>
        <w:rPr>
          <w:rFonts w:hint="default" w:ascii="宋体" w:hAnsi="宋体" w:eastAsia="宋体" w:cs="宋体"/>
          <w:color w:val="auto"/>
          <w:spacing w:val="20"/>
          <w:sz w:val="21"/>
          <w:szCs w:val="21"/>
          <w:u w:val="single"/>
        </w:rPr>
      </w:pPr>
      <w:r>
        <w:rPr>
          <w:rFonts w:ascii="宋体" w:hAnsi="宋体" w:eastAsia="宋体" w:cs="宋体"/>
          <w:color w:val="auto"/>
          <w:spacing w:val="20"/>
          <w:sz w:val="21"/>
          <w:szCs w:val="21"/>
        </w:rPr>
        <w:t>日期：</w:t>
      </w:r>
    </w:p>
    <w:p>
      <w:pPr>
        <w:pStyle w:val="54"/>
        <w:spacing w:line="460" w:lineRule="exact"/>
        <w:rPr>
          <w:rFonts w:hint="default" w:ascii="宋体" w:hAnsi="宋体" w:eastAsia="宋体" w:cs="宋体"/>
          <w:color w:val="auto"/>
          <w:sz w:val="21"/>
          <w:szCs w:val="21"/>
        </w:rPr>
      </w:pPr>
    </w:p>
    <w:p>
      <w:pPr>
        <w:pStyle w:val="19"/>
        <w:snapToGrid w:val="0"/>
        <w:spacing w:line="460" w:lineRule="exact"/>
        <w:ind w:firstLine="420" w:firstLineChars="200"/>
        <w:jc w:val="left"/>
        <w:rPr>
          <w:rFonts w:hAnsi="宋体" w:cs="宋体"/>
          <w:b/>
          <w:szCs w:val="21"/>
        </w:rPr>
      </w:pPr>
      <w:r>
        <w:rPr>
          <w:rFonts w:hint="eastAsia" w:hAnsi="宋体" w:cs="宋体"/>
          <w:szCs w:val="21"/>
        </w:rPr>
        <w:t>从业人员、营业收入、资产总额填报上一年度数据，无上一年度数据的新成立企业可不填报。</w:t>
      </w:r>
    </w:p>
    <w:p>
      <w:pPr>
        <w:pStyle w:val="30"/>
        <w:widowControl w:val="0"/>
        <w:spacing w:before="0" w:beforeAutospacing="0" w:after="0" w:afterAutospacing="0" w:line="360" w:lineRule="auto"/>
        <w:ind w:firstLine="420" w:firstLineChars="200"/>
        <w:contextualSpacing/>
        <w:jc w:val="both"/>
        <w:rPr>
          <w:kern w:val="2"/>
          <w:sz w:val="21"/>
          <w:szCs w:val="21"/>
        </w:rPr>
      </w:pPr>
      <w:r>
        <w:rPr>
          <w:kern w:val="2"/>
          <w:sz w:val="21"/>
          <w:szCs w:val="21"/>
        </w:rPr>
        <w:t>中小企业应当按照《政府采购促进中小企业发展管理办法》规定和《中小企业划型标准规定》（工信部联企业〔2011〕300号），如实填写并提交《中小企业声明函》。</w:t>
      </w:r>
      <w:r>
        <w:rPr>
          <w:b/>
          <w:kern w:val="2"/>
          <w:sz w:val="21"/>
          <w:szCs w:val="21"/>
        </w:rPr>
        <w:t>未</w:t>
      </w:r>
      <w:r>
        <w:rPr>
          <w:rFonts w:hint="eastAsia"/>
          <w:b/>
          <w:kern w:val="2"/>
          <w:sz w:val="21"/>
          <w:szCs w:val="21"/>
        </w:rPr>
        <w:t>出具或未</w:t>
      </w:r>
      <w:r>
        <w:rPr>
          <w:b/>
          <w:kern w:val="2"/>
          <w:sz w:val="21"/>
          <w:szCs w:val="21"/>
        </w:rPr>
        <w:t>按要求出具声明函的，</w:t>
      </w:r>
      <w:r>
        <w:rPr>
          <w:rFonts w:hint="eastAsia"/>
          <w:b/>
          <w:kern w:val="2"/>
          <w:sz w:val="21"/>
          <w:szCs w:val="21"/>
        </w:rPr>
        <w:t>认定为不满足</w:t>
      </w:r>
      <w:r>
        <w:rPr>
          <w:b/>
          <w:iCs/>
          <w:kern w:val="2"/>
          <w:sz w:val="21"/>
          <w:szCs w:val="21"/>
        </w:rPr>
        <w:t>资格要求</w:t>
      </w:r>
      <w:r>
        <w:rPr>
          <w:b/>
          <w:kern w:val="2"/>
          <w:sz w:val="21"/>
          <w:szCs w:val="21"/>
        </w:rPr>
        <w:t>。</w:t>
      </w:r>
    </w:p>
    <w:p>
      <w:pPr>
        <w:pStyle w:val="30"/>
        <w:widowControl w:val="0"/>
        <w:spacing w:before="0" w:beforeAutospacing="0" w:after="0" w:afterAutospacing="0" w:line="360" w:lineRule="auto"/>
        <w:ind w:firstLine="420" w:firstLineChars="200"/>
        <w:contextualSpacing/>
        <w:jc w:val="both"/>
        <w:rPr>
          <w:kern w:val="2"/>
          <w:sz w:val="21"/>
          <w:szCs w:val="21"/>
        </w:rPr>
      </w:pPr>
      <w:r>
        <w:rPr>
          <w:kern w:val="2"/>
          <w:sz w:val="21"/>
          <w:szCs w:val="21"/>
        </w:rPr>
        <w:t>中小企业对其声明内容的真实性负责，声明函内容不实的，属于提供虚假材料谋取中标、成交，依照《中华人民共和国政府采购法》等国家有关规定追究相应责任。</w:t>
      </w:r>
    </w:p>
    <w:p>
      <w:pPr>
        <w:pStyle w:val="140"/>
        <w:snapToGrid w:val="0"/>
        <w:spacing w:line="360" w:lineRule="auto"/>
        <w:ind w:left="105" w:leftChars="50" w:right="42" w:rightChars="20" w:firstLine="610" w:firstLineChars="196"/>
        <w:contextualSpacing/>
        <w:rPr>
          <w:rFonts w:asciiTheme="minorEastAsia" w:hAnsiTheme="minorEastAsia" w:eastAsiaTheme="minorEastAsia"/>
          <w:b/>
          <w:bCs/>
          <w:sz w:val="21"/>
          <w:szCs w:val="21"/>
        </w:rPr>
      </w:pPr>
      <w:r>
        <w:rPr>
          <w:rFonts w:hint="eastAsia" w:ascii="宋体" w:cs="宋体"/>
          <w:b/>
          <w:szCs w:val="21"/>
        </w:rPr>
        <w:br w:type="page"/>
      </w:r>
      <w:r>
        <w:rPr>
          <w:rFonts w:ascii="宋体" w:eastAsia="宋体"/>
          <w:bCs/>
          <w:sz w:val="21"/>
          <w:szCs w:val="21"/>
        </w:rPr>
        <w:t>供应商为监狱企业的证明文件：省级以上监狱管理局、戒毒管理局（含新疆生产建设兵团）出具（如有）</w:t>
      </w:r>
    </w:p>
    <w:p>
      <w:pPr>
        <w:pStyle w:val="19"/>
        <w:snapToGrid w:val="0"/>
        <w:spacing w:line="360" w:lineRule="auto"/>
        <w:ind w:right="42" w:rightChars="20" w:firstLine="422" w:firstLineChars="200"/>
        <w:jc w:val="left"/>
        <w:rPr>
          <w:rFonts w:asciiTheme="minorEastAsia" w:hAnsiTheme="minorEastAsia" w:eastAsiaTheme="minorEastAsia"/>
          <w:b/>
          <w:szCs w:val="21"/>
        </w:rPr>
      </w:pPr>
    </w:p>
    <w:p>
      <w:pPr>
        <w:pStyle w:val="19"/>
        <w:snapToGrid w:val="0"/>
        <w:spacing w:line="360" w:lineRule="auto"/>
        <w:ind w:right="42" w:rightChars="20"/>
        <w:jc w:val="left"/>
        <w:rPr>
          <w:rFonts w:asciiTheme="minorEastAsia" w:hAnsiTheme="minorEastAsia" w:eastAsiaTheme="minorEastAsia"/>
          <w:b/>
          <w:szCs w:val="21"/>
        </w:rPr>
      </w:pPr>
    </w:p>
    <w:p>
      <w:pPr>
        <w:snapToGrid w:val="0"/>
        <w:ind w:left="105" w:leftChars="50" w:right="42" w:rightChars="20"/>
        <w:jc w:val="center"/>
        <w:rPr>
          <w:rFonts w:ascii="宋体" w:hAnsi="宋体"/>
          <w:b/>
          <w:szCs w:val="21"/>
        </w:rPr>
      </w:pPr>
    </w:p>
    <w:p>
      <w:pPr>
        <w:pStyle w:val="19"/>
        <w:snapToGrid w:val="0"/>
        <w:spacing w:beforeLines="10" w:afterLines="10"/>
        <w:jc w:val="center"/>
        <w:rPr>
          <w:rFonts w:hAnsi="宋体" w:cs="宋体"/>
          <w:b/>
          <w:sz w:val="32"/>
          <w:szCs w:val="32"/>
        </w:rPr>
      </w:pPr>
      <w:r>
        <w:rPr>
          <w:rFonts w:hint="eastAsia" w:hAnsi="宋体" w:cs="宋体"/>
          <w:b/>
          <w:sz w:val="32"/>
          <w:szCs w:val="32"/>
        </w:rPr>
        <w:t>监狱企业声明函</w:t>
      </w:r>
    </w:p>
    <w:p>
      <w:pPr>
        <w:pStyle w:val="19"/>
        <w:snapToGrid w:val="0"/>
        <w:spacing w:beforeLines="10" w:afterLines="10"/>
        <w:jc w:val="center"/>
        <w:rPr>
          <w:rFonts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本单位郑重声明，根据《关于政府采购支持监狱企业发展有关问题的通知》（财库[2014]68号）的规定，本单位为监狱企业。</w:t>
      </w:r>
    </w:p>
    <w:p>
      <w:pPr>
        <w:spacing w:line="360" w:lineRule="auto"/>
        <w:ind w:firstLine="480" w:firstLineChars="200"/>
        <w:rPr>
          <w:rFonts w:ascii="宋体" w:hAnsi="宋体" w:cs="宋体"/>
          <w:sz w:val="24"/>
        </w:rPr>
      </w:pPr>
      <w:r>
        <w:rPr>
          <w:rFonts w:hint="eastAsia" w:ascii="宋体" w:hAnsi="宋体" w:cs="宋体"/>
          <w:sz w:val="24"/>
        </w:rPr>
        <w:t>根据上述标准，我单位属于监狱企业的理由为：。</w:t>
      </w: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szCs w:val="24"/>
        </w:rPr>
        <w:t>本单位参加</w:t>
      </w:r>
      <w:r>
        <w:rPr>
          <w:rFonts w:hint="eastAsia" w:hAnsi="宋体" w:cs="宋体"/>
          <w:sz w:val="24"/>
          <w:szCs w:val="24"/>
          <w:u w:val="single"/>
        </w:rPr>
        <w:t xml:space="preserve">（采购人名称）       </w:t>
      </w:r>
      <w:r>
        <w:rPr>
          <w:rFonts w:hint="eastAsia" w:hAnsi="宋体" w:cs="宋体"/>
          <w:sz w:val="24"/>
          <w:szCs w:val="24"/>
        </w:rPr>
        <w:t>单位的</w:t>
      </w:r>
      <w:r>
        <w:rPr>
          <w:rFonts w:hint="eastAsia" w:hAnsi="宋体" w:cs="宋体"/>
          <w:sz w:val="24"/>
          <w:szCs w:val="24"/>
          <w:u w:val="single"/>
        </w:rPr>
        <w:t xml:space="preserve"> （项目名称）         </w:t>
      </w:r>
      <w:r>
        <w:rPr>
          <w:rFonts w:hint="eastAsia" w:hAnsi="宋体" w:cs="宋体"/>
          <w:sz w:val="24"/>
          <w:szCs w:val="24"/>
        </w:rPr>
        <w:t>项目的采购活动，并由本单位为本项目提供货物。</w:t>
      </w: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szCs w:val="24"/>
        </w:rPr>
        <w:t>本单位对上述声明的真实性负责。如有虚假，将依法承担相应责任。</w:t>
      </w:r>
    </w:p>
    <w:p>
      <w:pPr>
        <w:pStyle w:val="19"/>
        <w:snapToGrid w:val="0"/>
        <w:spacing w:beforeLines="10" w:afterLines="10" w:line="360" w:lineRule="auto"/>
        <w:rPr>
          <w:rFonts w:hAnsi="宋体" w:cs="宋体"/>
          <w:sz w:val="24"/>
          <w:szCs w:val="24"/>
        </w:rPr>
      </w:pPr>
    </w:p>
    <w:p>
      <w:pPr>
        <w:pStyle w:val="19"/>
        <w:snapToGrid w:val="0"/>
        <w:spacing w:beforeLines="10" w:afterLines="10" w:line="360" w:lineRule="auto"/>
        <w:rPr>
          <w:rFonts w:hAnsi="宋体" w:cs="宋体"/>
          <w:sz w:val="24"/>
          <w:szCs w:val="24"/>
        </w:rPr>
      </w:pP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szCs w:val="24"/>
        </w:rPr>
        <w:t xml:space="preserve">                                           投标人名称（盖章）</w:t>
      </w: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szCs w:val="24"/>
        </w:rPr>
        <w:t xml:space="preserve">                                           日期：    年   月   日</w:t>
      </w:r>
    </w:p>
    <w:p>
      <w:pPr>
        <w:spacing w:line="360" w:lineRule="auto"/>
        <w:ind w:firstLine="480" w:firstLineChars="200"/>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1、监狱企业参加采购活动时，应当提供由省级以上监狱管理局、戒毒管理局（含新疆生产建设兵团）出具的属于监狱企业的证明文件。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 w:val="24"/>
        </w:rPr>
      </w:pPr>
      <w:r>
        <w:rPr>
          <w:rFonts w:hint="eastAsia" w:ascii="宋体" w:hAnsi="宋体" w:cs="宋体"/>
          <w:sz w:val="24"/>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cs="宋体"/>
          <w:sz w:val="24"/>
        </w:rPr>
      </w:pPr>
      <w:r>
        <w:rPr>
          <w:rFonts w:hint="eastAsia" w:ascii="宋体" w:hAnsi="宋体" w:cs="宋体"/>
          <w:sz w:val="24"/>
        </w:rPr>
        <w:t>3、非监狱企业不需提供此声明函。</w:t>
      </w:r>
    </w:p>
    <w:p>
      <w:pPr>
        <w:snapToGrid w:val="0"/>
        <w:spacing w:line="360" w:lineRule="auto"/>
        <w:ind w:firstLine="420" w:firstLineChars="200"/>
        <w:jc w:val="left"/>
        <w:rPr>
          <w:rFonts w:ascii="宋体" w:hAnsi="宋体" w:cs="宋体"/>
          <w:szCs w:val="21"/>
        </w:rPr>
      </w:pPr>
    </w:p>
    <w:p>
      <w:pPr>
        <w:pStyle w:val="3"/>
      </w:pPr>
    </w:p>
    <w:p/>
    <w:p>
      <w:pPr>
        <w:pStyle w:val="3"/>
      </w:pPr>
    </w:p>
    <w:p/>
    <w:p>
      <w:pPr>
        <w:pStyle w:val="3"/>
      </w:pPr>
    </w:p>
    <w:p/>
    <w:p>
      <w:pPr>
        <w:pStyle w:val="3"/>
      </w:pPr>
    </w:p>
    <w:p/>
    <w:p>
      <w:pPr>
        <w:pStyle w:val="19"/>
        <w:snapToGrid w:val="0"/>
        <w:spacing w:beforeLines="10" w:afterLines="10" w:line="360" w:lineRule="auto"/>
        <w:jc w:val="center"/>
        <w:rPr>
          <w:rFonts w:hAnsi="宋体" w:cs="宋体"/>
          <w:b/>
          <w:sz w:val="32"/>
          <w:szCs w:val="32"/>
        </w:rPr>
      </w:pPr>
      <w:r>
        <w:rPr>
          <w:rFonts w:hint="eastAsia" w:hAnsi="宋体" w:cs="宋体"/>
          <w:b/>
          <w:sz w:val="32"/>
          <w:szCs w:val="32"/>
        </w:rPr>
        <w:t>残疾人福利性单位声明函</w:t>
      </w: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rPr>
        <w:t>本单位郑重声明，根据《财政部 民政部 中国残疾人联合会关于促进残疾人就业政府采购政策的通知》（财库〔2017〕141号）的规定，本单位为符合条件的残疾人福利性单位，且</w:t>
      </w:r>
      <w:r>
        <w:rPr>
          <w:rFonts w:hint="eastAsia" w:hAnsi="宋体" w:cs="宋体"/>
          <w:sz w:val="24"/>
          <w:szCs w:val="24"/>
        </w:rPr>
        <w:t>本单位参加单位的项目采购活动提供本单位制造的货物（由本单位承担工程、提供服务），或者提供其他残疾人福利性单位制造的货物（不包括使用非残疾人福利性单位注册商标的货物）。</w:t>
      </w:r>
    </w:p>
    <w:p>
      <w:pPr>
        <w:pStyle w:val="19"/>
        <w:snapToGrid w:val="0"/>
        <w:spacing w:beforeLines="10" w:afterLines="10" w:line="360" w:lineRule="auto"/>
        <w:ind w:firstLine="480" w:firstLineChars="200"/>
        <w:rPr>
          <w:rFonts w:hAnsi="宋体" w:cs="宋体"/>
          <w:sz w:val="24"/>
          <w:szCs w:val="24"/>
        </w:rPr>
      </w:pPr>
      <w:r>
        <w:rPr>
          <w:rFonts w:hint="eastAsia" w:hAnsi="宋体" w:cs="宋体"/>
          <w:sz w:val="24"/>
          <w:szCs w:val="24"/>
        </w:rPr>
        <w:t>本单位对上述声明的真实性负责。如有虚假，将依法承担相应责任。</w:t>
      </w:r>
    </w:p>
    <w:p>
      <w:pPr>
        <w:pStyle w:val="19"/>
        <w:snapToGrid w:val="0"/>
        <w:spacing w:beforeLines="10" w:afterLines="10" w:line="360" w:lineRule="auto"/>
        <w:rPr>
          <w:rFonts w:hAnsi="宋体" w:cs="宋体"/>
          <w:sz w:val="24"/>
          <w:szCs w:val="24"/>
        </w:rPr>
      </w:pPr>
    </w:p>
    <w:p>
      <w:pPr>
        <w:pStyle w:val="19"/>
        <w:snapToGrid w:val="0"/>
        <w:spacing w:beforeLines="10" w:afterLines="10" w:line="360" w:lineRule="auto"/>
        <w:rPr>
          <w:rFonts w:hAnsi="宋体" w:cs="宋体"/>
          <w:sz w:val="24"/>
          <w:szCs w:val="24"/>
        </w:rPr>
      </w:pPr>
    </w:p>
    <w:p>
      <w:pPr>
        <w:pStyle w:val="19"/>
        <w:snapToGrid w:val="0"/>
        <w:spacing w:beforeLines="10" w:afterLines="10" w:line="360" w:lineRule="auto"/>
        <w:ind w:firstLine="480" w:firstLineChars="200"/>
        <w:jc w:val="right"/>
        <w:rPr>
          <w:rFonts w:hAnsi="宋体" w:cs="宋体"/>
          <w:sz w:val="24"/>
          <w:szCs w:val="24"/>
        </w:rPr>
      </w:pPr>
      <w:r>
        <w:rPr>
          <w:rFonts w:hint="eastAsia" w:hAnsi="宋体" w:cs="宋体"/>
          <w:sz w:val="24"/>
          <w:szCs w:val="24"/>
        </w:rPr>
        <w:t xml:space="preserve">                                              投标人名称（盖章）                                           日期：    年   月   日</w:t>
      </w:r>
    </w:p>
    <w:p>
      <w:pPr>
        <w:spacing w:line="360" w:lineRule="auto"/>
        <w:ind w:firstLine="480" w:firstLineChars="200"/>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1、非残疾人福利性单位不需提供此声明函。</w:t>
      </w:r>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snapToGrid w:val="0"/>
        <w:spacing w:line="360" w:lineRule="auto"/>
        <w:ind w:right="42" w:rightChars="20"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具有履行合同所必需的设备和专业技术能力承诺函：</w:t>
      </w:r>
    </w:p>
    <w:p>
      <w:pPr>
        <w:spacing w:line="360" w:lineRule="auto"/>
        <w:ind w:right="42" w:rightChars="20" w:firstLine="422" w:firstLineChars="200"/>
        <w:jc w:val="left"/>
        <w:rPr>
          <w:rFonts w:asciiTheme="minorEastAsia" w:hAnsiTheme="minorEastAsia" w:eastAsiaTheme="minorEastAsia"/>
          <w:b/>
          <w:szCs w:val="21"/>
        </w:rPr>
      </w:pPr>
    </w:p>
    <w:p>
      <w:pPr>
        <w:spacing w:line="360" w:lineRule="auto"/>
        <w:ind w:right="42" w:rightChars="20" w:firstLine="422" w:firstLineChars="200"/>
        <w:jc w:val="center"/>
        <w:rPr>
          <w:rFonts w:asciiTheme="minorEastAsia" w:hAnsiTheme="minorEastAsia" w:eastAsiaTheme="minorEastAsia"/>
          <w:b/>
          <w:szCs w:val="21"/>
        </w:rPr>
      </w:pPr>
      <w:r>
        <w:rPr>
          <w:rFonts w:hint="eastAsia" w:asciiTheme="minorEastAsia" w:hAnsiTheme="minorEastAsia" w:eastAsiaTheme="minorEastAsia"/>
          <w:b/>
          <w:szCs w:val="21"/>
        </w:rPr>
        <w:t>具有履行合同所必需的设备和专业技术能力承诺函</w:t>
      </w:r>
    </w:p>
    <w:p>
      <w:pPr>
        <w:spacing w:line="360" w:lineRule="auto"/>
        <w:ind w:right="42" w:rightChars="20"/>
        <w:jc w:val="left"/>
        <w:rPr>
          <w:rFonts w:asciiTheme="minorEastAsia" w:hAnsiTheme="minorEastAsia" w:eastAsiaTheme="minorEastAsia"/>
          <w:szCs w:val="21"/>
        </w:rPr>
      </w:pPr>
      <w:r>
        <w:rPr>
          <w:rFonts w:hint="eastAsia" w:cs="Arial" w:asciiTheme="minorEastAsia" w:hAnsiTheme="minorEastAsia" w:eastAsiaTheme="minorEastAsia"/>
          <w:b/>
          <w:kern w:val="0"/>
          <w:szCs w:val="21"/>
          <w:u w:val="single"/>
        </w:rPr>
        <w:t>嘉兴市秀洲区油车港镇人民政府</w:t>
      </w:r>
      <w:r>
        <w:rPr>
          <w:rFonts w:hint="eastAsia" w:asciiTheme="minorEastAsia" w:hAnsiTheme="minorEastAsia" w:eastAsiaTheme="minorEastAsia"/>
          <w:szCs w:val="21"/>
        </w:rPr>
        <w:t>：</w:t>
      </w:r>
    </w:p>
    <w:p>
      <w:pPr>
        <w:snapToGrid w:val="0"/>
        <w:spacing w:line="360" w:lineRule="auto"/>
        <w:ind w:right="42" w:rightChars="20" w:firstLine="420" w:firstLineChars="200"/>
        <w:jc w:val="left"/>
        <w:rPr>
          <w:rFonts w:asciiTheme="minorEastAsia" w:hAnsiTheme="minorEastAsia" w:eastAsiaTheme="minorEastAsia"/>
          <w:szCs w:val="21"/>
          <w:shd w:val="clear" w:color="auto" w:fill="FFFFFF"/>
        </w:rPr>
      </w:pPr>
    </w:p>
    <w:p>
      <w:pPr>
        <w:snapToGrid w:val="0"/>
        <w:spacing w:line="360" w:lineRule="auto"/>
        <w:ind w:right="42" w:rightChars="20" w:firstLine="420" w:firstLineChars="200"/>
        <w:jc w:val="left"/>
        <w:rPr>
          <w:rFonts w:asciiTheme="minorEastAsia" w:hAnsiTheme="minorEastAsia" w:eastAsiaTheme="minorEastAsia"/>
          <w:b/>
          <w:u w:val="single"/>
        </w:rPr>
      </w:pPr>
      <w:r>
        <w:rPr>
          <w:rFonts w:hint="eastAsia" w:asciiTheme="minorEastAsia" w:hAnsiTheme="minorEastAsia" w:eastAsiaTheme="minorEastAsia"/>
          <w:szCs w:val="21"/>
          <w:shd w:val="clear" w:color="auto" w:fill="FFFFFF"/>
        </w:rPr>
        <w:t>本公司（公司名称）参加</w:t>
      </w:r>
      <w:r>
        <w:rPr>
          <w:rFonts w:hint="eastAsia" w:asciiTheme="minorEastAsia" w:hAnsiTheme="minorEastAsia" w:eastAsiaTheme="minorEastAsia"/>
          <w:b/>
          <w:u w:val="single"/>
        </w:rPr>
        <w:t>2022年嘉兴市秀洲区油车港镇镇区环境保洁服务项目</w:t>
      </w:r>
    </w:p>
    <w:p>
      <w:pPr>
        <w:snapToGrid w:val="0"/>
        <w:spacing w:line="360" w:lineRule="auto"/>
        <w:ind w:right="42" w:rightChars="20" w:firstLine="420" w:firstLineChars="200"/>
        <w:jc w:val="left"/>
        <w:rPr>
          <w:rFonts w:asciiTheme="minorEastAsia" w:hAnsiTheme="minorEastAsia" w:eastAsiaTheme="minorEastAsia"/>
          <w:szCs w:val="21"/>
          <w:u w:val="single"/>
        </w:rPr>
      </w:pPr>
      <w:r>
        <w:rPr>
          <w:rFonts w:hint="eastAsia" w:asciiTheme="minorEastAsia" w:hAnsiTheme="minorEastAsia" w:eastAsiaTheme="minorEastAsia"/>
          <w:szCs w:val="21"/>
          <w:shd w:val="clear" w:color="auto" w:fill="FFFFFF"/>
        </w:rPr>
        <w:t>投标活动，现承诺如下：</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shd w:val="clear" w:color="auto" w:fill="FFFFFF"/>
        </w:rPr>
        <w:t>我公司具有履行合同所需的设备和专业技术能力；</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shd w:val="clear" w:color="auto" w:fill="FFFFFF"/>
        </w:rPr>
        <w:t>如违反以上承诺，本公司愿承担一切法律责任。</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shd w:val="clear" w:color="auto" w:fill="FFFFFF"/>
        </w:rPr>
        <w:t>投标人名称：（CA签章）</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法定代表人或其授权代表签字（或盖章）</w:t>
      </w:r>
      <w:r>
        <w:rPr>
          <w:rFonts w:hint="eastAsia" w:asciiTheme="minorEastAsia" w:hAnsiTheme="minorEastAsia" w:eastAsiaTheme="minorEastAsia"/>
          <w:szCs w:val="21"/>
          <w:shd w:val="clear" w:color="auto" w:fill="FFFFFF"/>
        </w:rPr>
        <w:t>：</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br w:type="textWrapping"/>
      </w:r>
      <w:r>
        <w:rPr>
          <w:rFonts w:hint="eastAsia" w:asciiTheme="minorEastAsia" w:hAnsiTheme="minorEastAsia" w:eastAsiaTheme="minorEastAsia"/>
          <w:szCs w:val="21"/>
          <w:shd w:val="clear" w:color="auto" w:fill="FFFFFF"/>
        </w:rPr>
        <w:t>投标日期： 年 月 日</w:t>
      </w: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2" w:firstLineChars="200"/>
        <w:jc w:val="left"/>
        <w:rPr>
          <w:rFonts w:asciiTheme="minorEastAsia" w:hAnsiTheme="minorEastAsia" w:eastAsiaTheme="minorEastAsia"/>
          <w:b/>
          <w:szCs w:val="21"/>
        </w:rPr>
      </w:pPr>
    </w:p>
    <w:p>
      <w:pPr>
        <w:snapToGrid w:val="0"/>
        <w:spacing w:line="360" w:lineRule="auto"/>
        <w:ind w:right="42" w:rightChars="20" w:firstLine="422" w:firstLineChars="200"/>
        <w:jc w:val="left"/>
        <w:rPr>
          <w:rFonts w:asciiTheme="minorEastAsia" w:hAnsiTheme="minorEastAsia" w:eastAsiaTheme="minorEastAsia"/>
          <w:b/>
          <w:szCs w:val="21"/>
        </w:rPr>
      </w:pPr>
      <w:r>
        <w:rPr>
          <w:rFonts w:asciiTheme="minorEastAsia" w:hAnsiTheme="minorEastAsia" w:eastAsiaTheme="minorEastAsia"/>
          <w:b/>
          <w:szCs w:val="21"/>
        </w:rPr>
        <w:br w:type="page"/>
      </w:r>
      <w:r>
        <w:rPr>
          <w:rFonts w:hint="eastAsia" w:asciiTheme="minorEastAsia" w:hAnsiTheme="minorEastAsia" w:eastAsiaTheme="minorEastAsia"/>
          <w:b/>
          <w:szCs w:val="21"/>
        </w:rPr>
        <w:t>参加政府采购活动前三年，在经营活动中没有重大违法记录（承诺函）</w:t>
      </w:r>
    </w:p>
    <w:p>
      <w:pPr>
        <w:spacing w:line="360" w:lineRule="auto"/>
        <w:ind w:right="42" w:rightChars="20" w:firstLine="420" w:firstLineChars="200"/>
        <w:jc w:val="left"/>
        <w:rPr>
          <w:rFonts w:asciiTheme="minorEastAsia" w:hAnsiTheme="minorEastAsia" w:eastAsiaTheme="minorEastAsia"/>
          <w:szCs w:val="21"/>
          <w:u w:val="single"/>
        </w:rPr>
      </w:pPr>
    </w:p>
    <w:p>
      <w:pPr>
        <w:spacing w:line="360" w:lineRule="auto"/>
        <w:ind w:right="42" w:rightChars="20" w:firstLine="422" w:firstLineChars="200"/>
        <w:jc w:val="left"/>
        <w:rPr>
          <w:rFonts w:asciiTheme="minorEastAsia" w:hAnsiTheme="minorEastAsia" w:eastAsiaTheme="minorEastAsia"/>
          <w:szCs w:val="21"/>
        </w:rPr>
      </w:pPr>
      <w:r>
        <w:rPr>
          <w:rFonts w:hint="eastAsia" w:cs="Arial" w:asciiTheme="minorEastAsia" w:hAnsiTheme="minorEastAsia" w:eastAsiaTheme="minorEastAsia"/>
          <w:b/>
          <w:kern w:val="0"/>
          <w:szCs w:val="21"/>
          <w:u w:val="single"/>
        </w:rPr>
        <w:t>嘉兴市秀洲区油车港镇人民政府</w:t>
      </w:r>
      <w:r>
        <w:rPr>
          <w:rFonts w:hint="eastAsia" w:asciiTheme="minorEastAsia" w:hAnsiTheme="minorEastAsia" w:eastAsiaTheme="minorEastAsia"/>
          <w:szCs w:val="21"/>
        </w:rPr>
        <w:t>：</w:t>
      </w:r>
    </w:p>
    <w:p>
      <w:pPr>
        <w:spacing w:line="360" w:lineRule="auto"/>
        <w:ind w:right="42" w:rightChars="20" w:firstLine="420" w:firstLineChars="200"/>
        <w:jc w:val="left"/>
        <w:rPr>
          <w:rFonts w:asciiTheme="minorEastAsia" w:hAnsiTheme="minorEastAsia" w:eastAsiaTheme="minorEastAsia"/>
          <w:szCs w:val="21"/>
        </w:rPr>
      </w:pPr>
    </w:p>
    <w:p>
      <w:pPr>
        <w:spacing w:line="360" w:lineRule="auto"/>
        <w:ind w:right="42" w:rightChars="20"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我公司声明截止投标时间近三年以来，在经营活动中没有重大违法记录；也没有因违反《浙江省政府采购投标人注册及诚信管理暂行办法》被列入“黑名单”，正在处罚有效期。</w:t>
      </w:r>
    </w:p>
    <w:p>
      <w:pPr>
        <w:spacing w:line="360" w:lineRule="auto"/>
        <w:ind w:right="42" w:rightChars="20"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特此承诺。</w:t>
      </w:r>
    </w:p>
    <w:p>
      <w:pPr>
        <w:spacing w:line="360" w:lineRule="auto"/>
        <w:ind w:right="42" w:rightChars="20" w:firstLine="420" w:firstLineChars="200"/>
        <w:jc w:val="left"/>
        <w:rPr>
          <w:rFonts w:asciiTheme="minorEastAsia" w:hAnsiTheme="minorEastAsia" w:eastAsiaTheme="minorEastAsia"/>
          <w:szCs w:val="21"/>
        </w:rPr>
      </w:pPr>
    </w:p>
    <w:p>
      <w:pPr>
        <w:spacing w:line="360" w:lineRule="auto"/>
        <w:ind w:right="42" w:rightChars="20" w:firstLine="420" w:firstLineChars="200"/>
        <w:jc w:val="left"/>
        <w:rPr>
          <w:rFonts w:asciiTheme="minorEastAsia" w:hAnsiTheme="minorEastAsia" w:eastAsiaTheme="minorEastAsia"/>
          <w:szCs w:val="21"/>
        </w:rPr>
      </w:pPr>
    </w:p>
    <w:p>
      <w:pPr>
        <w:spacing w:line="360" w:lineRule="auto"/>
        <w:ind w:right="42" w:rightChars="20"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投标人（加盖公章）：</w:t>
      </w:r>
    </w:p>
    <w:p>
      <w:pPr>
        <w:pStyle w:val="47"/>
        <w:snapToGrid w:val="0"/>
        <w:spacing w:line="360" w:lineRule="auto"/>
        <w:ind w:right="42" w:rightChars="2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法定代表人或其授权代表签字（或盖章）</w:t>
      </w:r>
      <w:r>
        <w:rPr>
          <w:rFonts w:asciiTheme="minorEastAsia" w:hAnsiTheme="minorEastAsia" w:eastAsiaTheme="minorEastAsia"/>
          <w:sz w:val="21"/>
          <w:szCs w:val="21"/>
        </w:rPr>
        <w:t>：</w:t>
      </w: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u w:val="single"/>
        </w:rPr>
      </w:pPr>
      <w:r>
        <w:rPr>
          <w:rFonts w:hint="eastAsia" w:asciiTheme="minorEastAsia" w:hAnsiTheme="minorEastAsia" w:eastAsiaTheme="minorEastAsia"/>
          <w:szCs w:val="21"/>
          <w:shd w:val="clear" w:color="auto" w:fill="FFFFFF"/>
        </w:rPr>
        <w:t>投标日期： 年 月 日</w:t>
      </w: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firstLine="420" w:firstLineChars="200"/>
        <w:jc w:val="left"/>
        <w:rPr>
          <w:rFonts w:asciiTheme="minorEastAsia" w:hAnsiTheme="minorEastAsia" w:eastAsiaTheme="minorEastAsia"/>
          <w:szCs w:val="21"/>
        </w:rPr>
      </w:pPr>
    </w:p>
    <w:p>
      <w:pPr>
        <w:snapToGrid w:val="0"/>
        <w:spacing w:line="360" w:lineRule="auto"/>
        <w:ind w:right="42" w:rightChars="20"/>
        <w:jc w:val="left"/>
        <w:rPr>
          <w:rFonts w:asciiTheme="minorEastAsia" w:hAnsiTheme="minorEastAsia" w:eastAsiaTheme="minorEastAsia"/>
          <w:szCs w:val="21"/>
        </w:rPr>
      </w:pPr>
    </w:p>
    <w:p>
      <w:pPr>
        <w:snapToGrid w:val="0"/>
        <w:ind w:right="42" w:rightChars="20" w:firstLine="420" w:firstLineChars="200"/>
        <w:jc w:val="left"/>
        <w:rPr>
          <w:rFonts w:ascii="微软雅黑" w:hAnsi="微软雅黑" w:eastAsia="微软雅黑"/>
          <w:b/>
          <w:szCs w:val="21"/>
        </w:rPr>
      </w:pPr>
      <w:r>
        <w:rPr>
          <w:rFonts w:hint="eastAsia" w:ascii="微软雅黑" w:hAnsi="微软雅黑" w:eastAsia="微软雅黑"/>
          <w:b/>
          <w:szCs w:val="21"/>
        </w:rPr>
        <w:t>廉政承诺书格式：</w:t>
      </w:r>
    </w:p>
    <w:p>
      <w:pPr>
        <w:pStyle w:val="4"/>
        <w:ind w:right="42" w:rightChars="20"/>
        <w:contextualSpacing/>
        <w:rPr>
          <w:rFonts w:ascii="宋体" w:hAnsi="宋体" w:eastAsia="宋体" w:cs="宋体"/>
          <w:sz w:val="21"/>
          <w:szCs w:val="21"/>
        </w:rPr>
      </w:pPr>
      <w:bookmarkStart w:id="308" w:name="_Toc17144"/>
      <w:r>
        <w:rPr>
          <w:rFonts w:hint="eastAsia" w:ascii="宋体" w:hAnsi="宋体" w:eastAsia="宋体" w:cs="宋体"/>
          <w:sz w:val="21"/>
          <w:szCs w:val="21"/>
        </w:rPr>
        <w:t>廉政承诺书</w:t>
      </w:r>
      <w:bookmarkEnd w:id="308"/>
    </w:p>
    <w:p>
      <w:pPr>
        <w:autoSpaceDE w:val="0"/>
        <w:autoSpaceDN w:val="0"/>
        <w:adjustRightInd w:val="0"/>
        <w:spacing w:line="360" w:lineRule="auto"/>
        <w:ind w:right="42" w:rightChars="20"/>
        <w:contextualSpacing/>
        <w:rPr>
          <w:rFonts w:ascii="宋体" w:hAnsi="宋体" w:cs="宋体"/>
          <w:kern w:val="0"/>
          <w:szCs w:val="21"/>
          <w:lang w:val="zh-CN"/>
        </w:rPr>
      </w:pPr>
      <w:r>
        <w:rPr>
          <w:rFonts w:hint="eastAsia" w:ascii="宋体" w:hAnsi="宋体" w:cs="宋体"/>
          <w:szCs w:val="21"/>
        </w:rPr>
        <w:t>致：（招标采购单位名称）</w:t>
      </w:r>
    </w:p>
    <w:p>
      <w:pPr>
        <w:autoSpaceDE w:val="0"/>
        <w:autoSpaceDN w:val="0"/>
        <w:adjustRightInd w:val="0"/>
        <w:spacing w:line="360" w:lineRule="auto"/>
        <w:ind w:right="42" w:rightChars="20" w:firstLine="420" w:firstLineChars="200"/>
        <w:contextualSpacing/>
        <w:rPr>
          <w:rFonts w:ascii="宋体" w:hAnsi="宋体" w:cs="宋体"/>
          <w:kern w:val="0"/>
          <w:szCs w:val="21"/>
        </w:rPr>
      </w:pPr>
      <w:r>
        <w:rPr>
          <w:rFonts w:hint="eastAsia" w:ascii="宋体" w:hAnsi="宋体" w:cs="宋体"/>
          <w:kern w:val="0"/>
          <w:szCs w:val="21"/>
          <w:lang w:val="zh-CN"/>
        </w:rPr>
        <w:t>我单位响应项目采购要求参加投标。在这次投标过程中和中标后，我们将严格遵守国家法律法规的要求，并郑重承诺：</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 xml:space="preserve">一、不向项目有关人员及部门赠送礼金礼物、有价证券、回扣以及中介费、介绍费、咨询费等好处费；    </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 xml:space="preserve">二、不为项目有关人员及部门报销应由你方单位或个人支付的费用；    </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 xml:space="preserve">三、不向项目有关人员及部门提供有可能影响公正的宴请和健身娱乐等活动；    </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 xml:space="preserve">四、不为项目有关人员及部门出国（境）、旅游等提供方便；    </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 xml:space="preserve">五、不为项目有关人员个人装修住房、婚丧嫁娶、配偶子女工作安排等提供好处；    </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六、严格遵守政府采购法、招标投标法、合同法等法律，诚实守信，合法经营，坚决抵制各种违法违纪行为。</w:t>
      </w:r>
    </w:p>
    <w:p>
      <w:pPr>
        <w:autoSpaceDE w:val="0"/>
        <w:autoSpaceDN w:val="0"/>
        <w:adjustRightInd w:val="0"/>
        <w:spacing w:line="360" w:lineRule="auto"/>
        <w:ind w:right="42" w:rightChars="20" w:firstLine="420" w:firstLineChars="200"/>
        <w:contextualSpacing/>
        <w:rPr>
          <w:rFonts w:ascii="宋体" w:hAnsi="宋体"/>
          <w:szCs w:val="21"/>
        </w:rPr>
      </w:pPr>
      <w:r>
        <w:rPr>
          <w:rFonts w:hint="eastAsia" w:ascii="宋体" w:hAnsi="宋体"/>
          <w:szCs w:val="21"/>
        </w:rPr>
        <w:t>如违反上述承诺，你单位有权立即取消我单位投标、中标或在建项目的建设资格，有权拒绝我单位在一定时期内进入你单位进行项目建设或其他经营活动，并通报政府采购监督管理部门。由此引起的相应损失均由我单位承担。</w:t>
      </w:r>
    </w:p>
    <w:p>
      <w:pPr>
        <w:tabs>
          <w:tab w:val="left" w:pos="1418"/>
        </w:tabs>
        <w:spacing w:line="360" w:lineRule="auto"/>
        <w:ind w:right="42" w:rightChars="20"/>
        <w:contextualSpacing/>
        <w:rPr>
          <w:rFonts w:ascii="宋体" w:hAnsi="宋体"/>
          <w:szCs w:val="21"/>
        </w:rPr>
      </w:pPr>
    </w:p>
    <w:p>
      <w:pPr>
        <w:pStyle w:val="47"/>
        <w:snapToGrid w:val="0"/>
        <w:spacing w:line="360" w:lineRule="auto"/>
        <w:ind w:right="42" w:rightChars="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法定代表人或其授权代表签字（或盖章）</w:t>
      </w:r>
      <w:r>
        <w:rPr>
          <w:rFonts w:asciiTheme="minorEastAsia" w:hAnsiTheme="minorEastAsia" w:eastAsiaTheme="minorEastAsia"/>
          <w:sz w:val="21"/>
          <w:szCs w:val="21"/>
        </w:rPr>
        <w:t>：</w:t>
      </w:r>
    </w:p>
    <w:p>
      <w:pPr>
        <w:tabs>
          <w:tab w:val="left" w:pos="1418"/>
        </w:tabs>
        <w:spacing w:line="360" w:lineRule="auto"/>
        <w:ind w:right="42" w:rightChars="20"/>
        <w:contextualSpacing/>
        <w:rPr>
          <w:rFonts w:ascii="宋体" w:hAnsi="宋体"/>
          <w:szCs w:val="21"/>
        </w:rPr>
      </w:pPr>
    </w:p>
    <w:p>
      <w:pPr>
        <w:tabs>
          <w:tab w:val="left" w:pos="1418"/>
        </w:tabs>
        <w:spacing w:line="360" w:lineRule="auto"/>
        <w:ind w:right="42" w:rightChars="20"/>
        <w:contextualSpacing/>
        <w:rPr>
          <w:rFonts w:ascii="宋体" w:hAnsi="宋体"/>
          <w:szCs w:val="21"/>
        </w:rPr>
      </w:pPr>
      <w:r>
        <w:rPr>
          <w:rFonts w:hint="eastAsia" w:ascii="宋体" w:hAnsi="宋体"/>
          <w:szCs w:val="21"/>
        </w:rPr>
        <w:t>投 标 人（</w:t>
      </w:r>
      <w:r>
        <w:rPr>
          <w:rFonts w:hint="eastAsia" w:asciiTheme="minorEastAsia" w:hAnsiTheme="minorEastAsia" w:eastAsiaTheme="minorEastAsia"/>
          <w:szCs w:val="21"/>
          <w:shd w:val="clear" w:color="auto" w:fill="FFFFFF"/>
        </w:rPr>
        <w:t>CA签章</w:t>
      </w:r>
      <w:r>
        <w:rPr>
          <w:rFonts w:hint="eastAsia" w:ascii="宋体" w:hAnsi="宋体"/>
          <w:szCs w:val="21"/>
        </w:rPr>
        <w:t xml:space="preserve">）：                            </w:t>
      </w:r>
    </w:p>
    <w:p>
      <w:pPr>
        <w:tabs>
          <w:tab w:val="left" w:pos="1418"/>
        </w:tabs>
        <w:spacing w:line="360" w:lineRule="auto"/>
        <w:ind w:right="42" w:rightChars="20"/>
        <w:contextualSpacing/>
        <w:rPr>
          <w:rFonts w:ascii="宋体" w:hAnsi="宋体" w:cs="宋体"/>
          <w:bCs/>
          <w:szCs w:val="21"/>
        </w:rPr>
      </w:pPr>
    </w:p>
    <w:p>
      <w:pPr>
        <w:tabs>
          <w:tab w:val="left" w:pos="1418"/>
        </w:tabs>
        <w:spacing w:line="360" w:lineRule="auto"/>
        <w:ind w:right="42" w:rightChars="20"/>
        <w:contextualSpacing/>
        <w:jc w:val="right"/>
        <w:rPr>
          <w:rFonts w:ascii="宋体" w:hAnsi="宋体" w:cs="宋体"/>
          <w:b/>
          <w:bCs/>
          <w:szCs w:val="21"/>
        </w:rPr>
        <w:sectPr>
          <w:headerReference r:id="rId10" w:type="default"/>
          <w:pgSz w:w="11906" w:h="16838"/>
          <w:pgMar w:top="1474" w:right="1842" w:bottom="1247" w:left="1797" w:header="851" w:footer="851" w:gutter="0"/>
          <w:cols w:space="720" w:num="1"/>
          <w:docGrid w:linePitch="312" w:charSpace="0"/>
        </w:sectPr>
      </w:pPr>
      <w:r>
        <w:rPr>
          <w:rFonts w:hint="eastAsia" w:ascii="宋体" w:hAnsi="宋体" w:cs="宋体"/>
          <w:bCs/>
          <w:szCs w:val="21"/>
        </w:rPr>
        <w:t xml:space="preserve">  年  月  日</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投标人的类似成功案例的业绩证明文件：</w:t>
      </w:r>
    </w:p>
    <w:p>
      <w:pPr>
        <w:pStyle w:val="27"/>
        <w:snapToGrid w:val="0"/>
        <w:spacing w:line="360" w:lineRule="auto"/>
        <w:ind w:left="0" w:firstLine="420" w:firstLineChars="200"/>
        <w:jc w:val="left"/>
        <w:rPr>
          <w:rFonts w:ascii="宋体" w:hAnsi="宋体" w:cs="宋体"/>
          <w:szCs w:val="21"/>
        </w:rPr>
      </w:pPr>
      <w:r>
        <w:rPr>
          <w:rFonts w:hint="eastAsia" w:ascii="宋体" w:hAnsi="宋体" w:cs="宋体"/>
          <w:szCs w:val="21"/>
        </w:rPr>
        <w:t>投标人同类项目实施情况一览表格式：（投标人同类项目合同复印件）</w:t>
      </w:r>
    </w:p>
    <w:tbl>
      <w:tblPr>
        <w:tblStyle w:val="33"/>
        <w:tblW w:w="142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517"/>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71" w:hRule="atLeast"/>
        </w:trPr>
        <w:tc>
          <w:tcPr>
            <w:tcW w:w="262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采购单位名称</w:t>
            </w:r>
          </w:p>
        </w:tc>
        <w:tc>
          <w:tcPr>
            <w:tcW w:w="34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项目名称</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采购</w:t>
            </w:r>
          </w:p>
          <w:p>
            <w:pPr>
              <w:snapToGrid w:val="0"/>
              <w:spacing w:line="360" w:lineRule="auto"/>
              <w:ind w:firstLine="420" w:firstLineChars="200"/>
              <w:jc w:val="left"/>
              <w:rPr>
                <w:rFonts w:ascii="宋体" w:hAnsi="宋体" w:cs="宋体"/>
                <w:szCs w:val="21"/>
              </w:rPr>
            </w:pPr>
            <w:r>
              <w:rPr>
                <w:rFonts w:hint="eastAsia" w:ascii="宋体" w:hAnsi="宋体" w:cs="宋体"/>
                <w:szCs w:val="21"/>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单价</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合同</w:t>
            </w:r>
          </w:p>
          <w:p>
            <w:pPr>
              <w:snapToGrid w:val="0"/>
              <w:spacing w:line="360" w:lineRule="auto"/>
              <w:ind w:firstLine="420" w:firstLineChars="200"/>
              <w:jc w:val="left"/>
              <w:rPr>
                <w:rFonts w:ascii="宋体" w:hAnsi="宋体" w:cs="宋体"/>
                <w:szCs w:val="21"/>
              </w:rPr>
            </w:pPr>
            <w:r>
              <w:rPr>
                <w:rFonts w:hint="eastAsia" w:ascii="宋体" w:hAnsi="宋体" w:cs="宋体"/>
                <w:szCs w:val="21"/>
              </w:rPr>
              <w:t>金额</w:t>
            </w:r>
          </w:p>
          <w:p>
            <w:pPr>
              <w:snapToGrid w:val="0"/>
              <w:spacing w:line="360" w:lineRule="auto"/>
              <w:ind w:firstLine="420" w:firstLineChars="200"/>
              <w:jc w:val="left"/>
              <w:rPr>
                <w:rFonts w:ascii="宋体" w:hAnsi="宋体" w:cs="宋体"/>
                <w:szCs w:val="21"/>
              </w:rPr>
            </w:pPr>
            <w:r>
              <w:rPr>
                <w:rFonts w:hint="eastAsia" w:ascii="宋体" w:hAnsi="宋体" w:cs="宋体"/>
                <w:szCs w:val="21"/>
              </w:rPr>
              <w:t>（万元）</w:t>
            </w:r>
          </w:p>
        </w:tc>
        <w:tc>
          <w:tcPr>
            <w:tcW w:w="1517" w:type="dxa"/>
            <w:tcBorders>
              <w:top w:val="single" w:color="auto" w:sz="4" w:space="0"/>
              <w:left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附件页码</w:t>
            </w:r>
          </w:p>
          <w:p>
            <w:pPr>
              <w:snapToGrid w:val="0"/>
              <w:spacing w:line="360" w:lineRule="auto"/>
              <w:ind w:firstLine="420" w:firstLineChars="200"/>
              <w:jc w:val="left"/>
              <w:rPr>
                <w:rFonts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采购单位联系人及</w:t>
            </w:r>
          </w:p>
          <w:p>
            <w:pPr>
              <w:snapToGrid w:val="0"/>
              <w:spacing w:line="360" w:lineRule="auto"/>
              <w:ind w:firstLine="420" w:firstLineChars="200"/>
              <w:jc w:val="left"/>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3118"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r>
    </w:tbl>
    <w:p>
      <w:pPr>
        <w:pStyle w:val="13"/>
        <w:snapToGrid w:val="0"/>
        <w:spacing w:before="0" w:after="0" w:line="360" w:lineRule="auto"/>
        <w:ind w:firstLine="420" w:firstLineChars="200"/>
        <w:jc w:val="left"/>
        <w:rPr>
          <w:rFonts w:ascii="宋体" w:hAnsi="宋体" w:eastAsia="宋体" w:cs="宋体"/>
          <w:sz w:val="21"/>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snapToGrid w:val="0"/>
        <w:spacing w:line="360" w:lineRule="auto"/>
        <w:ind w:firstLine="420" w:firstLineChars="200"/>
        <w:jc w:val="left"/>
        <w:rPr>
          <w:rFonts w:ascii="宋体" w:hAnsi="宋体" w:cs="宋体"/>
          <w:szCs w:val="21"/>
        </w:rPr>
        <w:sectPr>
          <w:pgSz w:w="16838" w:h="11906" w:orient="landscape"/>
          <w:pgMar w:top="1797" w:right="1474" w:bottom="1797" w:left="1247" w:header="851" w:footer="851" w:gutter="0"/>
          <w:cols w:space="720" w:num="1"/>
          <w:docGrid w:linePitch="312" w:charSpace="0"/>
        </w:sectPr>
      </w:pPr>
    </w:p>
    <w:p>
      <w:pPr>
        <w:snapToGrid w:val="0"/>
        <w:spacing w:line="360" w:lineRule="auto"/>
        <w:ind w:firstLine="420" w:firstLineChars="200"/>
        <w:jc w:val="left"/>
        <w:rPr>
          <w:rFonts w:ascii="宋体" w:hAnsi="宋体" w:cs="宋体"/>
          <w:szCs w:val="21"/>
        </w:rPr>
      </w:pPr>
      <w:r>
        <w:rPr>
          <w:rFonts w:hint="eastAsia" w:ascii="宋体" w:hAnsi="宋体" w:cs="宋体"/>
          <w:szCs w:val="21"/>
        </w:rPr>
        <w:t>商务响应表格式：</w:t>
      </w:r>
    </w:p>
    <w:tbl>
      <w:tblPr>
        <w:tblStyle w:val="33"/>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1891"/>
        <w:gridCol w:w="1653"/>
        <w:gridCol w:w="2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2376"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r>
              <w:rPr>
                <w:rFonts w:hint="eastAsia" w:ascii="宋体" w:hAnsi="宋体" w:cs="宋体"/>
                <w:szCs w:val="21"/>
              </w:rPr>
              <w:t>项目</w:t>
            </w:r>
          </w:p>
        </w:tc>
        <w:tc>
          <w:tcPr>
            <w:tcW w:w="189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r>
              <w:rPr>
                <w:rFonts w:hint="eastAsia" w:ascii="宋体" w:hAnsi="宋体" w:cs="宋体"/>
                <w:szCs w:val="21"/>
              </w:rPr>
              <w:t>招标文件要求</w:t>
            </w:r>
          </w:p>
        </w:tc>
        <w:tc>
          <w:tcPr>
            <w:tcW w:w="1653"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r>
              <w:rPr>
                <w:rFonts w:hint="eastAsia" w:ascii="宋体" w:hAnsi="宋体" w:cs="宋体"/>
                <w:szCs w:val="21"/>
              </w:rPr>
              <w:t>是否响应</w:t>
            </w:r>
          </w:p>
        </w:tc>
        <w:tc>
          <w:tcPr>
            <w:tcW w:w="264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r>
              <w:rPr>
                <w:rFonts w:hint="eastAsia" w:ascii="宋体" w:hAnsi="宋体" w:cs="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76"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p>
        </w:tc>
        <w:tc>
          <w:tcPr>
            <w:tcW w:w="1891"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653"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2645"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376"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p>
        </w:tc>
        <w:tc>
          <w:tcPr>
            <w:tcW w:w="1891"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653"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2645"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376"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szCs w:val="21"/>
              </w:rPr>
            </w:pPr>
          </w:p>
        </w:tc>
        <w:tc>
          <w:tcPr>
            <w:tcW w:w="1891"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1653"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c>
          <w:tcPr>
            <w:tcW w:w="2645" w:type="dxa"/>
            <w:tcBorders>
              <w:top w:val="single" w:color="auto" w:sz="4" w:space="0"/>
              <w:left w:val="single" w:color="auto" w:sz="4" w:space="0"/>
              <w:bottom w:val="single" w:color="auto" w:sz="4" w:space="0"/>
              <w:right w:val="single" w:color="auto" w:sz="4" w:space="0"/>
            </w:tcBorders>
            <w:noWrap/>
          </w:tcPr>
          <w:p>
            <w:pPr>
              <w:snapToGrid w:val="0"/>
              <w:spacing w:line="360" w:lineRule="auto"/>
              <w:ind w:firstLine="420" w:firstLineChars="200"/>
              <w:jc w:val="left"/>
              <w:rPr>
                <w:rFonts w:ascii="宋体" w:hAnsi="宋体" w:cs="宋体"/>
                <w:szCs w:val="21"/>
              </w:rPr>
            </w:pPr>
          </w:p>
        </w:tc>
      </w:tr>
    </w:tbl>
    <w:p>
      <w:pPr>
        <w:pStyle w:val="19"/>
        <w:spacing w:line="360" w:lineRule="auto"/>
        <w:ind w:firstLine="420" w:firstLineChars="200"/>
        <w:jc w:val="left"/>
        <w:rPr>
          <w:rFonts w:hAnsi="宋体" w:cs="宋体"/>
          <w:szCs w:val="21"/>
        </w:rPr>
      </w:pPr>
      <w:r>
        <w:rPr>
          <w:rFonts w:hint="eastAsia" w:hAnsi="宋体" w:cs="宋体"/>
          <w:szCs w:val="21"/>
        </w:rPr>
        <w:t>注：本表不允许负偏离；</w:t>
      </w:r>
    </w:p>
    <w:p>
      <w:pPr>
        <w:pStyle w:val="19"/>
        <w:spacing w:line="360" w:lineRule="auto"/>
        <w:ind w:firstLine="420" w:firstLineChars="200"/>
        <w:jc w:val="left"/>
        <w:rPr>
          <w:rFonts w:hAnsi="宋体" w:cs="宋体"/>
          <w:szCs w:val="21"/>
        </w:rPr>
      </w:pPr>
      <w:r>
        <w:rPr>
          <w:rFonts w:hint="eastAsia" w:hAnsi="宋体" w:cs="宋体"/>
          <w:szCs w:val="21"/>
        </w:rPr>
        <w:t>▲不提供本表视为完全响应招标文件要求。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pStyle w:val="19"/>
        <w:spacing w:line="360" w:lineRule="auto"/>
        <w:ind w:firstLine="420" w:firstLineChars="200"/>
        <w:jc w:val="left"/>
        <w:rPr>
          <w:rFonts w:hAnsi="宋体" w:cs="宋体"/>
          <w:szCs w:val="21"/>
        </w:rPr>
      </w:pPr>
    </w:p>
    <w:p>
      <w:pPr>
        <w:pStyle w:val="19"/>
        <w:spacing w:line="360" w:lineRule="auto"/>
        <w:ind w:firstLine="420" w:firstLineChars="200"/>
        <w:jc w:val="left"/>
        <w:rPr>
          <w:rFonts w:hAnsi="宋体" w:cs="宋体"/>
          <w:szCs w:val="21"/>
        </w:rPr>
      </w:pPr>
      <w:r>
        <w:rPr>
          <w:rFonts w:hint="eastAsia" w:hAnsi="宋体" w:cs="宋体"/>
          <w:szCs w:val="21"/>
        </w:rPr>
        <w:t xml:space="preserve">                                     日期：       年    月    日</w:t>
      </w:r>
    </w:p>
    <w:p>
      <w:pPr>
        <w:snapToGrid w:val="0"/>
        <w:spacing w:line="360" w:lineRule="auto"/>
        <w:ind w:firstLine="422" w:firstLineChars="200"/>
        <w:jc w:val="left"/>
        <w:rPr>
          <w:rFonts w:ascii="宋体" w:hAnsi="宋体" w:cs="宋体"/>
          <w:b/>
          <w:bCs/>
          <w:szCs w:val="21"/>
        </w:rPr>
        <w:sectPr>
          <w:pgSz w:w="11906" w:h="16838"/>
          <w:pgMar w:top="1474" w:right="1797" w:bottom="1247" w:left="1797" w:header="851" w:footer="851" w:gutter="0"/>
          <w:cols w:space="720" w:num="1"/>
          <w:docGrid w:linePitch="312" w:charSpace="0"/>
        </w:sectPr>
      </w:pPr>
    </w:p>
    <w:p>
      <w:pPr>
        <w:snapToGrid w:val="0"/>
        <w:spacing w:line="360" w:lineRule="auto"/>
        <w:ind w:firstLine="420" w:firstLineChars="200"/>
        <w:jc w:val="left"/>
        <w:rPr>
          <w:rFonts w:ascii="宋体" w:hAnsi="宋体" w:cs="宋体"/>
          <w:szCs w:val="21"/>
        </w:rPr>
      </w:pPr>
      <w:r>
        <w:rPr>
          <w:rFonts w:hint="eastAsia" w:ascii="宋体" w:hAnsi="宋体" w:cs="宋体"/>
          <w:bCs/>
          <w:szCs w:val="21"/>
        </w:rPr>
        <w:t>技术规范偏离</w:t>
      </w:r>
      <w:r>
        <w:rPr>
          <w:rFonts w:hint="eastAsia" w:ascii="宋体" w:hAnsi="宋体" w:cs="宋体"/>
          <w:szCs w:val="21"/>
        </w:rPr>
        <w:t>表格式：</w:t>
      </w:r>
    </w:p>
    <w:tbl>
      <w:tblPr>
        <w:tblStyle w:val="3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15"/>
        <w:gridCol w:w="283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ign w:val="center"/>
          </w:tcPr>
          <w:p>
            <w:pPr>
              <w:tabs>
                <w:tab w:val="left" w:pos="0"/>
              </w:tabs>
              <w:spacing w:line="360" w:lineRule="auto"/>
              <w:jc w:val="left"/>
              <w:rPr>
                <w:rFonts w:ascii="宋体" w:hAnsi="宋体" w:cs="宋体"/>
                <w:szCs w:val="21"/>
              </w:rPr>
            </w:pPr>
            <w:r>
              <w:rPr>
                <w:rFonts w:hint="eastAsia" w:ascii="宋体" w:hAnsi="宋体" w:cs="宋体"/>
                <w:szCs w:val="21"/>
              </w:rPr>
              <w:t>序号</w:t>
            </w:r>
          </w:p>
        </w:tc>
        <w:tc>
          <w:tcPr>
            <w:tcW w:w="2415" w:type="dxa"/>
            <w:noWrap/>
            <w:vAlign w:val="center"/>
          </w:tcPr>
          <w:p>
            <w:pPr>
              <w:tabs>
                <w:tab w:val="left" w:pos="0"/>
              </w:tabs>
              <w:spacing w:line="360" w:lineRule="auto"/>
              <w:ind w:firstLine="420" w:firstLineChars="200"/>
              <w:jc w:val="left"/>
              <w:rPr>
                <w:rFonts w:ascii="宋体" w:hAnsi="宋体" w:cs="宋体"/>
                <w:szCs w:val="21"/>
              </w:rPr>
            </w:pPr>
            <w:r>
              <w:rPr>
                <w:rFonts w:hint="eastAsia" w:ascii="宋体" w:hAnsi="宋体" w:cs="宋体"/>
                <w:szCs w:val="21"/>
              </w:rPr>
              <w:t>招标文件要求</w:t>
            </w:r>
          </w:p>
        </w:tc>
        <w:tc>
          <w:tcPr>
            <w:tcW w:w="2835" w:type="dxa"/>
            <w:noWrap/>
            <w:vAlign w:val="center"/>
          </w:tcPr>
          <w:p>
            <w:pPr>
              <w:tabs>
                <w:tab w:val="left" w:pos="0"/>
              </w:tabs>
              <w:spacing w:line="360" w:lineRule="auto"/>
              <w:ind w:firstLine="420" w:firstLineChars="200"/>
              <w:jc w:val="left"/>
              <w:rPr>
                <w:rFonts w:ascii="宋体" w:hAnsi="宋体" w:cs="宋体"/>
                <w:szCs w:val="21"/>
              </w:rPr>
            </w:pPr>
            <w:r>
              <w:rPr>
                <w:rFonts w:hint="eastAsia" w:ascii="宋体" w:hAnsi="宋体" w:cs="宋体"/>
                <w:szCs w:val="21"/>
              </w:rPr>
              <w:t>投标文件情况</w:t>
            </w:r>
          </w:p>
        </w:tc>
        <w:tc>
          <w:tcPr>
            <w:tcW w:w="3150" w:type="dxa"/>
            <w:noWrap/>
            <w:vAlign w:val="center"/>
          </w:tcPr>
          <w:p>
            <w:pPr>
              <w:tabs>
                <w:tab w:val="left" w:pos="0"/>
              </w:tabs>
              <w:spacing w:line="360" w:lineRule="auto"/>
              <w:ind w:firstLine="420" w:firstLineChars="200"/>
              <w:jc w:val="left"/>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ign w:val="center"/>
          </w:tcPr>
          <w:p>
            <w:pPr>
              <w:spacing w:line="360" w:lineRule="auto"/>
              <w:jc w:val="left"/>
              <w:rPr>
                <w:rFonts w:ascii="宋体" w:hAnsi="宋体" w:cs="宋体"/>
                <w:szCs w:val="21"/>
              </w:rPr>
            </w:pPr>
          </w:p>
        </w:tc>
        <w:tc>
          <w:tcPr>
            <w:tcW w:w="2415" w:type="dxa"/>
            <w:noWrap/>
            <w:vAlign w:val="center"/>
          </w:tcPr>
          <w:p>
            <w:pPr>
              <w:spacing w:line="360" w:lineRule="auto"/>
              <w:ind w:firstLine="420" w:firstLineChars="200"/>
              <w:jc w:val="left"/>
              <w:rPr>
                <w:rFonts w:ascii="宋体" w:hAnsi="宋体" w:cs="宋体"/>
                <w:szCs w:val="21"/>
              </w:rPr>
            </w:pPr>
          </w:p>
        </w:tc>
        <w:tc>
          <w:tcPr>
            <w:tcW w:w="2835" w:type="dxa"/>
            <w:noWrap/>
            <w:vAlign w:val="center"/>
          </w:tcPr>
          <w:p>
            <w:pPr>
              <w:spacing w:line="360" w:lineRule="auto"/>
              <w:ind w:firstLine="420" w:firstLineChars="200"/>
              <w:jc w:val="left"/>
              <w:rPr>
                <w:rFonts w:ascii="宋体" w:hAnsi="宋体" w:cs="宋体"/>
                <w:szCs w:val="21"/>
              </w:rPr>
            </w:pPr>
          </w:p>
        </w:tc>
        <w:tc>
          <w:tcPr>
            <w:tcW w:w="3150" w:type="dxa"/>
            <w:noWrap/>
            <w:vAlign w:val="center"/>
          </w:tcPr>
          <w:p>
            <w:pPr>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ign w:val="center"/>
          </w:tcPr>
          <w:p>
            <w:pPr>
              <w:spacing w:line="360" w:lineRule="auto"/>
              <w:jc w:val="left"/>
              <w:rPr>
                <w:rFonts w:ascii="宋体" w:hAnsi="宋体" w:cs="宋体"/>
                <w:szCs w:val="21"/>
              </w:rPr>
            </w:pPr>
          </w:p>
        </w:tc>
        <w:tc>
          <w:tcPr>
            <w:tcW w:w="2415" w:type="dxa"/>
            <w:noWrap/>
            <w:vAlign w:val="center"/>
          </w:tcPr>
          <w:p>
            <w:pPr>
              <w:spacing w:line="360" w:lineRule="auto"/>
              <w:ind w:firstLine="420" w:firstLineChars="200"/>
              <w:jc w:val="left"/>
              <w:rPr>
                <w:rFonts w:ascii="宋体" w:hAnsi="宋体" w:cs="宋体"/>
                <w:szCs w:val="21"/>
              </w:rPr>
            </w:pPr>
          </w:p>
        </w:tc>
        <w:tc>
          <w:tcPr>
            <w:tcW w:w="2835" w:type="dxa"/>
            <w:noWrap/>
            <w:vAlign w:val="center"/>
          </w:tcPr>
          <w:p>
            <w:pPr>
              <w:spacing w:line="360" w:lineRule="auto"/>
              <w:ind w:firstLine="420" w:firstLineChars="200"/>
              <w:jc w:val="left"/>
              <w:rPr>
                <w:rFonts w:ascii="宋体" w:hAnsi="宋体" w:cs="宋体"/>
                <w:szCs w:val="21"/>
              </w:rPr>
            </w:pPr>
          </w:p>
        </w:tc>
        <w:tc>
          <w:tcPr>
            <w:tcW w:w="3150" w:type="dxa"/>
            <w:noWrap/>
            <w:vAlign w:val="center"/>
          </w:tcPr>
          <w:p>
            <w:pPr>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ign w:val="center"/>
          </w:tcPr>
          <w:p>
            <w:pPr>
              <w:spacing w:line="360" w:lineRule="auto"/>
              <w:jc w:val="left"/>
              <w:rPr>
                <w:rFonts w:ascii="宋体" w:hAnsi="宋体" w:cs="宋体"/>
                <w:szCs w:val="21"/>
              </w:rPr>
            </w:pPr>
          </w:p>
        </w:tc>
        <w:tc>
          <w:tcPr>
            <w:tcW w:w="2415" w:type="dxa"/>
            <w:noWrap/>
            <w:vAlign w:val="center"/>
          </w:tcPr>
          <w:p>
            <w:pPr>
              <w:spacing w:line="360" w:lineRule="auto"/>
              <w:ind w:firstLine="420" w:firstLineChars="200"/>
              <w:jc w:val="left"/>
              <w:rPr>
                <w:rFonts w:ascii="宋体" w:hAnsi="宋体" w:cs="宋体"/>
                <w:szCs w:val="21"/>
              </w:rPr>
            </w:pPr>
          </w:p>
        </w:tc>
        <w:tc>
          <w:tcPr>
            <w:tcW w:w="2835" w:type="dxa"/>
            <w:noWrap/>
            <w:vAlign w:val="center"/>
          </w:tcPr>
          <w:p>
            <w:pPr>
              <w:spacing w:line="360" w:lineRule="auto"/>
              <w:ind w:firstLine="420" w:firstLineChars="200"/>
              <w:jc w:val="left"/>
              <w:rPr>
                <w:rFonts w:ascii="宋体" w:hAnsi="宋体" w:cs="宋体"/>
                <w:szCs w:val="21"/>
              </w:rPr>
            </w:pPr>
          </w:p>
        </w:tc>
        <w:tc>
          <w:tcPr>
            <w:tcW w:w="3150" w:type="dxa"/>
            <w:noWrap/>
            <w:vAlign w:val="center"/>
          </w:tcPr>
          <w:p>
            <w:pPr>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ign w:val="center"/>
          </w:tcPr>
          <w:p>
            <w:pPr>
              <w:spacing w:line="360" w:lineRule="auto"/>
              <w:jc w:val="left"/>
              <w:rPr>
                <w:rFonts w:ascii="宋体" w:hAnsi="宋体" w:cs="宋体"/>
                <w:szCs w:val="21"/>
              </w:rPr>
            </w:pPr>
            <w:r>
              <w:rPr>
                <w:rFonts w:hint="eastAsia" w:ascii="宋体" w:hAnsi="宋体" w:cs="宋体"/>
                <w:szCs w:val="21"/>
              </w:rPr>
              <w:t>…..</w:t>
            </w:r>
          </w:p>
        </w:tc>
        <w:tc>
          <w:tcPr>
            <w:tcW w:w="2415" w:type="dxa"/>
            <w:noWrap/>
            <w:vAlign w:val="center"/>
          </w:tcPr>
          <w:p>
            <w:pPr>
              <w:spacing w:line="360" w:lineRule="auto"/>
              <w:ind w:firstLine="420" w:firstLineChars="200"/>
              <w:jc w:val="left"/>
              <w:rPr>
                <w:rFonts w:ascii="宋体" w:hAnsi="宋体" w:cs="宋体"/>
                <w:szCs w:val="21"/>
              </w:rPr>
            </w:pPr>
          </w:p>
        </w:tc>
        <w:tc>
          <w:tcPr>
            <w:tcW w:w="2835" w:type="dxa"/>
            <w:noWrap/>
            <w:vAlign w:val="center"/>
          </w:tcPr>
          <w:p>
            <w:pPr>
              <w:spacing w:line="360" w:lineRule="auto"/>
              <w:ind w:firstLine="420" w:firstLineChars="200"/>
              <w:jc w:val="left"/>
              <w:rPr>
                <w:rFonts w:ascii="宋体" w:hAnsi="宋体" w:cs="宋体"/>
                <w:szCs w:val="21"/>
              </w:rPr>
            </w:pPr>
          </w:p>
        </w:tc>
        <w:tc>
          <w:tcPr>
            <w:tcW w:w="3150" w:type="dxa"/>
            <w:noWrap/>
            <w:vAlign w:val="center"/>
          </w:tcPr>
          <w:p>
            <w:pPr>
              <w:spacing w:line="360" w:lineRule="auto"/>
              <w:ind w:firstLine="420" w:firstLineChars="200"/>
              <w:jc w:val="left"/>
              <w:rPr>
                <w:rFonts w:ascii="宋体" w:hAnsi="宋体" w:cs="宋体"/>
                <w:szCs w:val="21"/>
              </w:rPr>
            </w:pPr>
          </w:p>
        </w:tc>
      </w:tr>
    </w:tbl>
    <w:p>
      <w:pPr>
        <w:pStyle w:val="19"/>
        <w:spacing w:line="360" w:lineRule="auto"/>
        <w:ind w:firstLine="420" w:firstLineChars="200"/>
        <w:jc w:val="left"/>
        <w:rPr>
          <w:rFonts w:hAnsi="宋体" w:cs="宋体"/>
          <w:szCs w:val="21"/>
        </w:rPr>
      </w:pPr>
      <w:r>
        <w:rPr>
          <w:rFonts w:hint="eastAsia" w:hAnsi="宋体" w:cs="宋体"/>
          <w:szCs w:val="21"/>
        </w:rPr>
        <w:t>注：“偏离”系指“正偏离”、“负偏离”或“无偏离”；</w:t>
      </w:r>
    </w:p>
    <w:p>
      <w:pPr>
        <w:pStyle w:val="19"/>
        <w:spacing w:line="360" w:lineRule="auto"/>
        <w:ind w:firstLine="420" w:firstLineChars="200"/>
        <w:jc w:val="left"/>
        <w:rPr>
          <w:rFonts w:hAnsi="宋体" w:cs="宋体"/>
          <w:szCs w:val="21"/>
        </w:rPr>
      </w:pPr>
      <w:r>
        <w:rPr>
          <w:rFonts w:hint="eastAsia" w:hAnsi="宋体" w:cs="宋体"/>
          <w:szCs w:val="21"/>
        </w:rPr>
        <w:t>▲不提供本表视为完全响应招标文件要求。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pStyle w:val="19"/>
        <w:snapToGrid w:val="0"/>
        <w:spacing w:line="360" w:lineRule="auto"/>
        <w:ind w:firstLine="420" w:firstLineChars="200"/>
        <w:jc w:val="left"/>
        <w:rPr>
          <w:rFonts w:hAnsi="宋体" w:cs="宋体"/>
          <w:szCs w:val="21"/>
        </w:rPr>
        <w:sectPr>
          <w:pgSz w:w="11906" w:h="16838"/>
          <w:pgMar w:top="1474" w:right="1797" w:bottom="1247" w:left="1797" w:header="851" w:footer="851" w:gutter="0"/>
          <w:cols w:space="720" w:num="1"/>
          <w:docGrid w:linePitch="312" w:charSpace="0"/>
        </w:sectPr>
      </w:pP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项目实施人员一览表</w:t>
      </w:r>
    </w:p>
    <w:p>
      <w:pPr>
        <w:snapToGrid w:val="0"/>
        <w:spacing w:line="360" w:lineRule="auto"/>
        <w:ind w:firstLine="422" w:firstLineChars="200"/>
        <w:jc w:val="center"/>
        <w:rPr>
          <w:rFonts w:ascii="宋体" w:hAnsi="宋体" w:cs="宋体"/>
          <w:b/>
          <w:szCs w:val="21"/>
        </w:rPr>
      </w:pPr>
      <w:r>
        <w:rPr>
          <w:rFonts w:hint="eastAsia" w:ascii="宋体" w:hAnsi="宋体" w:cs="宋体"/>
          <w:b/>
          <w:szCs w:val="21"/>
        </w:rPr>
        <w:t>项目实施人员（主要从业人员及其技术资格）一览表</w:t>
      </w:r>
    </w:p>
    <w:p>
      <w:pPr>
        <w:snapToGrid w:val="0"/>
        <w:spacing w:line="360" w:lineRule="auto"/>
        <w:ind w:firstLine="420" w:firstLineChars="200"/>
        <w:jc w:val="left"/>
        <w:rPr>
          <w:rFonts w:ascii="宋体" w:hAnsi="宋体" w:cs="宋体"/>
          <w:szCs w:val="21"/>
        </w:rPr>
      </w:pPr>
      <w:r>
        <w:rPr>
          <w:rFonts w:hint="eastAsia" w:ascii="宋体" w:hAnsi="宋体" w:cs="宋体"/>
          <w:szCs w:val="21"/>
        </w:rPr>
        <w:t>标项：</w:t>
      </w:r>
    </w:p>
    <w:tbl>
      <w:tblPr>
        <w:tblStyle w:val="33"/>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专业技术资格</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证书编号</w:t>
            </w: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line="360" w:lineRule="auto"/>
              <w:ind w:leftChars="0" w:firstLine="420" w:firstLineChars="200"/>
              <w:jc w:val="center"/>
              <w:rPr>
                <w:rFonts w:ascii="宋体" w:hAnsi="宋体" w:eastAsia="宋体" w:cs="宋体"/>
                <w:sz w:val="21"/>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p>
        </w:tc>
      </w:tr>
    </w:tbl>
    <w:p>
      <w:pPr>
        <w:snapToGrid w:val="0"/>
        <w:spacing w:line="360" w:lineRule="auto"/>
        <w:ind w:firstLine="420" w:firstLineChars="200"/>
        <w:jc w:val="left"/>
        <w:rPr>
          <w:rFonts w:ascii="宋体" w:hAnsi="宋体" w:cs="宋体"/>
          <w:szCs w:val="21"/>
        </w:rPr>
      </w:pPr>
      <w:r>
        <w:rPr>
          <w:rFonts w:hint="eastAsia" w:ascii="宋体" w:hAnsi="宋体" w:cs="宋体"/>
          <w:szCs w:val="21"/>
        </w:rPr>
        <w:t>注：在填写时，如本表格不适合投标单位的实际情况，可根据本表格式自行划表填写。</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pPr>
      <w:r>
        <w:rPr>
          <w:rFonts w:hint="eastAsia" w:ascii="宋体" w:hAnsi="宋体" w:cs="宋体"/>
          <w:szCs w:val="21"/>
        </w:rPr>
        <w:t>日期：    年   月   日</w:t>
      </w:r>
    </w:p>
    <w:p>
      <w:pPr>
        <w:snapToGrid w:val="0"/>
        <w:spacing w:line="360" w:lineRule="auto"/>
        <w:rPr>
          <w:rFonts w:ascii="宋体" w:hAnsi="宋体" w:cs="宋体"/>
          <w:b/>
          <w:szCs w:val="21"/>
        </w:rPr>
        <w:sectPr>
          <w:pgSz w:w="11907" w:h="16839"/>
          <w:pgMar w:top="1440" w:right="1800" w:bottom="1440" w:left="1800" w:header="851" w:footer="992" w:gutter="0"/>
          <w:cols w:space="720" w:num="1"/>
          <w:docGrid w:type="lines" w:linePitch="312" w:charSpace="0"/>
        </w:sectPr>
      </w:pPr>
    </w:p>
    <w:p>
      <w:pPr>
        <w:pStyle w:val="136"/>
        <w:spacing w:line="360" w:lineRule="auto"/>
        <w:ind w:firstLine="480"/>
        <w:rPr>
          <w:rFonts w:hAnsi="宋体" w:eastAsia="宋体" w:cs="宋体"/>
          <w:b/>
          <w:sz w:val="21"/>
          <w:szCs w:val="21"/>
        </w:rPr>
      </w:pPr>
      <w:r>
        <w:rPr>
          <w:rFonts w:hint="eastAsia" w:hAnsi="宋体" w:eastAsia="宋体" w:cs="宋体"/>
          <w:b/>
          <w:sz w:val="21"/>
          <w:szCs w:val="21"/>
        </w:rPr>
        <w:t>本项目机械设备配备一览表</w:t>
      </w:r>
    </w:p>
    <w:p>
      <w:pPr>
        <w:pStyle w:val="12"/>
        <w:overflowPunct w:val="0"/>
        <w:spacing w:line="360" w:lineRule="auto"/>
        <w:ind w:firstLine="422"/>
        <w:jc w:val="center"/>
        <w:rPr>
          <w:rFonts w:ascii="宋体" w:hAnsi="宋体" w:cs="宋体"/>
          <w:b/>
          <w:szCs w:val="21"/>
        </w:rPr>
      </w:pPr>
      <w:r>
        <w:rPr>
          <w:rFonts w:hint="eastAsia" w:ascii="宋体" w:hAnsi="宋体" w:cs="宋体"/>
          <w:b/>
          <w:szCs w:val="21"/>
        </w:rPr>
        <w:t>本项目机械设备配备一览表</w:t>
      </w:r>
    </w:p>
    <w:p>
      <w:pPr>
        <w:pStyle w:val="12"/>
        <w:overflowPunct w:val="0"/>
        <w:spacing w:line="360" w:lineRule="auto"/>
        <w:ind w:firstLine="422"/>
        <w:rPr>
          <w:rFonts w:ascii="宋体" w:hAnsi="宋体" w:cs="宋体"/>
          <w:b/>
          <w:szCs w:val="21"/>
        </w:rPr>
      </w:pPr>
    </w:p>
    <w:tbl>
      <w:tblPr>
        <w:tblStyle w:val="3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9"/>
        <w:gridCol w:w="2062"/>
        <w:gridCol w:w="708"/>
        <w:gridCol w:w="2130"/>
        <w:gridCol w:w="783"/>
        <w:gridCol w:w="783"/>
        <w:gridCol w:w="1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序号</w:t>
            </w:r>
          </w:p>
        </w:tc>
        <w:tc>
          <w:tcPr>
            <w:tcW w:w="2062" w:type="dxa"/>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名称</w:t>
            </w:r>
          </w:p>
        </w:tc>
        <w:tc>
          <w:tcPr>
            <w:tcW w:w="708" w:type="dxa"/>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品牌</w:t>
            </w:r>
          </w:p>
        </w:tc>
        <w:tc>
          <w:tcPr>
            <w:tcW w:w="2130" w:type="dxa"/>
            <w:tcBorders>
              <w:bottom w:val="single" w:color="auto" w:sz="4" w:space="0"/>
            </w:tcBorders>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型号、规格</w:t>
            </w: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单位</w:t>
            </w: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数量</w:t>
            </w:r>
          </w:p>
        </w:tc>
        <w:tc>
          <w:tcPr>
            <w:tcW w:w="1689" w:type="dxa"/>
            <w:vAlign w:val="center"/>
          </w:tcPr>
          <w:p>
            <w:pPr>
              <w:pStyle w:val="136"/>
              <w:spacing w:line="360" w:lineRule="auto"/>
              <w:jc w:val="center"/>
              <w:rPr>
                <w:rFonts w:hAnsi="宋体" w:eastAsia="宋体" w:cs="宋体"/>
                <w:sz w:val="21"/>
                <w:szCs w:val="21"/>
              </w:rPr>
            </w:pPr>
            <w:r>
              <w:rPr>
                <w:rFonts w:hint="eastAsia" w:hAnsi="宋体" w:eastAsia="宋体" w:cs="宋体"/>
                <w:sz w:val="21"/>
                <w:szCs w:val="21"/>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tcBorders>
              <w:top w:val="single" w:color="auto" w:sz="4" w:space="0"/>
            </w:tcBorders>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69" w:type="dxa"/>
            <w:vAlign w:val="center"/>
          </w:tcPr>
          <w:p>
            <w:pPr>
              <w:pStyle w:val="136"/>
              <w:spacing w:line="360" w:lineRule="auto"/>
              <w:jc w:val="center"/>
              <w:rPr>
                <w:rFonts w:hAnsi="宋体" w:eastAsia="宋体" w:cs="宋体"/>
                <w:sz w:val="21"/>
                <w:szCs w:val="21"/>
              </w:rPr>
            </w:pPr>
          </w:p>
        </w:tc>
        <w:tc>
          <w:tcPr>
            <w:tcW w:w="2062" w:type="dxa"/>
            <w:vAlign w:val="center"/>
          </w:tcPr>
          <w:p>
            <w:pPr>
              <w:pStyle w:val="136"/>
              <w:spacing w:line="360" w:lineRule="auto"/>
              <w:jc w:val="center"/>
              <w:rPr>
                <w:rFonts w:hAnsi="宋体" w:eastAsia="宋体" w:cs="宋体"/>
                <w:sz w:val="21"/>
                <w:szCs w:val="21"/>
              </w:rPr>
            </w:pPr>
          </w:p>
        </w:tc>
        <w:tc>
          <w:tcPr>
            <w:tcW w:w="708" w:type="dxa"/>
          </w:tcPr>
          <w:p>
            <w:pPr>
              <w:pStyle w:val="136"/>
              <w:spacing w:line="360" w:lineRule="auto"/>
              <w:jc w:val="center"/>
              <w:rPr>
                <w:rFonts w:hAnsi="宋体" w:eastAsia="宋体" w:cs="宋体"/>
                <w:sz w:val="21"/>
                <w:szCs w:val="21"/>
              </w:rPr>
            </w:pPr>
          </w:p>
        </w:tc>
        <w:tc>
          <w:tcPr>
            <w:tcW w:w="2130" w:type="dxa"/>
            <w:vAlign w:val="center"/>
          </w:tcPr>
          <w:p>
            <w:pPr>
              <w:pStyle w:val="136"/>
              <w:spacing w:line="360" w:lineRule="auto"/>
              <w:jc w:val="center"/>
              <w:rPr>
                <w:rFonts w:hAnsi="宋体" w:eastAsia="宋体" w:cs="宋体"/>
                <w:sz w:val="21"/>
                <w:szCs w:val="21"/>
              </w:rPr>
            </w:pPr>
          </w:p>
        </w:tc>
        <w:tc>
          <w:tcPr>
            <w:tcW w:w="783" w:type="dxa"/>
            <w:tcBorders>
              <w:right w:val="single" w:color="auto" w:sz="4" w:space="0"/>
            </w:tcBorders>
            <w:vAlign w:val="center"/>
          </w:tcPr>
          <w:p>
            <w:pPr>
              <w:pStyle w:val="136"/>
              <w:spacing w:line="360" w:lineRule="auto"/>
              <w:jc w:val="center"/>
              <w:rPr>
                <w:rFonts w:hAnsi="宋体" w:eastAsia="宋体" w:cs="宋体"/>
                <w:sz w:val="21"/>
                <w:szCs w:val="21"/>
              </w:rPr>
            </w:pPr>
          </w:p>
        </w:tc>
        <w:tc>
          <w:tcPr>
            <w:tcW w:w="783" w:type="dxa"/>
            <w:tcBorders>
              <w:left w:val="single" w:color="auto" w:sz="4" w:space="0"/>
            </w:tcBorders>
            <w:vAlign w:val="center"/>
          </w:tcPr>
          <w:p>
            <w:pPr>
              <w:pStyle w:val="136"/>
              <w:spacing w:line="360" w:lineRule="auto"/>
              <w:jc w:val="center"/>
              <w:rPr>
                <w:rFonts w:hAnsi="宋体" w:eastAsia="宋体" w:cs="宋体"/>
                <w:sz w:val="21"/>
                <w:szCs w:val="21"/>
              </w:rPr>
            </w:pPr>
          </w:p>
        </w:tc>
        <w:tc>
          <w:tcPr>
            <w:tcW w:w="1689" w:type="dxa"/>
            <w:vAlign w:val="center"/>
          </w:tcPr>
          <w:p>
            <w:pPr>
              <w:pStyle w:val="136"/>
              <w:spacing w:line="360" w:lineRule="auto"/>
              <w:jc w:val="center"/>
              <w:rPr>
                <w:rFonts w:hAnsi="宋体" w:eastAsia="宋体" w:cs="宋体"/>
                <w:sz w:val="21"/>
                <w:szCs w:val="21"/>
              </w:rPr>
            </w:pPr>
          </w:p>
        </w:tc>
      </w:tr>
    </w:tbl>
    <w:p>
      <w:pPr>
        <w:pStyle w:val="136"/>
        <w:spacing w:line="360" w:lineRule="auto"/>
        <w:ind w:firstLine="422" w:firstLineChars="200"/>
        <w:rPr>
          <w:rFonts w:hAnsi="宋体" w:eastAsia="宋体" w:cs="宋体"/>
          <w:b/>
          <w:sz w:val="21"/>
          <w:szCs w:val="21"/>
        </w:rPr>
      </w:pPr>
    </w:p>
    <w:p>
      <w:pPr>
        <w:snapToGrid w:val="0"/>
        <w:spacing w:line="360" w:lineRule="auto"/>
        <w:jc w:val="left"/>
        <w:rPr>
          <w:rFonts w:ascii="宋体" w:hAnsi="宋体" w:cs="宋体"/>
          <w:spacing w:val="20"/>
          <w:szCs w:val="21"/>
          <w:u w:val="single"/>
        </w:rPr>
      </w:pPr>
      <w:r>
        <w:rPr>
          <w:rFonts w:hint="eastAsia" w:ascii="宋体" w:hAnsi="宋体" w:cs="宋体"/>
          <w:spacing w:val="20"/>
          <w:szCs w:val="21"/>
        </w:rPr>
        <w:t>授权代表签名：</w:t>
      </w:r>
    </w:p>
    <w:p>
      <w:pPr>
        <w:snapToGrid w:val="0"/>
        <w:spacing w:line="360" w:lineRule="auto"/>
        <w:jc w:val="left"/>
        <w:rPr>
          <w:rFonts w:ascii="宋体" w:hAnsi="宋体" w:cs="宋体"/>
          <w:b/>
          <w:szCs w:val="21"/>
        </w:rPr>
      </w:pPr>
      <w:r>
        <w:rPr>
          <w:rFonts w:hint="eastAsia" w:ascii="宋体" w:hAnsi="宋体" w:cs="宋体"/>
          <w:spacing w:val="20"/>
          <w:szCs w:val="21"/>
        </w:rPr>
        <w:t>投标人盖章：日期：</w:t>
      </w:r>
    </w:p>
    <w:p>
      <w:pPr>
        <w:snapToGrid w:val="0"/>
        <w:spacing w:line="360" w:lineRule="auto"/>
        <w:rPr>
          <w:rFonts w:ascii="宋体" w:hAnsi="宋体" w:cs="宋体"/>
          <w:b/>
          <w:szCs w:val="21"/>
        </w:rPr>
        <w:sectPr>
          <w:pgSz w:w="11907" w:h="16839"/>
          <w:pgMar w:top="1440" w:right="1800" w:bottom="1440" w:left="1800" w:header="851" w:footer="992" w:gutter="0"/>
          <w:cols w:space="720" w:num="1"/>
          <w:docGrid w:type="lines" w:linePitch="312" w:charSpace="0"/>
        </w:sectPr>
      </w:pPr>
    </w:p>
    <w:p>
      <w:pPr>
        <w:snapToGrid w:val="0"/>
        <w:jc w:val="center"/>
        <w:rPr>
          <w:rFonts w:ascii="宋体" w:hAnsi="宋体" w:cs="宋体"/>
          <w:b/>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投标函格式：</w:t>
      </w:r>
    </w:p>
    <w:p>
      <w:pPr>
        <w:snapToGrid w:val="0"/>
        <w:spacing w:line="360" w:lineRule="auto"/>
        <w:ind w:firstLine="422" w:firstLineChars="200"/>
        <w:jc w:val="center"/>
        <w:rPr>
          <w:rFonts w:ascii="宋体" w:hAnsi="宋体" w:cs="宋体"/>
          <w:b/>
          <w:szCs w:val="21"/>
        </w:rPr>
      </w:pPr>
      <w:r>
        <w:rPr>
          <w:rFonts w:hint="eastAsia" w:ascii="宋体" w:hAnsi="宋体" w:cs="宋体"/>
          <w:b/>
          <w:szCs w:val="21"/>
        </w:rPr>
        <w:t>投 标 函</w:t>
      </w:r>
    </w:p>
    <w:p>
      <w:pPr>
        <w:snapToGrid w:val="0"/>
        <w:spacing w:line="360" w:lineRule="auto"/>
        <w:ind w:firstLine="420" w:firstLineChars="200"/>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（招标采购单位名称）</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根据贵方为项目的招标公告/投标邀请书</w:t>
      </w:r>
    </w:p>
    <w:p>
      <w:pPr>
        <w:snapToGrid w:val="0"/>
        <w:spacing w:line="360" w:lineRule="auto"/>
        <w:ind w:firstLine="420" w:firstLineChars="200"/>
        <w:jc w:val="left"/>
        <w:rPr>
          <w:rFonts w:ascii="宋体" w:hAnsi="宋体" w:cs="宋体"/>
          <w:szCs w:val="21"/>
        </w:rPr>
      </w:pPr>
      <w:r>
        <w:rPr>
          <w:rFonts w:hint="eastAsia" w:ascii="宋体" w:hAnsi="宋体" w:cs="宋体"/>
          <w:szCs w:val="21"/>
        </w:rPr>
        <w:t>（项目编号：），签字代表（全名）经正式授权并代表投标人（投标人名称）提交资信商务文件、技术文件及投标报价文件电子投标各一份。</w:t>
      </w:r>
    </w:p>
    <w:p>
      <w:pPr>
        <w:snapToGrid w:val="0"/>
        <w:spacing w:line="360" w:lineRule="auto"/>
        <w:ind w:firstLine="420" w:firstLineChars="200"/>
        <w:jc w:val="left"/>
        <w:rPr>
          <w:rFonts w:ascii="宋体" w:hAnsi="宋体" w:cs="宋体"/>
          <w:szCs w:val="21"/>
        </w:rPr>
      </w:pPr>
      <w:r>
        <w:rPr>
          <w:rFonts w:hint="eastAsia" w:ascii="宋体" w:hAnsi="宋体" w:cs="宋体"/>
          <w:szCs w:val="21"/>
        </w:rPr>
        <w:t>据此函，签字代表宣布同意如下：</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jc w:val="left"/>
        <w:rPr>
          <w:rFonts w:ascii="宋体" w:hAnsi="宋体" w:cs="宋体"/>
          <w:szCs w:val="21"/>
        </w:rPr>
      </w:pPr>
      <w:r>
        <w:rPr>
          <w:rFonts w:hint="eastAsia" w:ascii="宋体" w:hAnsi="宋体" w:cs="宋体"/>
          <w:szCs w:val="21"/>
        </w:rPr>
        <w:t>3、本投标有效期自开标日起个日。</w:t>
      </w:r>
    </w:p>
    <w:p>
      <w:pPr>
        <w:snapToGrid w:val="0"/>
        <w:spacing w:line="360" w:lineRule="auto"/>
        <w:ind w:firstLine="420" w:firstLineChars="200"/>
        <w:jc w:val="left"/>
        <w:rPr>
          <w:rFonts w:ascii="宋体" w:hAnsi="宋体" w:cs="宋体"/>
          <w:szCs w:val="21"/>
        </w:rPr>
      </w:pPr>
      <w:r>
        <w:rPr>
          <w:rFonts w:hint="eastAsia" w:ascii="宋体" w:hAnsi="宋体" w:cs="宋体"/>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jc w:val="left"/>
        <w:rPr>
          <w:rFonts w:ascii="宋体" w:hAnsi="宋体" w:cs="宋体"/>
          <w:szCs w:val="21"/>
        </w:rPr>
      </w:pPr>
      <w:r>
        <w:rPr>
          <w:rFonts w:hint="eastAsia" w:ascii="宋体" w:hAnsi="宋体" w:cs="宋体"/>
          <w:szCs w:val="21"/>
        </w:rPr>
        <w:t>5、投标人同意按照贵方要求提供与投标有关的一切数据或资料。</w:t>
      </w:r>
    </w:p>
    <w:p>
      <w:pPr>
        <w:snapToGrid w:val="0"/>
        <w:spacing w:line="360" w:lineRule="auto"/>
        <w:ind w:firstLine="420" w:firstLineChars="200"/>
        <w:jc w:val="left"/>
        <w:rPr>
          <w:rFonts w:ascii="宋体" w:hAnsi="宋体" w:cs="宋体"/>
          <w:szCs w:val="21"/>
        </w:rPr>
      </w:pPr>
      <w:r>
        <w:rPr>
          <w:rFonts w:hint="eastAsia" w:ascii="宋体" w:hAnsi="宋体" w:cs="宋体"/>
          <w:szCs w:val="21"/>
        </w:rPr>
        <w:t>6、与本投标有关的一切正式往来信函请寄：</w:t>
      </w: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地址：  邮编：__________   电话：______________</w:t>
      </w:r>
    </w:p>
    <w:p>
      <w:pPr>
        <w:snapToGrid w:val="0"/>
        <w:spacing w:line="360" w:lineRule="auto"/>
        <w:ind w:firstLine="420" w:firstLineChars="200"/>
        <w:jc w:val="left"/>
        <w:rPr>
          <w:rFonts w:ascii="宋体" w:hAnsi="宋体" w:cs="宋体"/>
          <w:szCs w:val="21"/>
        </w:rPr>
      </w:pPr>
      <w:r>
        <w:rPr>
          <w:rFonts w:hint="eastAsia" w:ascii="宋体" w:hAnsi="宋体" w:cs="宋体"/>
          <w:szCs w:val="21"/>
        </w:rPr>
        <w:t>传真：______________投标人代表姓名 ___________  职务：_____________</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投标人名称(公章): _____________ </w:t>
      </w:r>
    </w:p>
    <w:p>
      <w:pPr>
        <w:snapToGrid w:val="0"/>
        <w:spacing w:line="360" w:lineRule="auto"/>
        <w:ind w:firstLine="420" w:firstLineChars="200"/>
        <w:jc w:val="left"/>
        <w:rPr>
          <w:rFonts w:ascii="宋体" w:hAnsi="宋体" w:cs="宋体"/>
          <w:szCs w:val="21"/>
        </w:rPr>
      </w:pPr>
      <w:r>
        <w:rPr>
          <w:rFonts w:hint="eastAsia" w:ascii="宋体" w:hAnsi="宋体" w:cs="宋体"/>
          <w:szCs w:val="21"/>
        </w:rPr>
        <w:t>开户银行：   银行帐号：</w:t>
      </w:r>
    </w:p>
    <w:p>
      <w:pPr>
        <w:snapToGrid w:val="0"/>
        <w:spacing w:line="360" w:lineRule="auto"/>
        <w:ind w:firstLine="420" w:firstLineChars="200"/>
        <w:jc w:val="left"/>
        <w:rPr>
          <w:rFonts w:ascii="宋体" w:hAnsi="宋体" w:cs="宋体"/>
          <w:szCs w:val="21"/>
        </w:rPr>
      </w:pPr>
      <w:r>
        <w:rPr>
          <w:rFonts w:hint="eastAsia" w:ascii="宋体" w:hAnsi="宋体" w:cs="宋体"/>
          <w:szCs w:val="21"/>
        </w:rPr>
        <w:t>授权代表签字:___________                      日期:_____年___月___日</w:t>
      </w:r>
    </w:p>
    <w:p>
      <w:pPr>
        <w:pStyle w:val="3"/>
      </w:pPr>
    </w:p>
    <w:p/>
    <w:p>
      <w:pPr>
        <w:pStyle w:val="3"/>
      </w:pPr>
    </w:p>
    <w:p/>
    <w:p>
      <w:pPr>
        <w:pStyle w:val="3"/>
      </w:pPr>
    </w:p>
    <w:p/>
    <w:p>
      <w:pPr>
        <w:pStyle w:val="3"/>
      </w:pPr>
    </w:p>
    <w:p/>
    <w:p>
      <w:pPr>
        <w:pStyle w:val="3"/>
      </w:pPr>
    </w:p>
    <w:p/>
    <w:p>
      <w:pPr>
        <w:snapToGrid w:val="0"/>
        <w:spacing w:line="360" w:lineRule="auto"/>
        <w:ind w:firstLine="420" w:firstLineChars="200"/>
        <w:jc w:val="left"/>
        <w:rPr>
          <w:rFonts w:ascii="宋体" w:hAnsi="宋体" w:cs="宋体"/>
          <w:szCs w:val="21"/>
        </w:rPr>
      </w:pPr>
    </w:p>
    <w:p>
      <w:pPr>
        <w:snapToGrid w:val="0"/>
        <w:spacing w:line="360" w:lineRule="auto"/>
        <w:ind w:firstLine="422" w:firstLineChars="200"/>
        <w:jc w:val="center"/>
        <w:rPr>
          <w:rFonts w:ascii="宋体" w:hAnsi="宋体" w:cs="宋体"/>
          <w:b/>
          <w:bCs/>
          <w:szCs w:val="21"/>
        </w:rPr>
      </w:pPr>
      <w:r>
        <w:rPr>
          <w:rFonts w:hint="eastAsia" w:ascii="宋体" w:hAnsi="宋体" w:cs="宋体"/>
          <w:b/>
          <w:bCs/>
          <w:szCs w:val="21"/>
        </w:rPr>
        <w:t>开标一览表</w:t>
      </w: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招标编号：               投标人名称：        单位：元</w:t>
      </w:r>
    </w:p>
    <w:tbl>
      <w:tblPr>
        <w:tblStyle w:val="33"/>
        <w:tblW w:w="8364"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4252"/>
        <w:gridCol w:w="853"/>
        <w:gridCol w:w="708"/>
        <w:gridCol w:w="1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标项</w:t>
            </w:r>
          </w:p>
        </w:tc>
        <w:tc>
          <w:tcPr>
            <w:tcW w:w="425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r>
              <w:rPr>
                <w:rFonts w:hint="eastAsia" w:ascii="宋体" w:hAnsi="宋体" w:cs="宋体"/>
                <w:szCs w:val="21"/>
              </w:rPr>
              <w:t>名       称</w:t>
            </w:r>
          </w:p>
        </w:tc>
        <w:tc>
          <w:tcPr>
            <w:tcW w:w="85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单位</w:t>
            </w:r>
          </w:p>
        </w:tc>
        <w:tc>
          <w:tcPr>
            <w:tcW w:w="7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数量</w:t>
            </w:r>
          </w:p>
        </w:tc>
        <w:tc>
          <w:tcPr>
            <w:tcW w:w="1841"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left"/>
              <w:rPr>
                <w:rFonts w:ascii="宋体" w:hAnsi="宋体" w:cs="宋体"/>
                <w:szCs w:val="21"/>
              </w:rPr>
            </w:pPr>
            <w:r>
              <w:rPr>
                <w:rFonts w:hint="eastAsia" w:ascii="宋体" w:hAnsi="宋体" w:cs="宋体"/>
                <w:szCs w:val="21"/>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7"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1</w:t>
            </w:r>
          </w:p>
        </w:tc>
        <w:tc>
          <w:tcPr>
            <w:tcW w:w="425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line="360" w:lineRule="auto"/>
              <w:jc w:val="left"/>
              <w:rPr>
                <w:rFonts w:ascii="宋体" w:hAnsi="宋体" w:cs="宋体"/>
                <w:spacing w:val="20"/>
                <w:szCs w:val="21"/>
              </w:rPr>
            </w:pPr>
            <w:r>
              <w:rPr>
                <w:rFonts w:hint="eastAsia" w:ascii="宋体" w:hAnsi="宋体" w:cs="宋体"/>
                <w:b/>
                <w:kern w:val="0"/>
                <w:szCs w:val="21"/>
              </w:rPr>
              <w:t>2022年嘉兴市秀洲区油车港镇镇区环境保洁服务项目</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项</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4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2"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firstLineChars="200"/>
              <w:jc w:val="left"/>
              <w:rPr>
                <w:rFonts w:ascii="宋体" w:hAnsi="宋体" w:cs="宋体"/>
                <w:szCs w:val="21"/>
              </w:rPr>
            </w:pPr>
          </w:p>
        </w:tc>
        <w:tc>
          <w:tcPr>
            <w:tcW w:w="7654"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pacing w:val="20"/>
                <w:szCs w:val="21"/>
              </w:rPr>
              <w:t>合计：大写：                            小写：￥</w:t>
            </w:r>
          </w:p>
        </w:tc>
      </w:tr>
    </w:tbl>
    <w:p>
      <w:pPr>
        <w:snapToGrid w:val="0"/>
        <w:spacing w:line="360" w:lineRule="auto"/>
        <w:ind w:firstLine="420" w:firstLineChars="20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line="360" w:lineRule="auto"/>
        <w:ind w:firstLine="420" w:firstLineChars="200"/>
        <w:jc w:val="left"/>
        <w:rPr>
          <w:rFonts w:ascii="宋体" w:hAnsi="宋体" w:cs="宋体"/>
          <w:szCs w:val="21"/>
        </w:rPr>
      </w:pPr>
      <w:r>
        <w:rPr>
          <w:rFonts w:hint="eastAsia" w:ascii="宋体" w:hAnsi="宋体" w:cs="宋体"/>
          <w:szCs w:val="21"/>
        </w:rPr>
        <w:t>2、▲以上报价不得超过上限价，任何超过上限价的报价均导致投标被否决。</w:t>
      </w: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法定代表人或授权代表（签字或盖章）： </w:t>
      </w:r>
    </w:p>
    <w:p>
      <w:pPr>
        <w:spacing w:line="360" w:lineRule="auto"/>
        <w:ind w:firstLine="420" w:firstLineChars="200"/>
        <w:jc w:val="left"/>
        <w:rPr>
          <w:rFonts w:ascii="宋体" w:hAnsi="宋体" w:cs="宋体"/>
          <w:szCs w:val="21"/>
        </w:rPr>
      </w:pPr>
      <w:r>
        <w:rPr>
          <w:rFonts w:hint="eastAsia" w:ascii="宋体" w:hAnsi="宋体" w:cs="宋体"/>
          <w:szCs w:val="21"/>
        </w:rPr>
        <w:t xml:space="preserve">投标人名称（盖章）：                               </w:t>
      </w:r>
    </w:p>
    <w:p>
      <w:pPr>
        <w:spacing w:line="360" w:lineRule="auto"/>
        <w:ind w:firstLine="420" w:firstLineChars="200"/>
        <w:jc w:val="left"/>
        <w:rPr>
          <w:rFonts w:ascii="宋体" w:hAnsi="宋体" w:cs="宋体"/>
          <w:szCs w:val="21"/>
        </w:rPr>
        <w:sectPr>
          <w:headerReference r:id="rId11" w:type="default"/>
          <w:pgSz w:w="11906" w:h="16838"/>
          <w:pgMar w:top="1440" w:right="1800" w:bottom="1440" w:left="1800" w:header="851" w:footer="992" w:gutter="0"/>
          <w:cols w:space="425" w:num="1"/>
          <w:docGrid w:type="lines" w:linePitch="312" w:charSpace="0"/>
        </w:sectPr>
      </w:pPr>
      <w:r>
        <w:rPr>
          <w:rFonts w:hint="eastAsia" w:ascii="宋体" w:hAnsi="宋体" w:cs="宋体"/>
          <w:szCs w:val="21"/>
        </w:rPr>
        <w:t>日期：    年   月   日</w:t>
      </w:r>
    </w:p>
    <w:p>
      <w:pPr>
        <w:shd w:val="clear" w:color="auto" w:fill="FFFFFF"/>
        <w:spacing w:before="156" w:line="330" w:lineRule="atLeast"/>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72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rPr>
        <w:rStyle w:val="3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2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gdCNljYCAABhBAAADgAAAAAAAAABACAAAAAh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微软雅黑" w:hAnsi="微软雅黑" w:eastAsia="微软雅黑"/>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43734"/>
    <w:multiLevelType w:val="singleLevel"/>
    <w:tmpl w:val="C6B43734"/>
    <w:lvl w:ilvl="0" w:tentative="0">
      <w:start w:val="7"/>
      <w:numFmt w:val="decimal"/>
      <w:suff w:val="nothing"/>
      <w:lvlText w:val="%1、"/>
      <w:lvlJc w:val="left"/>
    </w:lvl>
  </w:abstractNum>
  <w:abstractNum w:abstractNumId="1">
    <w:nsid w:val="D7037E7A"/>
    <w:multiLevelType w:val="singleLevel"/>
    <w:tmpl w:val="D7037E7A"/>
    <w:lvl w:ilvl="0" w:tentative="0">
      <w:start w:val="1"/>
      <w:numFmt w:val="decimal"/>
      <w:lvlText w:val="(%1)"/>
      <w:lvlJc w:val="left"/>
      <w:pPr>
        <w:ind w:left="851" w:hanging="425"/>
      </w:pPr>
    </w:lvl>
  </w:abstractNum>
  <w:abstractNum w:abstractNumId="2">
    <w:nsid w:val="E0930175"/>
    <w:multiLevelType w:val="singleLevel"/>
    <w:tmpl w:val="E0930175"/>
    <w:lvl w:ilvl="0" w:tentative="0">
      <w:start w:val="1"/>
      <w:numFmt w:val="decimal"/>
      <w:pStyle w:val="11"/>
      <w:lvlText w:val="%1."/>
      <w:lvlJc w:val="left"/>
      <w:pPr>
        <w:tabs>
          <w:tab w:val="left" w:pos="360"/>
        </w:tabs>
        <w:ind w:left="360" w:hanging="360"/>
      </w:pPr>
    </w:lvl>
  </w:abstractNum>
  <w:abstractNum w:abstractNumId="3">
    <w:nsid w:val="E1A778A3"/>
    <w:multiLevelType w:val="singleLevel"/>
    <w:tmpl w:val="E1A778A3"/>
    <w:lvl w:ilvl="0" w:tentative="0">
      <w:start w:val="1"/>
      <w:numFmt w:val="chineseCounting"/>
      <w:suff w:val="nothing"/>
      <w:lvlText w:val="%1、"/>
      <w:lvlJc w:val="left"/>
      <w:rPr>
        <w:rFonts w:hint="eastAsia"/>
      </w:rPr>
    </w:lvl>
  </w:abstractNum>
  <w:abstractNum w:abstractNumId="4">
    <w:nsid w:val="09B37F4C"/>
    <w:multiLevelType w:val="singleLevel"/>
    <w:tmpl w:val="09B37F4C"/>
    <w:lvl w:ilvl="0" w:tentative="0">
      <w:start w:val="1"/>
      <w:numFmt w:val="chineseCounting"/>
      <w:suff w:val="nothing"/>
      <w:lvlText w:val="%1、"/>
      <w:lvlJc w:val="left"/>
      <w:pPr>
        <w:ind w:left="0" w:firstLine="420"/>
      </w:pPr>
      <w:rPr>
        <w:rFonts w:hint="eastAsia"/>
      </w:rPr>
    </w:lvl>
  </w:abstractNum>
  <w:abstractNum w:abstractNumId="5">
    <w:nsid w:val="0F7D6F0C"/>
    <w:multiLevelType w:val="multilevel"/>
    <w:tmpl w:val="0F7D6F0C"/>
    <w:lvl w:ilvl="0" w:tentative="0">
      <w:start w:val="1"/>
      <w:numFmt w:val="decimal"/>
      <w:lvlText w:val="2.%1."/>
      <w:lvlJc w:val="left"/>
      <w:pPr>
        <w:ind w:left="840" w:hanging="420"/>
      </w:pPr>
      <w:rPr>
        <w:rFonts w:hint="eastAsia"/>
      </w:rPr>
    </w:lvl>
    <w:lvl w:ilvl="1" w:tentative="0">
      <w:start w:val="1"/>
      <w:numFmt w:val="decimal"/>
      <w:lvlText w:val="1.%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D3911F0"/>
    <w:multiLevelType w:val="multilevel"/>
    <w:tmpl w:val="2D3911F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0D85AC5"/>
    <w:multiLevelType w:val="multilevel"/>
    <w:tmpl w:val="40D85AC5"/>
    <w:lvl w:ilvl="0" w:tentative="0">
      <w:start w:val="2"/>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8">
    <w:nsid w:val="548CA1FE"/>
    <w:multiLevelType w:val="singleLevel"/>
    <w:tmpl w:val="548CA1FE"/>
    <w:lvl w:ilvl="0" w:tentative="0">
      <w:start w:val="1"/>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6AA01FF"/>
    <w:multiLevelType w:val="multilevel"/>
    <w:tmpl w:val="56AA01FF"/>
    <w:lvl w:ilvl="0" w:tentative="0">
      <w:start w:val="1"/>
      <w:numFmt w:val="decimal"/>
      <w:lvlText w:val="%1."/>
      <w:lvlJc w:val="left"/>
      <w:pPr>
        <w:ind w:left="425" w:hanging="425"/>
      </w:pPr>
      <w:rPr>
        <w:rFonts w:hint="default"/>
      </w:rPr>
    </w:lvl>
    <w:lvl w:ilvl="1" w:tentative="0">
      <w:start w:val="1"/>
      <w:numFmt w:val="decimal"/>
      <w:lvlText w:val="2.%2."/>
      <w:lvlJc w:val="left"/>
      <w:pPr>
        <w:ind w:left="567" w:hanging="567"/>
      </w:pPr>
      <w:rPr>
        <w:rFonts w:hint="eastAsia"/>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6E32C7B9"/>
    <w:multiLevelType w:val="singleLevel"/>
    <w:tmpl w:val="6E32C7B9"/>
    <w:lvl w:ilvl="0" w:tentative="0">
      <w:start w:val="1"/>
      <w:numFmt w:val="chineseCounting"/>
      <w:suff w:val="nothing"/>
      <w:lvlText w:val="（%1）"/>
      <w:lvlJc w:val="left"/>
      <w:pPr>
        <w:ind w:left="0" w:firstLine="420"/>
      </w:pPr>
      <w:rPr>
        <w:rFonts w:hint="eastAsia"/>
      </w:rPr>
    </w:lvl>
  </w:abstractNum>
  <w:abstractNum w:abstractNumId="13">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2"/>
  </w:num>
  <w:num w:numId="2">
    <w:abstractNumId w:val="3"/>
  </w:num>
  <w:num w:numId="3">
    <w:abstractNumId w:val="8"/>
  </w:num>
  <w:num w:numId="4">
    <w:abstractNumId w:val="6"/>
  </w:num>
  <w:num w:numId="5">
    <w:abstractNumId w:val="5"/>
  </w:num>
  <w:num w:numId="6">
    <w:abstractNumId w:val="11"/>
  </w:num>
  <w:num w:numId="7">
    <w:abstractNumId w:val="0"/>
  </w:num>
  <w:num w:numId="8">
    <w:abstractNumId w:val="4"/>
  </w:num>
  <w:num w:numId="9">
    <w:abstractNumId w:val="12"/>
  </w:num>
  <w:num w:numId="10">
    <w:abstractNumId w:val="1"/>
    <w:lvlOverride w:ilvl="0">
      <w:startOverride w:val="1"/>
    </w:lvlOverride>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DcwZTJkOWYwOGJlMWM2NjBmZWI4ODIwNTI4YjMifQ=="/>
  </w:docVars>
  <w:rsids>
    <w:rsidRoot w:val="52D133B9"/>
    <w:rsid w:val="00004905"/>
    <w:rsid w:val="000122AA"/>
    <w:rsid w:val="0001720C"/>
    <w:rsid w:val="000201F6"/>
    <w:rsid w:val="00036140"/>
    <w:rsid w:val="00087FA9"/>
    <w:rsid w:val="000A0566"/>
    <w:rsid w:val="000B6749"/>
    <w:rsid w:val="000B7383"/>
    <w:rsid w:val="000C125F"/>
    <w:rsid w:val="000D4FA5"/>
    <w:rsid w:val="000E2342"/>
    <w:rsid w:val="000E3D4C"/>
    <w:rsid w:val="000F3031"/>
    <w:rsid w:val="000F5A4C"/>
    <w:rsid w:val="00104EE6"/>
    <w:rsid w:val="00112B45"/>
    <w:rsid w:val="00115BBB"/>
    <w:rsid w:val="00117FC4"/>
    <w:rsid w:val="0014224A"/>
    <w:rsid w:val="001570EF"/>
    <w:rsid w:val="00160E50"/>
    <w:rsid w:val="00171BC8"/>
    <w:rsid w:val="00177189"/>
    <w:rsid w:val="00190BF2"/>
    <w:rsid w:val="001969D6"/>
    <w:rsid w:val="001B27CE"/>
    <w:rsid w:val="001B3728"/>
    <w:rsid w:val="001D2603"/>
    <w:rsid w:val="001E0794"/>
    <w:rsid w:val="001F0AAA"/>
    <w:rsid w:val="001F3F14"/>
    <w:rsid w:val="001F3F86"/>
    <w:rsid w:val="00202A71"/>
    <w:rsid w:val="00205E03"/>
    <w:rsid w:val="002138D4"/>
    <w:rsid w:val="0021564C"/>
    <w:rsid w:val="002300C1"/>
    <w:rsid w:val="00231B54"/>
    <w:rsid w:val="002343D7"/>
    <w:rsid w:val="00257DF4"/>
    <w:rsid w:val="002671CD"/>
    <w:rsid w:val="00274345"/>
    <w:rsid w:val="00277507"/>
    <w:rsid w:val="002862F9"/>
    <w:rsid w:val="00286FE2"/>
    <w:rsid w:val="00291EF5"/>
    <w:rsid w:val="002A2215"/>
    <w:rsid w:val="002B3E6B"/>
    <w:rsid w:val="002C4B81"/>
    <w:rsid w:val="00315585"/>
    <w:rsid w:val="003168CD"/>
    <w:rsid w:val="003268AC"/>
    <w:rsid w:val="00331160"/>
    <w:rsid w:val="00335891"/>
    <w:rsid w:val="003419A0"/>
    <w:rsid w:val="00345AA9"/>
    <w:rsid w:val="00353B8C"/>
    <w:rsid w:val="003725EB"/>
    <w:rsid w:val="00373992"/>
    <w:rsid w:val="003A2B3B"/>
    <w:rsid w:val="003C73E1"/>
    <w:rsid w:val="003E244F"/>
    <w:rsid w:val="003E5133"/>
    <w:rsid w:val="003F2140"/>
    <w:rsid w:val="00410B29"/>
    <w:rsid w:val="004116E5"/>
    <w:rsid w:val="0042099B"/>
    <w:rsid w:val="00423B25"/>
    <w:rsid w:val="00423F08"/>
    <w:rsid w:val="004327E6"/>
    <w:rsid w:val="00436527"/>
    <w:rsid w:val="00440E4F"/>
    <w:rsid w:val="004523A7"/>
    <w:rsid w:val="004656F4"/>
    <w:rsid w:val="004708C7"/>
    <w:rsid w:val="00481F4B"/>
    <w:rsid w:val="004832D0"/>
    <w:rsid w:val="004B1459"/>
    <w:rsid w:val="004B6C15"/>
    <w:rsid w:val="004B6E84"/>
    <w:rsid w:val="004B7A3C"/>
    <w:rsid w:val="004C3BE3"/>
    <w:rsid w:val="004C52EB"/>
    <w:rsid w:val="004D00E9"/>
    <w:rsid w:val="004D1829"/>
    <w:rsid w:val="004D4BA0"/>
    <w:rsid w:val="004E2DE7"/>
    <w:rsid w:val="004F3710"/>
    <w:rsid w:val="00513914"/>
    <w:rsid w:val="00520A13"/>
    <w:rsid w:val="0052434E"/>
    <w:rsid w:val="005268B1"/>
    <w:rsid w:val="00535394"/>
    <w:rsid w:val="0053618F"/>
    <w:rsid w:val="00550272"/>
    <w:rsid w:val="005520E3"/>
    <w:rsid w:val="00562FF8"/>
    <w:rsid w:val="00576BD2"/>
    <w:rsid w:val="0058264E"/>
    <w:rsid w:val="005833F8"/>
    <w:rsid w:val="005B6894"/>
    <w:rsid w:val="005D6210"/>
    <w:rsid w:val="006024EC"/>
    <w:rsid w:val="00604D69"/>
    <w:rsid w:val="00604D86"/>
    <w:rsid w:val="00610E17"/>
    <w:rsid w:val="006169DC"/>
    <w:rsid w:val="006222E9"/>
    <w:rsid w:val="0062309E"/>
    <w:rsid w:val="00631B0C"/>
    <w:rsid w:val="00636CFA"/>
    <w:rsid w:val="00640DBD"/>
    <w:rsid w:val="00644E24"/>
    <w:rsid w:val="00654258"/>
    <w:rsid w:val="0069123C"/>
    <w:rsid w:val="006B144B"/>
    <w:rsid w:val="006B2711"/>
    <w:rsid w:val="006B3AF6"/>
    <w:rsid w:val="006C5EB6"/>
    <w:rsid w:val="006D687C"/>
    <w:rsid w:val="006E71E0"/>
    <w:rsid w:val="006F2C63"/>
    <w:rsid w:val="006F52D9"/>
    <w:rsid w:val="00724957"/>
    <w:rsid w:val="00731EFF"/>
    <w:rsid w:val="00733501"/>
    <w:rsid w:val="00746EB2"/>
    <w:rsid w:val="00750676"/>
    <w:rsid w:val="007604AD"/>
    <w:rsid w:val="0076188B"/>
    <w:rsid w:val="0076420E"/>
    <w:rsid w:val="00777090"/>
    <w:rsid w:val="00783972"/>
    <w:rsid w:val="00796DA3"/>
    <w:rsid w:val="007A66ED"/>
    <w:rsid w:val="007B6337"/>
    <w:rsid w:val="007C1EAB"/>
    <w:rsid w:val="007D1C20"/>
    <w:rsid w:val="007D4317"/>
    <w:rsid w:val="007E3218"/>
    <w:rsid w:val="007E64BB"/>
    <w:rsid w:val="007E755E"/>
    <w:rsid w:val="007F2E2C"/>
    <w:rsid w:val="00800785"/>
    <w:rsid w:val="00815C9F"/>
    <w:rsid w:val="00816B65"/>
    <w:rsid w:val="00827D54"/>
    <w:rsid w:val="00832857"/>
    <w:rsid w:val="008338BD"/>
    <w:rsid w:val="00843DE6"/>
    <w:rsid w:val="00845533"/>
    <w:rsid w:val="0085035D"/>
    <w:rsid w:val="00851AF5"/>
    <w:rsid w:val="00881FDB"/>
    <w:rsid w:val="008B2FED"/>
    <w:rsid w:val="008C09C2"/>
    <w:rsid w:val="008C7E50"/>
    <w:rsid w:val="008D074B"/>
    <w:rsid w:val="00912809"/>
    <w:rsid w:val="009438B1"/>
    <w:rsid w:val="009512CF"/>
    <w:rsid w:val="009641E2"/>
    <w:rsid w:val="00972B1C"/>
    <w:rsid w:val="00981F97"/>
    <w:rsid w:val="009C4015"/>
    <w:rsid w:val="009D0CE3"/>
    <w:rsid w:val="009D1B33"/>
    <w:rsid w:val="00A16182"/>
    <w:rsid w:val="00A30F5F"/>
    <w:rsid w:val="00A35B6B"/>
    <w:rsid w:val="00A43B6D"/>
    <w:rsid w:val="00A444A0"/>
    <w:rsid w:val="00A532CD"/>
    <w:rsid w:val="00A60DE4"/>
    <w:rsid w:val="00A626C1"/>
    <w:rsid w:val="00A627DF"/>
    <w:rsid w:val="00A73C2B"/>
    <w:rsid w:val="00A77A84"/>
    <w:rsid w:val="00A843D5"/>
    <w:rsid w:val="00A86D89"/>
    <w:rsid w:val="00AB6C1D"/>
    <w:rsid w:val="00AC30C3"/>
    <w:rsid w:val="00AC62B3"/>
    <w:rsid w:val="00AD1814"/>
    <w:rsid w:val="00AD6BF5"/>
    <w:rsid w:val="00AF3BF4"/>
    <w:rsid w:val="00B21876"/>
    <w:rsid w:val="00B31352"/>
    <w:rsid w:val="00B340CC"/>
    <w:rsid w:val="00B426AB"/>
    <w:rsid w:val="00B44727"/>
    <w:rsid w:val="00B64392"/>
    <w:rsid w:val="00B7269B"/>
    <w:rsid w:val="00B75D6D"/>
    <w:rsid w:val="00BC0CEC"/>
    <w:rsid w:val="00BE1602"/>
    <w:rsid w:val="00BF2948"/>
    <w:rsid w:val="00BF71B6"/>
    <w:rsid w:val="00C01F78"/>
    <w:rsid w:val="00C10A99"/>
    <w:rsid w:val="00C16D85"/>
    <w:rsid w:val="00C178DA"/>
    <w:rsid w:val="00C30BA9"/>
    <w:rsid w:val="00C34EB8"/>
    <w:rsid w:val="00C3625B"/>
    <w:rsid w:val="00C36DAC"/>
    <w:rsid w:val="00C44327"/>
    <w:rsid w:val="00C47A67"/>
    <w:rsid w:val="00C6326B"/>
    <w:rsid w:val="00C7000B"/>
    <w:rsid w:val="00C804FF"/>
    <w:rsid w:val="00C87566"/>
    <w:rsid w:val="00C90648"/>
    <w:rsid w:val="00CA3ED2"/>
    <w:rsid w:val="00CA6DFB"/>
    <w:rsid w:val="00CB3A07"/>
    <w:rsid w:val="00CE7F95"/>
    <w:rsid w:val="00D33BB6"/>
    <w:rsid w:val="00D4241B"/>
    <w:rsid w:val="00D529FB"/>
    <w:rsid w:val="00D52F75"/>
    <w:rsid w:val="00D90F66"/>
    <w:rsid w:val="00D97E9E"/>
    <w:rsid w:val="00DB3092"/>
    <w:rsid w:val="00DC0B08"/>
    <w:rsid w:val="00DC1E5B"/>
    <w:rsid w:val="00DC4D2A"/>
    <w:rsid w:val="00DD18F2"/>
    <w:rsid w:val="00DD657C"/>
    <w:rsid w:val="00DE0208"/>
    <w:rsid w:val="00E112E2"/>
    <w:rsid w:val="00E219C4"/>
    <w:rsid w:val="00E30EE6"/>
    <w:rsid w:val="00E327E1"/>
    <w:rsid w:val="00E66E03"/>
    <w:rsid w:val="00E77F8A"/>
    <w:rsid w:val="00E84717"/>
    <w:rsid w:val="00E8626A"/>
    <w:rsid w:val="00E87705"/>
    <w:rsid w:val="00EA0AD0"/>
    <w:rsid w:val="00EA322C"/>
    <w:rsid w:val="00EA6124"/>
    <w:rsid w:val="00EB5682"/>
    <w:rsid w:val="00EB5C21"/>
    <w:rsid w:val="00ED0697"/>
    <w:rsid w:val="00F27452"/>
    <w:rsid w:val="00F3135D"/>
    <w:rsid w:val="00F36213"/>
    <w:rsid w:val="00F36604"/>
    <w:rsid w:val="00F62C18"/>
    <w:rsid w:val="00F661ED"/>
    <w:rsid w:val="00F950C1"/>
    <w:rsid w:val="00F97333"/>
    <w:rsid w:val="00FC245D"/>
    <w:rsid w:val="00FC2CD2"/>
    <w:rsid w:val="00FC51E8"/>
    <w:rsid w:val="00FD2BCA"/>
    <w:rsid w:val="00FF6B67"/>
    <w:rsid w:val="01457570"/>
    <w:rsid w:val="02994018"/>
    <w:rsid w:val="032A687D"/>
    <w:rsid w:val="032E14C4"/>
    <w:rsid w:val="03F753BB"/>
    <w:rsid w:val="04D51C9B"/>
    <w:rsid w:val="05C70E9C"/>
    <w:rsid w:val="05DF42DB"/>
    <w:rsid w:val="05F4355E"/>
    <w:rsid w:val="068412A0"/>
    <w:rsid w:val="084C7436"/>
    <w:rsid w:val="08824884"/>
    <w:rsid w:val="0A0D6695"/>
    <w:rsid w:val="0A886CD4"/>
    <w:rsid w:val="0C985533"/>
    <w:rsid w:val="0D6A064E"/>
    <w:rsid w:val="0F6A48E6"/>
    <w:rsid w:val="0F9718DF"/>
    <w:rsid w:val="111736B2"/>
    <w:rsid w:val="115D26B4"/>
    <w:rsid w:val="11984639"/>
    <w:rsid w:val="12EC6F83"/>
    <w:rsid w:val="135A334F"/>
    <w:rsid w:val="13745951"/>
    <w:rsid w:val="15350103"/>
    <w:rsid w:val="167715DC"/>
    <w:rsid w:val="17372EA2"/>
    <w:rsid w:val="17C82A2F"/>
    <w:rsid w:val="1BA3160C"/>
    <w:rsid w:val="1D0D5C34"/>
    <w:rsid w:val="1DAF3E65"/>
    <w:rsid w:val="1E4931A4"/>
    <w:rsid w:val="1F0F0841"/>
    <w:rsid w:val="1F324441"/>
    <w:rsid w:val="1F9951FF"/>
    <w:rsid w:val="206800B8"/>
    <w:rsid w:val="21093CBF"/>
    <w:rsid w:val="21FF50C2"/>
    <w:rsid w:val="22C53B17"/>
    <w:rsid w:val="231C5DB8"/>
    <w:rsid w:val="2474154F"/>
    <w:rsid w:val="25583753"/>
    <w:rsid w:val="25853DE3"/>
    <w:rsid w:val="25E428B2"/>
    <w:rsid w:val="27027B2E"/>
    <w:rsid w:val="27FC457D"/>
    <w:rsid w:val="288D1681"/>
    <w:rsid w:val="29874BE0"/>
    <w:rsid w:val="29F714A0"/>
    <w:rsid w:val="2A475AEA"/>
    <w:rsid w:val="2B2C4A77"/>
    <w:rsid w:val="2C2F6164"/>
    <w:rsid w:val="2CB01DDA"/>
    <w:rsid w:val="2D281BA0"/>
    <w:rsid w:val="2D6D63FC"/>
    <w:rsid w:val="2EBE2ABC"/>
    <w:rsid w:val="2EDC6EB7"/>
    <w:rsid w:val="2EDD28B7"/>
    <w:rsid w:val="2EFE507F"/>
    <w:rsid w:val="2F6F5999"/>
    <w:rsid w:val="2F922799"/>
    <w:rsid w:val="306040EB"/>
    <w:rsid w:val="30E12562"/>
    <w:rsid w:val="31EE252B"/>
    <w:rsid w:val="32354B2E"/>
    <w:rsid w:val="32676A97"/>
    <w:rsid w:val="32B52FD3"/>
    <w:rsid w:val="363F0DD5"/>
    <w:rsid w:val="39C649EB"/>
    <w:rsid w:val="3A2160C5"/>
    <w:rsid w:val="3A9C36DC"/>
    <w:rsid w:val="3B0151B4"/>
    <w:rsid w:val="3B232DC2"/>
    <w:rsid w:val="3FBD5D22"/>
    <w:rsid w:val="3FC23CA7"/>
    <w:rsid w:val="406A281A"/>
    <w:rsid w:val="4077259B"/>
    <w:rsid w:val="41646D04"/>
    <w:rsid w:val="424C7A58"/>
    <w:rsid w:val="42DE11EA"/>
    <w:rsid w:val="43DB4EF2"/>
    <w:rsid w:val="44D02477"/>
    <w:rsid w:val="44D22423"/>
    <w:rsid w:val="462A095B"/>
    <w:rsid w:val="47602B25"/>
    <w:rsid w:val="47FA2B95"/>
    <w:rsid w:val="48C22822"/>
    <w:rsid w:val="49C53294"/>
    <w:rsid w:val="4A8F7A4B"/>
    <w:rsid w:val="4AA200D8"/>
    <w:rsid w:val="4B7F7DA3"/>
    <w:rsid w:val="4BD426F3"/>
    <w:rsid w:val="4CA81ECF"/>
    <w:rsid w:val="4CAA1F4A"/>
    <w:rsid w:val="4F244236"/>
    <w:rsid w:val="4F2E4127"/>
    <w:rsid w:val="510105CB"/>
    <w:rsid w:val="51B856AB"/>
    <w:rsid w:val="51C608D7"/>
    <w:rsid w:val="51DA2151"/>
    <w:rsid w:val="52D133B9"/>
    <w:rsid w:val="5317076D"/>
    <w:rsid w:val="55583A04"/>
    <w:rsid w:val="57B46841"/>
    <w:rsid w:val="582744FC"/>
    <w:rsid w:val="5C71038F"/>
    <w:rsid w:val="5CCF5DC5"/>
    <w:rsid w:val="5D9D277A"/>
    <w:rsid w:val="5DF95416"/>
    <w:rsid w:val="5E151BAA"/>
    <w:rsid w:val="5E4C5939"/>
    <w:rsid w:val="5ED5134D"/>
    <w:rsid w:val="61603256"/>
    <w:rsid w:val="6352678C"/>
    <w:rsid w:val="635E2170"/>
    <w:rsid w:val="63754C08"/>
    <w:rsid w:val="6479283B"/>
    <w:rsid w:val="65051314"/>
    <w:rsid w:val="65700B16"/>
    <w:rsid w:val="65EE0CA2"/>
    <w:rsid w:val="66367DBF"/>
    <w:rsid w:val="67423054"/>
    <w:rsid w:val="6BC552B8"/>
    <w:rsid w:val="6C66506B"/>
    <w:rsid w:val="6C9A33C5"/>
    <w:rsid w:val="6DCF4734"/>
    <w:rsid w:val="6DDD2506"/>
    <w:rsid w:val="6E1E1AFF"/>
    <w:rsid w:val="6E706E05"/>
    <w:rsid w:val="6E8E0925"/>
    <w:rsid w:val="6F84006B"/>
    <w:rsid w:val="701901B8"/>
    <w:rsid w:val="70B24416"/>
    <w:rsid w:val="70C02024"/>
    <w:rsid w:val="712430FB"/>
    <w:rsid w:val="71297032"/>
    <w:rsid w:val="73FB4EFF"/>
    <w:rsid w:val="742A78C3"/>
    <w:rsid w:val="75241FEA"/>
    <w:rsid w:val="758A21E2"/>
    <w:rsid w:val="75AC61DB"/>
    <w:rsid w:val="77031C1A"/>
    <w:rsid w:val="77550BB8"/>
    <w:rsid w:val="778945C7"/>
    <w:rsid w:val="77AB4452"/>
    <w:rsid w:val="77E730F1"/>
    <w:rsid w:val="78CD0519"/>
    <w:rsid w:val="79660C5B"/>
    <w:rsid w:val="79A1326E"/>
    <w:rsid w:val="7A86101F"/>
    <w:rsid w:val="7B42141C"/>
    <w:rsid w:val="7C2535BA"/>
    <w:rsid w:val="7C5036C5"/>
    <w:rsid w:val="7C537268"/>
    <w:rsid w:val="7CA757A6"/>
    <w:rsid w:val="7DBC23D7"/>
    <w:rsid w:val="7DD474A3"/>
    <w:rsid w:val="7EC50D81"/>
    <w:rsid w:val="7F26114E"/>
    <w:rsid w:val="7F2B006B"/>
    <w:rsid w:val="7F421D33"/>
    <w:rsid w:val="7FE63F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uiPriority="0" w:name="Body Text 3"/>
    <w:lsdException w:qFormat="1"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keepLines/>
      <w:spacing w:line="360" w:lineRule="auto"/>
      <w:jc w:val="left"/>
      <w:outlineLvl w:val="0"/>
    </w:pPr>
    <w:rPr>
      <w:rFonts w:eastAsia="微软雅黑"/>
      <w:b/>
      <w:bCs/>
      <w:kern w:val="44"/>
      <w:szCs w:val="44"/>
    </w:rPr>
  </w:style>
  <w:style w:type="paragraph" w:styleId="4">
    <w:name w:val="heading 2"/>
    <w:basedOn w:val="1"/>
    <w:next w:val="5"/>
    <w:link w:val="123"/>
    <w:qFormat/>
    <w:uiPriority w:val="0"/>
    <w:pPr>
      <w:keepNext/>
      <w:adjustRightInd w:val="0"/>
      <w:snapToGrid w:val="0"/>
      <w:spacing w:before="120" w:after="120" w:line="360" w:lineRule="auto"/>
      <w:jc w:val="left"/>
      <w:textAlignment w:val="baseline"/>
      <w:outlineLvl w:val="1"/>
    </w:pPr>
    <w:rPr>
      <w:rFonts w:ascii="仿宋_GB2312" w:hAnsi="仿宋_GB2312" w:eastAsia="微软雅黑"/>
      <w:b/>
      <w:kern w:val="0"/>
      <w:sz w:val="28"/>
      <w:szCs w:val="20"/>
    </w:rPr>
  </w:style>
  <w:style w:type="paragraph" w:styleId="6">
    <w:name w:val="heading 3"/>
    <w:basedOn w:val="1"/>
    <w:next w:val="1"/>
    <w:qFormat/>
    <w:uiPriority w:val="9"/>
    <w:pPr>
      <w:keepNext/>
      <w:keepLines/>
      <w:spacing w:line="360" w:lineRule="auto"/>
      <w:jc w:val="left"/>
      <w:outlineLvl w:val="2"/>
    </w:pPr>
    <w:rPr>
      <w:rFonts w:ascii="仿宋_GB2312" w:hAnsi="仿宋_GB2312" w:eastAsia="微软雅黑"/>
      <w:b/>
      <w:bCs/>
      <w:sz w:val="24"/>
      <w:szCs w:val="20"/>
    </w:rPr>
  </w:style>
  <w:style w:type="paragraph" w:styleId="7">
    <w:name w:val="heading 4"/>
    <w:basedOn w:val="6"/>
    <w:next w:val="1"/>
    <w:qFormat/>
    <w:uiPriority w:val="9"/>
    <w:pPr>
      <w:spacing w:before="40"/>
      <w:outlineLvl w:val="3"/>
    </w:pPr>
    <w:rPr>
      <w:rFonts w:ascii="Cambria" w:hAnsi="Cambria"/>
      <w:szCs w:val="28"/>
    </w:rPr>
  </w:style>
  <w:style w:type="paragraph" w:styleId="8">
    <w:name w:val="heading 5"/>
    <w:basedOn w:val="7"/>
    <w:next w:val="1"/>
    <w:link w:val="138"/>
    <w:qFormat/>
    <w:uiPriority w:val="0"/>
    <w:pPr>
      <w:tabs>
        <w:tab w:val="left" w:pos="2520"/>
      </w:tabs>
      <w:outlineLvl w:val="4"/>
    </w:pPr>
  </w:style>
  <w:style w:type="paragraph" w:styleId="9">
    <w:name w:val="heading 6"/>
    <w:basedOn w:val="1"/>
    <w:next w:val="1"/>
    <w:qFormat/>
    <w:uiPriority w:val="9"/>
    <w:pPr>
      <w:keepNext/>
      <w:keepLines/>
      <w:spacing w:line="360" w:lineRule="auto"/>
      <w:outlineLvl w:val="5"/>
    </w:pPr>
    <w:rPr>
      <w:rFonts w:ascii="Cambria" w:hAnsi="Cambria" w:eastAsia="微软雅黑"/>
      <w:bCs/>
    </w:rPr>
  </w:style>
  <w:style w:type="paragraph" w:styleId="10">
    <w:name w:val="heading 7"/>
    <w:basedOn w:val="1"/>
    <w:next w:val="1"/>
    <w:link w:val="116"/>
    <w:unhideWhenUsed/>
    <w:qFormat/>
    <w:uiPriority w:val="0"/>
    <w:pPr>
      <w:keepNext/>
      <w:keepLines/>
      <w:spacing w:before="240" w:after="64" w:line="320" w:lineRule="auto"/>
      <w:outlineLvl w:val="6"/>
    </w:pPr>
    <w:rPr>
      <w:b/>
      <w:bCs/>
      <w:sz w:val="24"/>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7"/>
    <w:qFormat/>
    <w:uiPriority w:val="0"/>
    <w:pPr>
      <w:spacing w:before="240" w:after="60"/>
      <w:jc w:val="center"/>
      <w:outlineLvl w:val="0"/>
    </w:pPr>
    <w:rPr>
      <w:rFonts w:ascii="Cambria" w:hAnsi="Cambria"/>
      <w:b/>
      <w:bCs/>
      <w:sz w:val="32"/>
      <w:szCs w:val="32"/>
    </w:rPr>
  </w:style>
  <w:style w:type="paragraph" w:customStyle="1" w:styleId="5">
    <w:name w:val="标准正文"/>
    <w:basedOn w:val="1"/>
    <w:qFormat/>
    <w:uiPriority w:val="0"/>
    <w:pPr>
      <w:spacing w:line="360" w:lineRule="auto"/>
      <w:ind w:firstLine="200" w:firstLineChars="200"/>
    </w:pPr>
    <w:rPr>
      <w:rFonts w:ascii="Calibri" w:hAnsi="Calibri"/>
      <w:sz w:val="24"/>
      <w:szCs w:val="20"/>
    </w:rPr>
  </w:style>
  <w:style w:type="paragraph" w:styleId="11">
    <w:name w:val="List Number"/>
    <w:basedOn w:val="1"/>
    <w:qFormat/>
    <w:uiPriority w:val="0"/>
    <w:pPr>
      <w:numPr>
        <w:ilvl w:val="0"/>
        <w:numId w:val="1"/>
      </w:numPr>
    </w:pPr>
  </w:style>
  <w:style w:type="paragraph" w:styleId="12">
    <w:name w:val="Normal Indent"/>
    <w:basedOn w:val="1"/>
    <w:link w:val="119"/>
    <w:qFormat/>
    <w:uiPriority w:val="0"/>
    <w:pPr>
      <w:ind w:firstLine="420" w:firstLineChars="200"/>
    </w:pPr>
  </w:style>
  <w:style w:type="paragraph" w:styleId="13">
    <w:name w:val="caption"/>
    <w:basedOn w:val="1"/>
    <w:next w:val="1"/>
    <w:qFormat/>
    <w:uiPriority w:val="0"/>
    <w:pPr>
      <w:spacing w:before="152" w:after="160"/>
    </w:pPr>
    <w:rPr>
      <w:rFonts w:ascii="Arial" w:hAnsi="Arial" w:eastAsia="黑体"/>
      <w:sz w:val="20"/>
      <w:szCs w:val="20"/>
    </w:rPr>
  </w:style>
  <w:style w:type="paragraph" w:styleId="14">
    <w:name w:val="Document Map"/>
    <w:basedOn w:val="1"/>
    <w:link w:val="124"/>
    <w:semiHidden/>
    <w:qFormat/>
    <w:uiPriority w:val="0"/>
    <w:pPr>
      <w:shd w:val="clear" w:color="auto" w:fill="000080"/>
    </w:pPr>
  </w:style>
  <w:style w:type="paragraph" w:styleId="15">
    <w:name w:val="Body Text"/>
    <w:basedOn w:val="1"/>
    <w:link w:val="118"/>
    <w:qFormat/>
    <w:uiPriority w:val="0"/>
    <w:pPr>
      <w:spacing w:after="120"/>
    </w:pPr>
  </w:style>
  <w:style w:type="paragraph" w:styleId="16">
    <w:name w:val="Body Text Indent"/>
    <w:basedOn w:val="1"/>
    <w:link w:val="134"/>
    <w:qFormat/>
    <w:uiPriority w:val="0"/>
    <w:pPr>
      <w:spacing w:line="200" w:lineRule="exact"/>
      <w:ind w:firstLine="301"/>
    </w:pPr>
    <w:rPr>
      <w:rFonts w:ascii="宋体" w:hAnsi="Courier New"/>
      <w:spacing w:val="-4"/>
      <w:sz w:val="18"/>
      <w:szCs w:val="20"/>
    </w:rPr>
  </w:style>
  <w:style w:type="paragraph" w:styleId="17">
    <w:name w:val="List 2"/>
    <w:basedOn w:val="1"/>
    <w:qFormat/>
    <w:uiPriority w:val="0"/>
    <w:pPr>
      <w:ind w:left="100" w:leftChars="200" w:hanging="200" w:hangingChars="200"/>
    </w:pPr>
  </w:style>
  <w:style w:type="paragraph" w:styleId="18">
    <w:name w:val="toc 3"/>
    <w:basedOn w:val="1"/>
    <w:next w:val="1"/>
    <w:qFormat/>
    <w:uiPriority w:val="39"/>
    <w:pPr>
      <w:ind w:left="840" w:leftChars="400"/>
    </w:pPr>
  </w:style>
  <w:style w:type="paragraph" w:styleId="19">
    <w:name w:val="Plain Text"/>
    <w:basedOn w:val="1"/>
    <w:link w:val="52"/>
    <w:qFormat/>
    <w:uiPriority w:val="0"/>
    <w:rPr>
      <w:rFonts w:ascii="宋体" w:hAnsi="Courier New"/>
      <w:szCs w:val="20"/>
    </w:rPr>
  </w:style>
  <w:style w:type="paragraph" w:styleId="20">
    <w:name w:val="Date"/>
    <w:basedOn w:val="1"/>
    <w:next w:val="1"/>
    <w:qFormat/>
    <w:uiPriority w:val="0"/>
    <w:pPr>
      <w:ind w:left="2500" w:leftChars="2500"/>
    </w:pPr>
    <w:rPr>
      <w:rFonts w:eastAsia="楷体_GB2312"/>
      <w:sz w:val="32"/>
      <w:szCs w:val="20"/>
    </w:rPr>
  </w:style>
  <w:style w:type="paragraph" w:styleId="21">
    <w:name w:val="Body Text Indent 2"/>
    <w:basedOn w:val="1"/>
    <w:link w:val="137"/>
    <w:semiHidden/>
    <w:unhideWhenUsed/>
    <w:qFormat/>
    <w:uiPriority w:val="0"/>
    <w:pPr>
      <w:spacing w:after="120" w:line="480" w:lineRule="auto"/>
      <w:ind w:left="420" w:leftChars="200"/>
    </w:pPr>
  </w:style>
  <w:style w:type="paragraph" w:styleId="22">
    <w:name w:val="Balloon Text"/>
    <w:basedOn w:val="1"/>
    <w:link w:val="50"/>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302"/>
      </w:tabs>
    </w:pPr>
    <w:rPr>
      <w:rFonts w:ascii="宋体" w:hAnsi="宋体"/>
      <w:b/>
      <w:color w:val="000000"/>
      <w:sz w:val="28"/>
      <w:szCs w:val="28"/>
    </w:rPr>
  </w:style>
  <w:style w:type="paragraph" w:styleId="26">
    <w:name w:val="Subtitle"/>
    <w:basedOn w:val="1"/>
    <w:next w:val="1"/>
    <w:link w:val="135"/>
    <w:qFormat/>
    <w:uiPriority w:val="0"/>
    <w:pPr>
      <w:spacing w:before="240" w:after="60" w:line="312" w:lineRule="auto"/>
      <w:jc w:val="center"/>
      <w:outlineLvl w:val="1"/>
    </w:pPr>
    <w:rPr>
      <w:rFonts w:ascii="Cambria" w:hAnsi="Cambria"/>
      <w:b/>
      <w:bCs/>
      <w:kern w:val="28"/>
      <w:sz w:val="32"/>
      <w:szCs w:val="32"/>
    </w:rPr>
  </w:style>
  <w:style w:type="paragraph" w:styleId="27">
    <w:name w:val="List"/>
    <w:basedOn w:val="1"/>
    <w:link w:val="120"/>
    <w:qFormat/>
    <w:uiPriority w:val="0"/>
    <w:pPr>
      <w:ind w:left="283" w:hanging="283"/>
      <w:contextualSpacing/>
    </w:pPr>
  </w:style>
  <w:style w:type="paragraph" w:styleId="28">
    <w:name w:val="toc 2"/>
    <w:basedOn w:val="1"/>
    <w:next w:val="1"/>
    <w:qFormat/>
    <w:uiPriority w:val="39"/>
    <w:pPr>
      <w:tabs>
        <w:tab w:val="right" w:leader="dot" w:pos="8302"/>
      </w:tabs>
      <w:ind w:left="420" w:leftChars="200"/>
    </w:pPr>
    <w:rPr>
      <w:rFonts w:ascii="宋体" w:hAnsi="宋体"/>
      <w:color w:val="000000"/>
      <w:sz w:val="30"/>
      <w:szCs w:val="30"/>
    </w:rPr>
  </w:style>
  <w:style w:type="paragraph" w:styleId="29">
    <w:name w:val="Body Text 2"/>
    <w:basedOn w:val="1"/>
    <w:link w:val="126"/>
    <w:qFormat/>
    <w:uiPriority w:val="0"/>
    <w:pPr>
      <w:spacing w:after="120" w:line="480" w:lineRule="auto"/>
    </w:pPr>
  </w:style>
  <w:style w:type="paragraph" w:styleId="30">
    <w:name w:val="Normal (Web)"/>
    <w:basedOn w:val="1"/>
    <w:link w:val="51"/>
    <w:qFormat/>
    <w:uiPriority w:val="99"/>
    <w:pPr>
      <w:widowControl/>
      <w:spacing w:before="100" w:beforeAutospacing="1" w:after="100" w:afterAutospacing="1"/>
      <w:jc w:val="left"/>
    </w:pPr>
    <w:rPr>
      <w:rFonts w:ascii="宋体" w:hAnsi="宋体"/>
      <w:kern w:val="0"/>
      <w:sz w:val="24"/>
    </w:rPr>
  </w:style>
  <w:style w:type="paragraph" w:styleId="31">
    <w:name w:val="Body Text First Indent"/>
    <w:basedOn w:val="15"/>
    <w:qFormat/>
    <w:uiPriority w:val="0"/>
    <w:pPr>
      <w:ind w:firstLine="420" w:firstLineChars="100"/>
    </w:pPr>
    <w:rPr>
      <w:rFonts w:ascii="Calibri" w:hAnsi="Calibri"/>
      <w:szCs w:val="22"/>
    </w:rPr>
  </w:style>
  <w:style w:type="paragraph" w:styleId="32">
    <w:name w:val="Body Text First Indent 2"/>
    <w:basedOn w:val="16"/>
    <w:unhideWhenUsed/>
    <w:qFormat/>
    <w:uiPriority w:val="0"/>
    <w:pPr>
      <w:spacing w:after="120" w:line="360" w:lineRule="auto"/>
      <w:ind w:left="420" w:leftChars="200" w:firstLine="420" w:firstLineChars="200"/>
    </w:pPr>
    <w:rPr>
      <w:sz w:val="24"/>
    </w:rPr>
  </w:style>
  <w:style w:type="table" w:styleId="34">
    <w:name w:val="Table Grid"/>
    <w:basedOn w:val="33"/>
    <w:qFormat/>
    <w:uiPriority w:val="99"/>
    <w:rPr>
      <w:rFonts w:hint="eastAsia" w:ascii="等线" w:hAnsi="等线" w:eastAsia="等线" w:cs="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6">
    <w:name w:val="Strong"/>
    <w:qFormat/>
    <w:uiPriority w:val="0"/>
    <w:rPr>
      <w:b/>
      <w:bCs/>
    </w:rPr>
  </w:style>
  <w:style w:type="character" w:styleId="37">
    <w:name w:val="page number"/>
    <w:basedOn w:val="35"/>
    <w:qFormat/>
    <w:uiPriority w:val="0"/>
  </w:style>
  <w:style w:type="character" w:styleId="38">
    <w:name w:val="FollowedHyperlink"/>
    <w:basedOn w:val="35"/>
    <w:semiHidden/>
    <w:unhideWhenUsed/>
    <w:qFormat/>
    <w:uiPriority w:val="99"/>
    <w:rPr>
      <w:color w:val="954F72"/>
      <w:u w:val="single"/>
    </w:rPr>
  </w:style>
  <w:style w:type="character" w:styleId="39">
    <w:name w:val="Emphasis"/>
    <w:basedOn w:val="35"/>
    <w:qFormat/>
    <w:uiPriority w:val="0"/>
    <w:rPr>
      <w:color w:val="CC0000"/>
    </w:rPr>
  </w:style>
  <w:style w:type="character" w:styleId="40">
    <w:name w:val="Hyperlink"/>
    <w:qFormat/>
    <w:uiPriority w:val="99"/>
    <w:rPr>
      <w:color w:val="0000FF"/>
      <w:u w:val="single"/>
    </w:rPr>
  </w:style>
  <w:style w:type="character" w:customStyle="1" w:styleId="41">
    <w:name w:val="标题 1 Char"/>
    <w:link w:val="3"/>
    <w:qFormat/>
    <w:uiPriority w:val="9"/>
    <w:rPr>
      <w:rFonts w:ascii="Times New Roman" w:hAnsi="Times New Roman" w:eastAsia="微软雅黑"/>
      <w:b/>
      <w:bCs/>
      <w:kern w:val="44"/>
      <w:sz w:val="21"/>
      <w:szCs w:val="44"/>
    </w:rPr>
  </w:style>
  <w:style w:type="paragraph" w:customStyle="1" w:styleId="42">
    <w:name w:val="_Style 12"/>
    <w:basedOn w:val="3"/>
    <w:next w:val="1"/>
    <w:qFormat/>
    <w:uiPriority w:val="39"/>
    <w:pPr>
      <w:widowControl/>
      <w:spacing w:before="480" w:line="276" w:lineRule="auto"/>
      <w:outlineLvl w:val="9"/>
    </w:pPr>
    <w:rPr>
      <w:rFonts w:ascii="Cambria" w:hAnsi="Cambria" w:eastAsia="宋体"/>
      <w:color w:val="365F91"/>
      <w:kern w:val="0"/>
      <w:sz w:val="28"/>
      <w:szCs w:val="28"/>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6级标题"/>
    <w:basedOn w:val="1"/>
    <w:qFormat/>
    <w:uiPriority w:val="0"/>
    <w:pPr>
      <w:keepNext/>
      <w:spacing w:line="360" w:lineRule="auto"/>
      <w:ind w:left="1151" w:hanging="431"/>
      <w:jc w:val="center"/>
      <w:outlineLvl w:val="5"/>
    </w:pPr>
    <w:rPr>
      <w:rFonts w:ascii="黑体" w:hAnsi="宋体" w:eastAsia="微软雅黑"/>
      <w:b/>
      <w:bCs/>
      <w:sz w:val="24"/>
      <w:szCs w:val="52"/>
    </w:rPr>
  </w:style>
  <w:style w:type="character" w:customStyle="1" w:styleId="45">
    <w:name w:val="bookmark-item"/>
    <w:basedOn w:val="35"/>
    <w:qFormat/>
    <w:uiPriority w:val="0"/>
  </w:style>
  <w:style w:type="character" w:customStyle="1" w:styleId="46">
    <w:name w:val="sub"/>
    <w:basedOn w:val="35"/>
    <w:qFormat/>
    <w:uiPriority w:val="0"/>
  </w:style>
  <w:style w:type="paragraph" w:customStyle="1" w:styleId="47">
    <w:name w:val="纯文本1"/>
    <w:basedOn w:val="1"/>
    <w:qFormat/>
    <w:uiPriority w:val="0"/>
    <w:pPr>
      <w:adjustRightInd w:val="0"/>
      <w:textAlignment w:val="baseline"/>
    </w:pPr>
    <w:rPr>
      <w:rFonts w:ascii="宋体" w:hAnsi="Courier New" w:eastAsia="楷体_GB2312"/>
      <w:sz w:val="26"/>
      <w:szCs w:val="20"/>
    </w:rPr>
  </w:style>
  <w:style w:type="paragraph" w:customStyle="1" w:styleId="48">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49">
    <w:name w:val="页眉 Char"/>
    <w:basedOn w:val="35"/>
    <w:link w:val="24"/>
    <w:qFormat/>
    <w:uiPriority w:val="99"/>
    <w:rPr>
      <w:kern w:val="2"/>
      <w:sz w:val="18"/>
      <w:szCs w:val="18"/>
    </w:rPr>
  </w:style>
  <w:style w:type="character" w:customStyle="1" w:styleId="50">
    <w:name w:val="批注框文本 Char"/>
    <w:basedOn w:val="35"/>
    <w:link w:val="22"/>
    <w:qFormat/>
    <w:uiPriority w:val="0"/>
    <w:rPr>
      <w:kern w:val="2"/>
      <w:sz w:val="18"/>
      <w:szCs w:val="18"/>
    </w:rPr>
  </w:style>
  <w:style w:type="character" w:customStyle="1" w:styleId="51">
    <w:name w:val="普通(网站) Char"/>
    <w:link w:val="30"/>
    <w:qFormat/>
    <w:locked/>
    <w:uiPriority w:val="0"/>
    <w:rPr>
      <w:rFonts w:ascii="宋体" w:hAnsi="宋体"/>
      <w:sz w:val="24"/>
      <w:szCs w:val="24"/>
    </w:rPr>
  </w:style>
  <w:style w:type="character" w:customStyle="1" w:styleId="52">
    <w:name w:val="纯文本 Char"/>
    <w:link w:val="19"/>
    <w:qFormat/>
    <w:uiPriority w:val="0"/>
    <w:rPr>
      <w:rFonts w:ascii="宋体" w:hAnsi="Courier New"/>
      <w:kern w:val="2"/>
      <w:sz w:val="21"/>
    </w:rPr>
  </w:style>
  <w:style w:type="paragraph" w:customStyle="1" w:styleId="53">
    <w:name w:val="CM11"/>
    <w:basedOn w:val="54"/>
    <w:next w:val="54"/>
    <w:unhideWhenUsed/>
    <w:qFormat/>
    <w:uiPriority w:val="99"/>
    <w:pPr>
      <w:spacing w:line="520" w:lineRule="atLeast"/>
    </w:pPr>
  </w:style>
  <w:style w:type="paragraph" w:customStyle="1" w:styleId="54">
    <w:name w:val="Default"/>
    <w:unhideWhenUsed/>
    <w:qFormat/>
    <w:uiPriority w:val="99"/>
    <w:pPr>
      <w:widowControl w:val="0"/>
      <w:autoSpaceDE w:val="0"/>
      <w:autoSpaceDN w:val="0"/>
      <w:adjustRightInd w:val="0"/>
    </w:pPr>
    <w:rPr>
      <w:rFonts w:hint="eastAsia" w:ascii="仿宋" w:hAnsi="Times New Roman" w:eastAsia="仿宋" w:cs="Times New Roman"/>
      <w:color w:val="000000"/>
      <w:sz w:val="24"/>
      <w:lang w:val="en-US" w:eastAsia="zh-CN" w:bidi="ar-SA"/>
    </w:rPr>
  </w:style>
  <w:style w:type="paragraph" w:styleId="55">
    <w:name w:val="List Paragraph"/>
    <w:basedOn w:val="1"/>
    <w:link w:val="56"/>
    <w:unhideWhenUsed/>
    <w:qFormat/>
    <w:uiPriority w:val="0"/>
    <w:pPr>
      <w:ind w:firstLine="420" w:firstLineChars="200"/>
    </w:pPr>
  </w:style>
  <w:style w:type="character" w:customStyle="1" w:styleId="56">
    <w:name w:val="列出段落 Char"/>
    <w:link w:val="55"/>
    <w:qFormat/>
    <w:locked/>
    <w:uiPriority w:val="34"/>
    <w:rPr>
      <w:kern w:val="2"/>
      <w:sz w:val="21"/>
      <w:szCs w:val="24"/>
    </w:rPr>
  </w:style>
  <w:style w:type="character" w:customStyle="1" w:styleId="57">
    <w:name w:val="标题 Char"/>
    <w:basedOn w:val="35"/>
    <w:link w:val="2"/>
    <w:qFormat/>
    <w:uiPriority w:val="0"/>
    <w:rPr>
      <w:rFonts w:ascii="Cambria" w:hAnsi="Cambria"/>
      <w:b/>
      <w:bCs/>
      <w:kern w:val="2"/>
      <w:sz w:val="32"/>
      <w:szCs w:val="32"/>
    </w:rPr>
  </w:style>
  <w:style w:type="paragraph" w:customStyle="1" w:styleId="5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0">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1">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4">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
    <w:name w:val="xl8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7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7">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
    <w:name w:val="xl8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9">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
    <w:name w:val="xl8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1">
    <w:name w:val="xl9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xl9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84">
    <w:name w:val="xl9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5">
    <w:name w:val="xl9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6">
    <w:name w:val="xl9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7">
    <w:name w:val="font8"/>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88">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9">
    <w:name w:val="font1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90">
    <w:name w:val="font11"/>
    <w:basedOn w:val="1"/>
    <w:qFormat/>
    <w:uiPriority w:val="0"/>
    <w:pPr>
      <w:widowControl/>
      <w:spacing w:before="100" w:beforeAutospacing="1" w:after="100" w:afterAutospacing="1"/>
      <w:jc w:val="left"/>
    </w:pPr>
    <w:rPr>
      <w:rFonts w:ascii="Tahoma" w:hAnsi="Tahoma" w:cs="Tahoma"/>
      <w:color w:val="666666"/>
      <w:kern w:val="0"/>
      <w:sz w:val="18"/>
      <w:szCs w:val="18"/>
    </w:rPr>
  </w:style>
  <w:style w:type="paragraph" w:customStyle="1" w:styleId="91">
    <w:name w:val="font12"/>
    <w:basedOn w:val="1"/>
    <w:qFormat/>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92">
    <w:name w:val="font13"/>
    <w:basedOn w:val="1"/>
    <w:qFormat/>
    <w:uiPriority w:val="0"/>
    <w:pPr>
      <w:widowControl/>
      <w:spacing w:before="100" w:beforeAutospacing="1" w:after="100" w:afterAutospacing="1"/>
      <w:jc w:val="left"/>
    </w:pPr>
    <w:rPr>
      <w:rFonts w:ascii="Calibri" w:hAnsi="Calibri" w:cs="Calibri"/>
      <w:kern w:val="0"/>
      <w:sz w:val="20"/>
      <w:szCs w:val="20"/>
    </w:rPr>
  </w:style>
  <w:style w:type="paragraph" w:customStyle="1" w:styleId="93">
    <w:name w:val="font14"/>
    <w:basedOn w:val="1"/>
    <w:qFormat/>
    <w:uiPriority w:val="0"/>
    <w:pPr>
      <w:widowControl/>
      <w:spacing w:before="100" w:beforeAutospacing="1" w:after="100" w:afterAutospacing="1"/>
      <w:jc w:val="left"/>
    </w:pPr>
    <w:rPr>
      <w:rFonts w:ascii="Calibri" w:hAnsi="Calibri" w:cs="Calibri"/>
      <w:kern w:val="0"/>
      <w:sz w:val="20"/>
      <w:szCs w:val="20"/>
    </w:rPr>
  </w:style>
  <w:style w:type="paragraph" w:customStyle="1" w:styleId="94">
    <w:name w:val="xl9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95">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9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97">
    <w:name w:val="xl99"/>
    <w:basedOn w:val="1"/>
    <w:qFormat/>
    <w:uiPriority w:val="0"/>
    <w:pPr>
      <w:widowControl/>
      <w:pBdr>
        <w:top w:val="single" w:color="auto" w:sz="4" w:space="0"/>
        <w:left w:val="single" w:color="auto" w:sz="4" w:space="14"/>
        <w:bottom w:val="single" w:color="auto" w:sz="4" w:space="0"/>
        <w:right w:val="single" w:color="auto" w:sz="4" w:space="0"/>
      </w:pBdr>
      <w:spacing w:before="100" w:beforeAutospacing="1" w:after="100" w:afterAutospacing="1"/>
      <w:ind w:firstLine="100" w:firstLineChars="100"/>
      <w:jc w:val="left"/>
    </w:pPr>
    <w:rPr>
      <w:rFonts w:ascii="Tahoma" w:hAnsi="Tahoma" w:cs="Tahoma"/>
      <w:color w:val="666666"/>
      <w:kern w:val="0"/>
      <w:sz w:val="18"/>
      <w:szCs w:val="18"/>
    </w:rPr>
  </w:style>
  <w:style w:type="paragraph" w:customStyle="1" w:styleId="98">
    <w:name w:val="xl100"/>
    <w:basedOn w:val="1"/>
    <w:qFormat/>
    <w:uiPriority w:val="0"/>
    <w:pPr>
      <w:widowControl/>
      <w:pBdr>
        <w:top w:val="single" w:color="auto" w:sz="4" w:space="0"/>
        <w:left w:val="single" w:color="auto" w:sz="4" w:space="14"/>
        <w:bottom w:val="single" w:color="auto" w:sz="4" w:space="0"/>
        <w:right w:val="single" w:color="auto" w:sz="4" w:space="0"/>
      </w:pBdr>
      <w:spacing w:before="100" w:beforeAutospacing="1" w:after="100" w:afterAutospacing="1"/>
      <w:ind w:firstLine="100" w:firstLineChars="100"/>
      <w:jc w:val="left"/>
    </w:pPr>
    <w:rPr>
      <w:rFonts w:ascii="方正书宋_GBK" w:hAnsi="宋体" w:eastAsia="方正书宋_GBK" w:cs="宋体"/>
      <w:color w:val="666666"/>
      <w:kern w:val="0"/>
      <w:sz w:val="18"/>
      <w:szCs w:val="18"/>
    </w:rPr>
  </w:style>
  <w:style w:type="paragraph" w:customStyle="1" w:styleId="9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xl102"/>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xl10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0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3">
    <w:name w:val="xl10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4">
    <w:name w:val="xl106"/>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5">
    <w:name w:val="xl10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6">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07">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0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09">
    <w:name w:val="xl111"/>
    <w:basedOn w:val="1"/>
    <w:qFormat/>
    <w:uiPriority w:val="0"/>
    <w:pPr>
      <w:widowControl/>
      <w:shd w:val="clear" w:color="000000" w:fill="FFFF00"/>
      <w:spacing w:before="100" w:beforeAutospacing="1" w:after="100" w:afterAutospacing="1"/>
      <w:jc w:val="left"/>
    </w:pPr>
    <w:rPr>
      <w:rFonts w:ascii="宋体" w:hAnsi="宋体" w:cs="宋体"/>
      <w:kern w:val="0"/>
      <w:sz w:val="24"/>
    </w:rPr>
  </w:style>
  <w:style w:type="paragraph" w:customStyle="1" w:styleId="110">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11">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12">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113">
    <w:name w:val="xl115"/>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14">
    <w:name w:val="xl116"/>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115">
    <w:name w:val="xl11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character" w:customStyle="1" w:styleId="116">
    <w:name w:val="标题 7 Char"/>
    <w:basedOn w:val="35"/>
    <w:link w:val="10"/>
    <w:qFormat/>
    <w:uiPriority w:val="0"/>
    <w:rPr>
      <w:b/>
      <w:bCs/>
      <w:kern w:val="2"/>
      <w:sz w:val="24"/>
      <w:szCs w:val="24"/>
    </w:rPr>
  </w:style>
  <w:style w:type="paragraph" w:customStyle="1" w:styleId="11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18">
    <w:name w:val="正文文本 Char"/>
    <w:basedOn w:val="35"/>
    <w:link w:val="15"/>
    <w:qFormat/>
    <w:uiPriority w:val="0"/>
    <w:rPr>
      <w:kern w:val="2"/>
      <w:sz w:val="21"/>
      <w:szCs w:val="24"/>
    </w:rPr>
  </w:style>
  <w:style w:type="character" w:customStyle="1" w:styleId="119">
    <w:name w:val="正文缩进 Char"/>
    <w:basedOn w:val="35"/>
    <w:link w:val="12"/>
    <w:qFormat/>
    <w:uiPriority w:val="0"/>
    <w:rPr>
      <w:kern w:val="2"/>
      <w:sz w:val="21"/>
      <w:szCs w:val="24"/>
    </w:rPr>
  </w:style>
  <w:style w:type="character" w:customStyle="1" w:styleId="120">
    <w:name w:val="列表 Char"/>
    <w:basedOn w:val="35"/>
    <w:link w:val="27"/>
    <w:qFormat/>
    <w:uiPriority w:val="0"/>
    <w:rPr>
      <w:kern w:val="2"/>
      <w:sz w:val="21"/>
      <w:szCs w:val="24"/>
    </w:rPr>
  </w:style>
  <w:style w:type="character" w:customStyle="1" w:styleId="121">
    <w:name w:val="zbggmain style9"/>
    <w:basedOn w:val="35"/>
    <w:qFormat/>
    <w:uiPriority w:val="0"/>
  </w:style>
  <w:style w:type="character" w:customStyle="1" w:styleId="122">
    <w:name w:val="纯文本 Char1"/>
    <w:basedOn w:val="35"/>
    <w:qFormat/>
    <w:uiPriority w:val="0"/>
    <w:rPr>
      <w:rFonts w:ascii="宋体" w:hAnsi="Courier New" w:eastAsia="宋体"/>
      <w:kern w:val="2"/>
      <w:sz w:val="24"/>
      <w:szCs w:val="24"/>
      <w:lang w:val="en-US" w:eastAsia="zh-CN" w:bidi="ar-SA"/>
    </w:rPr>
  </w:style>
  <w:style w:type="character" w:customStyle="1" w:styleId="123">
    <w:name w:val="标题 2 Char"/>
    <w:basedOn w:val="35"/>
    <w:link w:val="4"/>
    <w:qFormat/>
    <w:uiPriority w:val="0"/>
    <w:rPr>
      <w:rFonts w:ascii="仿宋_GB2312" w:hAnsi="仿宋_GB2312" w:eastAsia="微软雅黑"/>
      <w:b/>
      <w:sz w:val="28"/>
    </w:rPr>
  </w:style>
  <w:style w:type="character" w:customStyle="1" w:styleId="124">
    <w:name w:val="文档结构图 Char"/>
    <w:basedOn w:val="35"/>
    <w:link w:val="14"/>
    <w:semiHidden/>
    <w:qFormat/>
    <w:uiPriority w:val="0"/>
    <w:rPr>
      <w:kern w:val="2"/>
      <w:sz w:val="21"/>
      <w:szCs w:val="24"/>
      <w:shd w:val="clear" w:color="auto" w:fill="000080"/>
    </w:rPr>
  </w:style>
  <w:style w:type="paragraph" w:customStyle="1" w:styleId="125">
    <w:name w:val="正文段"/>
    <w:basedOn w:val="1"/>
    <w:qFormat/>
    <w:uiPriority w:val="0"/>
    <w:pPr>
      <w:widowControl/>
      <w:snapToGrid w:val="0"/>
      <w:spacing w:afterLines="50"/>
      <w:ind w:firstLine="200" w:firstLineChars="200"/>
    </w:pPr>
    <w:rPr>
      <w:kern w:val="0"/>
      <w:sz w:val="24"/>
      <w:szCs w:val="20"/>
    </w:rPr>
  </w:style>
  <w:style w:type="character" w:customStyle="1" w:styleId="126">
    <w:name w:val="正文文本 2 Char"/>
    <w:basedOn w:val="35"/>
    <w:link w:val="29"/>
    <w:qFormat/>
    <w:uiPriority w:val="0"/>
    <w:rPr>
      <w:kern w:val="2"/>
      <w:sz w:val="21"/>
      <w:szCs w:val="24"/>
    </w:rPr>
  </w:style>
  <w:style w:type="paragraph" w:customStyle="1" w:styleId="127">
    <w:name w:val="纯文本2"/>
    <w:basedOn w:val="1"/>
    <w:qFormat/>
    <w:uiPriority w:val="0"/>
    <w:pPr>
      <w:adjustRightInd w:val="0"/>
      <w:textAlignment w:val="baseline"/>
    </w:pPr>
    <w:rPr>
      <w:rFonts w:ascii="宋体" w:hAnsi="Courier New" w:eastAsia="楷体_GB2312"/>
      <w:sz w:val="26"/>
      <w:szCs w:val="20"/>
    </w:rPr>
  </w:style>
  <w:style w:type="paragraph" w:customStyle="1" w:styleId="128">
    <w:name w:val="表内文字"/>
    <w:basedOn w:val="1"/>
    <w:qFormat/>
    <w:uiPriority w:val="0"/>
    <w:pPr>
      <w:jc w:val="center"/>
    </w:pPr>
    <w:rPr>
      <w:rFonts w:ascii="仿宋_GB2312" w:eastAsia="仿宋_GB2312"/>
      <w:sz w:val="24"/>
    </w:rPr>
  </w:style>
  <w:style w:type="paragraph" w:customStyle="1" w:styleId="129">
    <w:name w:val="正文－恩普"/>
    <w:basedOn w:val="12"/>
    <w:qFormat/>
    <w:uiPriority w:val="0"/>
    <w:pPr>
      <w:widowControl/>
      <w:spacing w:line="360" w:lineRule="auto"/>
      <w:ind w:firstLine="480"/>
      <w:jc w:val="left"/>
    </w:pPr>
    <w:rPr>
      <w:kern w:val="0"/>
      <w:sz w:val="24"/>
      <w:szCs w:val="20"/>
    </w:rPr>
  </w:style>
  <w:style w:type="paragraph" w:customStyle="1" w:styleId="130">
    <w:name w:val="Char"/>
    <w:basedOn w:val="1"/>
    <w:qFormat/>
    <w:uiPriority w:val="0"/>
    <w:rPr>
      <w:rFonts w:ascii="仿宋_GB2312" w:eastAsia="仿宋_GB2312"/>
      <w:b/>
      <w:sz w:val="32"/>
      <w:szCs w:val="32"/>
    </w:rPr>
  </w:style>
  <w:style w:type="paragraph" w:customStyle="1" w:styleId="131">
    <w:name w:val="_Style 37"/>
    <w:basedOn w:val="1"/>
    <w:qFormat/>
    <w:uiPriority w:val="0"/>
    <w:pPr>
      <w:widowControl/>
      <w:spacing w:after="160" w:line="360" w:lineRule="auto"/>
      <w:ind w:firstLine="200" w:firstLineChars="200"/>
      <w:jc w:val="left"/>
    </w:pPr>
  </w:style>
  <w:style w:type="paragraph" w:customStyle="1" w:styleId="132">
    <w:name w:val="默认段落字体 Para Char Char Char Char Char Char Char Char Char1 Char Char Char Char"/>
    <w:basedOn w:val="1"/>
    <w:qFormat/>
    <w:uiPriority w:val="0"/>
    <w:rPr>
      <w:rFonts w:ascii="Tahoma" w:hAnsi="Tahoma"/>
      <w:sz w:val="24"/>
      <w:szCs w:val="20"/>
    </w:rPr>
  </w:style>
  <w:style w:type="character" w:customStyle="1" w:styleId="133">
    <w:name w:val="纯文本 字符"/>
    <w:qFormat/>
    <w:uiPriority w:val="0"/>
    <w:rPr>
      <w:rFonts w:ascii="宋体" w:hAnsi="Courier New" w:eastAsia="宋体"/>
      <w:kern w:val="2"/>
      <w:sz w:val="21"/>
      <w:lang w:val="en-US" w:eastAsia="zh-CN" w:bidi="ar-SA"/>
    </w:rPr>
  </w:style>
  <w:style w:type="character" w:customStyle="1" w:styleId="134">
    <w:name w:val="正文文本缩进 Char"/>
    <w:link w:val="16"/>
    <w:qFormat/>
    <w:uiPriority w:val="0"/>
    <w:rPr>
      <w:rFonts w:ascii="宋体" w:hAnsi="Courier New"/>
      <w:spacing w:val="-4"/>
      <w:kern w:val="2"/>
      <w:sz w:val="18"/>
    </w:rPr>
  </w:style>
  <w:style w:type="character" w:customStyle="1" w:styleId="135">
    <w:name w:val="副标题 Char"/>
    <w:basedOn w:val="35"/>
    <w:link w:val="26"/>
    <w:qFormat/>
    <w:uiPriority w:val="0"/>
    <w:rPr>
      <w:rFonts w:ascii="Cambria" w:hAnsi="Cambria"/>
      <w:b/>
      <w:bCs/>
      <w:kern w:val="28"/>
      <w:sz w:val="32"/>
      <w:szCs w:val="32"/>
    </w:rPr>
  </w:style>
  <w:style w:type="paragraph" w:customStyle="1" w:styleId="136">
    <w:name w:val="纯文本3"/>
    <w:basedOn w:val="1"/>
    <w:qFormat/>
    <w:uiPriority w:val="0"/>
    <w:pPr>
      <w:adjustRightInd w:val="0"/>
      <w:textAlignment w:val="baseline"/>
    </w:pPr>
    <w:rPr>
      <w:rFonts w:ascii="宋体" w:hAnsi="Courier New" w:eastAsia="楷体_GB2312"/>
      <w:sz w:val="26"/>
      <w:szCs w:val="20"/>
    </w:rPr>
  </w:style>
  <w:style w:type="character" w:customStyle="1" w:styleId="137">
    <w:name w:val="正文文本缩进 2 Char"/>
    <w:basedOn w:val="35"/>
    <w:link w:val="21"/>
    <w:semiHidden/>
    <w:uiPriority w:val="0"/>
    <w:rPr>
      <w:kern w:val="2"/>
      <w:sz w:val="21"/>
      <w:szCs w:val="24"/>
    </w:rPr>
  </w:style>
  <w:style w:type="character" w:customStyle="1" w:styleId="138">
    <w:name w:val="标题 5 Char"/>
    <w:link w:val="8"/>
    <w:qFormat/>
    <w:uiPriority w:val="0"/>
  </w:style>
  <w:style w:type="character" w:customStyle="1" w:styleId="139">
    <w:name w:val="纯文本 Char4"/>
    <w:qFormat/>
    <w:uiPriority w:val="0"/>
    <w:rPr>
      <w:rFonts w:ascii="宋体" w:hAnsi="Courier New" w:eastAsia="宋体"/>
      <w:kern w:val="2"/>
      <w:sz w:val="24"/>
      <w:szCs w:val="24"/>
      <w:lang w:val="en-US" w:eastAsia="zh-CN" w:bidi="ar-SA"/>
    </w:rPr>
  </w:style>
  <w:style w:type="paragraph" w:customStyle="1" w:styleId="140">
    <w:name w:val="正文缩进2格"/>
    <w:basedOn w:val="1"/>
    <w:qFormat/>
    <w:uiPriority w:val="0"/>
    <w:pPr>
      <w:widowControl/>
      <w:spacing w:line="600" w:lineRule="exact"/>
      <w:ind w:firstLine="639" w:firstLineChars="206"/>
      <w:jc w:val="left"/>
    </w:pPr>
    <w:rPr>
      <w:rFonts w:ascii="仿宋_GB2312" w:hAnsi="宋体" w:eastAsia="仿宋_GB2312"/>
      <w:kern w:val="0"/>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37090-BBEB-4EF2-8B06-A92D3C8A0FF2}">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58</Pages>
  <Words>31954</Words>
  <Characters>34023</Characters>
  <Lines>272</Lines>
  <Paragraphs>76</Paragraphs>
  <TotalTime>3</TotalTime>
  <ScaleCrop>false</ScaleCrop>
  <LinksUpToDate>false</LinksUpToDate>
  <CharactersWithSpaces>36016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2022-05-21T11:54:00Z</dcterms:created>
  <dc:creator>Administrator</dc:creator>
  <cp:lastModifiedBy>浙江槿阳建设管理有限公司</cp:lastModifiedBy>
  <cp:lastPrinted>2022-04-11T09:35:00Z</cp:lastPrinted>
  <dcterms:modified xsi:type="dcterms:W3CDTF">2022-05-25T07:02:04Z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AAE7628B7C014E12885B02FB4F01B415</vt:lpwstr>
  </property>
</Properties>
</file>