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hAnsi="仿宋" w:eastAsia="仿宋" w:cs="仿宋_GB2312"/>
          <w:b/>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2023年新城街道区域保洁服务项目</w:t>
      </w:r>
    </w:p>
    <w:p>
      <w:pPr>
        <w:snapToGrid w:val="0"/>
        <w:spacing w:line="360" w:lineRule="auto"/>
        <w:jc w:val="center"/>
        <w:rPr>
          <w:rFonts w:ascii="仿宋" w:hAnsi="仿宋" w:eastAsia="仿宋" w:cs="仿宋_GB2312"/>
          <w:color w:val="auto"/>
          <w:sz w:val="30"/>
          <w:szCs w:val="30"/>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公开招标文件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p>
    <w:p>
      <w:pPr>
        <w:snapToGrid w:val="0"/>
        <w:spacing w:line="360" w:lineRule="auto"/>
        <w:jc w:val="center"/>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项目编号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ZJJY-2022-0</w:t>
      </w:r>
      <w:r>
        <w:rPr>
          <w:rFonts w:hint="eastAsia" w:ascii="仿宋" w:hAnsi="仿宋" w:eastAsia="仿宋" w:cs="仿宋_GB2312"/>
          <w:color w:val="auto"/>
          <w:sz w:val="30"/>
          <w:szCs w:val="30"/>
          <w:highlight w:val="none"/>
          <w:lang w:val="en-US" w:eastAsia="zh-CN"/>
        </w:rPr>
        <w:t>71</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ascii="仿宋" w:hAnsi="仿宋" w:eastAsia="仿宋" w:cs="Arial"/>
          <w:color w:val="auto"/>
          <w:sz w:val="30"/>
          <w:highlight w:val="none"/>
        </w:rPr>
      </w:pPr>
      <w:r>
        <w:rPr>
          <w:rFonts w:hint="eastAsia" w:ascii="仿宋" w:hAnsi="仿宋" w:eastAsia="仿宋" w:cs="Arial"/>
          <w:color w:val="auto"/>
          <w:sz w:val="30"/>
          <w:highlight w:val="none"/>
        </w:rPr>
        <w:t>采购人：嘉兴市秀洲区人民政府新城街道办事处</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Arial"/>
          <w:color w:val="auto"/>
          <w:sz w:val="30"/>
          <w:highlight w:val="none"/>
        </w:rPr>
        <w:t>采购代理机构：浙江槿阳建设管理有限公司</w:t>
      </w:r>
    </w:p>
    <w:p>
      <w:pPr>
        <w:snapToGrid w:val="0"/>
        <w:spacing w:line="360" w:lineRule="auto"/>
        <w:jc w:val="center"/>
        <w:rPr>
          <w:rFonts w:ascii="仿宋" w:hAnsi="仿宋" w:eastAsia="仿宋" w:cs="Arial"/>
          <w:color w:val="auto"/>
          <w:sz w:val="30"/>
          <w:highlight w:val="none"/>
        </w:rPr>
      </w:pPr>
      <w:r>
        <w:rPr>
          <w:rFonts w:hint="eastAsia" w:ascii="仿宋" w:hAnsi="仿宋" w:eastAsia="仿宋" w:cs="Arial"/>
          <w:color w:val="auto"/>
          <w:sz w:val="30"/>
          <w:highlight w:val="none"/>
        </w:rPr>
        <w:t>二〇二二年十一月</w:t>
      </w:r>
      <w:r>
        <w:rPr>
          <w:rFonts w:hint="eastAsia" w:ascii="仿宋" w:hAnsi="仿宋" w:eastAsia="仿宋" w:cs="Arial"/>
          <w:color w:val="auto"/>
          <w:sz w:val="30"/>
          <w:highlight w:val="none"/>
          <w:lang w:val="en-US" w:eastAsia="zh-CN"/>
        </w:rPr>
        <w:t>二十九</w:t>
      </w:r>
      <w:r>
        <w:rPr>
          <w:rFonts w:hint="eastAsia" w:ascii="仿宋" w:hAnsi="仿宋" w:eastAsia="仿宋" w:cs="Arial"/>
          <w:color w:val="auto"/>
          <w:sz w:val="30"/>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beforeLines="100" w:afterLines="100" w:line="360" w:lineRule="auto"/>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2"/>
          <w:szCs w:val="32"/>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2023年新城街道区域保洁服务项目</w:t>
      </w:r>
      <w:r>
        <w:rPr>
          <w:rFonts w:hint="eastAsia" w:ascii="仿宋" w:hAnsi="仿宋" w:eastAsia="仿宋"/>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8"/>
          <w:rFonts w:ascii="仿宋" w:hAnsi="仿宋" w:eastAsia="仿宋" w:cs="Times New Roman"/>
          <w:snapToGrid/>
          <w:color w:val="auto"/>
          <w:kern w:val="2"/>
          <w:sz w:val="21"/>
          <w:szCs w:val="21"/>
          <w:highlight w:val="none"/>
        </w:rPr>
        <w:t>https://www.zcygov.cn/）获取（下载）招标文件，并于</w:t>
      </w:r>
      <w:r>
        <w:rPr>
          <w:rStyle w:val="78"/>
          <w:rFonts w:hint="eastAsia" w:ascii="仿宋" w:hAnsi="仿宋" w:eastAsia="仿宋" w:cs="Times New Roman"/>
          <w:snapToGrid/>
          <w:color w:val="auto"/>
          <w:kern w:val="2"/>
          <w:sz w:val="21"/>
          <w:szCs w:val="21"/>
          <w:highlight w:val="none"/>
          <w:u w:val="single"/>
        </w:rPr>
        <w:t>202</w:t>
      </w:r>
      <w:r>
        <w:rPr>
          <w:rStyle w:val="78"/>
          <w:rFonts w:ascii="仿宋" w:hAnsi="仿宋" w:eastAsia="仿宋" w:cs="Times New Roman"/>
          <w:snapToGrid/>
          <w:color w:val="auto"/>
          <w:kern w:val="2"/>
          <w:sz w:val="21"/>
          <w:szCs w:val="21"/>
          <w:highlight w:val="none"/>
          <w:u w:val="single"/>
        </w:rPr>
        <w:t>2</w:t>
      </w:r>
      <w:r>
        <w:rPr>
          <w:rStyle w:val="78"/>
          <w:rFonts w:ascii="仿宋" w:hAnsi="仿宋" w:eastAsia="仿宋" w:cs="Times New Roman"/>
          <w:snapToGrid/>
          <w:color w:val="auto"/>
          <w:kern w:val="2"/>
          <w:sz w:val="21"/>
          <w:szCs w:val="21"/>
          <w:highlight w:val="none"/>
        </w:rPr>
        <w:t>年</w:t>
      </w:r>
      <w:r>
        <w:rPr>
          <w:rStyle w:val="78"/>
          <w:rFonts w:hint="eastAsia" w:ascii="仿宋" w:hAnsi="仿宋" w:eastAsia="仿宋" w:cs="Times New Roman"/>
          <w:snapToGrid/>
          <w:color w:val="auto"/>
          <w:kern w:val="2"/>
          <w:sz w:val="21"/>
          <w:szCs w:val="21"/>
          <w:highlight w:val="none"/>
          <w:u w:val="single"/>
          <w:lang w:val="en-US" w:eastAsia="zh-CN"/>
        </w:rPr>
        <w:t>12</w:t>
      </w:r>
      <w:r>
        <w:rPr>
          <w:rStyle w:val="78"/>
          <w:rFonts w:hint="eastAsia" w:ascii="仿宋" w:hAnsi="仿宋" w:eastAsia="仿宋" w:cs="Times New Roman"/>
          <w:snapToGrid/>
          <w:color w:val="auto"/>
          <w:kern w:val="2"/>
          <w:sz w:val="21"/>
          <w:szCs w:val="21"/>
          <w:highlight w:val="none"/>
        </w:rPr>
        <w:t>月</w:t>
      </w:r>
      <w:r>
        <w:rPr>
          <w:rStyle w:val="78"/>
          <w:rFonts w:hint="eastAsia" w:ascii="仿宋" w:hAnsi="仿宋" w:eastAsia="仿宋" w:cs="Times New Roman"/>
          <w:snapToGrid/>
          <w:color w:val="auto"/>
          <w:kern w:val="2"/>
          <w:sz w:val="21"/>
          <w:szCs w:val="21"/>
          <w:highlight w:val="none"/>
          <w:u w:val="single"/>
          <w:lang w:val="en-US" w:eastAsia="zh-CN"/>
        </w:rPr>
        <w:t>22</w:t>
      </w:r>
      <w:r>
        <w:rPr>
          <w:rStyle w:val="78"/>
          <w:rFonts w:hint="eastAsia" w:ascii="仿宋" w:hAnsi="仿宋" w:eastAsia="仿宋" w:cs="Times New Roman"/>
          <w:snapToGrid/>
          <w:color w:val="auto"/>
          <w:kern w:val="2"/>
          <w:sz w:val="21"/>
          <w:szCs w:val="21"/>
          <w:highlight w:val="none"/>
        </w:rPr>
        <w:t>日</w:t>
      </w:r>
      <w:r>
        <w:rPr>
          <w:rStyle w:val="78"/>
          <w:rFonts w:hint="eastAsia" w:ascii="仿宋" w:hAnsi="仿宋" w:eastAsia="仿宋" w:cs="Times New Roman"/>
          <w:snapToGrid/>
          <w:color w:val="auto"/>
          <w:kern w:val="2"/>
          <w:sz w:val="21"/>
          <w:szCs w:val="21"/>
          <w:highlight w:val="none"/>
          <w:lang w:val="en-US" w:eastAsia="zh-CN"/>
        </w:rPr>
        <w:t>0</w:t>
      </w:r>
      <w:r>
        <w:rPr>
          <w:rStyle w:val="78"/>
          <w:rFonts w:hint="eastAsia" w:ascii="仿宋" w:hAnsi="仿宋" w:eastAsia="仿宋" w:cs="Times New Roman"/>
          <w:snapToGrid/>
          <w:color w:val="auto"/>
          <w:kern w:val="2"/>
          <w:sz w:val="21"/>
          <w:szCs w:val="21"/>
          <w:highlight w:val="none"/>
          <w:u w:val="single"/>
          <w:lang w:val="en-US" w:eastAsia="zh-CN"/>
        </w:rPr>
        <w:t>9</w:t>
      </w:r>
      <w:r>
        <w:rPr>
          <w:rStyle w:val="78"/>
          <w:rFonts w:hint="eastAsia" w:ascii="仿宋" w:hAnsi="仿宋" w:eastAsia="仿宋" w:cs="Times New Roman"/>
          <w:snapToGrid/>
          <w:color w:val="auto"/>
          <w:kern w:val="2"/>
          <w:sz w:val="21"/>
          <w:szCs w:val="21"/>
          <w:highlight w:val="none"/>
        </w:rPr>
        <w:t>点</w:t>
      </w:r>
      <w:r>
        <w:rPr>
          <w:rStyle w:val="78"/>
          <w:rFonts w:hint="eastAsia" w:ascii="仿宋" w:hAnsi="仿宋" w:eastAsia="仿宋" w:cs="Times New Roman"/>
          <w:snapToGrid/>
          <w:color w:val="auto"/>
          <w:kern w:val="2"/>
          <w:sz w:val="21"/>
          <w:szCs w:val="21"/>
          <w:highlight w:val="none"/>
          <w:u w:val="single"/>
        </w:rPr>
        <w:t>00</w:t>
      </w:r>
      <w:r>
        <w:rPr>
          <w:rStyle w:val="78"/>
          <w:rFonts w:hint="eastAsia" w:ascii="仿宋" w:hAnsi="仿宋" w:eastAsia="仿宋" w:cs="Times New Roman"/>
          <w:snapToGrid/>
          <w:color w:val="auto"/>
          <w:kern w:val="2"/>
          <w:sz w:val="21"/>
          <w:szCs w:val="21"/>
          <w:highlight w:val="none"/>
        </w:rPr>
        <w:t>分</w:t>
      </w:r>
      <w:r>
        <w:rPr>
          <w:rStyle w:val="78"/>
          <w:rFonts w:hint="eastAsia" w:ascii="仿宋" w:hAnsi="仿宋" w:eastAsia="仿宋" w:cs="Times New Roman"/>
          <w:bCs/>
          <w:snapToGrid/>
          <w:color w:val="auto"/>
          <w:kern w:val="2"/>
          <w:sz w:val="21"/>
          <w:szCs w:val="21"/>
          <w:highlight w:val="none"/>
        </w:rPr>
        <w:t>00秒</w:t>
      </w:r>
      <w:r>
        <w:rPr>
          <w:rStyle w:val="78"/>
          <w:rFonts w:hint="eastAsia" w:ascii="仿宋" w:hAnsi="仿宋" w:eastAsia="仿宋" w:cs="Times New Roman"/>
          <w:bCs/>
          <w:snapToGrid/>
          <w:color w:val="auto"/>
          <w:kern w:val="2"/>
          <w:sz w:val="21"/>
          <w:szCs w:val="21"/>
          <w:highlight w:val="none"/>
        </w:rPr>
        <w:fldChar w:fldCharType="end"/>
      </w:r>
      <w:r>
        <w:rPr>
          <w:rFonts w:hint="eastAsia" w:ascii="仿宋" w:hAnsi="仿宋" w:eastAsia="仿宋"/>
          <w:bCs/>
          <w:color w:val="auto"/>
          <w:szCs w:val="21"/>
          <w:highlight w:val="none"/>
        </w:rPr>
        <w:t>（北京时间）前</w:t>
      </w:r>
      <w:r>
        <w:rPr>
          <w:rFonts w:hint="eastAsia" w:ascii="仿宋" w:hAnsi="仿宋" w:eastAsia="仿宋"/>
          <w:color w:val="auto"/>
          <w:szCs w:val="21"/>
          <w:highlight w:val="none"/>
        </w:rPr>
        <w:t>递交（上传）投标文件。</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一、项目基本情况</w:t>
      </w:r>
    </w:p>
    <w:p>
      <w:pPr>
        <w:spacing w:line="360" w:lineRule="auto"/>
        <w:ind w:firstLine="420" w:firstLineChars="200"/>
        <w:rPr>
          <w:rFonts w:hint="default" w:ascii="仿宋" w:hAnsi="仿宋" w:eastAsia="仿宋"/>
          <w:bCs/>
          <w:color w:val="auto"/>
          <w:szCs w:val="21"/>
          <w:highlight w:val="none"/>
          <w:lang w:val="en-US" w:eastAsia="zh-CN"/>
        </w:rPr>
      </w:pPr>
      <w:r>
        <w:rPr>
          <w:rFonts w:hint="eastAsia" w:ascii="仿宋" w:hAnsi="仿宋" w:eastAsia="仿宋"/>
          <w:bCs/>
          <w:color w:val="auto"/>
          <w:szCs w:val="21"/>
          <w:highlight w:val="none"/>
        </w:rPr>
        <w:t>项目编号：ZJJY-2022-0</w:t>
      </w:r>
      <w:r>
        <w:rPr>
          <w:rFonts w:hint="eastAsia" w:ascii="仿宋" w:hAnsi="仿宋" w:eastAsia="仿宋"/>
          <w:bCs/>
          <w:color w:val="auto"/>
          <w:szCs w:val="21"/>
          <w:highlight w:val="none"/>
          <w:lang w:val="en-US" w:eastAsia="zh-CN"/>
        </w:rPr>
        <w:t>70</w:t>
      </w:r>
    </w:p>
    <w:p>
      <w:pPr>
        <w:spacing w:line="360" w:lineRule="auto"/>
        <w:ind w:firstLine="420" w:firstLineChars="200"/>
        <w:rPr>
          <w:rFonts w:ascii="仿宋" w:hAnsi="仿宋" w:eastAsia="仿宋" w:cs="仿宋_GB2312"/>
          <w:bCs/>
          <w:color w:val="auto"/>
          <w:szCs w:val="21"/>
          <w:highlight w:val="none"/>
        </w:rPr>
      </w:pPr>
      <w:r>
        <w:rPr>
          <w:rFonts w:ascii="仿宋" w:hAnsi="仿宋" w:eastAsia="仿宋"/>
          <w:bCs/>
          <w:color w:val="auto"/>
          <w:szCs w:val="21"/>
          <w:highlight w:val="none"/>
        </w:rPr>
        <w:t>项目名称：</w:t>
      </w:r>
      <w:r>
        <w:rPr>
          <w:rFonts w:hint="eastAsia" w:ascii="仿宋" w:hAnsi="仿宋" w:eastAsia="仿宋"/>
          <w:bCs/>
          <w:color w:val="auto"/>
          <w:szCs w:val="21"/>
          <w:highlight w:val="none"/>
        </w:rPr>
        <w:t>2023年新城街道区域保洁服务项目</w:t>
      </w:r>
    </w:p>
    <w:p>
      <w:pPr>
        <w:spacing w:line="360" w:lineRule="auto"/>
        <w:ind w:firstLine="420" w:firstLineChars="200"/>
        <w:rPr>
          <w:rFonts w:hint="default" w:ascii="仿宋" w:hAnsi="仿宋" w:eastAsia="仿宋"/>
          <w:bCs/>
          <w:color w:val="auto"/>
          <w:szCs w:val="21"/>
          <w:highlight w:val="none"/>
          <w:lang w:val="en-US" w:eastAsia="zh-CN"/>
        </w:rPr>
      </w:pPr>
      <w:r>
        <w:rPr>
          <w:rFonts w:ascii="仿宋" w:hAnsi="仿宋" w:eastAsia="仿宋"/>
          <w:bCs/>
          <w:color w:val="auto"/>
          <w:szCs w:val="21"/>
          <w:highlight w:val="none"/>
        </w:rPr>
        <w:t>预算金额（元）：322015</w:t>
      </w:r>
      <w:r>
        <w:rPr>
          <w:rFonts w:hint="eastAsia" w:ascii="仿宋" w:hAnsi="仿宋" w:eastAsia="仿宋"/>
          <w:bCs/>
          <w:color w:val="auto"/>
          <w:szCs w:val="21"/>
          <w:highlight w:val="none"/>
          <w:lang w:val="en-US" w:eastAsia="zh-CN"/>
        </w:rPr>
        <w:t>3</w:t>
      </w:r>
      <w:r>
        <w:rPr>
          <w:rFonts w:ascii="仿宋" w:hAnsi="仿宋" w:eastAsia="仿宋"/>
          <w:bCs/>
          <w:color w:val="auto"/>
          <w:szCs w:val="21"/>
          <w:highlight w:val="none"/>
        </w:rPr>
        <w:t>3</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最高限价（元）：</w:t>
      </w:r>
      <w:r>
        <w:rPr>
          <w:rFonts w:hint="eastAsia" w:ascii="仿宋" w:hAnsi="仿宋" w:eastAsia="仿宋"/>
          <w:bCs/>
          <w:color w:val="auto"/>
          <w:szCs w:val="21"/>
          <w:highlight w:val="none"/>
          <w:lang w:val="en-US" w:eastAsia="zh-CN"/>
        </w:rPr>
        <w:t>16745000,15365000 </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采购需求：</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标项一</w:t>
      </w:r>
      <w:bookmarkStart w:id="410" w:name="_GoBack"/>
      <w:bookmarkEnd w:id="410"/>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标项名称：2023年新城街道区域保洁服务项目（南片）</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数量：不限</w:t>
      </w:r>
    </w:p>
    <w:p>
      <w:pPr>
        <w:spacing w:line="360" w:lineRule="auto"/>
        <w:ind w:firstLine="420" w:firstLineChars="200"/>
        <w:rPr>
          <w:rFonts w:hint="default" w:ascii="仿宋" w:hAnsi="仿宋" w:eastAsia="仿宋"/>
          <w:bCs/>
          <w:color w:val="auto"/>
          <w:szCs w:val="21"/>
          <w:highlight w:val="none"/>
          <w:lang w:val="en-US" w:eastAsia="zh-CN"/>
        </w:rPr>
      </w:pPr>
      <w:r>
        <w:rPr>
          <w:rFonts w:hint="eastAsia" w:ascii="仿宋" w:hAnsi="仿宋" w:eastAsia="仿宋"/>
          <w:bCs/>
          <w:color w:val="auto"/>
          <w:szCs w:val="21"/>
          <w:highlight w:val="none"/>
        </w:rPr>
        <w:t>预算金额（元）：</w:t>
      </w:r>
      <w:r>
        <w:rPr>
          <w:rFonts w:hint="eastAsia" w:ascii="仿宋" w:hAnsi="仿宋" w:eastAsia="仿宋"/>
          <w:bCs/>
          <w:color w:val="auto"/>
          <w:szCs w:val="21"/>
          <w:highlight w:val="none"/>
          <w:lang w:val="en-US" w:eastAsia="zh-CN"/>
        </w:rPr>
        <w:t>16755500</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简要规格描述或项目基本概况介绍、用途：详见第三部分采购需求。</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标项二</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标项名称：2023年新城街道区域保洁服务项目（北片）</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数量：不限</w:t>
      </w:r>
    </w:p>
    <w:p>
      <w:pPr>
        <w:spacing w:line="360" w:lineRule="auto"/>
        <w:ind w:firstLine="420" w:firstLineChars="200"/>
        <w:rPr>
          <w:rFonts w:hint="default" w:ascii="仿宋" w:hAnsi="仿宋" w:eastAsia="仿宋"/>
          <w:bCs/>
          <w:color w:val="auto"/>
          <w:szCs w:val="21"/>
          <w:highlight w:val="none"/>
          <w:lang w:val="en-US"/>
        </w:rPr>
      </w:pPr>
      <w:r>
        <w:rPr>
          <w:rFonts w:hint="eastAsia" w:ascii="仿宋" w:hAnsi="仿宋" w:eastAsia="仿宋"/>
          <w:bCs/>
          <w:color w:val="auto"/>
          <w:szCs w:val="21"/>
          <w:highlight w:val="none"/>
        </w:rPr>
        <w:t>预算金额（元）：</w:t>
      </w:r>
      <w:r>
        <w:rPr>
          <w:rFonts w:hint="eastAsia" w:ascii="仿宋" w:hAnsi="仿宋" w:eastAsia="仿宋"/>
          <w:bCs/>
          <w:color w:val="auto"/>
          <w:szCs w:val="21"/>
          <w:highlight w:val="none"/>
          <w:lang w:val="en-US" w:eastAsia="zh-CN"/>
        </w:rPr>
        <w:t xml:space="preserve"> 15446033</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简要规格描述或项目基本概况介绍、用途：详见第三部分采购需求。</w:t>
      </w:r>
    </w:p>
    <w:p>
      <w:pPr>
        <w:spacing w:line="360" w:lineRule="auto"/>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合同履约期限：标项1，2，一年</w:t>
      </w:r>
      <w:r>
        <w:rPr>
          <w:rFonts w:hint="eastAsia" w:ascii="仿宋" w:hAnsi="仿宋" w:eastAsia="仿宋"/>
          <w:bCs/>
          <w:color w:val="auto"/>
          <w:szCs w:val="21"/>
          <w:highlight w:val="none"/>
          <w:lang w:eastAsia="zh-CN"/>
        </w:rPr>
        <w:t>（</w:t>
      </w:r>
      <w:r>
        <w:rPr>
          <w:rFonts w:hint="eastAsia" w:ascii="仿宋" w:hAnsi="仿宋" w:eastAsia="仿宋"/>
          <w:bCs/>
          <w:color w:val="auto"/>
          <w:szCs w:val="21"/>
          <w:highlight w:val="none"/>
        </w:rPr>
        <w:t>自2023年1月1日起至2023年12月31日</w:t>
      </w:r>
      <w:r>
        <w:rPr>
          <w:rFonts w:hint="eastAsia" w:ascii="仿宋" w:hAnsi="仿宋" w:eastAsia="仿宋"/>
          <w:bCs/>
          <w:color w:val="auto"/>
          <w:szCs w:val="21"/>
          <w:highlight w:val="none"/>
          <w:lang w:eastAsia="zh-CN"/>
        </w:rPr>
        <w:t>）</w:t>
      </w:r>
      <w:r>
        <w:rPr>
          <w:rFonts w:hint="eastAsia" w:ascii="仿宋" w:hAnsi="仿宋" w:eastAsia="仿宋"/>
          <w:bCs/>
          <w:color w:val="auto"/>
          <w:szCs w:val="21"/>
          <w:highlight w:val="none"/>
        </w:rPr>
        <w:t>。</w:t>
      </w:r>
    </w:p>
    <w:p>
      <w:pPr>
        <w:spacing w:line="360" w:lineRule="auto"/>
        <w:ind w:firstLine="420" w:firstLineChars="200"/>
        <w:rPr>
          <w:rFonts w:ascii="仿宋" w:hAnsi="仿宋" w:eastAsia="仿宋"/>
          <w:b/>
          <w:color w:val="auto"/>
          <w:szCs w:val="21"/>
          <w:highlight w:val="none"/>
        </w:rPr>
      </w:pPr>
      <w:r>
        <w:rPr>
          <w:rFonts w:hint="eastAsia" w:ascii="仿宋" w:hAnsi="仿宋" w:eastAsia="仿宋"/>
          <w:bCs/>
          <w:color w:val="auto"/>
          <w:szCs w:val="21"/>
          <w:highlight w:val="none"/>
        </w:rPr>
        <w:t>本项目接受联合体投标：</w:t>
      </w:r>
      <w:sdt>
        <w:sdtPr>
          <w:rPr>
            <w:rFonts w:hint="eastAsia" w:ascii="仿宋" w:hAnsi="仿宋" w:eastAsia="仿宋" w:cs="Arial"/>
            <w:bCs/>
            <w:color w:val="auto"/>
            <w:kern w:val="0"/>
            <w:szCs w:val="21"/>
            <w:highlight w:val="none"/>
          </w:rPr>
          <w:id w:val="2035453831"/>
        </w:sdtPr>
        <w:sdtEndPr>
          <w:rPr>
            <w:rFonts w:hint="eastAsia" w:ascii="仿宋" w:hAnsi="仿宋" w:eastAsia="仿宋" w:cs="Arial"/>
            <w:bCs/>
            <w:color w:val="auto"/>
            <w:kern w:val="0"/>
            <w:szCs w:val="21"/>
            <w:highlight w:val="none"/>
          </w:rPr>
        </w:sdtEndPr>
        <w:sdtContent>
          <w:r>
            <w:rPr>
              <w:rFonts w:ascii="仿宋" w:hAnsi="仿宋" w:eastAsia="仿宋" w:cs="Arial"/>
              <w:bCs/>
              <w:color w:val="auto"/>
              <w:kern w:val="0"/>
              <w:szCs w:val="21"/>
              <w:highlight w:val="none"/>
            </w:rPr>
            <w:sym w:font="Wingdings" w:char="00A8"/>
          </w:r>
        </w:sdtContent>
      </w:sdt>
      <w:r>
        <w:rPr>
          <w:rFonts w:hint="eastAsia" w:ascii="仿宋" w:hAnsi="仿宋" w:eastAsia="仿宋"/>
          <w:bCs/>
          <w:color w:val="auto"/>
          <w:szCs w:val="21"/>
          <w:highlight w:val="none"/>
        </w:rPr>
        <w:t>是，</w:t>
      </w:r>
      <w:sdt>
        <w:sdtPr>
          <w:rPr>
            <w:rFonts w:hint="eastAsia" w:ascii="仿宋" w:hAnsi="仿宋" w:eastAsia="仿宋" w:cs="Arial"/>
            <w:bCs/>
            <w:color w:val="auto"/>
            <w:kern w:val="0"/>
            <w:szCs w:val="21"/>
            <w:highlight w:val="none"/>
          </w:rPr>
          <w:id w:val="-1765526721"/>
        </w:sdtPr>
        <w:sdtEndPr>
          <w:rPr>
            <w:rFonts w:hint="eastAsia" w:ascii="仿宋" w:hAnsi="仿宋" w:eastAsia="仿宋" w:cs="Arial"/>
            <w:bCs/>
            <w:color w:val="auto"/>
            <w:kern w:val="0"/>
            <w:szCs w:val="21"/>
            <w:highlight w:val="none"/>
          </w:rPr>
        </w:sdtEndPr>
        <w:sdtContent>
          <w:r>
            <w:rPr>
              <w:rFonts w:hint="eastAsia" w:ascii="仿宋" w:hAnsi="仿宋" w:eastAsia="仿宋" w:cs="Arial"/>
              <w:bCs/>
              <w:color w:val="auto"/>
              <w:kern w:val="0"/>
              <w:szCs w:val="21"/>
              <w:highlight w:val="none"/>
            </w:rPr>
            <w:sym w:font="Wingdings" w:char="00FE"/>
          </w:r>
        </w:sdtContent>
      </w:sdt>
      <w:r>
        <w:rPr>
          <w:rFonts w:hint="eastAsia" w:ascii="仿宋" w:hAnsi="仿宋" w:eastAsia="仿宋"/>
          <w:bCs/>
          <w:color w:val="auto"/>
          <w:szCs w:val="21"/>
          <w:highlight w:val="none"/>
        </w:rPr>
        <w:t>否</w:t>
      </w:r>
      <w:r>
        <w:rPr>
          <w:rFonts w:hint="eastAsia" w:ascii="仿宋" w:hAnsi="仿宋" w:eastAsia="仿宋" w:cs="Arial"/>
          <w:bCs/>
          <w:color w:val="auto"/>
          <w:kern w:val="0"/>
          <w:szCs w:val="21"/>
          <w:highlight w:val="none"/>
        </w:rPr>
        <w:t>。</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二、申请人的资格要求：</w:t>
      </w:r>
    </w:p>
    <w:p>
      <w:pPr>
        <w:wordWrap w:val="0"/>
        <w:spacing w:line="360" w:lineRule="auto"/>
        <w:ind w:firstLine="482"/>
        <w:rPr>
          <w:rFonts w:ascii="仿宋" w:hAnsi="仿宋" w:eastAsia="仿宋" w:cs="仿宋_GB2312"/>
          <w:snapToGrid w:val="0"/>
          <w:color w:val="auto"/>
          <w:kern w:val="28"/>
          <w:szCs w:val="21"/>
          <w:highlight w:val="none"/>
        </w:rPr>
      </w:pPr>
      <w:r>
        <w:rPr>
          <w:rFonts w:ascii="仿宋" w:hAnsi="仿宋" w:eastAsia="仿宋" w:cs="仿宋_GB2312"/>
          <w:snapToGrid w:val="0"/>
          <w:color w:val="auto"/>
          <w:kern w:val="28"/>
          <w:szCs w:val="21"/>
          <w:highlight w:val="none"/>
        </w:rPr>
        <w:t>1.</w:t>
      </w:r>
      <w:r>
        <w:rPr>
          <w:rFonts w:hint="eastAsia" w:ascii="仿宋" w:hAnsi="仿宋" w:eastAsia="仿宋" w:cs="仿宋_GB2312"/>
          <w:snapToGrid w:val="0"/>
          <w:color w:val="auto"/>
          <w:kern w:val="28"/>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Cs w:val="21"/>
          <w:highlight w:val="none"/>
        </w:rPr>
      </w:pPr>
      <w:r>
        <w:rPr>
          <w:rFonts w:ascii="仿宋" w:hAnsi="仿宋" w:eastAsia="仿宋" w:cs="仿宋_GB2312"/>
          <w:snapToGrid w:val="0"/>
          <w:color w:val="auto"/>
          <w:kern w:val="28"/>
          <w:szCs w:val="21"/>
          <w:highlight w:val="none"/>
        </w:rPr>
        <w:t xml:space="preserve">    2.</w:t>
      </w:r>
      <w:r>
        <w:rPr>
          <w:rFonts w:hint="eastAsia" w:ascii="仿宋" w:hAnsi="仿宋" w:eastAsia="仿宋" w:cs="仿宋_GB2312"/>
          <w:snapToGrid w:val="0"/>
          <w:color w:val="auto"/>
          <w:kern w:val="28"/>
          <w:szCs w:val="21"/>
          <w:highlight w:val="none"/>
        </w:rPr>
        <w:t>落实政府采购政策需满足的资格要求：</w:t>
      </w:r>
    </w:p>
    <w:sdt>
      <w:sdtPr>
        <w:rPr>
          <w:rFonts w:hint="eastAsia" w:ascii="仿宋" w:hAnsi="仿宋" w:eastAsia="仿宋" w:cs="Arial"/>
          <w:color w:val="auto"/>
          <w:kern w:val="0"/>
          <w:szCs w:val="21"/>
          <w:highlight w:val="none"/>
        </w:rPr>
        <w:id w:val="-1024704304"/>
      </w:sdtPr>
      <w:sdtEndPr>
        <w:rPr>
          <w:rFonts w:hint="eastAsia" w:ascii="仿宋" w:hAnsi="仿宋" w:eastAsia="仿宋" w:cs="Arial"/>
          <w:color w:val="auto"/>
          <w:kern w:val="0"/>
          <w:szCs w:val="21"/>
          <w:highlight w:val="none"/>
        </w:rPr>
      </w:sdtEndPr>
      <w:sdtContent>
        <w:p>
          <w:pPr>
            <w:spacing w:line="360" w:lineRule="auto"/>
            <w:ind w:firstLine="420" w:firstLineChars="200"/>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FE"/>
              </w:r>
            </w:sdtContent>
          </w:sdt>
          <w:r>
            <w:rPr>
              <w:rFonts w:hint="eastAsia" w:ascii="仿宋" w:hAnsi="仿宋" w:eastAsia="仿宋"/>
              <w:color w:val="auto"/>
              <w:szCs w:val="21"/>
              <w:highlight w:val="none"/>
            </w:rPr>
            <w:t xml:space="preserve">无； </w:t>
          </w:r>
        </w:p>
        <w:p>
          <w:pPr>
            <w:spacing w:line="360" w:lineRule="auto"/>
            <w:ind w:firstLine="420" w:firstLineChars="200"/>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r>
            <w:rPr>
              <w:rFonts w:hint="eastAsia" w:ascii="仿宋" w:hAnsi="仿宋" w:eastAsia="仿宋" w:cs="Arial"/>
              <w:color w:val="auto"/>
              <w:kern w:val="0"/>
              <w:szCs w:val="21"/>
              <w:highlight w:val="none"/>
            </w:rPr>
            <w:t>专</w:t>
          </w:r>
          <w:r>
            <w:rPr>
              <w:rFonts w:hint="eastAsia" w:ascii="仿宋" w:hAnsi="仿宋" w:eastAsia="仿宋"/>
              <w:color w:val="auto"/>
              <w:szCs w:val="21"/>
              <w:highlight w:val="none"/>
            </w:rPr>
            <w:t>门面向中小企业</w:t>
          </w:r>
        </w:p>
        <w:p>
          <w:pPr>
            <w:spacing w:line="360" w:lineRule="auto"/>
            <w:ind w:firstLine="840" w:firstLineChars="400"/>
            <w:rPr>
              <w:rFonts w:ascii="仿宋" w:hAnsi="仿宋" w:eastAsia="仿宋"/>
              <w:color w:val="auto"/>
              <w:szCs w:val="21"/>
              <w:highlight w:val="none"/>
            </w:rPr>
          </w:pPr>
          <w:sdt>
            <w:sdtPr>
              <w:rPr>
                <w:rFonts w:hint="eastAsia" w:ascii="仿宋" w:hAnsi="仿宋" w:eastAsia="仿宋" w:cs="Arial"/>
                <w:color w:val="auto"/>
                <w:kern w:val="0"/>
                <w:szCs w:val="21"/>
                <w:highlight w:val="none"/>
              </w:rPr>
              <w:id w:val="-924730588"/>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sdtContent>
          </w:sdt>
          <w:r>
            <w:rPr>
              <w:rFonts w:hint="eastAsia" w:ascii="仿宋" w:hAnsi="仿宋" w:eastAsia="仿宋"/>
              <w:color w:val="auto"/>
              <w:szCs w:val="21"/>
              <w:highlight w:val="none"/>
            </w:rPr>
            <w:t>货物全部由符合政策要求的中小企业制造，提供中小企业声明函；</w:t>
          </w:r>
        </w:p>
        <w:p>
          <w:pPr>
            <w:spacing w:line="360" w:lineRule="auto"/>
            <w:ind w:firstLine="840" w:firstLineChars="400"/>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152604937"/>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sdtContent>
          </w:sdt>
          <w:r>
            <w:rPr>
              <w:rFonts w:hint="eastAsia" w:ascii="仿宋" w:hAnsi="仿宋" w:eastAsia="仿宋"/>
              <w:color w:val="auto"/>
              <w:szCs w:val="21"/>
              <w:highlight w:val="none"/>
            </w:rPr>
            <w:t>货物全部由符合政策要求的小微企业制造，提供中小企业声明函；</w:t>
          </w:r>
        </w:p>
        <w:p>
          <w:pPr>
            <w:spacing w:line="360" w:lineRule="auto"/>
            <w:ind w:firstLine="840" w:firstLineChars="400"/>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sdt>
            <w:sdtPr>
              <w:rPr>
                <w:rFonts w:hint="eastAsia" w:ascii="仿宋" w:hAnsi="仿宋" w:eastAsia="仿宋" w:cs="Arial"/>
                <w:color w:val="auto"/>
                <w:kern w:val="0"/>
                <w:szCs w:val="21"/>
                <w:highlight w:val="none"/>
              </w:rPr>
              <w:id w:val="-333685401"/>
            </w:sdtPr>
            <w:sdtEndPr>
              <w:rPr>
                <w:rFonts w:hint="eastAsia" w:ascii="仿宋" w:hAnsi="仿宋" w:eastAsia="仿宋" w:cs="Arial"/>
                <w:color w:val="auto"/>
                <w:kern w:val="0"/>
                <w:szCs w:val="21"/>
                <w:highlight w:val="none"/>
              </w:rPr>
            </w:sdtEndPr>
            <w:sdtContent/>
          </w:sdt>
          <w:r>
            <w:rPr>
              <w:rFonts w:hint="eastAsia" w:ascii="仿宋" w:hAnsi="仿宋" w:eastAsia="仿宋"/>
              <w:color w:val="auto"/>
              <w:szCs w:val="21"/>
              <w:highlight w:val="none"/>
            </w:rPr>
            <w:t>服务全部由符合政策要求的中小企业承接，提供中小企业声明函；</w:t>
          </w:r>
        </w:p>
        <w:p>
          <w:pPr>
            <w:spacing w:line="360" w:lineRule="auto"/>
            <w:ind w:firstLine="840" w:firstLineChars="400"/>
            <w:rPr>
              <w:rFonts w:ascii="仿宋" w:hAnsi="仿宋" w:eastAsia="仿宋" w:cs="Arial"/>
              <w:color w:val="auto"/>
              <w:kern w:val="0"/>
              <w:szCs w:val="21"/>
              <w:highlight w:val="none"/>
            </w:rPr>
          </w:pPr>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sdt>
            <w:sdtPr>
              <w:rPr>
                <w:rFonts w:hint="eastAsia" w:ascii="仿宋" w:hAnsi="仿宋" w:eastAsia="仿宋" w:cs="Arial"/>
                <w:color w:val="auto"/>
                <w:kern w:val="0"/>
                <w:szCs w:val="21"/>
                <w:highlight w:val="none"/>
              </w:rPr>
              <w:id w:val="-2141025358"/>
              <w:showingPlcHdr/>
            </w:sdtPr>
            <w:sdtEndPr>
              <w:rPr>
                <w:rFonts w:hint="eastAsia" w:ascii="仿宋" w:hAnsi="仿宋" w:eastAsia="仿宋" w:cs="Arial"/>
                <w:color w:val="auto"/>
                <w:kern w:val="0"/>
                <w:szCs w:val="21"/>
                <w:highlight w:val="none"/>
              </w:rPr>
            </w:sdtEndPr>
            <w:sdtContent/>
          </w:sdt>
          <w:r>
            <w:rPr>
              <w:rFonts w:hint="eastAsia" w:ascii="仿宋" w:hAnsi="仿宋" w:eastAsia="仿宋"/>
              <w:color w:val="auto"/>
              <w:szCs w:val="21"/>
              <w:highlight w:val="none"/>
            </w:rPr>
            <w:t>服务全部由符合政策要求的小微企业承接，提供中小企业声明函；</w:t>
          </w:r>
        </w:p>
      </w:sdtContent>
    </w:sdt>
    <w:p>
      <w:pPr>
        <w:spacing w:line="360" w:lineRule="auto"/>
        <w:ind w:firstLine="420" w:firstLineChars="200"/>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r>
        <w:rPr>
          <w:rFonts w:hint="eastAsia" w:ascii="仿宋" w:hAnsi="仿宋" w:eastAsia="仿宋"/>
          <w:color w:val="auto"/>
          <w:szCs w:val="21"/>
          <w:highlight w:val="none"/>
        </w:rPr>
        <w:t>要求以联合体形式参加，提供联合协议和中小企业声明函，联合协议中中小企业合同</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金额应当达到%，小微企业合同金额应当达到%;如果供应商本身提供所有标的均由中小企业制造、承建或承接，视同符合了资格条件，无需再与其他中小企业组成联合体参加政府采购活动，无需提供联合协议；</w:t>
      </w:r>
    </w:p>
    <w:p>
      <w:pPr>
        <w:spacing w:line="360" w:lineRule="auto"/>
        <w:ind w:firstLine="420" w:firstLineChars="200"/>
        <w:rPr>
          <w:rFonts w:ascii="仿宋" w:hAnsi="仿宋" w:eastAsia="仿宋"/>
          <w:b/>
          <w:bCs/>
          <w:color w:val="auto"/>
          <w:szCs w:val="21"/>
          <w:highlight w:val="none"/>
        </w:rPr>
      </w:pPr>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r>
        <w:rPr>
          <w:rFonts w:hint="eastAsia" w:ascii="仿宋" w:hAnsi="仿宋" w:eastAsia="仿宋"/>
          <w:color w:val="auto"/>
          <w:szCs w:val="21"/>
          <w:highlight w:val="none"/>
        </w:rPr>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3.本项目的特定资格要求：</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单位负责人为同一人或者存在直接控股、管理关系的不同供应商，不得参加同一合同项下的政府采购活动；</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5.除单一来源采购项目外，为采购项目提供整体设计、规范编制或者项目管理、监理、检测等服务的供应商，不得再参加该采购项目的其他采购活动；</w:t>
      </w:r>
    </w:p>
    <w:p>
      <w:pPr>
        <w:snapToGrid w:val="0"/>
        <w:spacing w:line="360" w:lineRule="auto"/>
        <w:ind w:firstLine="422" w:firstLineChars="200"/>
        <w:rPr>
          <w:rFonts w:ascii="仿宋" w:hAnsi="仿宋" w:eastAsia="仿宋" w:cs="仿宋_GB2312"/>
          <w:b/>
          <w:bCs/>
          <w:color w:val="auto"/>
          <w:szCs w:val="21"/>
          <w:highlight w:val="none"/>
        </w:rPr>
      </w:pPr>
      <w:r>
        <w:rPr>
          <w:rFonts w:hint="eastAsia" w:ascii="仿宋" w:hAnsi="仿宋" w:eastAsia="仿宋" w:cs="仿宋_GB2312"/>
          <w:b/>
          <w:bCs/>
          <w:color w:val="auto"/>
          <w:szCs w:val="21"/>
          <w:highlight w:val="none"/>
        </w:rPr>
        <w:t>6.符合要求的投标人均可参加两个标项的投标，但最多只能中一个标项。开标顺序按照标项一、标项二的顺序进行，投标人在标项一被推荐为第一中标候选人的，则标项二中不再作为中标候选人推荐。</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三、获取招标文件</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时间：</w:t>
      </w:r>
      <w:r>
        <w:rPr>
          <w:rFonts w:ascii="仿宋" w:hAnsi="仿宋" w:eastAsia="仿宋"/>
          <w:color w:val="auto"/>
          <w:szCs w:val="21"/>
          <w:highlight w:val="none"/>
        </w:rPr>
        <w:t>/至</w:t>
      </w:r>
      <w:r>
        <w:rPr>
          <w:rFonts w:hint="eastAsia" w:ascii="仿宋" w:hAnsi="仿宋" w:eastAsia="仿宋"/>
          <w:color w:val="auto"/>
          <w:szCs w:val="21"/>
          <w:highlight w:val="none"/>
          <w:u w:val="single"/>
        </w:rPr>
        <w:t>202</w:t>
      </w:r>
      <w:r>
        <w:rPr>
          <w:rFonts w:ascii="仿宋" w:hAnsi="仿宋" w:eastAsia="仿宋"/>
          <w:color w:val="auto"/>
          <w:szCs w:val="21"/>
          <w:highlight w:val="none"/>
          <w:u w:val="single"/>
        </w:rPr>
        <w:t>2</w:t>
      </w:r>
      <w:r>
        <w:rPr>
          <w:rFonts w:ascii="仿宋" w:hAnsi="仿宋" w:eastAsia="仿宋"/>
          <w:color w:val="auto"/>
          <w:szCs w:val="21"/>
          <w:highlight w:val="none"/>
        </w:rPr>
        <w:t>年</w:t>
      </w:r>
      <w:r>
        <w:rPr>
          <w:rFonts w:hint="eastAsia" w:ascii="仿宋" w:hAnsi="仿宋" w:eastAsia="仿宋"/>
          <w:color w:val="auto"/>
          <w:szCs w:val="21"/>
          <w:highlight w:val="none"/>
          <w:u w:val="single"/>
          <w:lang w:val="en-US" w:eastAsia="zh-CN"/>
        </w:rPr>
        <w:t xml:space="preserve"> 12</w:t>
      </w:r>
      <w:r>
        <w:rPr>
          <w:rFonts w:ascii="仿宋" w:hAnsi="仿宋" w:eastAsia="仿宋"/>
          <w:color w:val="auto"/>
          <w:szCs w:val="21"/>
          <w:highlight w:val="none"/>
        </w:rPr>
        <w:t>月</w:t>
      </w:r>
      <w:r>
        <w:rPr>
          <w:rFonts w:hint="eastAsia" w:ascii="仿宋" w:hAnsi="仿宋" w:eastAsia="仿宋"/>
          <w:color w:val="auto"/>
          <w:szCs w:val="21"/>
          <w:highlight w:val="none"/>
          <w:u w:val="single"/>
          <w:lang w:val="en-US" w:eastAsia="zh-CN"/>
        </w:rPr>
        <w:t>22</w:t>
      </w:r>
      <w:r>
        <w:rPr>
          <w:rFonts w:ascii="仿宋" w:hAnsi="仿宋" w:eastAsia="仿宋"/>
          <w:color w:val="auto"/>
          <w:szCs w:val="21"/>
          <w:highlight w:val="none"/>
        </w:rPr>
        <w:t>日</w:t>
      </w:r>
      <w:r>
        <w:rPr>
          <w:rFonts w:hint="eastAsia" w:ascii="仿宋" w:hAnsi="仿宋" w:eastAsia="仿宋"/>
          <w:color w:val="auto"/>
          <w:szCs w:val="21"/>
          <w:highlight w:val="none"/>
        </w:rPr>
        <w:t>，每天上午</w:t>
      </w:r>
      <w:r>
        <w:rPr>
          <w:rFonts w:ascii="仿宋" w:hAnsi="仿宋" w:eastAsia="仿宋"/>
          <w:color w:val="auto"/>
          <w:szCs w:val="21"/>
          <w:highlight w:val="none"/>
        </w:rPr>
        <w:t xml:space="preserve">00:00至12:00 </w:t>
      </w:r>
      <w:r>
        <w:rPr>
          <w:rFonts w:hint="eastAsia" w:ascii="仿宋" w:hAnsi="仿宋" w:eastAsia="仿宋"/>
          <w:color w:val="auto"/>
          <w:szCs w:val="21"/>
          <w:highlight w:val="none"/>
        </w:rPr>
        <w:t>，下午</w:t>
      </w:r>
      <w:r>
        <w:rPr>
          <w:rFonts w:ascii="仿宋" w:hAnsi="仿宋" w:eastAsia="仿宋"/>
          <w:color w:val="auto"/>
          <w:szCs w:val="21"/>
          <w:highlight w:val="none"/>
        </w:rPr>
        <w:t>12:00至23:59（北京时间，线上获取法定节假日均可，线下获取文件法定节假日除外）</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地点（网址）：</w:t>
      </w:r>
      <w:r>
        <w:rPr>
          <w:rFonts w:hint="eastAsia" w:ascii="仿宋" w:hAnsi="仿宋" w:eastAsia="仿宋"/>
          <w:color w:val="auto"/>
          <w:szCs w:val="21"/>
          <w:highlight w:val="none"/>
        </w:rPr>
        <w:t>政采云平台（</w:t>
      </w:r>
      <w:r>
        <w:rPr>
          <w:rFonts w:ascii="仿宋" w:hAnsi="仿宋" w:eastAsia="仿宋"/>
          <w:color w:val="auto"/>
          <w:szCs w:val="21"/>
          <w:highlight w:val="none"/>
        </w:rPr>
        <w:t xml:space="preserve">https://www.zcygov.cn/） </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方式：</w:t>
      </w:r>
      <w:r>
        <w:rPr>
          <w:rFonts w:hint="eastAsia" w:ascii="仿宋" w:hAnsi="仿宋" w:eastAsia="仿宋"/>
          <w:color w:val="auto"/>
          <w:szCs w:val="21"/>
          <w:highlight w:val="none"/>
        </w:rPr>
        <w:t>供应商登录政采云平台</w:t>
      </w:r>
      <w:r>
        <w:rPr>
          <w:rFonts w:ascii="仿宋" w:hAnsi="仿宋" w:eastAsia="仿宋"/>
          <w:color w:val="auto"/>
          <w:szCs w:val="21"/>
          <w:highlight w:val="none"/>
        </w:rPr>
        <w:t>https://www.zcygov.cn/在线申请获取采购文件（进入“项目采购”应用，在获取采购文件菜单中选择项目，申请获取采购文件）。</w:t>
      </w:r>
    </w:p>
    <w:p>
      <w:pPr>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售价（元）：</w:t>
      </w:r>
      <w:r>
        <w:rPr>
          <w:rFonts w:ascii="仿宋" w:hAnsi="仿宋" w:eastAsia="仿宋"/>
          <w:color w:val="auto"/>
          <w:szCs w:val="21"/>
          <w:highlight w:val="none"/>
        </w:rPr>
        <w:t xml:space="preserve">0 </w:t>
      </w:r>
    </w:p>
    <w:p>
      <w:pPr>
        <w:wordWrap w:val="0"/>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四、提交投标文件截止时间、开标时间和地点</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提交投标文件截止时间：</w:t>
      </w:r>
      <w:r>
        <w:rPr>
          <w:rFonts w:hint="eastAsia" w:ascii="仿宋" w:hAnsi="仿宋" w:eastAsia="仿宋"/>
          <w:color w:val="auto"/>
          <w:szCs w:val="21"/>
          <w:highlight w:val="none"/>
          <w:u w:val="single"/>
        </w:rPr>
        <w:t>202</w:t>
      </w:r>
      <w:r>
        <w:rPr>
          <w:rFonts w:ascii="仿宋" w:hAnsi="仿宋" w:eastAsia="仿宋"/>
          <w:color w:val="auto"/>
          <w:szCs w:val="21"/>
          <w:highlight w:val="none"/>
          <w:u w:val="single"/>
        </w:rPr>
        <w:t>2</w:t>
      </w:r>
      <w:r>
        <w:rPr>
          <w:rFonts w:ascii="仿宋" w:hAnsi="仿宋" w:eastAsia="仿宋"/>
          <w:color w:val="auto"/>
          <w:szCs w:val="21"/>
          <w:highlight w:val="none"/>
        </w:rPr>
        <w:t>年</w:t>
      </w:r>
      <w:r>
        <w:rPr>
          <w:rFonts w:hint="eastAsia" w:ascii="仿宋" w:hAnsi="仿宋" w:eastAsia="仿宋"/>
          <w:color w:val="auto"/>
          <w:szCs w:val="21"/>
          <w:highlight w:val="none"/>
          <w:u w:val="single"/>
          <w:lang w:val="en-US" w:eastAsia="zh-CN"/>
        </w:rPr>
        <w:t>12</w:t>
      </w:r>
      <w:r>
        <w:rPr>
          <w:rFonts w:hint="eastAsia" w:ascii="仿宋" w:hAnsi="仿宋" w:eastAsia="仿宋"/>
          <w:color w:val="auto"/>
          <w:szCs w:val="21"/>
          <w:highlight w:val="none"/>
        </w:rPr>
        <w:t>月</w:t>
      </w:r>
      <w:r>
        <w:rPr>
          <w:rFonts w:hint="eastAsia" w:ascii="仿宋" w:hAnsi="仿宋" w:eastAsia="仿宋"/>
          <w:color w:val="auto"/>
          <w:szCs w:val="21"/>
          <w:highlight w:val="none"/>
          <w:u w:val="single"/>
          <w:lang w:val="en-US" w:eastAsia="zh-CN"/>
        </w:rPr>
        <w:t>22</w:t>
      </w:r>
      <w:r>
        <w:rPr>
          <w:rFonts w:hint="eastAsia" w:ascii="仿宋" w:hAnsi="仿宋" w:eastAsia="仿宋"/>
          <w:color w:val="auto"/>
          <w:szCs w:val="21"/>
          <w:highlight w:val="none"/>
        </w:rPr>
        <w:t>日</w:t>
      </w:r>
      <w:r>
        <w:rPr>
          <w:rFonts w:hint="eastAsia" w:ascii="仿宋" w:hAnsi="仿宋" w:eastAsia="仿宋"/>
          <w:color w:val="auto"/>
          <w:szCs w:val="21"/>
          <w:highlight w:val="none"/>
          <w:u w:val="single"/>
          <w:lang w:val="en-US" w:eastAsia="zh-CN"/>
        </w:rPr>
        <w:t>09</w:t>
      </w:r>
      <w:r>
        <w:rPr>
          <w:rFonts w:hint="eastAsia" w:ascii="仿宋" w:hAnsi="仿宋" w:eastAsia="仿宋"/>
          <w:color w:val="auto"/>
          <w:szCs w:val="21"/>
          <w:highlight w:val="none"/>
        </w:rPr>
        <w:t>点</w:t>
      </w:r>
      <w:r>
        <w:rPr>
          <w:rFonts w:hint="eastAsia" w:ascii="仿宋" w:hAnsi="仿宋" w:eastAsia="仿宋"/>
          <w:color w:val="auto"/>
          <w:szCs w:val="21"/>
          <w:highlight w:val="none"/>
          <w:u w:val="single"/>
        </w:rPr>
        <w:t>00</w:t>
      </w:r>
      <w:r>
        <w:rPr>
          <w:rFonts w:hint="eastAsia" w:ascii="仿宋" w:hAnsi="仿宋" w:eastAsia="仿宋"/>
          <w:color w:val="auto"/>
          <w:szCs w:val="21"/>
          <w:highlight w:val="none"/>
        </w:rPr>
        <w:t>分（北京时间）</w:t>
      </w:r>
    </w:p>
    <w:p>
      <w:pPr>
        <w:wordWrap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投标地点（网址）：</w:t>
      </w:r>
      <w:r>
        <w:rPr>
          <w:rFonts w:hint="eastAsia" w:ascii="仿宋" w:hAnsi="仿宋" w:eastAsia="仿宋"/>
          <w:color w:val="auto"/>
          <w:szCs w:val="21"/>
          <w:highlight w:val="none"/>
        </w:rPr>
        <w:t>政采云平台（</w:t>
      </w:r>
      <w:r>
        <w:rPr>
          <w:rFonts w:ascii="仿宋" w:hAnsi="仿宋" w:eastAsia="仿宋"/>
          <w:color w:val="auto"/>
          <w:szCs w:val="21"/>
          <w:highlight w:val="none"/>
        </w:rPr>
        <w:t xml:space="preserve">https://www.zcygov.cn/） </w:t>
      </w:r>
    </w:p>
    <w:p>
      <w:pPr>
        <w:wordWrap w:val="0"/>
        <w:spacing w:line="360" w:lineRule="auto"/>
        <w:ind w:firstLine="422" w:firstLineChars="200"/>
        <w:rPr>
          <w:rFonts w:ascii="仿宋" w:hAnsi="仿宋" w:eastAsia="仿宋"/>
          <w:bCs/>
          <w:color w:val="auto"/>
          <w:szCs w:val="21"/>
          <w:highlight w:val="none"/>
          <w:u w:val="single"/>
        </w:rPr>
      </w:pPr>
      <w:r>
        <w:rPr>
          <w:rFonts w:hint="eastAsia" w:ascii="仿宋" w:hAnsi="仿宋" w:eastAsia="仿宋"/>
          <w:b/>
          <w:color w:val="auto"/>
          <w:szCs w:val="21"/>
          <w:highlight w:val="none"/>
        </w:rPr>
        <w:t>开标时间：</w:t>
      </w:r>
      <w:r>
        <w:rPr>
          <w:rFonts w:hint="eastAsia" w:ascii="仿宋" w:hAnsi="仿宋" w:eastAsia="仿宋"/>
          <w:color w:val="auto"/>
          <w:szCs w:val="21"/>
          <w:highlight w:val="none"/>
          <w:u w:val="single"/>
        </w:rPr>
        <w:t>202</w:t>
      </w:r>
      <w:r>
        <w:rPr>
          <w:rFonts w:ascii="仿宋" w:hAnsi="仿宋" w:eastAsia="仿宋"/>
          <w:color w:val="auto"/>
          <w:szCs w:val="21"/>
          <w:highlight w:val="none"/>
          <w:u w:val="single"/>
        </w:rPr>
        <w:t>2</w:t>
      </w:r>
      <w:r>
        <w:rPr>
          <w:rFonts w:ascii="仿宋" w:hAnsi="仿宋" w:eastAsia="仿宋"/>
          <w:color w:val="auto"/>
          <w:szCs w:val="21"/>
          <w:highlight w:val="none"/>
        </w:rPr>
        <w:t>年</w:t>
      </w:r>
      <w:r>
        <w:rPr>
          <w:rFonts w:hint="eastAsia" w:ascii="仿宋" w:hAnsi="仿宋" w:eastAsia="仿宋"/>
          <w:color w:val="auto"/>
          <w:szCs w:val="21"/>
          <w:highlight w:val="none"/>
          <w:u w:val="single"/>
          <w:lang w:val="en-US" w:eastAsia="zh-CN"/>
        </w:rPr>
        <w:t xml:space="preserve"> 12</w:t>
      </w:r>
      <w:r>
        <w:rPr>
          <w:rFonts w:hint="eastAsia" w:ascii="仿宋" w:hAnsi="仿宋" w:eastAsia="仿宋"/>
          <w:color w:val="auto"/>
          <w:szCs w:val="21"/>
          <w:highlight w:val="none"/>
        </w:rPr>
        <w:t>月</w:t>
      </w:r>
      <w:r>
        <w:rPr>
          <w:rFonts w:hint="eastAsia" w:ascii="仿宋" w:hAnsi="仿宋" w:eastAsia="仿宋"/>
          <w:color w:val="auto"/>
          <w:szCs w:val="21"/>
          <w:highlight w:val="none"/>
          <w:u w:val="single"/>
          <w:lang w:val="en-US" w:eastAsia="zh-CN"/>
        </w:rPr>
        <w:t>22</w:t>
      </w:r>
      <w:r>
        <w:rPr>
          <w:rFonts w:hint="eastAsia" w:ascii="仿宋" w:hAnsi="仿宋" w:eastAsia="仿宋"/>
          <w:color w:val="auto"/>
          <w:szCs w:val="21"/>
          <w:highlight w:val="none"/>
        </w:rPr>
        <w:t>日</w:t>
      </w:r>
      <w:r>
        <w:rPr>
          <w:rFonts w:hint="eastAsia" w:ascii="仿宋" w:hAnsi="仿宋" w:eastAsia="仿宋"/>
          <w:color w:val="auto"/>
          <w:szCs w:val="21"/>
          <w:highlight w:val="none"/>
          <w:u w:val="single"/>
          <w:lang w:val="en-US" w:eastAsia="zh-CN"/>
        </w:rPr>
        <w:t>09</w:t>
      </w:r>
      <w:r>
        <w:rPr>
          <w:rFonts w:hint="eastAsia" w:ascii="仿宋" w:hAnsi="仿宋" w:eastAsia="仿宋"/>
          <w:color w:val="auto"/>
          <w:szCs w:val="21"/>
          <w:highlight w:val="none"/>
        </w:rPr>
        <w:t>点</w:t>
      </w:r>
      <w:r>
        <w:rPr>
          <w:rFonts w:hint="eastAsia" w:ascii="仿宋" w:hAnsi="仿宋" w:eastAsia="仿宋"/>
          <w:color w:val="auto"/>
          <w:szCs w:val="21"/>
          <w:highlight w:val="none"/>
          <w:u w:val="single"/>
        </w:rPr>
        <w:t>00</w:t>
      </w:r>
      <w:r>
        <w:rPr>
          <w:rFonts w:hint="eastAsia" w:ascii="仿宋" w:hAnsi="仿宋" w:eastAsia="仿宋"/>
          <w:color w:val="auto"/>
          <w:szCs w:val="21"/>
          <w:highlight w:val="none"/>
        </w:rPr>
        <w:t>分（北京时间）</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开标地点（网址）：</w:t>
      </w:r>
      <w:r>
        <w:rPr>
          <w:rFonts w:ascii="仿宋" w:hAnsi="仿宋" w:eastAsia="仿宋"/>
          <w:color w:val="auto"/>
          <w:szCs w:val="21"/>
          <w:highlight w:val="none"/>
        </w:rPr>
        <w:t>政</w:t>
      </w:r>
      <w:r>
        <w:rPr>
          <w:rFonts w:hint="eastAsia" w:ascii="仿宋" w:hAnsi="仿宋" w:eastAsia="仿宋"/>
          <w:color w:val="auto"/>
          <w:szCs w:val="21"/>
          <w:highlight w:val="none"/>
        </w:rPr>
        <w:t>采云平台（</w:t>
      </w:r>
      <w:r>
        <w:rPr>
          <w:rFonts w:ascii="仿宋" w:hAnsi="仿宋" w:eastAsia="仿宋"/>
          <w:color w:val="auto"/>
          <w:szCs w:val="21"/>
          <w:highlight w:val="none"/>
        </w:rPr>
        <w:t>https://www.zcygov.cn/）</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五、采购意向公开</w:t>
      </w:r>
    </w:p>
    <w:p>
      <w:pPr>
        <w:wordWrap w:val="0"/>
        <w:spacing w:line="360" w:lineRule="auto"/>
        <w:rPr>
          <w:rFonts w:ascii="仿宋" w:hAnsi="仿宋" w:eastAsia="仿宋"/>
          <w:bCs/>
          <w:color w:val="auto"/>
          <w:szCs w:val="21"/>
          <w:highlight w:val="none"/>
        </w:rPr>
      </w:pPr>
      <w:r>
        <w:rPr>
          <w:rFonts w:hint="eastAsia" w:ascii="仿宋" w:hAnsi="仿宋" w:eastAsia="仿宋"/>
          <w:bCs/>
          <w:color w:val="auto"/>
          <w:szCs w:val="21"/>
          <w:highlight w:val="none"/>
        </w:rPr>
        <w:t xml:space="preserve">    采购意向公开链接：https://zfcg.czt.zj.gov.cn/innerUsed_noticeDetails/index.html?noticeId=9128510&amp;utm=web-government-front.49399a16.0.0.07af84f06f7a11edbf4601f00c43ab65</w:t>
      </w:r>
    </w:p>
    <w:p>
      <w:pPr>
        <w:spacing w:line="360" w:lineRule="auto"/>
        <w:rPr>
          <w:rFonts w:ascii="仿宋" w:hAnsi="仿宋" w:eastAsia="仿宋"/>
          <w:color w:val="auto"/>
          <w:szCs w:val="21"/>
          <w:highlight w:val="none"/>
        </w:rPr>
      </w:pPr>
      <w:r>
        <w:rPr>
          <w:rFonts w:hint="eastAsia" w:ascii="仿宋" w:hAnsi="仿宋" w:eastAsia="仿宋"/>
          <w:b/>
          <w:color w:val="auto"/>
          <w:szCs w:val="21"/>
          <w:highlight w:val="none"/>
        </w:rPr>
        <w:t>六、公告期限</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自本公告发布之日起</w:t>
      </w:r>
      <w:r>
        <w:rPr>
          <w:rFonts w:ascii="仿宋" w:hAnsi="仿宋" w:eastAsia="仿宋"/>
          <w:color w:val="auto"/>
          <w:szCs w:val="21"/>
          <w:highlight w:val="none"/>
        </w:rPr>
        <w:t>5个工作日。</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七、其他补充事宜</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4.其他事项：</w:t>
      </w:r>
    </w:p>
    <w:p>
      <w:pPr>
        <w:wordWrap w:val="0"/>
        <w:spacing w:line="360" w:lineRule="auto"/>
        <w:ind w:firstLine="422" w:firstLineChars="200"/>
        <w:rPr>
          <w:rFonts w:ascii="仿宋" w:hAnsi="仿宋" w:eastAsia="仿宋"/>
          <w:b/>
          <w:bCs/>
          <w:color w:val="auto"/>
          <w:szCs w:val="21"/>
          <w:highlight w:val="none"/>
          <w:u w:val="single"/>
        </w:rPr>
      </w:pPr>
      <w:r>
        <w:rPr>
          <w:rFonts w:hint="eastAsia" w:ascii="仿宋" w:hAnsi="仿宋" w:eastAsia="仿宋"/>
          <w:b/>
          <w:bCs/>
          <w:color w:val="auto"/>
          <w:szCs w:val="21"/>
          <w:highlight w:val="none"/>
          <w:u w:val="single"/>
        </w:rPr>
        <w:t>4.1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4.2需要落实的政府采购政策：包括节约资源、保护环境、支持创新、促进中小企业发展等。详见招标文件的第二部分总则。</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4.3电子招投标的说明：</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①电子招投标：本项目以数据电文形式，依托“政府采购云平台（www.zcygov.cn）”进行招投标活动，不接受纸质投标文件；</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③招标文件的获取：使用账号登录或者使用CA登录政采云平台；进入“项目采购”应用，在获取采购文件菜单中选择项目，获取招标文件；</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④投标文件的制作：在“政采云电子交易客户端”中完成“填写基本信息”、“导入投标文件”、“标书关联”、“标书检查”、“电子签名”、“生成电子标书”等操作；</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⑤采购人、采购机构将依托政采云平台完成本项目的电子交易活动，平台不接受未按上述方式获取招标文件的供应商进行投标活动；</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⑥对未按上述方式获取招标文件的供应商对该文件提出的质疑，采购人或采购代理机构将不予处理；</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⑦不提供招标文件纸质版；</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wordWrap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olor w:val="auto"/>
          <w:szCs w:val="21"/>
          <w:highlight w:val="none"/>
        </w:rPr>
        <w:t>⑩具体操作指南：详见政采云平台“服务中心-帮助文档-项目采购-操作流程-电子招投标-政府采购项目电子交易管理操作指南-供应商”。</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七、对本次采购提出询问、质疑、投诉，请按以下方式联系</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1.采购人信息</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名    称：</w:t>
      </w:r>
      <w:r>
        <w:rPr>
          <w:rFonts w:hint="eastAsia" w:ascii="仿宋" w:hAnsi="仿宋" w:eastAsia="仿宋"/>
          <w:color w:val="auto"/>
          <w:szCs w:val="21"/>
          <w:highlight w:val="none"/>
        </w:rPr>
        <w:t>嘉兴市秀洲区人民政府新城街道办事处</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地    址：</w:t>
      </w:r>
      <w:r>
        <w:rPr>
          <w:rFonts w:hint="eastAsia" w:ascii="仿宋" w:hAnsi="仿宋" w:eastAsia="仿宋"/>
          <w:color w:val="auto"/>
          <w:szCs w:val="21"/>
          <w:highlight w:val="none"/>
        </w:rPr>
        <w:t>嘉兴市中山西路977号</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传</w:t>
      </w:r>
      <w:r>
        <w:rPr>
          <w:rFonts w:ascii="仿宋" w:hAnsi="仿宋" w:eastAsia="仿宋"/>
          <w:color w:val="auto"/>
          <w:szCs w:val="21"/>
          <w:highlight w:val="none"/>
        </w:rPr>
        <w:t xml:space="preserve">    真： /</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项目联系人（询问）：王先生</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项目联系方式（询问）：</w:t>
      </w:r>
      <w:r>
        <w:rPr>
          <w:rFonts w:hint="eastAsia" w:ascii="仿宋" w:hAnsi="仿宋" w:eastAsia="仿宋"/>
          <w:color w:val="auto"/>
          <w:szCs w:val="21"/>
          <w:highlight w:val="none"/>
        </w:rPr>
        <w:t>0573-82712276</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质疑联系人：</w:t>
      </w:r>
      <w:r>
        <w:rPr>
          <w:rFonts w:hint="eastAsia" w:ascii="仿宋" w:hAnsi="仿宋" w:eastAsia="仿宋"/>
          <w:color w:val="auto"/>
          <w:szCs w:val="21"/>
          <w:highlight w:val="none"/>
        </w:rPr>
        <w:t>叶先生</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质疑联系方式：</w:t>
      </w:r>
      <w:r>
        <w:rPr>
          <w:rFonts w:hint="eastAsia" w:ascii="仿宋" w:hAnsi="仿宋" w:eastAsia="仿宋"/>
          <w:color w:val="auto"/>
          <w:szCs w:val="21"/>
          <w:highlight w:val="none"/>
        </w:rPr>
        <w:t>0573-83680400</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2.采购代理机构信息            </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名称：浙江槿阳建设管理有限公司</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地址：嘉兴市秀洲区成秀路205号鼎盛大厦4楼</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传    真：/             </w:t>
      </w:r>
    </w:p>
    <w:p>
      <w:pPr>
        <w:spacing w:line="360" w:lineRule="auto"/>
        <w:ind w:firstLine="420" w:firstLineChars="200"/>
        <w:rPr>
          <w:rFonts w:hint="eastAsia" w:ascii="仿宋" w:hAnsi="仿宋" w:eastAsia="仿宋"/>
          <w:color w:val="auto"/>
          <w:szCs w:val="21"/>
          <w:highlight w:val="none"/>
          <w:lang w:eastAsia="zh-CN"/>
        </w:rPr>
      </w:pPr>
      <w:r>
        <w:rPr>
          <w:rFonts w:ascii="仿宋" w:hAnsi="仿宋" w:eastAsia="仿宋"/>
          <w:color w:val="auto"/>
          <w:szCs w:val="21"/>
          <w:highlight w:val="none"/>
        </w:rPr>
        <w:t>项目联系人（询问）：</w:t>
      </w:r>
      <w:r>
        <w:rPr>
          <w:rFonts w:hint="eastAsia" w:ascii="仿宋" w:hAnsi="仿宋" w:eastAsia="仿宋"/>
          <w:color w:val="auto"/>
          <w:szCs w:val="21"/>
          <w:highlight w:val="none"/>
          <w:lang w:eastAsia="zh-CN"/>
        </w:rPr>
        <w:t>吴女士</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项目联系方式（询问）：</w:t>
      </w:r>
      <w:r>
        <w:rPr>
          <w:rFonts w:hint="eastAsia" w:ascii="仿宋" w:hAnsi="仿宋" w:eastAsia="仿宋"/>
          <w:color w:val="auto"/>
          <w:szCs w:val="21"/>
          <w:highlight w:val="none"/>
        </w:rPr>
        <w:t>13758072149</w:t>
      </w:r>
    </w:p>
    <w:p>
      <w:pPr>
        <w:spacing w:line="360" w:lineRule="auto"/>
        <w:ind w:firstLine="420" w:firstLineChars="200"/>
        <w:rPr>
          <w:rFonts w:hint="eastAsia" w:ascii="仿宋" w:hAnsi="仿宋" w:eastAsia="仿宋"/>
          <w:color w:val="auto"/>
          <w:szCs w:val="21"/>
          <w:highlight w:val="none"/>
          <w:lang w:eastAsia="zh-CN"/>
        </w:rPr>
      </w:pPr>
      <w:r>
        <w:rPr>
          <w:rFonts w:ascii="仿宋" w:hAnsi="仿宋" w:eastAsia="仿宋"/>
          <w:color w:val="auto"/>
          <w:szCs w:val="21"/>
          <w:highlight w:val="none"/>
        </w:rPr>
        <w:t>质疑联系人：</w:t>
      </w:r>
      <w:r>
        <w:rPr>
          <w:rFonts w:hint="eastAsia" w:ascii="仿宋" w:hAnsi="仿宋" w:eastAsia="仿宋"/>
          <w:color w:val="auto"/>
          <w:szCs w:val="21"/>
          <w:highlight w:val="none"/>
          <w:lang w:eastAsia="zh-CN"/>
        </w:rPr>
        <w:t>万丹燕</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质疑联系方式：</w:t>
      </w:r>
      <w:r>
        <w:rPr>
          <w:rFonts w:hint="eastAsia" w:ascii="仿宋" w:hAnsi="仿宋" w:eastAsia="仿宋"/>
          <w:color w:val="auto"/>
          <w:szCs w:val="21"/>
          <w:highlight w:val="none"/>
        </w:rPr>
        <w:t>0573-83807672</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3.同级政府采购监督管理部门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名    称：</w:t>
      </w:r>
      <w:r>
        <w:rPr>
          <w:rFonts w:hint="eastAsia" w:ascii="仿宋" w:hAnsi="仿宋" w:eastAsia="仿宋" w:cs="宋体"/>
          <w:snapToGrid w:val="0"/>
          <w:color w:val="auto"/>
          <w:kern w:val="0"/>
          <w:szCs w:val="21"/>
          <w:highlight w:val="none"/>
        </w:rPr>
        <w:t>嘉兴市秀洲区财政局</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地    址：</w:t>
      </w:r>
      <w:r>
        <w:rPr>
          <w:rFonts w:hint="eastAsia" w:ascii="仿宋" w:hAnsi="仿宋" w:eastAsia="仿宋"/>
          <w:color w:val="auto"/>
          <w:szCs w:val="21"/>
          <w:highlight w:val="none"/>
        </w:rPr>
        <w:t>嘉兴市</w:t>
      </w:r>
      <w:r>
        <w:rPr>
          <w:rFonts w:ascii="仿宋" w:hAnsi="仿宋" w:eastAsia="仿宋"/>
          <w:color w:val="auto"/>
          <w:szCs w:val="21"/>
          <w:highlight w:val="none"/>
        </w:rPr>
        <w:t>洪兴路1765</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传    真：</w:t>
      </w:r>
      <w:r>
        <w:rPr>
          <w:rFonts w:hint="eastAsia" w:ascii="仿宋" w:hAnsi="仿宋" w:eastAsia="仿宋"/>
          <w:color w:val="auto"/>
          <w:szCs w:val="21"/>
          <w:highlight w:val="none"/>
        </w:rPr>
        <w:t>/</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联系人 ：</w:t>
      </w:r>
      <w:r>
        <w:rPr>
          <w:rFonts w:hint="eastAsia" w:ascii="仿宋" w:hAnsi="仿宋" w:eastAsia="仿宋"/>
          <w:color w:val="auto"/>
          <w:szCs w:val="21"/>
          <w:highlight w:val="none"/>
        </w:rPr>
        <w:t>方女士</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监督投诉电话：</w:t>
      </w:r>
      <w:r>
        <w:rPr>
          <w:rFonts w:hint="eastAsia" w:ascii="仿宋" w:hAnsi="仿宋" w:eastAsia="仿宋"/>
          <w:color w:val="auto"/>
          <w:szCs w:val="21"/>
          <w:highlight w:val="none"/>
        </w:rPr>
        <w:t>0573-82720086</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若对项目采购电子交易系统操作有疑问，可登录政采云（</w:t>
      </w:r>
      <w:r>
        <w:rPr>
          <w:rFonts w:ascii="仿宋" w:hAnsi="仿宋" w:eastAsia="仿宋"/>
          <w:color w:val="auto"/>
          <w:szCs w:val="21"/>
          <w:highlight w:val="none"/>
        </w:rPr>
        <w:t>https://www.zcygov.cn/），点击右侧咨询小采，获取采小蜜智能服务管家帮助，或拨打政</w:t>
      </w:r>
      <w:r>
        <w:rPr>
          <w:rFonts w:hint="eastAsia" w:ascii="仿宋" w:hAnsi="仿宋" w:eastAsia="仿宋"/>
          <w:color w:val="auto"/>
          <w:szCs w:val="21"/>
          <w:highlight w:val="none"/>
        </w:rPr>
        <w:t>采云服务热线</w:t>
      </w:r>
      <w:r>
        <w:rPr>
          <w:rFonts w:ascii="仿宋" w:hAnsi="仿宋" w:eastAsia="仿宋"/>
          <w:color w:val="auto"/>
          <w:szCs w:val="21"/>
          <w:highlight w:val="none"/>
        </w:rPr>
        <w:t>400-881-7190获取热线服务帮助。</w:t>
      </w:r>
    </w:p>
    <w:p>
      <w:pPr>
        <w:wordWrap w:val="0"/>
        <w:spacing w:line="360" w:lineRule="auto"/>
        <w:ind w:firstLine="420" w:firstLineChars="200"/>
        <w:rPr>
          <w:rFonts w:ascii="仿宋" w:hAnsi="仿宋" w:eastAsia="仿宋"/>
          <w:color w:val="auto"/>
          <w:sz w:val="24"/>
          <w:highlight w:val="none"/>
        </w:rPr>
      </w:pPr>
      <w:r>
        <w:rPr>
          <w:rFonts w:ascii="仿宋" w:hAnsi="仿宋" w:eastAsia="仿宋"/>
          <w:color w:val="auto"/>
          <w:szCs w:val="21"/>
          <w:highlight w:val="none"/>
        </w:rPr>
        <w:t>CA问题联系电话（人工）：</w:t>
      </w:r>
      <w:r>
        <w:rPr>
          <w:rFonts w:hint="eastAsia" w:ascii="仿宋" w:hAnsi="仿宋" w:eastAsia="仿宋"/>
          <w:color w:val="auto"/>
          <w:szCs w:val="21"/>
          <w:highlight w:val="none"/>
        </w:rPr>
        <w:t>汇信</w:t>
      </w:r>
      <w:r>
        <w:rPr>
          <w:rFonts w:ascii="仿宋" w:hAnsi="仿宋" w:eastAsia="仿宋"/>
          <w:color w:val="auto"/>
          <w:szCs w:val="21"/>
          <w:highlight w:val="none"/>
        </w:rPr>
        <w:t>CA 400-888-4636；天谷CA 400-087-8198。</w:t>
      </w:r>
    </w:p>
    <w:p>
      <w:pPr>
        <w:adjustRightInd/>
        <w:spacing w:beforeLines="100" w:afterLines="100" w:line="360" w:lineRule="auto"/>
        <w:jc w:val="center"/>
        <w:outlineLvl w:val="0"/>
        <w:rPr>
          <w:rFonts w:ascii="仿宋" w:hAnsi="仿宋" w:eastAsia="仿宋" w:cs="仿宋_GB2312"/>
          <w:b/>
          <w:color w:val="auto"/>
          <w:sz w:val="36"/>
          <w:szCs w:val="20"/>
          <w:highlight w:val="none"/>
        </w:rPr>
      </w:pPr>
    </w:p>
    <w:p>
      <w:pPr>
        <w:adjustRightInd/>
        <w:spacing w:beforeLines="100" w:afterLines="100" w:line="360" w:lineRule="auto"/>
        <w:jc w:val="center"/>
        <w:outlineLvl w:val="0"/>
        <w:rPr>
          <w:rFonts w:ascii="仿宋" w:hAnsi="仿宋" w:eastAsia="仿宋" w:cs="仿宋_GB2312"/>
          <w:b/>
          <w:color w:val="auto"/>
          <w:sz w:val="36"/>
          <w:szCs w:val="20"/>
          <w:highlight w:val="none"/>
        </w:rPr>
      </w:pPr>
    </w:p>
    <w:p>
      <w:pPr>
        <w:pStyle w:val="3"/>
        <w:rPr>
          <w:rFonts w:ascii="仿宋" w:eastAsia="仿宋" w:cs="仿宋_GB2312"/>
          <w:color w:val="auto"/>
          <w:sz w:val="36"/>
          <w:szCs w:val="20"/>
          <w:highlight w:val="none"/>
        </w:rPr>
      </w:pPr>
    </w:p>
    <w:p>
      <w:pPr>
        <w:rPr>
          <w:rFonts w:ascii="仿宋" w:hAnsi="仿宋" w:eastAsia="仿宋" w:cs="仿宋_GB2312"/>
          <w:b/>
          <w:color w:val="auto"/>
          <w:sz w:val="36"/>
          <w:szCs w:val="20"/>
          <w:highlight w:val="none"/>
        </w:rPr>
      </w:pPr>
    </w:p>
    <w:p>
      <w:pPr>
        <w:pStyle w:val="3"/>
        <w:rPr>
          <w:rFonts w:ascii="仿宋" w:eastAsia="仿宋" w:cs="仿宋_GB2312"/>
          <w:color w:val="auto"/>
          <w:sz w:val="36"/>
          <w:szCs w:val="20"/>
          <w:highlight w:val="none"/>
        </w:rPr>
      </w:pPr>
    </w:p>
    <w:p>
      <w:pPr>
        <w:rPr>
          <w:rFonts w:ascii="仿宋" w:hAnsi="仿宋" w:eastAsia="仿宋" w:cs="仿宋_GB2312"/>
          <w:b/>
          <w:color w:val="auto"/>
          <w:sz w:val="36"/>
          <w:szCs w:val="20"/>
          <w:highlight w:val="none"/>
        </w:rPr>
      </w:pPr>
    </w:p>
    <w:p>
      <w:pPr>
        <w:pStyle w:val="3"/>
        <w:rPr>
          <w:rFonts w:ascii="仿宋" w:eastAsia="仿宋" w:cs="仿宋_GB2312"/>
          <w:color w:val="auto"/>
          <w:sz w:val="36"/>
          <w:szCs w:val="20"/>
          <w:highlight w:val="none"/>
        </w:rPr>
      </w:pPr>
    </w:p>
    <w:p>
      <w:pPr>
        <w:rPr>
          <w:rFonts w:ascii="仿宋" w:hAnsi="仿宋" w:eastAsia="仿宋" w:cs="仿宋_GB2312"/>
          <w:b/>
          <w:color w:val="auto"/>
          <w:sz w:val="36"/>
          <w:szCs w:val="20"/>
          <w:highlight w:val="none"/>
        </w:rPr>
      </w:pPr>
    </w:p>
    <w:p>
      <w:pPr>
        <w:pStyle w:val="3"/>
        <w:rPr>
          <w:rFonts w:ascii="仿宋" w:eastAsia="仿宋" w:cs="仿宋_GB2312"/>
          <w:color w:val="auto"/>
          <w:sz w:val="36"/>
          <w:szCs w:val="20"/>
          <w:highlight w:val="none"/>
        </w:rPr>
      </w:pPr>
    </w:p>
    <w:p>
      <w:pPr>
        <w:rPr>
          <w:rFonts w:ascii="仿宋" w:hAnsi="仿宋" w:eastAsia="仿宋" w:cs="仿宋_GB2312"/>
          <w:b/>
          <w:color w:val="auto"/>
          <w:sz w:val="36"/>
          <w:szCs w:val="20"/>
          <w:highlight w:val="none"/>
        </w:rPr>
      </w:pPr>
    </w:p>
    <w:p>
      <w:pPr>
        <w:pStyle w:val="3"/>
        <w:rPr>
          <w:rFonts w:ascii="仿宋" w:eastAsia="仿宋" w:cs="仿宋_GB2312"/>
          <w:color w:val="auto"/>
          <w:sz w:val="36"/>
          <w:szCs w:val="20"/>
          <w:highlight w:val="none"/>
        </w:rPr>
      </w:pPr>
    </w:p>
    <w:p>
      <w:pPr>
        <w:rPr>
          <w:rFonts w:ascii="仿宋" w:hAnsi="仿宋" w:eastAsia="仿宋" w:cs="仿宋_GB2312"/>
          <w:b/>
          <w:color w:val="auto"/>
          <w:sz w:val="36"/>
          <w:szCs w:val="20"/>
          <w:highlight w:val="none"/>
        </w:rPr>
      </w:pPr>
    </w:p>
    <w:p>
      <w:pPr>
        <w:adjustRightInd/>
        <w:spacing w:beforeLines="100" w:afterLines="100" w:line="360" w:lineRule="auto"/>
        <w:jc w:val="center"/>
        <w:outlineLvl w:val="0"/>
        <w:rPr>
          <w:rFonts w:ascii="仿宋" w:hAnsi="仿宋" w:eastAsia="仿宋" w:cs="仿宋_GB2312"/>
          <w:b/>
          <w:color w:val="auto"/>
          <w:sz w:val="36"/>
          <w:szCs w:val="20"/>
          <w:highlight w:val="none"/>
        </w:rPr>
      </w:pPr>
    </w:p>
    <w:p>
      <w:pPr>
        <w:pStyle w:val="26"/>
        <w:rPr>
          <w:rFonts w:ascii="仿宋" w:hAnsi="仿宋" w:eastAsia="仿宋" w:cs="仿宋_GB2312"/>
          <w:b/>
          <w:color w:val="auto"/>
          <w:sz w:val="36"/>
          <w:highlight w:val="none"/>
        </w:rPr>
      </w:pPr>
    </w:p>
    <w:p>
      <w:pPr>
        <w:adjustRightInd/>
        <w:spacing w:beforeLines="100" w:afterLines="100"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07"/>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9" w:type="dxa"/>
            <w:vAlign w:val="center"/>
          </w:tcPr>
          <w:p>
            <w:pPr>
              <w:snapToGrid w:val="0"/>
              <w:jc w:val="center"/>
              <w:rPr>
                <w:color w:val="auto"/>
                <w:highlight w:val="none"/>
              </w:rPr>
            </w:pPr>
            <w:r>
              <w:rPr>
                <w:rFonts w:hint="eastAsia" w:ascii="仿宋" w:hAnsi="仿宋" w:eastAsia="仿宋" w:cs="仿宋_GB2312"/>
                <w:b/>
                <w:color w:val="auto"/>
                <w:szCs w:val="21"/>
                <w:highlight w:val="none"/>
              </w:rPr>
              <w:t>序号</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事项</w:t>
            </w:r>
          </w:p>
        </w:tc>
        <w:tc>
          <w:tcPr>
            <w:tcW w:w="6366" w:type="dxa"/>
            <w:vAlign w:val="center"/>
          </w:tcPr>
          <w:p>
            <w:pPr>
              <w:snapToGrid w:val="0"/>
              <w:jc w:val="center"/>
              <w:rPr>
                <w:color w:val="auto"/>
                <w:highlight w:val="none"/>
              </w:rPr>
            </w:pPr>
            <w:r>
              <w:rPr>
                <w:rFonts w:hint="eastAsia" w:ascii="仿宋" w:hAnsi="仿宋" w:eastAsia="仿宋" w:cs="仿宋_GB2312"/>
                <w:b/>
                <w:color w:val="auto"/>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1</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报价要求</w:t>
            </w:r>
          </w:p>
        </w:tc>
        <w:tc>
          <w:tcPr>
            <w:tcW w:w="6366" w:type="dxa"/>
            <w:vAlign w:val="center"/>
          </w:tcPr>
          <w:p>
            <w:pPr>
              <w:spacing w:line="400" w:lineRule="exact"/>
              <w:rPr>
                <w:rFonts w:ascii="仿宋" w:hAnsi="仿宋" w:eastAsia="仿宋"/>
                <w:b/>
                <w:bCs/>
                <w:color w:val="auto"/>
                <w:kern w:val="0"/>
                <w:szCs w:val="21"/>
                <w:highlight w:val="none"/>
                <w:lang w:val="zh-CN"/>
              </w:rPr>
            </w:pPr>
            <w:r>
              <w:rPr>
                <w:rFonts w:hint="eastAsia" w:ascii="仿宋" w:hAnsi="仿宋" w:eastAsia="仿宋"/>
                <w:color w:val="auto"/>
                <w:kern w:val="0"/>
                <w:szCs w:val="21"/>
                <w:highlight w:val="none"/>
                <w:lang w:val="zh-CN"/>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b/>
                <w:bCs/>
                <w:color w:val="auto"/>
                <w:kern w:val="0"/>
                <w:szCs w:val="21"/>
                <w:highlight w:val="none"/>
                <w:lang w:val="zh-CN"/>
              </w:rPr>
              <w:t>提醒：验收时涉及第三方检测费用的，由采购人承担，不包含在投标总价中。</w:t>
            </w:r>
          </w:p>
          <w:p>
            <w:pPr>
              <w:spacing w:line="400" w:lineRule="exact"/>
              <w:rPr>
                <w:rFonts w:ascii="仿宋" w:hAnsi="仿宋" w:eastAsia="仿宋"/>
                <w:b/>
                <w:bCs/>
                <w:color w:val="auto"/>
                <w:kern w:val="0"/>
                <w:szCs w:val="21"/>
                <w:highlight w:val="none"/>
                <w:lang w:val="zh-CN"/>
              </w:rPr>
            </w:pPr>
            <w:r>
              <w:rPr>
                <w:rFonts w:hint="eastAsia" w:ascii="仿宋" w:hAnsi="仿宋" w:eastAsia="仿宋"/>
                <w:b/>
                <w:bCs/>
                <w:color w:val="auto"/>
                <w:kern w:val="0"/>
                <w:szCs w:val="21"/>
                <w:highlight w:val="none"/>
                <w:lang w:val="zh-CN"/>
              </w:rPr>
              <w:t>投标报价出现下列情形的，投标无效：</w:t>
            </w:r>
          </w:p>
          <w:p>
            <w:pPr>
              <w:spacing w:line="400" w:lineRule="exact"/>
              <w:rPr>
                <w:rFonts w:ascii="仿宋" w:hAnsi="仿宋" w:eastAsia="仿宋"/>
                <w:b/>
                <w:bCs/>
                <w:color w:val="auto"/>
                <w:kern w:val="0"/>
                <w:szCs w:val="21"/>
                <w:highlight w:val="none"/>
                <w:lang w:val="zh-CN"/>
              </w:rPr>
            </w:pPr>
            <w:r>
              <w:rPr>
                <w:rFonts w:hint="eastAsia" w:ascii="仿宋" w:hAnsi="仿宋" w:eastAsia="仿宋"/>
                <w:b/>
                <w:bCs/>
                <w:color w:val="auto"/>
                <w:kern w:val="0"/>
                <w:szCs w:val="21"/>
                <w:highlight w:val="none"/>
                <w:lang w:val="zh-CN"/>
              </w:rPr>
              <w:t>⑴投标文件出现不是唯一的、有选择性投标报价的；</w:t>
            </w:r>
          </w:p>
          <w:p>
            <w:pPr>
              <w:spacing w:line="400" w:lineRule="exact"/>
              <w:rPr>
                <w:rFonts w:ascii="仿宋" w:hAnsi="仿宋" w:eastAsia="仿宋"/>
                <w:b/>
                <w:bCs/>
                <w:color w:val="auto"/>
                <w:kern w:val="0"/>
                <w:szCs w:val="21"/>
                <w:highlight w:val="none"/>
                <w:lang w:val="zh-CN"/>
              </w:rPr>
            </w:pPr>
            <w:r>
              <w:rPr>
                <w:rFonts w:hint="eastAsia" w:ascii="仿宋" w:hAnsi="仿宋" w:eastAsia="仿宋"/>
                <w:b/>
                <w:bCs/>
                <w:color w:val="auto"/>
                <w:kern w:val="0"/>
                <w:szCs w:val="21"/>
                <w:highlight w:val="none"/>
                <w:lang w:val="zh-CN"/>
              </w:rPr>
              <w:t>⑵投标报价超过招标文件中规定的预算金额或者最高限价的;</w:t>
            </w:r>
          </w:p>
          <w:p>
            <w:pPr>
              <w:spacing w:line="400" w:lineRule="exact"/>
              <w:rPr>
                <w:rFonts w:ascii="仿宋" w:hAnsi="仿宋" w:eastAsia="仿宋"/>
                <w:b/>
                <w:bCs/>
                <w:color w:val="auto"/>
                <w:kern w:val="0"/>
                <w:szCs w:val="21"/>
                <w:highlight w:val="none"/>
                <w:lang w:val="zh-CN"/>
              </w:rPr>
            </w:pPr>
            <w:r>
              <w:rPr>
                <w:rFonts w:hint="eastAsia" w:ascii="仿宋" w:hAnsi="仿宋" w:eastAsia="仿宋"/>
                <w:b/>
                <w:bCs/>
                <w:color w:val="auto"/>
                <w:kern w:val="0"/>
                <w:szCs w:val="21"/>
                <w:highlight w:val="none"/>
                <w:lang w:val="zh-CN"/>
              </w:rPr>
              <w:t>⑶报价明显低于其他通过符合性审查投标人的报价，有可能影响产品质量或者不能诚信履约的，未能按要求提供书面说明或者提交相关证明材料证明其报价合理性的;</w:t>
            </w:r>
          </w:p>
          <w:p>
            <w:pPr>
              <w:spacing w:line="400" w:lineRule="exact"/>
              <w:rPr>
                <w:color w:val="auto"/>
                <w:highlight w:val="none"/>
              </w:rPr>
            </w:pPr>
            <w:r>
              <w:rPr>
                <w:rFonts w:hint="eastAsia" w:ascii="仿宋" w:hAnsi="仿宋" w:eastAsia="仿宋"/>
                <w:b/>
                <w:bCs/>
                <w:color w:val="auto"/>
                <w:kern w:val="0"/>
                <w:szCs w:val="21"/>
                <w:highlight w:val="none"/>
                <w:lang w:val="zh-CN"/>
              </w:rPr>
              <w:t>⑷投标人对根据修正原则修正后的报价不确认的。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hint="eastAsia" w:ascii="仿宋" w:hAnsi="仿宋" w:eastAsia="仿宋" w:cs="仿宋_GB2312"/>
                <w:color w:val="auto"/>
                <w:szCs w:val="21"/>
                <w:highlight w:val="none"/>
              </w:rPr>
              <w:t>2</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分包</w:t>
            </w:r>
          </w:p>
        </w:tc>
        <w:tc>
          <w:tcPr>
            <w:tcW w:w="6366" w:type="dxa"/>
            <w:vAlign w:val="center"/>
          </w:tcPr>
          <w:p>
            <w:pPr>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477286927"/>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ascii="仿宋" w:hAnsi="仿宋" w:eastAsia="仿宋" w:cs="Arial"/>
                <w:color w:val="auto"/>
                <w:kern w:val="0"/>
                <w:szCs w:val="21"/>
                <w:highlight w:val="none"/>
              </w:rPr>
              <w:t xml:space="preserve"> A</w:t>
            </w:r>
            <w:r>
              <w:rPr>
                <w:rFonts w:hint="eastAsia" w:ascii="仿宋" w:hAnsi="仿宋" w:eastAsia="仿宋"/>
                <w:color w:val="auto"/>
                <w:szCs w:val="21"/>
                <w:highlight w:val="none"/>
              </w:rPr>
              <w:t>同意将非主体、非关键性的工作分包。</w:t>
            </w:r>
          </w:p>
          <w:p>
            <w:pPr>
              <w:spacing w:line="400" w:lineRule="exact"/>
              <w:rPr>
                <w:color w:val="auto"/>
                <w:highlight w:val="none"/>
              </w:rPr>
            </w:pPr>
            <w:sdt>
              <w:sdtPr>
                <w:rPr>
                  <w:rFonts w:hint="eastAsia" w:ascii="仿宋" w:hAnsi="仿宋" w:eastAsia="仿宋" w:cs="Arial"/>
                  <w:color w:val="auto"/>
                  <w:kern w:val="0"/>
                  <w:szCs w:val="21"/>
                  <w:highlight w:val="none"/>
                </w:rPr>
                <w:id w:val="-1276331357"/>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F0FE"/>
                </w:r>
              </w:sdtContent>
            </w:sdt>
            <w:r>
              <w:rPr>
                <w:rFonts w:ascii="仿宋" w:hAnsi="仿宋" w:eastAsia="仿宋" w:cs="Arial"/>
                <w:color w:val="auto"/>
                <w:kern w:val="0"/>
                <w:szCs w:val="21"/>
                <w:highlight w:val="none"/>
              </w:rPr>
              <w:t xml:space="preserve"> B</w:t>
            </w:r>
            <w:r>
              <w:rPr>
                <w:rFonts w:hint="eastAsia" w:ascii="仿宋" w:hAnsi="仿宋" w:eastAsia="仿宋"/>
                <w:color w:val="auto"/>
                <w:szCs w:val="21"/>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3</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投标人应当提供的资格、资信证明文件</w:t>
            </w:r>
          </w:p>
        </w:tc>
        <w:tc>
          <w:tcPr>
            <w:tcW w:w="6366" w:type="dxa"/>
            <w:vAlign w:val="center"/>
          </w:tcPr>
          <w:p>
            <w:pPr>
              <w:spacing w:line="400" w:lineRule="exact"/>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1）资格证明文件：见招标文件第二部分11.1。</w:t>
            </w:r>
          </w:p>
          <w:p>
            <w:pPr>
              <w:spacing w:line="400" w:lineRule="exact"/>
              <w:rPr>
                <w:rFonts w:ascii="仿宋" w:hAnsi="仿宋" w:eastAsia="仿宋"/>
                <w:color w:val="auto"/>
                <w:kern w:val="0"/>
                <w:szCs w:val="21"/>
                <w:highlight w:val="none"/>
                <w:lang w:val="zh-CN"/>
              </w:rPr>
            </w:pPr>
            <w:r>
              <w:rPr>
                <w:rFonts w:hint="eastAsia" w:ascii="仿宋" w:hAnsi="仿宋" w:eastAsia="仿宋"/>
                <w:color w:val="auto"/>
                <w:kern w:val="0"/>
                <w:szCs w:val="21"/>
                <w:highlight w:val="none"/>
                <w:lang w:val="zh-CN"/>
              </w:rPr>
              <w:t>投标人未提供有效的资格证明文件的，视为投标人不具备招标文件中规定的资格要求，投标无效。</w:t>
            </w:r>
          </w:p>
          <w:p>
            <w:pPr>
              <w:spacing w:line="400" w:lineRule="exact"/>
              <w:rPr>
                <w:color w:val="auto"/>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4</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开标前答疑会或现场考察</w:t>
            </w:r>
          </w:p>
        </w:tc>
        <w:tc>
          <w:tcPr>
            <w:tcW w:w="6366" w:type="dxa"/>
            <w:vAlign w:val="center"/>
          </w:tcPr>
          <w:p>
            <w:pPr>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212966419"/>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F0FE"/>
                </w:r>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不组织。</w:t>
            </w:r>
          </w:p>
          <w:p>
            <w:pPr>
              <w:spacing w:line="400" w:lineRule="exact"/>
              <w:rPr>
                <w:color w:val="auto"/>
                <w:highlight w:val="none"/>
              </w:rPr>
            </w:pPr>
            <w:sdt>
              <w:sdtPr>
                <w:rPr>
                  <w:rFonts w:hint="eastAsia" w:ascii="仿宋" w:hAnsi="仿宋" w:eastAsia="仿宋" w:cs="Arial"/>
                  <w:color w:val="auto"/>
                  <w:kern w:val="0"/>
                  <w:szCs w:val="21"/>
                  <w:highlight w:val="none"/>
                </w:rPr>
                <w:id w:val="-999802974"/>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ascii="仿宋" w:hAnsi="仿宋" w:eastAsia="仿宋"/>
                <w:color w:val="auto"/>
                <w:kern w:val="0"/>
                <w:szCs w:val="21"/>
                <w:highlight w:val="none"/>
              </w:rPr>
              <w:t>B组织，</w:t>
            </w:r>
            <w:r>
              <w:rPr>
                <w:rFonts w:hint="eastAsia" w:ascii="仿宋" w:hAnsi="仿宋" w:eastAsia="仿宋"/>
                <w:color w:val="auto"/>
                <w:szCs w:val="21"/>
                <w:highlight w:val="none"/>
              </w:rPr>
              <w:t>时间：</w:t>
            </w:r>
            <w:r>
              <w:rPr>
                <w:rFonts w:ascii="仿宋" w:hAnsi="仿宋" w:eastAsia="仿宋"/>
                <w:color w:val="auto"/>
                <w:szCs w:val="21"/>
                <w:highlight w:val="none"/>
              </w:rPr>
              <w:t>,地点：</w:t>
            </w:r>
            <w:r>
              <w:rPr>
                <w:rFonts w:hint="eastAsia" w:ascii="仿宋" w:hAnsi="仿宋" w:eastAsia="仿宋"/>
                <w:color w:val="auto"/>
                <w:szCs w:val="21"/>
                <w:highlight w:val="none"/>
              </w:rPr>
              <w:t>，联系人：，联系方式：。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5</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样品提供</w:t>
            </w:r>
          </w:p>
        </w:tc>
        <w:tc>
          <w:tcPr>
            <w:tcW w:w="6366" w:type="dxa"/>
            <w:vAlign w:val="center"/>
          </w:tcPr>
          <w:p>
            <w:pPr>
              <w:wordWrap w:val="0"/>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639946486"/>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F0FE"/>
                </w:r>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不要求提供。</w:t>
            </w:r>
          </w:p>
          <w:p>
            <w:pPr>
              <w:wordWrap w:val="0"/>
              <w:spacing w:line="400" w:lineRule="exact"/>
              <w:rPr>
                <w:rFonts w:ascii="仿宋" w:hAnsi="仿宋" w:eastAsia="仿宋"/>
                <w:color w:val="auto"/>
                <w:kern w:val="0"/>
                <w:szCs w:val="21"/>
                <w:highlight w:val="none"/>
              </w:rPr>
            </w:pPr>
            <w:sdt>
              <w:sdtPr>
                <w:rPr>
                  <w:rFonts w:hint="eastAsia" w:ascii="仿宋" w:hAnsi="仿宋" w:eastAsia="仿宋" w:cs="Arial"/>
                  <w:color w:val="auto"/>
                  <w:kern w:val="0"/>
                  <w:szCs w:val="21"/>
                  <w:highlight w:val="none"/>
                </w:rPr>
                <w:id w:val="1026831988"/>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ascii="仿宋" w:hAnsi="仿宋" w:eastAsia="仿宋"/>
                <w:color w:val="auto"/>
                <w:kern w:val="0"/>
                <w:szCs w:val="21"/>
                <w:highlight w:val="none"/>
              </w:rPr>
              <w:t>B</w:t>
            </w:r>
            <w:r>
              <w:rPr>
                <w:rFonts w:hint="eastAsia" w:ascii="仿宋" w:hAnsi="仿宋" w:eastAsia="仿宋"/>
                <w:color w:val="auto"/>
                <w:kern w:val="0"/>
                <w:szCs w:val="21"/>
                <w:highlight w:val="none"/>
              </w:rPr>
              <w:t>要求提供，</w:t>
            </w:r>
          </w:p>
          <w:p>
            <w:pPr>
              <w:wordWrap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1）</w:t>
            </w:r>
            <w:r>
              <w:rPr>
                <w:rFonts w:hint="eastAsia" w:ascii="仿宋" w:hAnsi="仿宋" w:eastAsia="仿宋"/>
                <w:snapToGrid w:val="0"/>
                <w:color w:val="auto"/>
                <w:kern w:val="28"/>
                <w:szCs w:val="21"/>
                <w:highlight w:val="none"/>
              </w:rPr>
              <w:t>样品：</w:t>
            </w:r>
            <w:r>
              <w:rPr>
                <w:rFonts w:hint="eastAsia" w:ascii="仿宋" w:hAnsi="仿宋" w:eastAsia="仿宋"/>
                <w:snapToGrid w:val="0"/>
                <w:color w:val="auto"/>
                <w:kern w:val="28"/>
                <w:szCs w:val="21"/>
                <w:highlight w:val="none"/>
                <w:u w:val="single"/>
              </w:rPr>
              <w:t xml:space="preserve">    /   </w:t>
            </w:r>
            <w:r>
              <w:rPr>
                <w:rFonts w:hint="eastAsia" w:ascii="仿宋" w:hAnsi="仿宋" w:eastAsia="仿宋"/>
                <w:color w:val="auto"/>
                <w:kern w:val="0"/>
                <w:szCs w:val="21"/>
                <w:highlight w:val="none"/>
              </w:rPr>
              <w:t>；</w:t>
            </w:r>
          </w:p>
          <w:p>
            <w:pPr>
              <w:wordWrap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2）</w:t>
            </w:r>
            <w:r>
              <w:rPr>
                <w:rFonts w:hint="eastAsia" w:ascii="仿宋" w:hAnsi="仿宋" w:eastAsia="仿宋"/>
                <w:snapToGrid w:val="0"/>
                <w:color w:val="auto"/>
                <w:kern w:val="28"/>
                <w:szCs w:val="21"/>
                <w:highlight w:val="none"/>
              </w:rPr>
              <w:t>样品制作的标准和要求：</w:t>
            </w:r>
            <w:r>
              <w:rPr>
                <w:rFonts w:hint="eastAsia" w:ascii="仿宋" w:hAnsi="仿宋" w:eastAsia="仿宋"/>
                <w:snapToGrid w:val="0"/>
                <w:color w:val="auto"/>
                <w:kern w:val="28"/>
                <w:szCs w:val="21"/>
                <w:highlight w:val="none"/>
                <w:u w:val="single"/>
              </w:rPr>
              <w:t xml:space="preserve">    /   </w:t>
            </w:r>
            <w:r>
              <w:rPr>
                <w:rFonts w:hint="eastAsia" w:ascii="仿宋" w:hAnsi="仿宋" w:eastAsia="仿宋"/>
                <w:color w:val="auto"/>
                <w:kern w:val="0"/>
                <w:szCs w:val="21"/>
                <w:highlight w:val="none"/>
              </w:rPr>
              <w:t>；</w:t>
            </w:r>
          </w:p>
          <w:p>
            <w:pPr>
              <w:wordWrap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3）样品的评审方法以及评审标准</w:t>
            </w:r>
            <w:r>
              <w:rPr>
                <w:rFonts w:hint="eastAsia" w:ascii="仿宋" w:hAnsi="仿宋" w:eastAsia="仿宋"/>
                <w:snapToGrid w:val="0"/>
                <w:color w:val="auto"/>
                <w:kern w:val="28"/>
                <w:szCs w:val="21"/>
                <w:highlight w:val="none"/>
              </w:rPr>
              <w:t>：详见</w:t>
            </w:r>
            <w:r>
              <w:rPr>
                <w:rFonts w:hint="eastAsia" w:ascii="仿宋" w:hAnsi="仿宋" w:eastAsia="仿宋"/>
                <w:color w:val="auto"/>
                <w:szCs w:val="21"/>
                <w:highlight w:val="none"/>
                <w:u w:val="single"/>
              </w:rPr>
              <w:t>评标办法</w:t>
            </w:r>
            <w:r>
              <w:rPr>
                <w:rFonts w:hint="eastAsia" w:ascii="仿宋" w:hAnsi="仿宋" w:eastAsia="仿宋"/>
                <w:color w:val="auto"/>
                <w:kern w:val="0"/>
                <w:szCs w:val="21"/>
                <w:highlight w:val="none"/>
              </w:rPr>
              <w:t>；</w:t>
            </w:r>
          </w:p>
          <w:p>
            <w:pPr>
              <w:wordWrap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4）是否需要随样品提交检测报告</w:t>
            </w:r>
            <w:r>
              <w:rPr>
                <w:rFonts w:hint="eastAsia" w:ascii="仿宋" w:hAnsi="仿宋" w:eastAsia="仿宋"/>
                <w:color w:val="auto"/>
                <w:kern w:val="0"/>
                <w:szCs w:val="21"/>
                <w:highlight w:val="none"/>
              </w:rPr>
              <w:t>：</w:t>
            </w:r>
            <w:sdt>
              <w:sdtPr>
                <w:rPr>
                  <w:rFonts w:hint="eastAsia" w:ascii="仿宋" w:hAnsi="仿宋" w:eastAsia="仿宋" w:cs="Arial"/>
                  <w:color w:val="auto"/>
                  <w:kern w:val="0"/>
                  <w:szCs w:val="21"/>
                  <w:highlight w:val="none"/>
                </w:rPr>
                <w:id w:val="1303421454"/>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00A8"/>
                </w:r>
              </w:sdtContent>
            </w:sdt>
            <w:r>
              <w:rPr>
                <w:rFonts w:ascii="仿宋" w:hAnsi="仿宋" w:eastAsia="仿宋"/>
                <w:color w:val="auto"/>
                <w:kern w:val="0"/>
                <w:szCs w:val="21"/>
                <w:highlight w:val="none"/>
              </w:rPr>
              <w:t>否；</w:t>
            </w:r>
            <w:sdt>
              <w:sdtPr>
                <w:rPr>
                  <w:rFonts w:hint="eastAsia" w:ascii="仿宋" w:hAnsi="仿宋" w:eastAsia="仿宋" w:cs="Arial"/>
                  <w:color w:val="auto"/>
                  <w:kern w:val="0"/>
                  <w:szCs w:val="21"/>
                  <w:highlight w:val="none"/>
                </w:rPr>
                <w:id w:val="1621728433"/>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ascii="仿宋" w:hAnsi="仿宋" w:eastAsia="仿宋"/>
                <w:color w:val="auto"/>
                <w:kern w:val="0"/>
                <w:szCs w:val="21"/>
                <w:highlight w:val="none"/>
              </w:rPr>
              <w:t>是，检测机构的要求</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 xml:space="preserve">    /    </w:t>
            </w:r>
            <w:r>
              <w:rPr>
                <w:rFonts w:hint="eastAsia" w:ascii="仿宋" w:hAnsi="仿宋" w:eastAsia="仿宋"/>
                <w:color w:val="auto"/>
                <w:kern w:val="0"/>
                <w:szCs w:val="21"/>
                <w:highlight w:val="none"/>
              </w:rPr>
              <w:t>；检测内容</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 xml:space="preserve">      /    </w:t>
            </w:r>
            <w:r>
              <w:rPr>
                <w:rFonts w:hint="eastAsia" w:ascii="仿宋" w:hAnsi="仿宋" w:eastAsia="仿宋"/>
                <w:color w:val="auto"/>
                <w:kern w:val="0"/>
                <w:szCs w:val="21"/>
                <w:highlight w:val="none"/>
              </w:rPr>
              <w:t>。</w:t>
            </w:r>
          </w:p>
          <w:p>
            <w:pPr>
              <w:wordWrap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5）提供样品的时间：</w:t>
            </w:r>
            <w:r>
              <w:rPr>
                <w:rFonts w:hint="eastAsia" w:ascii="仿宋" w:hAnsi="仿宋" w:eastAsia="仿宋"/>
                <w:color w:val="auto"/>
                <w:szCs w:val="21"/>
                <w:highlight w:val="none"/>
                <w:u w:val="single"/>
              </w:rPr>
              <w:t xml:space="preserve">  / </w:t>
            </w:r>
            <w:r>
              <w:rPr>
                <w:rFonts w:hint="eastAsia" w:ascii="仿宋" w:hAnsi="仿宋" w:eastAsia="仿宋"/>
                <w:color w:val="auto"/>
                <w:kern w:val="0"/>
                <w:szCs w:val="21"/>
                <w:highlight w:val="none"/>
              </w:rPr>
              <w:t>；地点：</w:t>
            </w:r>
            <w:r>
              <w:rPr>
                <w:rFonts w:hint="eastAsia" w:ascii="仿宋" w:hAnsi="仿宋" w:eastAsia="仿宋"/>
                <w:color w:val="auto"/>
                <w:kern w:val="0"/>
                <w:szCs w:val="21"/>
                <w:highlight w:val="none"/>
                <w:u w:val="single"/>
              </w:rPr>
              <w:t xml:space="preserve">  / </w:t>
            </w:r>
            <w:r>
              <w:rPr>
                <w:rFonts w:hint="eastAsia" w:ascii="仿宋" w:hAnsi="仿宋" w:eastAsia="仿宋"/>
                <w:color w:val="auto"/>
                <w:kern w:val="0"/>
                <w:szCs w:val="21"/>
                <w:highlight w:val="none"/>
              </w:rPr>
              <w:t>；联系人</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r>
              <w:rPr>
                <w:rFonts w:hint="eastAsia" w:ascii="仿宋" w:hAnsi="仿宋" w:eastAsia="仿宋"/>
                <w:color w:val="auto"/>
                <w:kern w:val="28"/>
                <w:szCs w:val="21"/>
                <w:highlight w:val="none"/>
              </w:rPr>
              <w:t>联系电话：</w:t>
            </w:r>
            <w:r>
              <w:rPr>
                <w:rFonts w:hint="eastAsia" w:ascii="仿宋" w:hAnsi="仿宋" w:eastAsia="仿宋"/>
                <w:color w:val="auto"/>
                <w:kern w:val="28"/>
                <w:szCs w:val="21"/>
                <w:highlight w:val="none"/>
                <w:u w:val="single"/>
              </w:rPr>
              <w:t xml:space="preserve">  /  </w:t>
            </w:r>
            <w:r>
              <w:rPr>
                <w:rFonts w:hint="eastAsia" w:ascii="仿宋" w:hAnsi="仿宋" w:eastAsia="仿宋"/>
                <w:color w:val="auto"/>
                <w:szCs w:val="21"/>
                <w:highlight w:val="none"/>
              </w:rPr>
              <w:t>。请投标人在上述时间内提供样品并按规定位置安装完毕。超过截止时间的，采购人或采购代理机构将不予接收，并将清场并封闭样品现场。</w:t>
            </w:r>
          </w:p>
          <w:p>
            <w:pPr>
              <w:wordWrap w:val="0"/>
              <w:spacing w:line="400" w:lineRule="exact"/>
              <w:rPr>
                <w:rFonts w:ascii="仿宋" w:hAnsi="仿宋" w:eastAsia="仿宋"/>
                <w:color w:val="auto"/>
                <w:szCs w:val="21"/>
                <w:highlight w:val="none"/>
              </w:rPr>
            </w:pPr>
            <w:r>
              <w:rPr>
                <w:rFonts w:ascii="仿宋" w:hAnsi="仿宋" w:eastAsia="仿宋"/>
                <w:color w:val="auto"/>
                <w:szCs w:val="21"/>
                <w:highlight w:val="none"/>
              </w:rPr>
              <w:t xml:space="preserve"> (6)采购活动结束后，对于未中标人提供的样品，</w:t>
            </w:r>
            <w:r>
              <w:rPr>
                <w:rFonts w:hint="eastAsia" w:ascii="仿宋" w:hAnsi="仿宋" w:eastAsia="仿宋"/>
                <w:color w:val="auto"/>
                <w:szCs w:val="21"/>
                <w:highlight w:val="none"/>
              </w:rPr>
              <w:t>采购人、采购机构将通知</w:t>
            </w:r>
            <w:r>
              <w:rPr>
                <w:rFonts w:ascii="仿宋" w:hAnsi="仿宋" w:eastAsia="仿宋"/>
                <w:color w:val="auto"/>
                <w:szCs w:val="21"/>
                <w:highlight w:val="none"/>
              </w:rPr>
              <w:t>未中标人</w:t>
            </w:r>
            <w:r>
              <w:rPr>
                <w:rFonts w:hint="eastAsia" w:ascii="仿宋" w:hAnsi="仿宋" w:eastAsia="仿宋"/>
                <w:color w:val="auto"/>
                <w:szCs w:val="21"/>
                <w:highlight w:val="none"/>
              </w:rPr>
              <w:t>在规定的时间内取回，逾期未取回的，采购人、采购机构不负保管义务</w:t>
            </w:r>
            <w:r>
              <w:rPr>
                <w:rFonts w:ascii="仿宋" w:hAnsi="仿宋" w:eastAsia="仿宋"/>
                <w:color w:val="auto"/>
                <w:szCs w:val="21"/>
                <w:highlight w:val="none"/>
              </w:rPr>
              <w:t>；对于中标人提供的样品，</w:t>
            </w:r>
            <w:r>
              <w:rPr>
                <w:rFonts w:hint="eastAsia" w:ascii="仿宋" w:hAnsi="仿宋" w:eastAsia="仿宋"/>
                <w:color w:val="auto"/>
                <w:szCs w:val="21"/>
                <w:highlight w:val="none"/>
              </w:rPr>
              <w:t>采购人将进</w:t>
            </w:r>
            <w:r>
              <w:rPr>
                <w:rFonts w:ascii="仿宋" w:hAnsi="仿宋" w:eastAsia="仿宋"/>
                <w:color w:val="auto"/>
                <w:szCs w:val="21"/>
                <w:highlight w:val="none"/>
              </w:rPr>
              <w:t>行保管、封存，并作为履约验收的参考。</w:t>
            </w:r>
          </w:p>
          <w:p>
            <w:pPr>
              <w:wordWrap w:val="0"/>
              <w:spacing w:line="400" w:lineRule="exact"/>
              <w:rPr>
                <w:color w:val="auto"/>
                <w:highlight w:val="none"/>
              </w:rPr>
            </w:pPr>
            <w:r>
              <w:rPr>
                <w:rFonts w:hint="eastAsia" w:ascii="仿宋" w:hAnsi="仿宋" w:eastAsia="仿宋"/>
                <w:color w:val="auto"/>
                <w:szCs w:val="21"/>
                <w:highlight w:val="none"/>
              </w:rPr>
              <w:t>（</w:t>
            </w:r>
            <w:r>
              <w:rPr>
                <w:rFonts w:ascii="仿宋" w:hAnsi="仿宋" w:eastAsia="仿宋"/>
                <w:color w:val="auto"/>
                <w:szCs w:val="21"/>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6</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方案讲解演示</w:t>
            </w:r>
          </w:p>
        </w:tc>
        <w:tc>
          <w:tcPr>
            <w:tcW w:w="6366" w:type="dxa"/>
            <w:vAlign w:val="center"/>
          </w:tcPr>
          <w:p>
            <w:pPr>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859348549"/>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14852146"/>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不组织。</w:t>
            </w:r>
          </w:p>
          <w:p>
            <w:pPr>
              <w:spacing w:line="400" w:lineRule="exact"/>
              <w:rPr>
                <w:rFonts w:ascii="仿宋" w:hAnsi="仿宋" w:eastAsia="仿宋"/>
                <w:color w:val="auto"/>
                <w:kern w:val="0"/>
                <w:szCs w:val="21"/>
                <w:highlight w:val="none"/>
              </w:rPr>
            </w:pPr>
            <w:sdt>
              <w:sdtPr>
                <w:rPr>
                  <w:rFonts w:hint="eastAsia" w:ascii="仿宋" w:hAnsi="仿宋" w:eastAsia="仿宋" w:cs="Arial"/>
                  <w:color w:val="auto"/>
                  <w:kern w:val="0"/>
                  <w:szCs w:val="21"/>
                  <w:highlight w:val="none"/>
                </w:rPr>
                <w:id w:val="1174071719"/>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14852146"/>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FE"/>
                    </w:r>
                  </w:sdtContent>
                </w:sdt>
              </w:sdtContent>
            </w:sdt>
            <w:r>
              <w:rPr>
                <w:rFonts w:ascii="仿宋" w:hAnsi="仿宋" w:eastAsia="仿宋"/>
                <w:color w:val="auto"/>
                <w:kern w:val="0"/>
                <w:szCs w:val="21"/>
                <w:highlight w:val="none"/>
              </w:rPr>
              <w:t>B组织。</w:t>
            </w:r>
          </w:p>
          <w:p>
            <w:pPr>
              <w:snapToGrid w:val="0"/>
              <w:spacing w:line="400" w:lineRule="exact"/>
              <w:rPr>
                <w:rFonts w:hint="eastAsia" w:ascii="仿宋" w:hAnsi="仿宋" w:eastAsia="仿宋"/>
                <w:color w:val="auto"/>
                <w:kern w:val="0"/>
                <w:szCs w:val="21"/>
                <w:highlight w:val="none"/>
                <w:lang w:val="zh-CN"/>
              </w:rPr>
            </w:pPr>
            <w:r>
              <w:rPr>
                <w:rFonts w:hint="eastAsia" w:ascii="仿宋" w:hAnsi="仿宋" w:eastAsia="仿宋"/>
                <w:color w:val="auto"/>
                <w:kern w:val="0"/>
                <w:szCs w:val="21"/>
                <w:highlight w:val="none"/>
                <w:lang w:val="zh-CN"/>
              </w:rPr>
              <w:t>（1）演示以投标文件解密时间先后次序为准。</w:t>
            </w:r>
          </w:p>
          <w:p>
            <w:pPr>
              <w:snapToGrid w:val="0"/>
              <w:spacing w:line="400" w:lineRule="exact"/>
              <w:rPr>
                <w:rFonts w:hint="eastAsia" w:ascii="仿宋" w:hAnsi="仿宋" w:eastAsia="仿宋"/>
                <w:color w:val="auto"/>
                <w:kern w:val="0"/>
                <w:szCs w:val="21"/>
                <w:highlight w:val="none"/>
                <w:lang w:val="zh-CN"/>
              </w:rPr>
            </w:pPr>
            <w:r>
              <w:rPr>
                <w:rFonts w:hint="eastAsia" w:ascii="仿宋" w:hAnsi="仿宋" w:eastAsia="仿宋"/>
                <w:color w:val="auto"/>
                <w:kern w:val="0"/>
                <w:szCs w:val="21"/>
                <w:highlight w:val="none"/>
                <w:lang w:val="zh-CN"/>
              </w:rPr>
              <w:t>（2）演示方式：</w:t>
            </w:r>
          </w:p>
          <w:p>
            <w:pPr>
              <w:snapToGrid w:val="0"/>
              <w:spacing w:line="400" w:lineRule="exact"/>
              <w:rPr>
                <w:rFonts w:hint="eastAsia" w:ascii="仿宋" w:hAnsi="仿宋" w:eastAsia="仿宋"/>
                <w:color w:val="auto"/>
                <w:kern w:val="0"/>
                <w:szCs w:val="21"/>
                <w:highlight w:val="none"/>
                <w:lang w:val="zh-CN"/>
              </w:rPr>
            </w:pPr>
            <w:r>
              <w:rPr>
                <w:rFonts w:hint="eastAsia" w:ascii="仿宋" w:hAnsi="仿宋" w:eastAsia="仿宋"/>
                <w:color w:val="auto"/>
                <w:kern w:val="0"/>
                <w:szCs w:val="21"/>
                <w:highlight w:val="none"/>
                <w:lang w:val="zh-CN"/>
              </w:rPr>
              <w:t>各投标供应商需在投标截止时间前（考虑到疫情相关因素，建议提前送达）递交以介质（U盘）存储的 “演示视频”一份（MP4格式，时长</w:t>
            </w:r>
            <w:r>
              <w:rPr>
                <w:rFonts w:hint="eastAsia" w:ascii="仿宋" w:hAnsi="仿宋" w:eastAsia="仿宋"/>
                <w:color w:val="auto"/>
                <w:kern w:val="0"/>
                <w:szCs w:val="21"/>
                <w:highlight w:val="none"/>
              </w:rPr>
              <w:t>控制在</w:t>
            </w:r>
            <w:r>
              <w:rPr>
                <w:rFonts w:hint="eastAsia" w:ascii="仿宋" w:hAnsi="仿宋" w:eastAsia="仿宋"/>
                <w:color w:val="auto"/>
                <w:kern w:val="0"/>
                <w:szCs w:val="21"/>
                <w:highlight w:val="none"/>
                <w:lang w:val="en-US" w:eastAsia="zh-CN"/>
              </w:rPr>
              <w:t>20</w:t>
            </w:r>
            <w:r>
              <w:rPr>
                <w:rFonts w:hint="eastAsia" w:ascii="仿宋" w:hAnsi="仿宋" w:eastAsia="仿宋"/>
                <w:color w:val="auto"/>
                <w:kern w:val="0"/>
                <w:szCs w:val="21"/>
                <w:highlight w:val="none"/>
              </w:rPr>
              <w:t>分钟左右</w:t>
            </w:r>
            <w:r>
              <w:rPr>
                <w:rFonts w:hint="eastAsia" w:ascii="仿宋" w:hAnsi="仿宋" w:eastAsia="仿宋"/>
                <w:color w:val="auto"/>
                <w:kern w:val="0"/>
                <w:szCs w:val="21"/>
                <w:highlight w:val="none"/>
                <w:lang w:val="zh-CN"/>
              </w:rPr>
              <w:t>），应当密封包装，并在包装上标注投标项目名称、投标单位名称并加盖公章。没有密封包装或者逾期邮寄送达至邮寄地点的“演示视频”将不予接收。邮寄地点：浙江省</w:t>
            </w:r>
            <w:r>
              <w:rPr>
                <w:rFonts w:hint="eastAsia" w:ascii="仿宋" w:hAnsi="仿宋" w:eastAsia="仿宋"/>
                <w:color w:val="auto"/>
                <w:kern w:val="0"/>
                <w:szCs w:val="21"/>
                <w:highlight w:val="none"/>
              </w:rPr>
              <w:t>嘉兴市秀洲区成秀路205号鼎盛大厦四楼402室（浙江槿阳建设管理有限公司），联系人：吴女士，联系方式：13758072149</w:t>
            </w:r>
            <w:r>
              <w:rPr>
                <w:rFonts w:hint="eastAsia" w:ascii="仿宋" w:hAnsi="仿宋" w:eastAsia="仿宋"/>
                <w:color w:val="auto"/>
                <w:kern w:val="0"/>
                <w:szCs w:val="21"/>
                <w:highlight w:val="none"/>
                <w:lang w:val="zh-CN"/>
              </w:rPr>
              <w:t>，因未提交“演示视频”或提供的视频格式无法播放的责任由供应商自负。到付的邮寄形式拒收。</w:t>
            </w:r>
          </w:p>
          <w:p>
            <w:pPr>
              <w:snapToGrid w:val="0"/>
              <w:spacing w:line="400" w:lineRule="exact"/>
              <w:rPr>
                <w:rFonts w:hint="eastAsia" w:ascii="仿宋" w:hAnsi="仿宋" w:eastAsia="仿宋"/>
                <w:color w:val="auto"/>
                <w:kern w:val="0"/>
                <w:szCs w:val="21"/>
                <w:highlight w:val="none"/>
                <w:lang w:val="zh-CN"/>
              </w:rPr>
            </w:pPr>
            <w:r>
              <w:rPr>
                <w:rFonts w:hint="eastAsia" w:ascii="仿宋" w:hAnsi="仿宋" w:eastAsia="仿宋"/>
                <w:color w:val="auto"/>
                <w:kern w:val="0"/>
                <w:szCs w:val="21"/>
                <w:highlight w:val="none"/>
                <w:lang w:val="zh-CN"/>
              </w:rPr>
              <w:t>（3）演示内容：</w:t>
            </w:r>
          </w:p>
          <w:p>
            <w:pPr>
              <w:snapToGrid w:val="0"/>
              <w:spacing w:line="400" w:lineRule="exact"/>
              <w:rPr>
                <w:rFonts w:hint="eastAsia" w:ascii="仿宋" w:hAnsi="仿宋" w:eastAsia="仿宋"/>
                <w:color w:val="auto"/>
                <w:kern w:val="0"/>
                <w:szCs w:val="21"/>
                <w:highlight w:val="none"/>
                <w:lang w:val="zh-CN"/>
              </w:rPr>
            </w:pPr>
            <w:r>
              <w:rPr>
                <w:rFonts w:hint="eastAsia" w:ascii="仿宋" w:hAnsi="仿宋" w:eastAsia="仿宋"/>
                <w:color w:val="auto"/>
                <w:kern w:val="0"/>
                <w:szCs w:val="21"/>
                <w:highlight w:val="none"/>
                <w:lang w:val="zh-CN" w:eastAsia="zh-CN"/>
              </w:rPr>
              <w:t>智慧化管理（</w:t>
            </w:r>
            <w:r>
              <w:rPr>
                <w:rFonts w:hint="eastAsia" w:ascii="仿宋" w:hAnsi="仿宋" w:eastAsia="仿宋"/>
                <w:color w:val="auto"/>
                <w:kern w:val="0"/>
                <w:szCs w:val="21"/>
                <w:highlight w:val="none"/>
                <w:lang w:val="en-US" w:eastAsia="zh-CN"/>
              </w:rPr>
              <w:t>具体详见评标办法</w:t>
            </w:r>
            <w:r>
              <w:rPr>
                <w:rFonts w:hint="eastAsia" w:ascii="仿宋" w:hAnsi="仿宋" w:eastAsia="仿宋"/>
                <w:color w:val="auto"/>
                <w:kern w:val="0"/>
                <w:szCs w:val="21"/>
                <w:highlight w:val="none"/>
                <w:lang w:val="zh-CN" w:eastAsia="zh-CN"/>
              </w:rPr>
              <w:t>）</w:t>
            </w:r>
            <w:r>
              <w:rPr>
                <w:rFonts w:hint="eastAsia" w:ascii="仿宋" w:hAnsi="仿宋" w:eastAsia="仿宋"/>
                <w:color w:val="auto"/>
                <w:kern w:val="0"/>
                <w:szCs w:val="21"/>
                <w:highlight w:val="none"/>
                <w:lang w:val="zh-CN"/>
              </w:rPr>
              <w:t>。</w:t>
            </w:r>
          </w:p>
          <w:p>
            <w:pPr>
              <w:snapToGrid w:val="0"/>
              <w:spacing w:line="400" w:lineRule="exact"/>
              <w:rPr>
                <w:color w:val="auto"/>
                <w:highlight w:val="none"/>
              </w:rPr>
            </w:pPr>
            <w:r>
              <w:rPr>
                <w:rFonts w:hint="eastAsia" w:ascii="仿宋" w:hAnsi="仿宋" w:eastAsia="仿宋"/>
                <w:color w:val="auto"/>
                <w:kern w:val="0"/>
                <w:szCs w:val="21"/>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 xml:space="preserve"> 7</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是否允许采购进口产品</w:t>
            </w:r>
          </w:p>
        </w:tc>
        <w:tc>
          <w:tcPr>
            <w:tcW w:w="6366" w:type="dxa"/>
            <w:vAlign w:val="center"/>
          </w:tcPr>
          <w:p>
            <w:pPr>
              <w:spacing w:line="400" w:lineRule="exact"/>
              <w:rPr>
                <w:rFonts w:ascii="仿宋" w:hAnsi="仿宋" w:eastAsia="仿宋" w:cs="Arial"/>
                <w:color w:val="auto"/>
                <w:kern w:val="0"/>
                <w:szCs w:val="21"/>
                <w:highlight w:val="none"/>
              </w:rPr>
            </w:pPr>
            <w:r>
              <w:rPr>
                <w:rFonts w:ascii="仿宋" w:hAnsi="仿宋" w:eastAsia="仿宋" w:cs="Arial"/>
                <w:color w:val="auto"/>
                <w:kern w:val="0"/>
                <w:szCs w:val="21"/>
                <w:highlight w:val="none"/>
              </w:rPr>
              <w:sym w:font="Wingdings" w:char="00FE"/>
            </w:r>
            <w:r>
              <w:rPr>
                <w:rFonts w:hint="eastAsia" w:ascii="仿宋" w:hAnsi="仿宋" w:eastAsia="仿宋" w:cs="Arial"/>
                <w:color w:val="auto"/>
                <w:kern w:val="0"/>
                <w:szCs w:val="21"/>
                <w:highlight w:val="none"/>
              </w:rPr>
              <w:t>本项目不允许采购进口产品。</w:t>
            </w:r>
          </w:p>
          <w:p>
            <w:pPr>
              <w:spacing w:line="400" w:lineRule="exact"/>
              <w:rPr>
                <w:color w:val="auto"/>
                <w:highlight w:val="none"/>
              </w:rPr>
            </w:pPr>
            <w:sdt>
              <w:sdtPr>
                <w:rPr>
                  <w:rFonts w:hint="eastAsia" w:ascii="仿宋" w:hAnsi="仿宋" w:eastAsia="仿宋" w:cs="Arial"/>
                  <w:color w:val="auto"/>
                  <w:kern w:val="0"/>
                  <w:szCs w:val="21"/>
                  <w:highlight w:val="none"/>
                </w:rPr>
                <w:id w:val="800808974"/>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00A8"/>
                </w:r>
              </w:sdtContent>
            </w:sdt>
            <w:sdt>
              <w:sdtPr>
                <w:rPr>
                  <w:rFonts w:hint="eastAsia" w:ascii="仿宋" w:hAnsi="仿宋" w:eastAsia="仿宋" w:cs="Arial"/>
                  <w:color w:val="auto"/>
                  <w:kern w:val="0"/>
                  <w:szCs w:val="21"/>
                  <w:highlight w:val="none"/>
                </w:rPr>
                <w:id w:val="-52852824"/>
              </w:sdtPr>
              <w:sdtEndPr>
                <w:rPr>
                  <w:rFonts w:hint="eastAsia" w:ascii="仿宋" w:hAnsi="仿宋" w:eastAsia="仿宋" w:cs="Arial"/>
                  <w:color w:val="auto"/>
                  <w:kern w:val="0"/>
                  <w:szCs w:val="21"/>
                  <w:highlight w:val="none"/>
                </w:rPr>
              </w:sdtEndPr>
              <w:sdtContent/>
            </w:sdt>
            <w:r>
              <w:rPr>
                <w:rFonts w:hint="eastAsia" w:ascii="仿宋" w:hAnsi="仿宋" w:eastAsia="仿宋" w:cs="Arial"/>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8</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项目属性与核心产品</w:t>
            </w:r>
          </w:p>
        </w:tc>
        <w:tc>
          <w:tcPr>
            <w:tcW w:w="6366" w:type="dxa"/>
            <w:vAlign w:val="center"/>
          </w:tcPr>
          <w:p>
            <w:pPr>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18727868"/>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474885559"/>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货物类，单一产品或</w:t>
            </w:r>
            <w:r>
              <w:rPr>
                <w:rFonts w:hint="eastAsia" w:ascii="仿宋" w:hAnsi="仿宋" w:eastAsia="仿宋"/>
                <w:color w:val="auto"/>
                <w:kern w:val="0"/>
                <w:szCs w:val="21"/>
                <w:highlight w:val="none"/>
              </w:rPr>
              <w:t>核心产品为：</w:t>
            </w:r>
            <w:r>
              <w:rPr>
                <w:rFonts w:hint="eastAsia" w:ascii="仿宋" w:hAnsi="仿宋" w:eastAsia="仿宋"/>
                <w:color w:val="auto"/>
                <w:kern w:val="0"/>
                <w:szCs w:val="21"/>
                <w:highlight w:val="none"/>
                <w:u w:val="single"/>
              </w:rPr>
              <w:t>/</w:t>
            </w:r>
            <w:r>
              <w:rPr>
                <w:rFonts w:hint="eastAsia" w:ascii="仿宋" w:hAnsi="仿宋" w:eastAsia="仿宋"/>
                <w:color w:val="auto"/>
                <w:szCs w:val="21"/>
                <w:highlight w:val="none"/>
              </w:rPr>
              <w:t>。</w:t>
            </w:r>
          </w:p>
          <w:p>
            <w:pPr>
              <w:spacing w:line="400" w:lineRule="exact"/>
              <w:rPr>
                <w:color w:val="auto"/>
                <w:highlight w:val="none"/>
              </w:rPr>
            </w:pPr>
            <w:sdt>
              <w:sdtPr>
                <w:rPr>
                  <w:rFonts w:hint="eastAsia" w:ascii="仿宋" w:hAnsi="仿宋" w:eastAsia="仿宋" w:cs="Arial"/>
                  <w:color w:val="auto"/>
                  <w:kern w:val="0"/>
                  <w:szCs w:val="21"/>
                  <w:highlight w:val="none"/>
                </w:rPr>
                <w:id w:val="1576009311"/>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FE"/>
                </w:r>
              </w:sdtContent>
            </w:sdt>
            <w:r>
              <w:rPr>
                <w:rFonts w:ascii="仿宋" w:hAnsi="仿宋" w:eastAsia="仿宋" w:cs="Arial"/>
                <w:color w:val="auto"/>
                <w:kern w:val="0"/>
                <w:szCs w:val="21"/>
                <w:highlight w:val="none"/>
              </w:rPr>
              <w:t>B</w:t>
            </w:r>
            <w:r>
              <w:rPr>
                <w:rFonts w:hint="eastAsia" w:ascii="仿宋" w:hAnsi="仿宋" w:eastAsia="仿宋"/>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9</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采购标的对应的中小企业划分标准所属行业</w:t>
            </w:r>
          </w:p>
        </w:tc>
        <w:tc>
          <w:tcPr>
            <w:tcW w:w="6366" w:type="dxa"/>
            <w:vAlign w:val="center"/>
          </w:tcPr>
          <w:p>
            <w:pPr>
              <w:snapToGrid w:val="0"/>
              <w:spacing w:line="400" w:lineRule="exact"/>
              <w:rPr>
                <w:color w:val="auto"/>
                <w:highlight w:val="none"/>
              </w:rPr>
            </w:pPr>
            <w:r>
              <w:rPr>
                <w:rFonts w:hint="eastAsia" w:ascii="仿宋" w:hAnsi="仿宋" w:eastAsia="仿宋" w:cs="Arial"/>
                <w:color w:val="auto"/>
                <w:kern w:val="0"/>
                <w:szCs w:val="21"/>
                <w:highlight w:val="none"/>
              </w:rPr>
              <w:t>标的：</w:t>
            </w:r>
            <w:r>
              <w:rPr>
                <w:rFonts w:hint="eastAsia" w:ascii="仿宋" w:hAnsi="仿宋" w:eastAsia="仿宋" w:cs="Arial"/>
                <w:color w:val="auto"/>
                <w:kern w:val="0"/>
                <w:szCs w:val="21"/>
                <w:highlight w:val="none"/>
                <w:u w:val="single"/>
              </w:rPr>
              <w:t>2023年新城街道区域保洁服务项目</w:t>
            </w:r>
            <w:r>
              <w:rPr>
                <w:rFonts w:hint="eastAsia" w:ascii="仿宋" w:hAnsi="仿宋" w:eastAsia="仿宋" w:cs="Arial"/>
                <w:color w:val="auto"/>
                <w:kern w:val="0"/>
                <w:szCs w:val="21"/>
                <w:highlight w:val="none"/>
              </w:rPr>
              <w:t>，属于</w:t>
            </w:r>
            <w:r>
              <w:rPr>
                <w:rFonts w:hint="eastAsia" w:ascii="仿宋" w:hAnsi="仿宋" w:eastAsia="仿宋" w:cs="Arial"/>
                <w:color w:val="auto"/>
                <w:kern w:val="0"/>
                <w:szCs w:val="21"/>
                <w:highlight w:val="none"/>
                <w:u w:val="single"/>
              </w:rPr>
              <w:t>（十六）其他未列明行业</w:t>
            </w:r>
            <w:r>
              <w:rPr>
                <w:rFonts w:hint="eastAsia" w:ascii="仿宋" w:hAnsi="仿宋" w:eastAsia="仿宋" w:cs="Arial"/>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ascii="仿宋" w:hAnsi="仿宋" w:eastAsia="仿宋" w:cs="仿宋_GB2312"/>
                <w:color w:val="auto"/>
                <w:szCs w:val="21"/>
                <w:highlight w:val="none"/>
              </w:rPr>
              <w:t>10</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节能产品、环境标志产品</w:t>
            </w:r>
          </w:p>
        </w:tc>
        <w:tc>
          <w:tcPr>
            <w:tcW w:w="6366" w:type="dxa"/>
            <w:vAlign w:val="center"/>
          </w:tcPr>
          <w:p>
            <w:pPr>
              <w:snapToGrid w:val="0"/>
              <w:spacing w:line="400" w:lineRule="exact"/>
              <w:rPr>
                <w:color w:val="auto"/>
                <w:highlight w:val="none"/>
              </w:rPr>
            </w:pPr>
            <w:r>
              <w:rPr>
                <w:rFonts w:hint="eastAsia" w:ascii="仿宋" w:hAnsi="仿宋" w:eastAsia="仿宋" w:cs="Arial"/>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11</w:t>
            </w:r>
          </w:p>
        </w:tc>
        <w:tc>
          <w:tcPr>
            <w:tcW w:w="1907" w:type="dxa"/>
            <w:vAlign w:val="center"/>
          </w:tcPr>
          <w:p>
            <w:pPr>
              <w:snapToGrid w:val="0"/>
              <w:jc w:val="center"/>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金融支持</w:t>
            </w:r>
          </w:p>
        </w:tc>
        <w:tc>
          <w:tcPr>
            <w:tcW w:w="6366" w:type="dxa"/>
            <w:vAlign w:val="center"/>
          </w:tcPr>
          <w:p>
            <w:pPr>
              <w:pStyle w:val="34"/>
              <w:wordWrap w:val="0"/>
              <w:spacing w:line="400" w:lineRule="exact"/>
              <w:rPr>
                <w:rFonts w:ascii="仿宋" w:hAnsi="仿宋" w:eastAsia="仿宋" w:cs="Times New Roman"/>
                <w:color w:val="auto"/>
                <w:kern w:val="28"/>
                <w:highlight w:val="none"/>
              </w:rPr>
            </w:pPr>
            <w:r>
              <w:rPr>
                <w:rFonts w:hint="eastAsia" w:ascii="仿宋" w:hAnsi="仿宋" w:eastAsia="仿宋" w:cs="Times New Roman"/>
                <w:color w:val="auto"/>
                <w:kern w:val="28"/>
                <w:highlight w:val="none"/>
              </w:rPr>
              <w:t>为支持和促进中小企业发展，进一步发挥政府采购政策功能，浙江省财政厅出台浙财采监〔2022〕3号文件，企业若有融资意向，可通过政采云平台或其他渠道进行咨询。</w:t>
            </w:r>
          </w:p>
          <w:p>
            <w:pPr>
              <w:pStyle w:val="34"/>
              <w:wordWrap w:val="0"/>
              <w:spacing w:line="400" w:lineRule="exact"/>
              <w:rPr>
                <w:rFonts w:ascii="仿宋" w:hAnsi="仿宋" w:eastAsia="仿宋" w:cs="Times New Roman"/>
                <w:color w:val="auto"/>
                <w:kern w:val="28"/>
                <w:highlight w:val="none"/>
              </w:rPr>
            </w:pPr>
            <w:r>
              <w:rPr>
                <w:rFonts w:hint="eastAsia" w:ascii="仿宋" w:hAnsi="仿宋" w:eastAsia="仿宋" w:cs="Times New Roman"/>
                <w:color w:val="auto"/>
                <w:kern w:val="28"/>
                <w:highlight w:val="none"/>
              </w:rPr>
              <w:t>政采云平台融资服务（https://jinrong.zcygov.cn/finance-service/#/home)，可查看相应融资政策文件及各相关银行服务方案。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eastAsia="仿宋"/>
                <w:color w:val="auto"/>
                <w:highlight w:val="none"/>
              </w:rPr>
            </w:pPr>
            <w:r>
              <w:rPr>
                <w:rFonts w:ascii="仿宋" w:hAnsi="仿宋" w:eastAsia="仿宋" w:cs="仿宋_GB2312"/>
                <w:color w:val="auto"/>
                <w:szCs w:val="21"/>
                <w:highlight w:val="none"/>
              </w:rPr>
              <w:t>1</w:t>
            </w:r>
            <w:r>
              <w:rPr>
                <w:rFonts w:hint="eastAsia" w:ascii="仿宋" w:hAnsi="仿宋" w:eastAsia="仿宋" w:cs="仿宋_GB2312"/>
                <w:color w:val="auto"/>
                <w:szCs w:val="21"/>
                <w:highlight w:val="none"/>
              </w:rPr>
              <w:t>2</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备份投标文件送达地点和签收人员</w:t>
            </w:r>
          </w:p>
        </w:tc>
        <w:tc>
          <w:tcPr>
            <w:tcW w:w="6366" w:type="dxa"/>
            <w:vAlign w:val="center"/>
          </w:tcPr>
          <w:p>
            <w:pPr>
              <w:pStyle w:val="34"/>
              <w:spacing w:line="400" w:lineRule="exact"/>
              <w:rPr>
                <w:rFonts w:ascii="仿宋" w:hAnsi="仿宋" w:eastAsia="仿宋" w:cs="仿宋_GB2312"/>
                <w:color w:val="auto"/>
                <w:highlight w:val="none"/>
              </w:rPr>
            </w:pPr>
            <w:r>
              <w:rPr>
                <w:rFonts w:hint="eastAsia" w:ascii="仿宋" w:hAnsi="仿宋" w:eastAsia="仿宋" w:cs="Times New Roman"/>
                <w:color w:val="auto"/>
                <w:kern w:val="28"/>
                <w:highlight w:val="none"/>
              </w:rPr>
              <w:t>备份投标文件送达地点：</w:t>
            </w:r>
            <w:r>
              <w:rPr>
                <w:rFonts w:hint="eastAsia" w:ascii="仿宋" w:hAnsi="仿宋" w:eastAsia="仿宋" w:cs="Times New Roman"/>
                <w:color w:val="auto"/>
                <w:kern w:val="28"/>
                <w:highlight w:val="none"/>
                <w:u w:val="single"/>
              </w:rPr>
              <w:t>浙江槿阳建设管理有限公司（嘉兴市秀洲区成秀路205号鼎盛大厦4楼）</w:t>
            </w:r>
            <w:r>
              <w:rPr>
                <w:rFonts w:hint="eastAsia" w:ascii="仿宋" w:hAnsi="仿宋" w:eastAsia="仿宋" w:cs="Times New Roman"/>
                <w:color w:val="auto"/>
                <w:kern w:val="28"/>
                <w:highlight w:val="none"/>
              </w:rPr>
              <w:t>；备份投标文件签收联系人：</w:t>
            </w:r>
            <w:r>
              <w:rPr>
                <w:rFonts w:hint="eastAsia" w:ascii="仿宋" w:hAnsi="仿宋" w:eastAsia="仿宋" w:cs="Times New Roman"/>
                <w:color w:val="auto"/>
                <w:kern w:val="28"/>
                <w:highlight w:val="none"/>
                <w:u w:val="single"/>
              </w:rPr>
              <w:t xml:space="preserve"> </w:t>
            </w:r>
            <w:r>
              <w:rPr>
                <w:rFonts w:hint="eastAsia" w:ascii="仿宋" w:hAnsi="仿宋" w:eastAsia="仿宋" w:cs="Times New Roman"/>
                <w:color w:val="auto"/>
                <w:kern w:val="28"/>
                <w:highlight w:val="none"/>
                <w:u w:val="single"/>
                <w:lang w:eastAsia="zh-CN"/>
              </w:rPr>
              <w:t>吴女士</w:t>
            </w:r>
            <w:r>
              <w:rPr>
                <w:rFonts w:hint="eastAsia" w:ascii="仿宋" w:hAnsi="仿宋" w:eastAsia="仿宋" w:cs="Times New Roman"/>
                <w:color w:val="auto"/>
                <w:kern w:val="28"/>
                <w:highlight w:val="none"/>
                <w:u w:val="single"/>
              </w:rPr>
              <w:t xml:space="preserve"> </w:t>
            </w:r>
            <w:r>
              <w:rPr>
                <w:rFonts w:hint="eastAsia" w:ascii="仿宋" w:hAnsi="仿宋" w:eastAsia="仿宋" w:cs="Times New Roman"/>
                <w:color w:val="auto"/>
                <w:kern w:val="28"/>
                <w:highlight w:val="none"/>
              </w:rPr>
              <w:t>；联系电话：</w:t>
            </w:r>
            <w:r>
              <w:rPr>
                <w:rFonts w:hint="eastAsia" w:ascii="仿宋" w:hAnsi="仿宋" w:eastAsia="仿宋" w:cs="Times New Roman"/>
                <w:color w:val="auto"/>
                <w:kern w:val="28"/>
                <w:highlight w:val="none"/>
                <w:u w:val="single"/>
              </w:rPr>
              <w:t xml:space="preserve"> 13758072149 </w:t>
            </w:r>
            <w:r>
              <w:rPr>
                <w:rFonts w:hint="eastAsia" w:ascii="仿宋" w:hAnsi="仿宋" w:eastAsia="仿宋" w:cs="仿宋_GB2312"/>
                <w:color w:val="auto"/>
                <w:highlight w:val="none"/>
              </w:rPr>
              <w:t>。</w:t>
            </w:r>
          </w:p>
          <w:p>
            <w:pPr>
              <w:pStyle w:val="34"/>
              <w:spacing w:line="400" w:lineRule="exact"/>
              <w:rPr>
                <w:color w:val="auto"/>
                <w:highlight w:val="none"/>
              </w:rPr>
            </w:pPr>
            <w:r>
              <w:rPr>
                <w:rFonts w:hint="eastAsia" w:ascii="仿宋" w:hAnsi="仿宋" w:eastAsia="仿宋" w:cs="仿宋_GB2312"/>
                <w:b/>
                <w:color w:val="auto"/>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13</w:t>
            </w:r>
          </w:p>
        </w:tc>
        <w:tc>
          <w:tcPr>
            <w:tcW w:w="1907" w:type="dxa"/>
            <w:vAlign w:val="center"/>
          </w:tcPr>
          <w:p>
            <w:pPr>
              <w:snapToGrid w:val="0"/>
              <w:jc w:val="center"/>
              <w:rPr>
                <w:rFonts w:ascii="仿宋" w:hAnsi="仿宋" w:eastAsia="仿宋" w:cs="仿宋_GB2312"/>
                <w:b/>
                <w:color w:val="auto"/>
                <w:szCs w:val="21"/>
                <w:highlight w:val="none"/>
              </w:rPr>
            </w:pPr>
            <w:r>
              <w:rPr>
                <w:rFonts w:hint="eastAsia" w:ascii="仿宋" w:hAnsi="仿宋" w:eastAsia="仿宋" w:cs="仿宋"/>
                <w:b/>
                <w:color w:val="auto"/>
                <w:szCs w:val="21"/>
                <w:highlight w:val="none"/>
              </w:rPr>
              <w:t>采购代理机构代理服务费用</w:t>
            </w:r>
          </w:p>
        </w:tc>
        <w:tc>
          <w:tcPr>
            <w:tcW w:w="6366" w:type="dxa"/>
            <w:vAlign w:val="center"/>
          </w:tcPr>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1.根据“国家发展和改革委员会办公厅《关于招标代理服务收费有关问题的通知》（发改办价格【2003】857号、财库【2018】2号第十五条）”规定，招标代理机构向中标人收取招标代理服务费。</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2.中标人应在收取《中标通知书》时向采购代理机构交纳招标代理服务费。</w:t>
            </w:r>
          </w:p>
          <w:p>
            <w:pPr>
              <w:rPr>
                <w:color w:val="auto"/>
                <w:highlight w:val="none"/>
              </w:rPr>
            </w:pPr>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79"/>
              <w:gridCol w:w="1380"/>
              <w:gridCol w:w="1428"/>
              <w:gridCol w:w="13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79" w:type="dxa"/>
                  <w:tcBorders>
                    <w:top w:val="double" w:color="auto" w:sz="4" w:space="0"/>
                    <w:left w:val="double" w:color="auto" w:sz="4" w:space="0"/>
                    <w:bottom w:val="single" w:color="auto" w:sz="6" w:space="0"/>
                    <w:right w:val="single" w:color="auto" w:sz="6" w:space="0"/>
                  </w:tcBorders>
                  <w:shd w:val="clear" w:color="auto" w:fill="D9D9D9"/>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中标金额（万元）</w:t>
                  </w:r>
                </w:p>
              </w:tc>
              <w:tc>
                <w:tcPr>
                  <w:tcW w:w="1380"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color w:val="auto"/>
                      <w:highlight w:val="none"/>
                    </w:rPr>
                  </w:pPr>
                  <w:r>
                    <w:rPr>
                      <w:rFonts w:hint="eastAsia" w:ascii="仿宋" w:hAnsi="仿宋" w:eastAsia="仿宋"/>
                      <w:color w:val="auto"/>
                      <w:highlight w:val="none"/>
                    </w:rPr>
                    <w:t>服务类招标收费费率</w:t>
                  </w:r>
                </w:p>
              </w:tc>
              <w:tc>
                <w:tcPr>
                  <w:tcW w:w="1428"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color w:val="auto"/>
                      <w:highlight w:val="none"/>
                    </w:rPr>
                  </w:pPr>
                  <w:r>
                    <w:rPr>
                      <w:rFonts w:hint="eastAsia" w:ascii="仿宋" w:hAnsi="仿宋" w:eastAsia="仿宋"/>
                      <w:color w:val="auto"/>
                      <w:highlight w:val="none"/>
                    </w:rPr>
                    <w:t>货物类招标收费费率</w:t>
                  </w:r>
                </w:p>
              </w:tc>
              <w:tc>
                <w:tcPr>
                  <w:tcW w:w="1330"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color w:val="auto"/>
                      <w:highlight w:val="none"/>
                    </w:rPr>
                  </w:pPr>
                  <w:r>
                    <w:rPr>
                      <w:rFonts w:hint="eastAsia" w:ascii="仿宋" w:hAnsi="仿宋" w:eastAsia="仿宋"/>
                      <w:color w:val="auto"/>
                      <w:highlight w:val="none"/>
                    </w:rPr>
                    <w:t>工程类招标收费费率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color w:val="auto"/>
                      <w:highlight w:val="none"/>
                    </w:rPr>
                  </w:pPr>
                  <w:r>
                    <w:rPr>
                      <w:rFonts w:hint="eastAsia" w:ascii="仿宋" w:hAnsi="仿宋" w:eastAsia="仿宋"/>
                      <w:color w:val="auto"/>
                      <w:highlight w:val="none"/>
                    </w:rPr>
                    <w:t>100以下</w:t>
                  </w:r>
                </w:p>
              </w:tc>
              <w:tc>
                <w:tcPr>
                  <w:tcW w:w="138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1.50％</w:t>
                  </w:r>
                </w:p>
              </w:tc>
              <w:tc>
                <w:tcPr>
                  <w:tcW w:w="1428"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1.50％</w:t>
                  </w:r>
                </w:p>
              </w:tc>
              <w:tc>
                <w:tcPr>
                  <w:tcW w:w="133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color w:val="auto"/>
                      <w:highlight w:val="none"/>
                    </w:rPr>
                  </w:pPr>
                  <w:r>
                    <w:rPr>
                      <w:rFonts w:hint="eastAsia" w:ascii="仿宋" w:hAnsi="仿宋" w:eastAsia="仿宋"/>
                      <w:color w:val="auto"/>
                      <w:highlight w:val="none"/>
                    </w:rPr>
                    <w:t>100-500</w:t>
                  </w:r>
                </w:p>
              </w:tc>
              <w:tc>
                <w:tcPr>
                  <w:tcW w:w="138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0.80％</w:t>
                  </w:r>
                </w:p>
              </w:tc>
              <w:tc>
                <w:tcPr>
                  <w:tcW w:w="1428"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1.10％</w:t>
                  </w:r>
                </w:p>
              </w:tc>
              <w:tc>
                <w:tcPr>
                  <w:tcW w:w="133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0.70％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color w:val="auto"/>
                      <w:highlight w:val="none"/>
                    </w:rPr>
                  </w:pPr>
                  <w:r>
                    <w:rPr>
                      <w:rFonts w:hint="eastAsia" w:ascii="仿宋" w:hAnsi="仿宋" w:eastAsia="仿宋"/>
                      <w:color w:val="auto"/>
                      <w:highlight w:val="none"/>
                    </w:rPr>
                    <w:t>500-1000</w:t>
                  </w:r>
                </w:p>
              </w:tc>
              <w:tc>
                <w:tcPr>
                  <w:tcW w:w="138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0.45％</w:t>
                  </w:r>
                </w:p>
              </w:tc>
              <w:tc>
                <w:tcPr>
                  <w:tcW w:w="1428"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0.80％</w:t>
                  </w:r>
                </w:p>
              </w:tc>
              <w:tc>
                <w:tcPr>
                  <w:tcW w:w="133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0.55％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double" w:color="auto" w:sz="4" w:space="0"/>
                    <w:right w:val="single" w:color="auto" w:sz="6" w:space="0"/>
                  </w:tcBorders>
                </w:tcPr>
                <w:p>
                  <w:pPr>
                    <w:pStyle w:val="34"/>
                    <w:contextualSpacing/>
                    <w:rPr>
                      <w:rFonts w:ascii="仿宋" w:hAnsi="仿宋" w:eastAsia="仿宋"/>
                      <w:color w:val="auto"/>
                      <w:highlight w:val="none"/>
                    </w:rPr>
                  </w:pPr>
                  <w:r>
                    <w:rPr>
                      <w:rFonts w:hint="eastAsia" w:ascii="仿宋" w:hAnsi="仿宋" w:eastAsia="仿宋"/>
                      <w:color w:val="auto"/>
                      <w:highlight w:val="none"/>
                    </w:rPr>
                    <w:t>1000-5000</w:t>
                  </w:r>
                </w:p>
              </w:tc>
              <w:tc>
                <w:tcPr>
                  <w:tcW w:w="1380" w:type="dxa"/>
                  <w:tcBorders>
                    <w:top w:val="single" w:color="auto" w:sz="6" w:space="0"/>
                    <w:left w:val="single" w:color="auto" w:sz="6" w:space="0"/>
                    <w:bottom w:val="double" w:color="auto" w:sz="4"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0.25％</w:t>
                  </w:r>
                </w:p>
              </w:tc>
              <w:tc>
                <w:tcPr>
                  <w:tcW w:w="1428" w:type="dxa"/>
                  <w:tcBorders>
                    <w:top w:val="single" w:color="auto" w:sz="6" w:space="0"/>
                    <w:left w:val="single" w:color="auto" w:sz="6" w:space="0"/>
                    <w:bottom w:val="double" w:color="auto" w:sz="4"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0.50％</w:t>
                  </w:r>
                </w:p>
              </w:tc>
              <w:tc>
                <w:tcPr>
                  <w:tcW w:w="1330" w:type="dxa"/>
                  <w:tcBorders>
                    <w:top w:val="single" w:color="auto" w:sz="6" w:space="0"/>
                    <w:left w:val="single" w:color="auto" w:sz="6" w:space="0"/>
                    <w:bottom w:val="double" w:color="auto" w:sz="4" w:space="0"/>
                    <w:right w:val="double" w:color="auto" w:sz="4" w:space="0"/>
                  </w:tcBorders>
                  <w:vAlign w:val="center"/>
                </w:tcPr>
                <w:p>
                  <w:pPr>
                    <w:pStyle w:val="34"/>
                    <w:contextualSpacing/>
                    <w:rPr>
                      <w:rFonts w:ascii="仿宋" w:hAnsi="仿宋" w:eastAsia="仿宋"/>
                      <w:color w:val="auto"/>
                      <w:highlight w:val="none"/>
                    </w:rPr>
                  </w:pPr>
                  <w:r>
                    <w:rPr>
                      <w:rFonts w:hint="eastAsia" w:ascii="仿宋" w:hAnsi="仿宋" w:eastAsia="仿宋"/>
                      <w:color w:val="auto"/>
                      <w:highlight w:val="none"/>
                    </w:rPr>
                    <w:t>0.35％</w:t>
                  </w:r>
                </w:p>
              </w:tc>
            </w:tr>
          </w:tbl>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3.本项目以</w:t>
            </w:r>
            <w:r>
              <w:rPr>
                <w:rFonts w:hint="eastAsia" w:ascii="仿宋" w:hAnsi="仿宋" w:eastAsia="仿宋"/>
                <w:color w:val="auto"/>
                <w:highlight w:val="none"/>
                <w:u w:val="single"/>
              </w:rPr>
              <w:t xml:space="preserve"> 服务类</w:t>
            </w:r>
            <w:r>
              <w:rPr>
                <w:rFonts w:hint="eastAsia" w:ascii="仿宋" w:hAnsi="仿宋" w:eastAsia="仿宋"/>
                <w:color w:val="auto"/>
                <w:highlight w:val="none"/>
              </w:rPr>
              <w:t>招标收费标准收取中标服务费，对于招标代理服务费不足6000元的按6000元计取招标代理服务费。</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4.服务费的货币为人民币。</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5.服务费支付方式：一次性以银行划账、电汇、汇票或支票的形式支付。</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6.服务费以银行划账方式按下列要求提交：</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收款人：浙江槿阳建设管理有限公司</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户名：浙江槿阳建设管理有限公司</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开户银行：中国建设银行股份有限公司嘉兴秀洲支行</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账号：33050163803500001451</w:t>
            </w:r>
          </w:p>
          <w:p>
            <w:pPr>
              <w:pStyle w:val="34"/>
              <w:spacing w:line="400" w:lineRule="exact"/>
              <w:contextualSpacing/>
              <w:rPr>
                <w:rFonts w:ascii="仿宋" w:hAnsi="仿宋" w:eastAsia="仿宋"/>
                <w:color w:val="auto"/>
                <w:highlight w:val="none"/>
              </w:rPr>
            </w:pPr>
            <w:r>
              <w:rPr>
                <w:rFonts w:hint="eastAsia" w:ascii="仿宋" w:hAnsi="仿宋" w:eastAsia="仿宋"/>
                <w:color w:val="auto"/>
                <w:highlight w:val="none"/>
              </w:rPr>
              <w:t>7.服务费支付时间：服务费必须在中标人领取《中标通知书》时一次性付清，如果中标人未能按时交纳服务费，采购代理机构/采购人保留取消其中标资格并追究其法律责任的权利。</w:t>
            </w:r>
          </w:p>
          <w:p>
            <w:pPr>
              <w:pStyle w:val="34"/>
              <w:spacing w:line="400" w:lineRule="exact"/>
              <w:contextualSpacing/>
              <w:rPr>
                <w:rFonts w:ascii="仿宋" w:hAnsi="仿宋" w:eastAsia="仿宋" w:cs="Times New Roman"/>
                <w:color w:val="auto"/>
                <w:kern w:val="28"/>
                <w:highlight w:val="none"/>
              </w:rPr>
            </w:pPr>
            <w:r>
              <w:rPr>
                <w:rFonts w:hint="eastAsia" w:ascii="仿宋" w:hAnsi="仿宋" w:eastAsia="仿宋"/>
                <w:color w:val="auto"/>
                <w:highlight w:val="none"/>
              </w:rPr>
              <w:t>8.服务费不在投标报价中单列。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exact"/>
        </w:trPr>
        <w:tc>
          <w:tcPr>
            <w:tcW w:w="729" w:type="dxa"/>
            <w:vMerge w:val="restart"/>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14</w:t>
            </w:r>
          </w:p>
        </w:tc>
        <w:tc>
          <w:tcPr>
            <w:tcW w:w="1907" w:type="dxa"/>
            <w:vMerge w:val="restart"/>
            <w:vAlign w:val="center"/>
          </w:tcPr>
          <w:p>
            <w:pPr>
              <w:snapToGrid w:val="0"/>
              <w:jc w:val="center"/>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联合体投标说明</w:t>
            </w:r>
          </w:p>
        </w:tc>
        <w:tc>
          <w:tcPr>
            <w:tcW w:w="6366" w:type="dxa"/>
            <w:vAlign w:val="center"/>
          </w:tcPr>
          <w:p>
            <w:pPr>
              <w:spacing w:line="400" w:lineRule="exact"/>
              <w:rPr>
                <w:rFonts w:ascii="仿宋" w:hAnsi="仿宋" w:eastAsia="仿宋"/>
                <w:snapToGrid w:val="0"/>
                <w:color w:val="auto"/>
                <w:kern w:val="28"/>
                <w:szCs w:val="21"/>
                <w:highlight w:val="none"/>
              </w:rPr>
            </w:pPr>
            <w:r>
              <w:rPr>
                <w:rFonts w:hint="eastAsia" w:ascii="仿宋" w:hAnsi="仿宋" w:eastAsia="仿宋"/>
                <w:snapToGrid w:val="0"/>
                <w:color w:val="auto"/>
                <w:kern w:val="28"/>
                <w:szCs w:val="21"/>
                <w:highlight w:val="none"/>
              </w:rPr>
              <w:t>业绩证明材料</w:t>
            </w:r>
          </w:p>
          <w:p>
            <w:pPr>
              <w:spacing w:line="400" w:lineRule="exact"/>
              <w:rPr>
                <w:rFonts w:ascii="仿宋" w:hAnsi="仿宋" w:eastAsia="仿宋"/>
                <w:snapToGrid w:val="0"/>
                <w:color w:val="auto"/>
                <w:kern w:val="28"/>
                <w:szCs w:val="21"/>
                <w:highlight w:val="none"/>
              </w:rPr>
            </w:pPr>
            <w:r>
              <w:rPr>
                <w:rFonts w:ascii="仿宋" w:hAnsi="仿宋" w:eastAsia="仿宋" w:cs="Arial"/>
                <w:color w:val="auto"/>
                <w:kern w:val="0"/>
                <w:szCs w:val="21"/>
                <w:highlight w:val="none"/>
              </w:rPr>
              <w:sym w:font="Wingdings" w:char="00A8"/>
            </w:r>
            <w:r>
              <w:rPr>
                <w:rFonts w:hint="eastAsia" w:ascii="仿宋" w:hAnsi="仿宋" w:eastAsia="仿宋"/>
                <w:snapToGrid w:val="0"/>
                <w:color w:val="auto"/>
                <w:kern w:val="28"/>
                <w:szCs w:val="21"/>
                <w:highlight w:val="none"/>
              </w:rPr>
              <w:t>联合体投标的，按联合体协议约定的分工内容出具相应的业绩证明材料。承担相同工作的各方或工作内容存在部分相同的，业绩数量以提供材料较少的一方为准。</w:t>
            </w:r>
          </w:p>
          <w:p>
            <w:pPr>
              <w:spacing w:line="400" w:lineRule="exact"/>
              <w:rPr>
                <w:rFonts w:ascii="仿宋" w:hAnsi="仿宋" w:eastAsia="仿宋"/>
                <w:snapToGrid w:val="0"/>
                <w:color w:val="auto"/>
                <w:kern w:val="28"/>
                <w:szCs w:val="21"/>
                <w:highlight w:val="none"/>
              </w:rPr>
            </w:pPr>
            <w:r>
              <w:rPr>
                <w:rFonts w:ascii="仿宋" w:hAnsi="仿宋" w:eastAsia="仿宋" w:cs="Arial"/>
                <w:color w:val="auto"/>
                <w:kern w:val="0"/>
                <w:szCs w:val="21"/>
                <w:highlight w:val="none"/>
              </w:rPr>
              <w:sym w:font="Wingdings" w:char="00A8"/>
            </w:r>
            <w:r>
              <w:rPr>
                <w:rFonts w:hint="eastAsia" w:ascii="仿宋" w:hAnsi="仿宋" w:eastAsia="仿宋"/>
                <w:snapToGrid w:val="0"/>
                <w:color w:val="auto"/>
                <w:kern w:val="28"/>
                <w:szCs w:val="21"/>
                <w:highlight w:val="none"/>
              </w:rPr>
              <w:t>联合体投标的，由联合体牵头方出具相应的业绩证明材料。</w:t>
            </w:r>
          </w:p>
          <w:p>
            <w:pPr>
              <w:spacing w:line="400" w:lineRule="exact"/>
              <w:rPr>
                <w:rFonts w:ascii="仿宋" w:hAnsi="仿宋" w:eastAsia="仿宋"/>
                <w:snapToGrid w:val="0"/>
                <w:color w:val="auto"/>
                <w:kern w:val="28"/>
                <w:szCs w:val="21"/>
                <w:highlight w:val="none"/>
              </w:rPr>
            </w:pPr>
            <w:r>
              <w:rPr>
                <w:rFonts w:ascii="仿宋" w:hAnsi="仿宋" w:eastAsia="仿宋" w:cs="Arial"/>
                <w:color w:val="auto"/>
                <w:kern w:val="0"/>
                <w:szCs w:val="21"/>
                <w:highlight w:val="none"/>
              </w:rPr>
              <w:sym w:font="Wingdings" w:char="00A8"/>
            </w:r>
            <w:r>
              <w:rPr>
                <w:rFonts w:hint="eastAsia" w:ascii="仿宋" w:hAnsi="仿宋" w:eastAsia="仿宋"/>
                <w:snapToGrid w:val="0"/>
                <w:color w:val="auto"/>
                <w:kern w:val="28"/>
                <w:szCs w:val="21"/>
                <w:highlight w:val="none"/>
              </w:rPr>
              <w:t>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exact"/>
        </w:trPr>
        <w:tc>
          <w:tcPr>
            <w:tcW w:w="729" w:type="dxa"/>
            <w:vMerge w:val="continue"/>
            <w:vAlign w:val="center"/>
          </w:tcPr>
          <w:p>
            <w:pPr>
              <w:snapToGrid w:val="0"/>
              <w:jc w:val="center"/>
              <w:rPr>
                <w:rFonts w:ascii="仿宋" w:hAnsi="仿宋" w:eastAsia="仿宋" w:cs="仿宋_GB2312"/>
                <w:color w:val="auto"/>
                <w:szCs w:val="21"/>
                <w:highlight w:val="none"/>
              </w:rPr>
            </w:pPr>
          </w:p>
        </w:tc>
        <w:tc>
          <w:tcPr>
            <w:tcW w:w="1907" w:type="dxa"/>
            <w:vMerge w:val="continue"/>
            <w:vAlign w:val="center"/>
          </w:tcPr>
          <w:p>
            <w:pPr>
              <w:snapToGrid w:val="0"/>
              <w:jc w:val="center"/>
              <w:rPr>
                <w:rFonts w:ascii="仿宋" w:hAnsi="仿宋" w:eastAsia="仿宋" w:cs="仿宋_GB2312"/>
                <w:b/>
                <w:color w:val="auto"/>
                <w:szCs w:val="21"/>
                <w:highlight w:val="none"/>
              </w:rPr>
            </w:pPr>
          </w:p>
        </w:tc>
        <w:tc>
          <w:tcPr>
            <w:tcW w:w="6366" w:type="dxa"/>
            <w:vAlign w:val="center"/>
          </w:tcPr>
          <w:p>
            <w:pPr>
              <w:spacing w:line="400" w:lineRule="exact"/>
              <w:rPr>
                <w:rFonts w:ascii="仿宋" w:hAnsi="仿宋" w:eastAsia="仿宋"/>
                <w:snapToGrid w:val="0"/>
                <w:color w:val="auto"/>
                <w:kern w:val="28"/>
                <w:szCs w:val="21"/>
                <w:highlight w:val="none"/>
              </w:rPr>
            </w:pPr>
            <w:r>
              <w:rPr>
                <w:rFonts w:hint="eastAsia" w:ascii="仿宋" w:hAnsi="仿宋" w:eastAsia="仿宋"/>
                <w:snapToGrid w:val="0"/>
                <w:color w:val="auto"/>
                <w:kern w:val="28"/>
                <w:szCs w:val="21"/>
                <w:highlight w:val="none"/>
              </w:rPr>
              <w:t>其他资信证明材料</w:t>
            </w:r>
          </w:p>
          <w:p>
            <w:pPr>
              <w:spacing w:line="400" w:lineRule="exact"/>
              <w:rPr>
                <w:rFonts w:ascii="仿宋" w:hAnsi="仿宋" w:eastAsia="仿宋"/>
                <w:snapToGrid w:val="0"/>
                <w:color w:val="auto"/>
                <w:kern w:val="28"/>
                <w:szCs w:val="21"/>
                <w:highlight w:val="none"/>
              </w:rPr>
            </w:pPr>
            <w:r>
              <w:rPr>
                <w:rFonts w:ascii="仿宋" w:hAnsi="仿宋" w:eastAsia="仿宋" w:cs="Arial"/>
                <w:color w:val="auto"/>
                <w:kern w:val="0"/>
                <w:szCs w:val="21"/>
                <w:highlight w:val="none"/>
              </w:rPr>
              <w:sym w:font="Wingdings" w:char="00A8"/>
            </w:r>
            <w:r>
              <w:rPr>
                <w:rFonts w:hint="eastAsia" w:ascii="仿宋" w:hAnsi="仿宋" w:eastAsia="仿宋"/>
                <w:snapToGrid w:val="0"/>
                <w:color w:val="auto"/>
                <w:kern w:val="28"/>
                <w:szCs w:val="21"/>
                <w:highlight w:val="none"/>
              </w:rPr>
              <w:t>联合体投标的，联合体各方均需按招标文件第四部分评标标准要求提供资信证明文件，否则视为不符合相关要求。</w:t>
            </w:r>
          </w:p>
          <w:p>
            <w:pPr>
              <w:spacing w:line="400" w:lineRule="exact"/>
              <w:rPr>
                <w:rFonts w:ascii="仿宋" w:hAnsi="仿宋" w:eastAsia="仿宋"/>
                <w:snapToGrid w:val="0"/>
                <w:color w:val="auto"/>
                <w:kern w:val="28"/>
                <w:szCs w:val="21"/>
                <w:highlight w:val="none"/>
              </w:rPr>
            </w:pPr>
            <w:r>
              <w:rPr>
                <w:rFonts w:ascii="仿宋" w:hAnsi="仿宋" w:eastAsia="仿宋" w:cs="Arial"/>
                <w:color w:val="auto"/>
                <w:kern w:val="0"/>
                <w:szCs w:val="21"/>
                <w:highlight w:val="none"/>
              </w:rPr>
              <w:sym w:font="Wingdings" w:char="00A8"/>
            </w:r>
            <w:r>
              <w:rPr>
                <w:rFonts w:hint="eastAsia" w:ascii="仿宋" w:hAnsi="仿宋" w:eastAsia="仿宋"/>
                <w:snapToGrid w:val="0"/>
                <w:color w:val="auto"/>
                <w:kern w:val="28"/>
                <w:szCs w:val="21"/>
                <w:highlight w:val="none"/>
              </w:rPr>
              <w:t>联合体投标的，联合体牵头方或者联合体成员根据分工按招标文件第四部分评标标准要求提供资信证明文件的，视为符合了相关要求。</w:t>
            </w:r>
          </w:p>
          <w:p>
            <w:pPr>
              <w:spacing w:line="400" w:lineRule="exact"/>
              <w:rPr>
                <w:rFonts w:ascii="仿宋" w:hAnsi="仿宋" w:eastAsia="仿宋"/>
                <w:snapToGrid w:val="0"/>
                <w:color w:val="auto"/>
                <w:kern w:val="28"/>
                <w:szCs w:val="21"/>
                <w:highlight w:val="none"/>
              </w:rPr>
            </w:pPr>
            <w:sdt>
              <w:sdtPr>
                <w:rPr>
                  <w:rFonts w:hint="eastAsia" w:ascii="仿宋" w:hAnsi="仿宋" w:eastAsia="仿宋" w:cs="Arial"/>
                  <w:color w:val="auto"/>
                  <w:kern w:val="0"/>
                  <w:szCs w:val="21"/>
                  <w:highlight w:val="none"/>
                </w:rPr>
                <w:id w:val="-1828425707"/>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00A8"/>
                </w:r>
              </w:sdtContent>
            </w:sdt>
            <w:r>
              <w:rPr>
                <w:rFonts w:hint="eastAsia" w:ascii="仿宋" w:hAnsi="仿宋" w:eastAsia="仿宋"/>
                <w:snapToGrid w:val="0"/>
                <w:color w:val="auto"/>
                <w:kern w:val="28"/>
                <w:szCs w:val="21"/>
                <w:highlight w:val="none"/>
              </w:rPr>
              <w:t>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9" w:type="dxa"/>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15</w:t>
            </w:r>
          </w:p>
        </w:tc>
        <w:tc>
          <w:tcPr>
            <w:tcW w:w="1907" w:type="dxa"/>
            <w:vAlign w:val="center"/>
          </w:tcPr>
          <w:p>
            <w:pPr>
              <w:snapToGrid w:val="0"/>
              <w:jc w:val="center"/>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特别说明</w:t>
            </w:r>
          </w:p>
        </w:tc>
        <w:tc>
          <w:tcPr>
            <w:tcW w:w="6366" w:type="dxa"/>
            <w:vAlign w:val="center"/>
          </w:tcPr>
          <w:p>
            <w:pPr>
              <w:rPr>
                <w:rFonts w:ascii="仿宋" w:hAnsi="仿宋" w:eastAsia="仿宋"/>
                <w:color w:val="auto"/>
                <w:kern w:val="28"/>
                <w:szCs w:val="21"/>
                <w:highlight w:val="none"/>
              </w:rPr>
            </w:pPr>
            <w:r>
              <w:rPr>
                <w:rFonts w:hint="eastAsia" w:ascii="仿宋" w:hAnsi="仿宋" w:eastAsia="仿宋"/>
                <w:snapToGrid w:val="0"/>
                <w:color w:val="auto"/>
                <w:kern w:val="28"/>
                <w:szCs w:val="21"/>
                <w:highlight w:val="none"/>
              </w:rPr>
              <w:t>无</w:t>
            </w:r>
            <w:r>
              <w:rPr>
                <w:rFonts w:hint="eastAsia" w:ascii="仿宋" w:hAnsi="仿宋" w:eastAsia="仿宋" w:cs="宋体"/>
                <w:b/>
                <w:color w:val="auto"/>
                <w:kern w:val="0"/>
                <w:szCs w:val="21"/>
                <w:highlight w:val="none"/>
              </w:rPr>
              <w:t>。</w:t>
            </w:r>
          </w:p>
        </w:tc>
      </w:tr>
      <w:bookmarkEnd w:id="10"/>
    </w:tbl>
    <w:p>
      <w:pPr>
        <w:adjustRightInd/>
        <w:spacing w:beforeLines="100" w:afterLines="100" w:line="360" w:lineRule="auto"/>
        <w:jc w:val="center"/>
        <w:outlineLvl w:val="0"/>
        <w:rPr>
          <w:rFonts w:ascii="仿宋" w:hAnsi="仿宋" w:eastAsia="仿宋" w:cs="仿宋_GB2312"/>
          <w:b/>
          <w:color w:val="auto"/>
          <w:sz w:val="36"/>
          <w:szCs w:val="21"/>
          <w:highlight w:val="none"/>
        </w:rPr>
      </w:pPr>
      <w:bookmarkStart w:id="11" w:name="第三部分"/>
      <w:bookmarkStart w:id="12" w:name="_Toc164416483"/>
      <w:r>
        <w:rPr>
          <w:rFonts w:hint="eastAsia" w:ascii="仿宋" w:hAnsi="仿宋" w:eastAsia="仿宋" w:cs="仿宋_GB2312"/>
          <w:b/>
          <w:color w:val="auto"/>
          <w:sz w:val="36"/>
          <w:szCs w:val="21"/>
          <w:highlight w:val="none"/>
        </w:rPr>
        <w:t>一、总则</w:t>
      </w:r>
    </w:p>
    <w:p>
      <w:pPr>
        <w:snapToGrid w:val="0"/>
        <w:spacing w:line="360" w:lineRule="auto"/>
        <w:jc w:val="left"/>
        <w:outlineLvl w:val="1"/>
        <w:rPr>
          <w:rFonts w:ascii="仿宋" w:hAnsi="仿宋" w:eastAsia="仿宋"/>
          <w:b/>
          <w:color w:val="auto"/>
          <w:szCs w:val="21"/>
          <w:highlight w:val="none"/>
        </w:rPr>
      </w:pPr>
      <w:r>
        <w:rPr>
          <w:rFonts w:ascii="仿宋" w:hAnsi="仿宋" w:eastAsia="仿宋"/>
          <w:b/>
          <w:color w:val="auto"/>
          <w:szCs w:val="21"/>
          <w:highlight w:val="none"/>
        </w:rPr>
        <w:t>1.</w:t>
      </w:r>
      <w:r>
        <w:rPr>
          <w:rFonts w:hint="eastAsia" w:ascii="仿宋" w:hAnsi="仿宋" w:eastAsia="仿宋"/>
          <w:b/>
          <w:color w:val="auto"/>
          <w:szCs w:val="21"/>
          <w:highlight w:val="none"/>
        </w:rPr>
        <w:t>适用范围</w:t>
      </w:r>
    </w:p>
    <w:p>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auto"/>
          <w:szCs w:val="21"/>
          <w:highlight w:val="none"/>
        </w:rPr>
      </w:pPr>
      <w:r>
        <w:rPr>
          <w:rFonts w:ascii="仿宋" w:hAnsi="仿宋" w:eastAsia="仿宋" w:cs="仿宋_GB2312"/>
          <w:b/>
          <w:color w:val="auto"/>
          <w:szCs w:val="21"/>
          <w:highlight w:val="none"/>
        </w:rPr>
        <w:t>2.定义</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2.1 </w:t>
      </w:r>
      <w:r>
        <w:rPr>
          <w:rFonts w:hint="eastAsia" w:ascii="仿宋" w:hAnsi="仿宋" w:eastAsia="仿宋"/>
          <w:color w:val="auto"/>
          <w:szCs w:val="21"/>
          <w:highlight w:val="none"/>
        </w:rPr>
        <w:t>“采购人”系指招标公告中载明的本项目的采购人。</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2.2 </w:t>
      </w:r>
      <w:r>
        <w:rPr>
          <w:rFonts w:hint="eastAsia" w:ascii="仿宋" w:hAnsi="仿宋" w:eastAsia="仿宋"/>
          <w:color w:val="auto"/>
          <w:szCs w:val="21"/>
          <w:highlight w:val="none"/>
        </w:rPr>
        <w:t>“采购机构”系指招标公告中载明的本项目的采购机构。</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2.3 </w:t>
      </w:r>
      <w:r>
        <w:rPr>
          <w:rFonts w:hint="eastAsia" w:ascii="仿宋" w:hAnsi="仿宋" w:eastAsia="仿宋"/>
          <w:color w:val="auto"/>
          <w:szCs w:val="21"/>
          <w:highlight w:val="none"/>
        </w:rPr>
        <w:t>“投标人”系指是指响应招标、参加投标竞争的法人、其他组织或者自然人。</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2.4 </w:t>
      </w:r>
      <w:r>
        <w:rPr>
          <w:rFonts w:hint="eastAsia" w:ascii="仿宋" w:hAnsi="仿宋" w:eastAsia="仿宋"/>
          <w:color w:val="auto"/>
          <w:szCs w:val="21"/>
          <w:highlight w:val="none"/>
        </w:rPr>
        <w:t>“负责人”系指法人企业的法定负责人，或其他组织为法律、行政法规规定代表单位行使职权的主要负责人，或自然人本人。</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2.5“电子签名”系指数据电文中以电子形式所含、所附用于识别签名人身份并表明签名人认可其中内容的数据；</w:t>
      </w:r>
      <w:r>
        <w:rPr>
          <w:rFonts w:hint="eastAsia" w:ascii="仿宋" w:hAnsi="仿宋" w:eastAsia="仿宋"/>
          <w:color w:val="auto"/>
          <w:szCs w:val="21"/>
          <w:highlight w:val="none"/>
        </w:rPr>
        <w:t>“公章”系指单位法定名称章。</w:t>
      </w:r>
    </w:p>
    <w:p>
      <w:pPr>
        <w:wordWrap w:val="0"/>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2.6“电子交易平台”是指本项目政府采购活动所依托的政府采购云平台（https://www.zcygov.cn/）。</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2.7 </w:t>
      </w:r>
      <w:r>
        <w:rPr>
          <w:rFonts w:hint="eastAsia" w:ascii="仿宋" w:hAnsi="仿宋" w:eastAsia="仿宋"/>
          <w:color w:val="auto"/>
          <w:szCs w:val="21"/>
          <w:highlight w:val="none"/>
        </w:rPr>
        <w:t>“▲”系指实质性要求条款，“★”系产品采购项目中单一产品或核心产品，“</w:t>
      </w:r>
      <w:sdt>
        <w:sdtPr>
          <w:rPr>
            <w:rFonts w:hint="eastAsia" w:ascii="仿宋" w:hAnsi="仿宋" w:eastAsia="仿宋" w:cs="Arial"/>
            <w:color w:val="auto"/>
            <w:kern w:val="0"/>
            <w:szCs w:val="21"/>
            <w:highlight w:val="none"/>
          </w:rPr>
          <w:id w:val="512970236"/>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F0FE"/>
          </w:r>
        </w:sdtContent>
      </w:sdt>
      <w:r>
        <w:rPr>
          <w:rFonts w:hint="eastAsia" w:ascii="仿宋" w:hAnsi="仿宋" w:eastAsia="仿宋"/>
          <w:color w:val="auto"/>
          <w:szCs w:val="21"/>
          <w:highlight w:val="none"/>
        </w:rPr>
        <w:t>”系指适用本项目的要求，“</w:t>
      </w:r>
      <w:sdt>
        <w:sdtPr>
          <w:rPr>
            <w:rFonts w:hint="eastAsia" w:ascii="仿宋" w:hAnsi="仿宋" w:eastAsia="仿宋" w:cs="Arial"/>
            <w:color w:val="auto"/>
            <w:kern w:val="0"/>
            <w:szCs w:val="21"/>
            <w:highlight w:val="none"/>
          </w:rPr>
          <w:id w:val="404888855"/>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hint="eastAsia" w:ascii="仿宋" w:hAnsi="仿宋" w:eastAsia="仿宋"/>
          <w:color w:val="auto"/>
          <w:szCs w:val="21"/>
          <w:highlight w:val="none"/>
        </w:rPr>
        <w:t>”系指不适用本项目的要求。</w:t>
      </w:r>
    </w:p>
    <w:p>
      <w:pPr>
        <w:spacing w:line="360" w:lineRule="auto"/>
        <w:rPr>
          <w:rFonts w:ascii="仿宋" w:hAnsi="仿宋" w:eastAsia="仿宋"/>
          <w:b/>
          <w:color w:val="auto"/>
          <w:szCs w:val="21"/>
          <w:highlight w:val="none"/>
        </w:rPr>
      </w:pPr>
      <w:r>
        <w:rPr>
          <w:rFonts w:ascii="仿宋" w:hAnsi="仿宋" w:eastAsia="仿宋"/>
          <w:b/>
          <w:color w:val="auto"/>
          <w:szCs w:val="21"/>
          <w:highlight w:val="none"/>
        </w:rPr>
        <w:t>3.</w:t>
      </w:r>
      <w:r>
        <w:rPr>
          <w:rFonts w:hint="eastAsia" w:ascii="仿宋" w:hAnsi="仿宋" w:eastAsia="仿宋"/>
          <w:b/>
          <w:color w:val="auto"/>
          <w:szCs w:val="21"/>
          <w:highlight w:val="none"/>
        </w:rPr>
        <w:t>采购项目需要落实的政府采购政策</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3.1 </w:t>
      </w:r>
      <w:r>
        <w:rPr>
          <w:rFonts w:hint="eastAsia" w:ascii="仿宋" w:hAnsi="仿宋" w:eastAsia="仿宋"/>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3.2 </w:t>
      </w:r>
      <w:r>
        <w:rPr>
          <w:rFonts w:hint="eastAsia" w:ascii="仿宋" w:hAnsi="仿宋" w:eastAsia="仿宋"/>
          <w:color w:val="auto"/>
          <w:szCs w:val="21"/>
          <w:highlight w:val="none"/>
        </w:rPr>
        <w:t>支持绿色发展</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20" w:firstLineChars="200"/>
        <w:rPr>
          <w:rFonts w:ascii="仿宋" w:hAnsi="仿宋" w:eastAsia="仿宋"/>
          <w:b/>
          <w:color w:val="auto"/>
          <w:szCs w:val="21"/>
          <w:highlight w:val="none"/>
        </w:rPr>
      </w:pPr>
      <w:r>
        <w:rPr>
          <w:rFonts w:ascii="仿宋" w:hAnsi="仿宋" w:eastAsia="仿宋"/>
          <w:color w:val="auto"/>
          <w:szCs w:val="21"/>
          <w:highlight w:val="none"/>
        </w:rPr>
        <w:t>▲</w:t>
      </w:r>
      <w:r>
        <w:rPr>
          <w:rFonts w:hint="eastAsia" w:ascii="仿宋" w:hAnsi="仿宋" w:eastAsia="仿宋"/>
          <w:b/>
          <w:color w:val="auto"/>
          <w:szCs w:val="21"/>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3.2.2</w:t>
      </w:r>
      <w:r>
        <w:rPr>
          <w:rFonts w:hint="eastAsia" w:ascii="仿宋" w:hAnsi="仿宋" w:eastAsia="仿宋"/>
          <w:color w:val="auto"/>
          <w:szCs w:val="21"/>
          <w:highlight w:val="none"/>
        </w:rPr>
        <w:t>修缮、装修类项目采购建材的，采购人应将绿色建筑和绿色建材性能、指标等作为实质性条件纳入招标文件和合同。</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3.2.3</w:t>
      </w:r>
      <w:r>
        <w:rPr>
          <w:rFonts w:hint="eastAsia" w:ascii="仿宋" w:hAnsi="仿宋" w:eastAsia="仿宋"/>
          <w:color w:val="auto"/>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3.3支持中小企业发展</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符合中小企业划分标准的个体工商户，在政府采购活动中视同中小企业。</w:t>
      </w:r>
    </w:p>
    <w:p>
      <w:pPr>
        <w:widowControl/>
        <w:spacing w:line="360" w:lineRule="auto"/>
        <w:ind w:firstLine="420" w:firstLineChars="200"/>
        <w:jc w:val="left"/>
        <w:rPr>
          <w:rFonts w:ascii="仿宋" w:hAnsi="仿宋" w:eastAsia="仿宋" w:cs="宋体"/>
          <w:color w:val="auto"/>
          <w:kern w:val="0"/>
          <w:szCs w:val="21"/>
          <w:highlight w:val="none"/>
        </w:rPr>
      </w:pPr>
      <w:r>
        <w:rPr>
          <w:rFonts w:ascii="仿宋" w:hAnsi="仿宋" w:eastAsia="仿宋"/>
          <w:bCs/>
          <w:color w:val="auto"/>
          <w:szCs w:val="21"/>
          <w:highlight w:val="none"/>
        </w:rPr>
        <w:t>3.3.2</w:t>
      </w:r>
      <w:r>
        <w:rPr>
          <w:rFonts w:hint="eastAsia" w:ascii="仿宋" w:hAnsi="仿宋" w:eastAsia="仿宋" w:cs="宋体"/>
          <w:color w:val="auto"/>
          <w:kern w:val="0"/>
          <w:szCs w:val="21"/>
          <w:highlight w:val="none"/>
        </w:rPr>
        <w:t>在政府采购活动中，投标人提供的货物、工程或者服务符合下列情形的，享受中小企业扶持政策：</w:t>
      </w:r>
    </w:p>
    <w:p>
      <w:pPr>
        <w:widowControl/>
        <w:spacing w:line="360" w:lineRule="auto"/>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3.3.2.1在货物采购项目中，货物由中小企业制造，即货物由中小企业生产且使用该中小企业商号或者注册商标；</w:t>
      </w:r>
    </w:p>
    <w:p>
      <w:pPr>
        <w:widowControl/>
        <w:spacing w:line="360" w:lineRule="auto"/>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3.3.2.2在工程采购项目中，工程由中小企业承建，即工程施工单位为中小企业；</w:t>
      </w:r>
    </w:p>
    <w:p>
      <w:pPr>
        <w:widowControl/>
        <w:spacing w:line="360" w:lineRule="auto"/>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3.3.3</w:t>
      </w:r>
      <w:r>
        <w:rPr>
          <w:rFonts w:hint="eastAsia" w:ascii="仿宋" w:hAnsi="仿宋" w:eastAsia="仿宋"/>
          <w:color w:val="auto"/>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ascii="仿宋" w:hAnsi="仿宋" w:eastAsia="仿宋"/>
          <w:color w:val="auto"/>
          <w:szCs w:val="21"/>
          <w:highlight w:val="none"/>
        </w:rPr>
        <w:t>。</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3.3.6</w:t>
      </w:r>
      <w:r>
        <w:rPr>
          <w:rFonts w:hint="eastAsia" w:ascii="仿宋" w:hAnsi="仿宋" w:eastAsia="仿宋"/>
          <w:color w:val="auto"/>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Cs w:val="21"/>
          <w:highlight w:val="none"/>
        </w:rPr>
        <w:t>。</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3.4</w:t>
      </w:r>
      <w:r>
        <w:rPr>
          <w:rFonts w:hint="eastAsia" w:ascii="仿宋" w:hAnsi="仿宋" w:eastAsia="仿宋"/>
          <w:bCs/>
          <w:color w:val="auto"/>
          <w:szCs w:val="21"/>
          <w:highlight w:val="none"/>
        </w:rPr>
        <w:t>支持创新发展</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3.4.1采购人优先采购被认定</w:t>
      </w:r>
      <w:r>
        <w:rPr>
          <w:rFonts w:hint="eastAsia" w:ascii="仿宋" w:hAnsi="仿宋" w:eastAsia="仿宋"/>
          <w:color w:val="auto"/>
          <w:szCs w:val="21"/>
          <w:highlight w:val="none"/>
        </w:rPr>
        <w:t>为首台套产品和“制造精品”的自主创新产品。</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3.4.2首台套产品</w:t>
      </w:r>
      <w:r>
        <w:rPr>
          <w:rFonts w:hint="eastAsia" w:ascii="仿宋" w:hAnsi="仿宋" w:eastAsia="仿宋"/>
          <w:color w:val="auto"/>
          <w:szCs w:val="21"/>
          <w:highlight w:val="none"/>
        </w:rPr>
        <w:t>被纳入《首台套产品推广应用指导目录》之日起</w:t>
      </w:r>
      <w:r>
        <w:rPr>
          <w:rFonts w:ascii="仿宋" w:hAnsi="仿宋" w:eastAsia="仿宋"/>
          <w:color w:val="auto"/>
          <w:szCs w:val="21"/>
          <w:highlight w:val="none"/>
        </w:rPr>
        <w:t>2年内，以及产品核心技术高于国内领先水平，并具有明晰自主知识产权的“制造精品”产品，</w:t>
      </w:r>
      <w:r>
        <w:rPr>
          <w:rFonts w:hint="eastAsia" w:ascii="仿宋" w:hAnsi="仿宋" w:eastAsia="仿宋"/>
          <w:color w:val="auto"/>
          <w:szCs w:val="21"/>
          <w:highlight w:val="none"/>
        </w:rPr>
        <w:t>自认定之日起</w:t>
      </w:r>
      <w:r>
        <w:rPr>
          <w:rFonts w:ascii="仿宋" w:hAnsi="仿宋" w:eastAsia="仿宋"/>
          <w:color w:val="auto"/>
          <w:szCs w:val="21"/>
          <w:highlight w:val="none"/>
        </w:rPr>
        <w:t>2年内视同已具备相应销售业绩，参加政府采购活动</w:t>
      </w:r>
      <w:r>
        <w:rPr>
          <w:rFonts w:hint="eastAsia" w:ascii="仿宋" w:hAnsi="仿宋" w:eastAsia="仿宋"/>
          <w:color w:val="auto"/>
          <w:szCs w:val="21"/>
          <w:highlight w:val="none"/>
        </w:rPr>
        <w:t>时业绩分值为满分。</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3.5 平等对待内外资企业和符合条件的破产重整企业</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平等对待内外资企业和符合条件的破产重整企业，切实保障企业公平竞争，平等维护企业的合法利益。</w:t>
      </w:r>
    </w:p>
    <w:p>
      <w:pPr>
        <w:spacing w:line="360" w:lineRule="auto"/>
        <w:rPr>
          <w:rFonts w:ascii="仿宋" w:hAnsi="仿宋" w:eastAsia="仿宋"/>
          <w:b/>
          <w:color w:val="auto"/>
          <w:szCs w:val="21"/>
          <w:highlight w:val="none"/>
        </w:rPr>
      </w:pPr>
      <w:r>
        <w:rPr>
          <w:rFonts w:ascii="仿宋" w:hAnsi="仿宋" w:eastAsia="仿宋"/>
          <w:b/>
          <w:color w:val="auto"/>
          <w:szCs w:val="21"/>
          <w:highlight w:val="none"/>
        </w:rPr>
        <w:t>4.</w:t>
      </w:r>
      <w:r>
        <w:rPr>
          <w:rFonts w:hint="eastAsia" w:ascii="仿宋" w:hAnsi="仿宋" w:eastAsia="仿宋"/>
          <w:b/>
          <w:color w:val="auto"/>
          <w:szCs w:val="21"/>
          <w:highlight w:val="none"/>
        </w:rPr>
        <w:t>询问、质疑、投诉</w:t>
      </w:r>
    </w:p>
    <w:p>
      <w:pPr>
        <w:autoSpaceDE w:val="0"/>
        <w:autoSpaceDN w:val="0"/>
        <w:spacing w:line="360" w:lineRule="auto"/>
        <w:ind w:firstLine="420" w:firstLineChars="200"/>
        <w:jc w:val="left"/>
        <w:rPr>
          <w:rFonts w:ascii="仿宋" w:hAnsi="仿宋" w:eastAsia="仿宋" w:cs="微软雅黑"/>
          <w:color w:val="auto"/>
          <w:kern w:val="0"/>
          <w:szCs w:val="21"/>
          <w:highlight w:val="none"/>
          <w:lang w:val="zh-CN"/>
        </w:rPr>
      </w:pPr>
      <w:r>
        <w:rPr>
          <w:rFonts w:ascii="仿宋" w:hAnsi="仿宋" w:eastAsia="仿宋" w:cs="微软雅黑"/>
          <w:color w:val="auto"/>
          <w:kern w:val="0"/>
          <w:szCs w:val="21"/>
          <w:highlight w:val="none"/>
          <w:lang w:val="zh-CN"/>
        </w:rPr>
        <w:t>4.1供应商询问</w:t>
      </w:r>
    </w:p>
    <w:p>
      <w:pPr>
        <w:autoSpaceDE w:val="0"/>
        <w:autoSpaceDN w:val="0"/>
        <w:spacing w:line="360" w:lineRule="auto"/>
        <w:ind w:firstLine="420" w:firstLineChars="200"/>
        <w:jc w:val="left"/>
        <w:rPr>
          <w:rFonts w:ascii="仿宋" w:hAnsi="仿宋" w:eastAsia="仿宋" w:cs="微软雅黑"/>
          <w:color w:val="auto"/>
          <w:kern w:val="0"/>
          <w:szCs w:val="21"/>
          <w:highlight w:val="none"/>
          <w:lang w:val="zh-CN"/>
        </w:rPr>
      </w:pPr>
      <w:r>
        <w:rPr>
          <w:rFonts w:hint="eastAsia" w:ascii="仿宋" w:hAnsi="仿宋" w:eastAsia="仿宋" w:cs="微软雅黑"/>
          <w:color w:val="auto"/>
          <w:kern w:val="0"/>
          <w:szCs w:val="21"/>
          <w:highlight w:val="none"/>
          <w:lang w:val="zh-CN"/>
        </w:rPr>
        <w:t>供应商对政府采购活动事项有疑问的，可以提出询问，采购人或者采购代理机构应当在</w:t>
      </w:r>
      <w:r>
        <w:rPr>
          <w:rFonts w:ascii="仿宋" w:hAnsi="仿宋" w:eastAsia="仿宋" w:cs="微软雅黑"/>
          <w:color w:val="auto"/>
          <w:kern w:val="0"/>
          <w:szCs w:val="21"/>
          <w:highlight w:val="none"/>
          <w:lang w:val="zh-CN"/>
        </w:rPr>
        <w:t>3个工作日内对供应</w:t>
      </w:r>
      <w:r>
        <w:rPr>
          <w:rFonts w:hint="eastAsia" w:ascii="仿宋" w:hAnsi="仿宋" w:eastAsia="仿宋" w:cs="微软雅黑"/>
          <w:color w:val="auto"/>
          <w:kern w:val="0"/>
          <w:szCs w:val="21"/>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仿宋" w:hAnsi="仿宋" w:eastAsia="仿宋" w:cs="微软雅黑"/>
          <w:color w:val="auto"/>
          <w:kern w:val="0"/>
          <w:szCs w:val="21"/>
          <w:highlight w:val="none"/>
          <w:lang w:val="zh-CN"/>
        </w:rPr>
      </w:pPr>
      <w:r>
        <w:rPr>
          <w:rFonts w:ascii="仿宋" w:hAnsi="仿宋" w:eastAsia="仿宋" w:cs="微软雅黑"/>
          <w:color w:val="auto"/>
          <w:kern w:val="0"/>
          <w:szCs w:val="21"/>
          <w:highlight w:val="none"/>
          <w:lang w:val="zh-CN"/>
        </w:rPr>
        <w:t>4.2供应商质疑</w:t>
      </w:r>
    </w:p>
    <w:p>
      <w:pPr>
        <w:pStyle w:val="34"/>
        <w:spacing w:line="360" w:lineRule="auto"/>
        <w:ind w:firstLine="420" w:firstLineChars="200"/>
        <w:rPr>
          <w:rFonts w:ascii="仿宋" w:hAnsi="仿宋" w:eastAsia="仿宋"/>
          <w:color w:val="auto"/>
          <w:highlight w:val="none"/>
        </w:rPr>
      </w:pPr>
      <w:r>
        <w:rPr>
          <w:rFonts w:ascii="仿宋" w:hAnsi="仿宋" w:eastAsia="仿宋" w:cs="微软雅黑"/>
          <w:color w:val="auto"/>
          <w:kern w:val="0"/>
          <w:highlight w:val="none"/>
          <w:lang w:val="zh-CN"/>
        </w:rPr>
        <w:t>4.2</w:t>
      </w:r>
      <w:r>
        <w:rPr>
          <w:rFonts w:ascii="仿宋" w:hAnsi="仿宋" w:eastAsia="仿宋"/>
          <w:color w:val="auto"/>
          <w:highlight w:val="none"/>
        </w:rPr>
        <w:t>.1提出质疑的供应商应当是参与所质疑项目采购活动的供应商。潜在供应商已依法获取其可质疑的招标文件的，可以对该文件提出质疑。</w:t>
      </w:r>
    </w:p>
    <w:p>
      <w:pPr>
        <w:pStyle w:val="34"/>
        <w:spacing w:line="360" w:lineRule="auto"/>
        <w:ind w:firstLine="420" w:firstLineChars="200"/>
        <w:rPr>
          <w:rFonts w:ascii="仿宋" w:hAnsi="仿宋" w:eastAsia="仿宋"/>
          <w:color w:val="auto"/>
          <w:highlight w:val="none"/>
        </w:rPr>
      </w:pPr>
      <w:r>
        <w:rPr>
          <w:rFonts w:ascii="仿宋" w:hAnsi="仿宋" w:eastAsia="仿宋" w:cs="微软雅黑"/>
          <w:color w:val="auto"/>
          <w:kern w:val="0"/>
          <w:highlight w:val="none"/>
          <w:lang w:val="zh-CN"/>
        </w:rPr>
        <w:t>4.2</w:t>
      </w:r>
      <w:r>
        <w:rPr>
          <w:rFonts w:ascii="仿宋" w:hAnsi="仿宋" w:eastAsia="仿宋"/>
          <w:color w:val="auto"/>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20" w:firstLineChars="200"/>
        <w:rPr>
          <w:rFonts w:ascii="仿宋" w:hAnsi="仿宋" w:eastAsia="仿宋"/>
          <w:snapToGrid/>
          <w:color w:val="auto"/>
          <w:kern w:val="2"/>
          <w:sz w:val="21"/>
          <w:szCs w:val="21"/>
          <w:highlight w:val="none"/>
        </w:rPr>
      </w:pPr>
      <w:r>
        <w:rPr>
          <w:rFonts w:ascii="仿宋" w:hAnsi="仿宋" w:eastAsia="仿宋"/>
          <w:snapToGrid/>
          <w:color w:val="auto"/>
          <w:kern w:val="2"/>
          <w:sz w:val="21"/>
          <w:szCs w:val="21"/>
          <w:highlight w:val="none"/>
        </w:rPr>
        <w:t>4.2.2.1对招标文件提出质疑的，质疑期限为供应商获得招标文件之日或者招标文件公告期限届满之日起计算。</w:t>
      </w:r>
    </w:p>
    <w:p>
      <w:pPr>
        <w:pStyle w:val="34"/>
        <w:spacing w:line="360" w:lineRule="auto"/>
        <w:ind w:firstLine="420" w:firstLineChars="200"/>
        <w:rPr>
          <w:rFonts w:ascii="仿宋" w:hAnsi="仿宋" w:eastAsia="仿宋"/>
          <w:color w:val="auto"/>
          <w:highlight w:val="none"/>
        </w:rPr>
      </w:pPr>
      <w:r>
        <w:rPr>
          <w:rFonts w:ascii="仿宋" w:hAnsi="仿宋" w:eastAsia="仿宋"/>
          <w:color w:val="auto"/>
          <w:highlight w:val="none"/>
        </w:rPr>
        <w:t>4.2.2.2对采购过程提出质疑的，质疑期限为各采购程序环节结束之日起计算。对同一采购程序环节的质疑，供应商须一次性提出。</w:t>
      </w:r>
    </w:p>
    <w:p>
      <w:pPr>
        <w:pStyle w:val="34"/>
        <w:spacing w:line="360" w:lineRule="auto"/>
        <w:ind w:firstLine="420" w:firstLineChars="200"/>
        <w:rPr>
          <w:rFonts w:ascii="仿宋" w:hAnsi="仿宋" w:eastAsia="仿宋"/>
          <w:color w:val="auto"/>
          <w:highlight w:val="none"/>
        </w:rPr>
      </w:pPr>
      <w:r>
        <w:rPr>
          <w:rFonts w:ascii="仿宋" w:hAnsi="仿宋" w:eastAsia="仿宋"/>
          <w:color w:val="auto"/>
          <w:highlight w:val="none"/>
        </w:rPr>
        <w:t>4.2.2.3对采购结果提出质疑的，质疑期限自采购结果公告期限届满之日起计算。</w:t>
      </w:r>
    </w:p>
    <w:p>
      <w:pPr>
        <w:pStyle w:val="34"/>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w:t>
      </w:r>
      <w:r>
        <w:rPr>
          <w:rFonts w:hint="eastAsia" w:ascii="仿宋" w:hAnsi="仿宋" w:eastAsia="仿宋"/>
          <w:color w:val="auto"/>
          <w:highlight w:val="none"/>
        </w:rPr>
        <w:t>供应商提出质疑应当提交质疑函和必要的证明材料。质疑函应当包括下列内容：</w:t>
      </w:r>
    </w:p>
    <w:p>
      <w:pPr>
        <w:pStyle w:val="34"/>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4.2.3.1</w:t>
      </w:r>
      <w:r>
        <w:rPr>
          <w:rFonts w:hint="eastAsia" w:ascii="仿宋" w:hAnsi="仿宋" w:eastAsia="仿宋" w:cs="微软雅黑"/>
          <w:color w:val="auto"/>
          <w:kern w:val="0"/>
          <w:highlight w:val="none"/>
          <w:lang w:val="zh-CN"/>
        </w:rPr>
        <w:t>供应商的姓名或者名称、地址、邮编、联系人及联系电话；</w:t>
      </w:r>
    </w:p>
    <w:p>
      <w:pPr>
        <w:pStyle w:val="34"/>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4.2.3.2</w:t>
      </w:r>
      <w:r>
        <w:rPr>
          <w:rFonts w:hint="eastAsia" w:ascii="仿宋" w:hAnsi="仿宋" w:eastAsia="仿宋" w:cs="微软雅黑"/>
          <w:color w:val="auto"/>
          <w:kern w:val="0"/>
          <w:highlight w:val="none"/>
          <w:lang w:val="zh-CN"/>
        </w:rPr>
        <w:t>质疑项目的名称、编号；</w:t>
      </w:r>
    </w:p>
    <w:p>
      <w:pPr>
        <w:pStyle w:val="34"/>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4.2.3.3</w:t>
      </w:r>
      <w:r>
        <w:rPr>
          <w:rFonts w:hint="eastAsia" w:ascii="仿宋" w:hAnsi="仿宋" w:eastAsia="仿宋" w:cs="微软雅黑"/>
          <w:color w:val="auto"/>
          <w:kern w:val="0"/>
          <w:highlight w:val="none"/>
          <w:lang w:val="zh-CN"/>
        </w:rPr>
        <w:t>具体、明确的质疑事项和与质疑事项相关的请求；</w:t>
      </w:r>
    </w:p>
    <w:p>
      <w:pPr>
        <w:pStyle w:val="34"/>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4.2.3.4</w:t>
      </w:r>
      <w:r>
        <w:rPr>
          <w:rFonts w:hint="eastAsia" w:ascii="仿宋" w:hAnsi="仿宋" w:eastAsia="仿宋" w:cs="微软雅黑"/>
          <w:color w:val="auto"/>
          <w:kern w:val="0"/>
          <w:highlight w:val="none"/>
          <w:lang w:val="zh-CN"/>
        </w:rPr>
        <w:t>事实依据；</w:t>
      </w:r>
    </w:p>
    <w:p>
      <w:pPr>
        <w:pStyle w:val="34"/>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4.2.3.5</w:t>
      </w:r>
      <w:r>
        <w:rPr>
          <w:rFonts w:hint="eastAsia" w:ascii="仿宋" w:hAnsi="仿宋" w:eastAsia="仿宋" w:cs="微软雅黑"/>
          <w:color w:val="auto"/>
          <w:kern w:val="0"/>
          <w:highlight w:val="none"/>
          <w:lang w:val="zh-CN"/>
        </w:rPr>
        <w:t>必要的法律依据；</w:t>
      </w:r>
    </w:p>
    <w:p>
      <w:pPr>
        <w:pStyle w:val="34"/>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4.2.3.6</w:t>
      </w:r>
      <w:r>
        <w:rPr>
          <w:rFonts w:hint="eastAsia" w:ascii="仿宋" w:hAnsi="仿宋" w:eastAsia="仿宋" w:cs="微软雅黑"/>
          <w:color w:val="auto"/>
          <w:kern w:val="0"/>
          <w:highlight w:val="none"/>
          <w:lang w:val="zh-CN"/>
        </w:rPr>
        <w:t>提出质疑的日期。</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hint="eastAsia" w:ascii="仿宋" w:hAnsi="仿宋" w:eastAsia="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hint="eastAsia" w:ascii="仿宋" w:hAnsi="仿宋" w:eastAsia="仿宋"/>
          <w:color w:val="auto"/>
          <w:sz w:val="21"/>
          <w:szCs w:val="21"/>
          <w:highlight w:val="none"/>
        </w:rPr>
        <w:t>质疑函范本及制作说明详见附件</w:t>
      </w:r>
      <w:r>
        <w:rPr>
          <w:rFonts w:ascii="仿宋" w:hAnsi="仿宋" w:eastAsia="仿宋"/>
          <w:color w:val="auto"/>
          <w:sz w:val="21"/>
          <w:szCs w:val="21"/>
          <w:highlight w:val="none"/>
        </w:rPr>
        <w:t>2。</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s="微软雅黑"/>
          <w:color w:val="auto"/>
          <w:sz w:val="21"/>
          <w:szCs w:val="21"/>
          <w:highlight w:val="none"/>
          <w:lang w:val="zh-CN"/>
        </w:rPr>
        <w:t>4.2</w:t>
      </w:r>
      <w:r>
        <w:rPr>
          <w:rFonts w:ascii="仿宋" w:hAnsi="仿宋" w:eastAsia="仿宋"/>
          <w:color w:val="auto"/>
          <w:sz w:val="21"/>
          <w:szCs w:val="21"/>
          <w:highlight w:val="none"/>
        </w:rPr>
        <w:t>.4</w:t>
      </w:r>
      <w:r>
        <w:rPr>
          <w:rFonts w:hint="eastAsia" w:ascii="仿宋" w:hAnsi="仿宋" w:eastAsia="仿宋"/>
          <w:color w:val="auto"/>
          <w:sz w:val="21"/>
          <w:szCs w:val="21"/>
          <w:highlight w:val="none"/>
        </w:rPr>
        <w:t>对同一采购程序环节的质疑，供应商须一次性提出。</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s="微软雅黑"/>
          <w:color w:val="auto"/>
          <w:sz w:val="21"/>
          <w:szCs w:val="21"/>
          <w:highlight w:val="none"/>
          <w:lang w:val="zh-CN"/>
        </w:rPr>
        <w:t>4.2</w:t>
      </w:r>
      <w:r>
        <w:rPr>
          <w:rFonts w:ascii="仿宋" w:hAnsi="仿宋" w:eastAsia="仿宋"/>
          <w:color w:val="auto"/>
          <w:sz w:val="21"/>
          <w:szCs w:val="21"/>
          <w:highlight w:val="none"/>
        </w:rPr>
        <w:t>.5询问或者质疑事项可能影响采购结果的，采购人应当暂停签订合同，已经签订合同的，应当中止履行合同。</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cs="微软雅黑"/>
          <w:color w:val="auto"/>
          <w:sz w:val="21"/>
          <w:szCs w:val="21"/>
          <w:highlight w:val="none"/>
          <w:lang w:val="zh-CN"/>
        </w:rPr>
      </w:pPr>
      <w:r>
        <w:rPr>
          <w:rFonts w:ascii="仿宋" w:hAnsi="仿宋" w:eastAsia="仿宋" w:cs="微软雅黑"/>
          <w:color w:val="auto"/>
          <w:sz w:val="21"/>
          <w:szCs w:val="21"/>
          <w:highlight w:val="none"/>
          <w:lang w:val="zh-CN"/>
        </w:rPr>
        <w:t>4.3供应商投诉</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olor w:val="auto"/>
          <w:sz w:val="21"/>
          <w:szCs w:val="21"/>
          <w:highlight w:val="none"/>
        </w:rPr>
        <w:t>4.3.1质疑供应商对采购人、采购机构的答复不满意或者采购人、采购机构未在规定的时间内</w:t>
      </w:r>
      <w:r>
        <w:rPr>
          <w:rFonts w:hint="eastAsia" w:ascii="仿宋" w:hAnsi="仿宋" w:eastAsia="仿宋"/>
          <w:color w:val="auto"/>
          <w:sz w:val="21"/>
          <w:szCs w:val="21"/>
          <w:highlight w:val="none"/>
        </w:rPr>
        <w:t>作出答复的，可以在答复期满后十五个工作日内向同级政府采购监督管理部门提出投诉。</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olor w:val="auto"/>
          <w:sz w:val="21"/>
          <w:szCs w:val="21"/>
          <w:highlight w:val="none"/>
        </w:rPr>
        <w:t>4.3.</w:t>
      </w:r>
      <w:r>
        <w:rPr>
          <w:rFonts w:ascii="仿宋" w:hAnsi="仿宋" w:eastAsia="仿宋" w:cs="微软雅黑"/>
          <w:color w:val="auto"/>
          <w:sz w:val="21"/>
          <w:szCs w:val="21"/>
          <w:highlight w:val="none"/>
          <w:lang w:val="zh-CN"/>
        </w:rPr>
        <w:t>2</w:t>
      </w:r>
      <w:r>
        <w:rPr>
          <w:rFonts w:hint="eastAsia" w:ascii="仿宋" w:hAnsi="仿宋" w:eastAsia="仿宋"/>
          <w:color w:val="auto"/>
          <w:sz w:val="21"/>
          <w:szCs w:val="21"/>
          <w:highlight w:val="none"/>
        </w:rPr>
        <w:t>供应商投诉的事项不得超出已质疑事项的范围，基于质疑答复内容提出的投诉事项除外。</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olor w:val="auto"/>
          <w:sz w:val="21"/>
          <w:szCs w:val="21"/>
          <w:highlight w:val="none"/>
        </w:rPr>
        <w:t>4.3.3供应</w:t>
      </w:r>
      <w:r>
        <w:rPr>
          <w:rFonts w:hint="eastAsia" w:ascii="仿宋" w:hAnsi="仿宋" w:eastAsia="仿宋"/>
          <w:color w:val="auto"/>
          <w:sz w:val="21"/>
          <w:szCs w:val="21"/>
          <w:highlight w:val="none"/>
        </w:rPr>
        <w:t>商投诉应当有明确的请求和必要的证明材料。</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olor w:val="auto"/>
          <w:sz w:val="21"/>
          <w:szCs w:val="21"/>
          <w:highlight w:val="none"/>
        </w:rPr>
        <w:t>4.3.</w:t>
      </w:r>
      <w:r>
        <w:rPr>
          <w:rFonts w:hint="eastAsia" w:ascii="仿宋" w:hAnsi="仿宋" w:eastAsia="仿宋"/>
          <w:color w:val="auto"/>
          <w:sz w:val="21"/>
          <w:szCs w:val="21"/>
          <w:highlight w:val="none"/>
        </w:rPr>
        <w:t>4以联合体形式参加政府采购活动的，其投诉应当由组成联合体的所有供应商共同提出。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olor w:val="auto"/>
          <w:highlight w:val="none"/>
        </w:rPr>
      </w:pPr>
      <w:r>
        <w:rPr>
          <w:rFonts w:hint="eastAsia" w:ascii="仿宋" w:hAnsi="仿宋" w:eastAsia="仿宋"/>
          <w:color w:val="auto"/>
          <w:sz w:val="21"/>
          <w:szCs w:val="21"/>
          <w:highlight w:val="none"/>
        </w:rPr>
        <w:t>投诉书范本及制作说明详见附件</w:t>
      </w:r>
      <w:r>
        <w:rPr>
          <w:rFonts w:ascii="仿宋" w:hAnsi="仿宋" w:eastAsia="仿宋"/>
          <w:color w:val="auto"/>
          <w:sz w:val="21"/>
          <w:szCs w:val="21"/>
          <w:highlight w:val="none"/>
        </w:rPr>
        <w:t>3。</w:t>
      </w:r>
    </w:p>
    <w:p>
      <w:pPr>
        <w:adjustRightInd/>
        <w:spacing w:beforeLines="100" w:afterLines="100" w:line="360" w:lineRule="auto"/>
        <w:jc w:val="center"/>
        <w:outlineLvl w:val="0"/>
        <w:rPr>
          <w:rFonts w:ascii="仿宋" w:hAnsi="仿宋" w:eastAsia="仿宋" w:cs="仿宋_GB2312"/>
          <w:b/>
          <w:color w:val="auto"/>
          <w:sz w:val="36"/>
          <w:szCs w:val="21"/>
          <w:highlight w:val="none"/>
        </w:rPr>
      </w:pPr>
      <w:r>
        <w:rPr>
          <w:rFonts w:ascii="仿宋" w:hAnsi="仿宋" w:eastAsia="仿宋" w:cs="仿宋_GB2312"/>
          <w:b/>
          <w:color w:val="auto"/>
          <w:sz w:val="36"/>
          <w:szCs w:val="21"/>
          <w:highlight w:val="none"/>
        </w:rPr>
        <w:t>二、招标文件的构成、澄清、修改</w:t>
      </w:r>
    </w:p>
    <w:p>
      <w:pPr>
        <w:pStyle w:val="34"/>
        <w:spacing w:line="360" w:lineRule="auto"/>
        <w:rPr>
          <w:rFonts w:ascii="仿宋" w:hAnsi="仿宋" w:eastAsia="仿宋" w:cs="仿宋_GB2312"/>
          <w:b/>
          <w:color w:val="auto"/>
          <w:highlight w:val="none"/>
        </w:rPr>
      </w:pPr>
      <w:r>
        <w:rPr>
          <w:rFonts w:ascii="仿宋" w:hAnsi="仿宋" w:eastAsia="仿宋" w:cs="仿宋_GB2312"/>
          <w:b/>
          <w:color w:val="auto"/>
          <w:highlight w:val="none"/>
        </w:rPr>
        <w:t>5</w:t>
      </w:r>
      <w:r>
        <w:rPr>
          <w:rFonts w:hint="eastAsia" w:ascii="仿宋" w:hAnsi="仿宋" w:eastAsia="仿宋" w:cs="仿宋_GB2312"/>
          <w:b/>
          <w:color w:val="auto"/>
          <w:highlight w:val="none"/>
        </w:rPr>
        <w:t>.</w:t>
      </w:r>
      <w:r>
        <w:rPr>
          <w:rFonts w:ascii="仿宋" w:hAnsi="仿宋" w:eastAsia="仿宋" w:cs="仿宋_GB2312"/>
          <w:b/>
          <w:color w:val="auto"/>
          <w:highlight w:val="none"/>
        </w:rPr>
        <w:t>招标文件的构成</w:t>
      </w:r>
    </w:p>
    <w:p>
      <w:pPr>
        <w:pStyle w:val="34"/>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 xml:space="preserve">5.1 </w:t>
      </w:r>
      <w:r>
        <w:rPr>
          <w:rFonts w:hint="eastAsia" w:ascii="仿宋" w:hAnsi="仿宋" w:eastAsia="仿宋" w:cs="仿宋_GB2312"/>
          <w:color w:val="auto"/>
          <w:highlight w:val="none"/>
        </w:rPr>
        <w:t>招标文件包括下列文件及附件：</w:t>
      </w:r>
    </w:p>
    <w:p>
      <w:pPr>
        <w:pStyle w:val="34"/>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5.1.1招标公告；</w:t>
      </w:r>
    </w:p>
    <w:p>
      <w:pPr>
        <w:pStyle w:val="34"/>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5.1.2投标人须知；</w:t>
      </w:r>
    </w:p>
    <w:p>
      <w:pPr>
        <w:pStyle w:val="34"/>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5.1.3采购需求；</w:t>
      </w:r>
    </w:p>
    <w:p>
      <w:pPr>
        <w:pStyle w:val="34"/>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5.1.4评标</w:t>
      </w:r>
      <w:r>
        <w:rPr>
          <w:rFonts w:hint="eastAsia" w:ascii="仿宋" w:hAnsi="仿宋" w:eastAsia="仿宋" w:cs="仿宋_GB2312"/>
          <w:color w:val="auto"/>
          <w:highlight w:val="none"/>
        </w:rPr>
        <w:t>办</w:t>
      </w:r>
      <w:r>
        <w:rPr>
          <w:rFonts w:ascii="仿宋" w:hAnsi="仿宋" w:eastAsia="仿宋" w:cs="仿宋_GB2312"/>
          <w:color w:val="auto"/>
          <w:highlight w:val="none"/>
        </w:rPr>
        <w:t>法；</w:t>
      </w:r>
    </w:p>
    <w:p>
      <w:pPr>
        <w:pStyle w:val="34"/>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5.1.5</w:t>
      </w:r>
      <w:r>
        <w:rPr>
          <w:rFonts w:hint="eastAsia" w:ascii="仿宋" w:hAnsi="仿宋" w:eastAsia="仿宋" w:cs="仿宋_GB2312"/>
          <w:color w:val="auto"/>
          <w:highlight w:val="none"/>
        </w:rPr>
        <w:t>拟签订的合同文本；</w:t>
      </w:r>
    </w:p>
    <w:p>
      <w:pPr>
        <w:pStyle w:val="34"/>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5.1.6</w:t>
      </w:r>
      <w:r>
        <w:rPr>
          <w:rFonts w:hint="eastAsia" w:ascii="仿宋" w:hAnsi="仿宋" w:eastAsia="仿宋" w:cs="仿宋_GB2312"/>
          <w:color w:val="auto"/>
          <w:highlight w:val="none"/>
        </w:rPr>
        <w:t>应提交的有关格式范例。</w:t>
      </w:r>
    </w:p>
    <w:p>
      <w:pPr>
        <w:wordWrap w:val="0"/>
        <w:spacing w:line="360" w:lineRule="auto"/>
        <w:ind w:firstLine="420" w:firstLineChars="200"/>
        <w:rPr>
          <w:rFonts w:ascii="仿宋" w:hAnsi="仿宋" w:eastAsia="仿宋" w:cs="仿宋_GB2312"/>
          <w:color w:val="auto"/>
          <w:szCs w:val="21"/>
          <w:highlight w:val="none"/>
        </w:rPr>
      </w:pPr>
      <w:r>
        <w:rPr>
          <w:rFonts w:ascii="仿宋" w:hAnsi="仿宋" w:eastAsia="仿宋"/>
          <w:color w:val="auto"/>
          <w:szCs w:val="21"/>
          <w:highlight w:val="none"/>
        </w:rPr>
        <w:t>5.2与本项目有关的</w:t>
      </w:r>
      <w:r>
        <w:rPr>
          <w:rFonts w:hint="eastAsia" w:ascii="仿宋" w:hAnsi="仿宋" w:eastAsia="仿宋"/>
          <w:bCs/>
          <w:color w:val="auto"/>
          <w:szCs w:val="21"/>
          <w:highlight w:val="none"/>
        </w:rPr>
        <w:t>澄清或者修改的内容为招标文件的组成部分</w:t>
      </w:r>
      <w:r>
        <w:rPr>
          <w:rFonts w:hint="eastAsia" w:ascii="仿宋" w:hAnsi="仿宋" w:eastAsia="仿宋" w:cs="仿宋_GB2312"/>
          <w:color w:val="auto"/>
          <w:szCs w:val="21"/>
          <w:highlight w:val="none"/>
        </w:rPr>
        <w:t>。投标人须自行于招标公告所在网站获取相关信息（浙江政府采购网网址http://www.zjzfcg.gov.cn）。</w:t>
      </w:r>
    </w:p>
    <w:p>
      <w:pPr>
        <w:pStyle w:val="34"/>
        <w:spacing w:line="360" w:lineRule="auto"/>
        <w:rPr>
          <w:rFonts w:ascii="仿宋" w:hAnsi="仿宋" w:eastAsia="仿宋" w:cs="仿宋_GB2312"/>
          <w:b/>
          <w:color w:val="auto"/>
          <w:highlight w:val="none"/>
        </w:rPr>
      </w:pPr>
      <w:r>
        <w:rPr>
          <w:rFonts w:ascii="仿宋" w:hAnsi="仿宋" w:eastAsia="仿宋" w:cs="仿宋_GB2312"/>
          <w:b/>
          <w:color w:val="auto"/>
          <w:highlight w:val="none"/>
        </w:rPr>
        <w:t>6.</w:t>
      </w:r>
      <w:r>
        <w:rPr>
          <w:rFonts w:hint="eastAsia" w:ascii="仿宋" w:hAnsi="仿宋" w:eastAsia="仿宋" w:cs="仿宋_GB2312"/>
          <w:b/>
          <w:color w:val="auto"/>
          <w:highlight w:val="none"/>
        </w:rPr>
        <w:t>招标文件的澄清、修改</w:t>
      </w:r>
    </w:p>
    <w:p>
      <w:pPr>
        <w:pStyle w:val="131"/>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6.1已获取招标文件的潜在投标人，若有问题需要澄清，应于投标截止时间前，以书面形式向采购机构提出</w:t>
      </w:r>
      <w:r>
        <w:rPr>
          <w:rFonts w:hint="eastAsia" w:ascii="仿宋" w:hAnsi="仿宋" w:eastAsia="仿宋" w:cs="仿宋_GB2312"/>
          <w:color w:val="auto"/>
          <w:sz w:val="21"/>
          <w:szCs w:val="21"/>
          <w:highlight w:val="none"/>
        </w:rPr>
        <w:t>。</w:t>
      </w:r>
    </w:p>
    <w:p>
      <w:pPr>
        <w:pStyle w:val="131"/>
        <w:snapToGrid w:val="0"/>
        <w:spacing w:before="0"/>
        <w:ind w:firstLine="420"/>
        <w:rPr>
          <w:rFonts w:ascii="仿宋" w:hAnsi="仿宋" w:eastAsia="仿宋"/>
          <w:color w:val="auto"/>
          <w:highlight w:val="none"/>
        </w:rPr>
      </w:pPr>
      <w:r>
        <w:rPr>
          <w:rFonts w:ascii="仿宋" w:hAnsi="仿宋" w:eastAsia="仿宋"/>
          <w:color w:val="auto"/>
          <w:sz w:val="21"/>
          <w:szCs w:val="21"/>
          <w:highlight w:val="none"/>
        </w:rPr>
        <w:t>6.2</w:t>
      </w:r>
      <w:r>
        <w:rPr>
          <w:rFonts w:hint="eastAsia" w:ascii="仿宋" w:hAnsi="仿宋" w:eastAsia="仿宋"/>
          <w:color w:val="auto"/>
          <w:sz w:val="21"/>
          <w:szCs w:val="21"/>
          <w:highlight w:val="none"/>
        </w:rPr>
        <w:t xml:space="preserve">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beforeLines="100" w:afterLines="100" w:line="360" w:lineRule="auto"/>
        <w:jc w:val="center"/>
        <w:outlineLvl w:val="0"/>
        <w:rPr>
          <w:rFonts w:ascii="仿宋" w:hAnsi="仿宋" w:eastAsia="仿宋" w:cs="仿宋_GB2312"/>
          <w:b/>
          <w:color w:val="auto"/>
          <w:sz w:val="36"/>
          <w:szCs w:val="22"/>
          <w:highlight w:val="none"/>
        </w:rPr>
      </w:pPr>
      <w:r>
        <w:rPr>
          <w:rFonts w:hint="eastAsia" w:ascii="仿宋" w:hAnsi="仿宋" w:eastAsia="仿宋" w:cs="仿宋_GB2312"/>
          <w:b/>
          <w:color w:val="auto"/>
          <w:sz w:val="36"/>
          <w:szCs w:val="22"/>
          <w:highlight w:val="none"/>
        </w:rPr>
        <w:t>三、投标</w:t>
      </w:r>
    </w:p>
    <w:p>
      <w:pPr>
        <w:pStyle w:val="34"/>
        <w:spacing w:line="360" w:lineRule="auto"/>
        <w:rPr>
          <w:rFonts w:ascii="仿宋" w:hAnsi="仿宋" w:eastAsia="仿宋" w:cs="仿宋_GB2312"/>
          <w:b/>
          <w:color w:val="auto"/>
          <w:highlight w:val="none"/>
        </w:rPr>
      </w:pPr>
      <w:r>
        <w:rPr>
          <w:rFonts w:ascii="仿宋" w:hAnsi="仿宋" w:eastAsia="仿宋" w:cs="仿宋_GB2312"/>
          <w:b/>
          <w:color w:val="auto"/>
          <w:highlight w:val="none"/>
        </w:rPr>
        <w:t>7.</w:t>
      </w:r>
      <w:r>
        <w:rPr>
          <w:rFonts w:hint="eastAsia" w:ascii="仿宋" w:hAnsi="仿宋" w:eastAsia="仿宋" w:cs="仿宋_GB2312"/>
          <w:b/>
          <w:color w:val="auto"/>
          <w:highlight w:val="none"/>
        </w:rPr>
        <w:t>招标文件的获取</w:t>
      </w:r>
    </w:p>
    <w:p>
      <w:pPr>
        <w:spacing w:line="360" w:lineRule="auto"/>
        <w:ind w:firstLine="420" w:firstLineChars="200"/>
        <w:rPr>
          <w:rFonts w:ascii="仿宋" w:hAnsi="仿宋" w:eastAsia="仿宋" w:cs="仿宋_GB2312"/>
          <w:snapToGrid w:val="0"/>
          <w:color w:val="auto"/>
          <w:kern w:val="28"/>
          <w:szCs w:val="21"/>
          <w:highlight w:val="none"/>
        </w:rPr>
      </w:pPr>
      <w:r>
        <w:rPr>
          <w:rFonts w:hint="eastAsia" w:ascii="仿宋" w:hAnsi="仿宋" w:eastAsia="仿宋" w:cs="仿宋_GB2312"/>
          <w:snapToGrid w:val="0"/>
          <w:color w:val="auto"/>
          <w:kern w:val="28"/>
          <w:szCs w:val="21"/>
          <w:highlight w:val="none"/>
        </w:rPr>
        <w:t>详见招标公告中获取招标文件的时间期限、地点、方式及招标文件售价。</w:t>
      </w:r>
    </w:p>
    <w:p>
      <w:pPr>
        <w:spacing w:line="360" w:lineRule="auto"/>
        <w:ind w:firstLine="420" w:firstLineChars="200"/>
        <w:rPr>
          <w:rFonts w:ascii="仿宋" w:hAnsi="仿宋" w:eastAsia="仿宋" w:cs="仿宋_GB2312"/>
          <w:snapToGrid w:val="0"/>
          <w:color w:val="auto"/>
          <w:kern w:val="28"/>
          <w:szCs w:val="21"/>
          <w:highlight w:val="none"/>
        </w:rPr>
      </w:pPr>
      <w:r>
        <w:rPr>
          <w:rFonts w:ascii="仿宋" w:hAnsi="仿宋" w:eastAsia="仿宋"/>
          <w:color w:val="auto"/>
          <w:szCs w:val="21"/>
          <w:highlight w:val="none"/>
        </w:rPr>
        <w:t>▲</w:t>
      </w:r>
      <w:r>
        <w:rPr>
          <w:rFonts w:hint="eastAsia" w:ascii="仿宋" w:hAnsi="仿宋" w:eastAsia="仿宋" w:cs="仿宋_GB2312"/>
          <w:b/>
          <w:bCs/>
          <w:snapToGrid w:val="0"/>
          <w:color w:val="auto"/>
          <w:kern w:val="28"/>
          <w:szCs w:val="21"/>
          <w:highlight w:val="none"/>
        </w:rPr>
        <w:t>附件中直接下载仅供浏览使用，不视作依法获取招标文件，不得就采购文件提出质疑投诉,未按规定获取招标文件者的投标将被拒绝。</w:t>
      </w:r>
    </w:p>
    <w:p>
      <w:pPr>
        <w:pStyle w:val="34"/>
        <w:spacing w:line="360" w:lineRule="auto"/>
        <w:rPr>
          <w:rFonts w:ascii="仿宋" w:hAnsi="仿宋" w:eastAsia="仿宋" w:cs="仿宋_GB2312"/>
          <w:b/>
          <w:color w:val="auto"/>
          <w:highlight w:val="none"/>
        </w:rPr>
      </w:pPr>
      <w:r>
        <w:rPr>
          <w:rFonts w:ascii="仿宋" w:hAnsi="仿宋" w:eastAsia="仿宋" w:cs="仿宋_GB2312"/>
          <w:b/>
          <w:color w:val="auto"/>
          <w:highlight w:val="none"/>
        </w:rPr>
        <w:t>8.开标前答疑会或现场考察</w:t>
      </w:r>
    </w:p>
    <w:p>
      <w:pPr>
        <w:pStyle w:val="34"/>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_GB2312"/>
          <w:b/>
          <w:color w:val="auto"/>
          <w:highlight w:val="none"/>
        </w:rPr>
      </w:pPr>
      <w:r>
        <w:rPr>
          <w:rFonts w:ascii="仿宋" w:hAnsi="仿宋" w:eastAsia="仿宋"/>
          <w:b/>
          <w:color w:val="auto"/>
          <w:kern w:val="28"/>
          <w:highlight w:val="none"/>
        </w:rPr>
        <w:t>9.投标保证金</w:t>
      </w:r>
    </w:p>
    <w:p>
      <w:pPr>
        <w:pStyle w:val="16"/>
        <w:spacing w:line="360" w:lineRule="auto"/>
        <w:ind w:firstLine="420" w:firstLineChars="200"/>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本项目不需缴纳投标保证金。</w:t>
      </w:r>
    </w:p>
    <w:p>
      <w:pPr>
        <w:pStyle w:val="34"/>
        <w:spacing w:line="360" w:lineRule="auto"/>
        <w:rPr>
          <w:rFonts w:ascii="仿宋" w:hAnsi="仿宋" w:eastAsia="仿宋" w:cs="仿宋_GB2312"/>
          <w:b/>
          <w:color w:val="auto"/>
          <w:highlight w:val="none"/>
        </w:rPr>
      </w:pPr>
      <w:r>
        <w:rPr>
          <w:rFonts w:ascii="仿宋" w:hAnsi="仿宋" w:eastAsia="仿宋" w:cs="仿宋_GB2312"/>
          <w:b/>
          <w:color w:val="auto"/>
          <w:highlight w:val="none"/>
        </w:rPr>
        <w:t>10.</w:t>
      </w:r>
      <w:r>
        <w:rPr>
          <w:rFonts w:hint="eastAsia" w:ascii="仿宋" w:hAnsi="仿宋" w:eastAsia="仿宋" w:cs="仿宋_GB2312"/>
          <w:b/>
          <w:color w:val="auto"/>
          <w:highlight w:val="none"/>
        </w:rPr>
        <w:t>投标文件的语言</w:t>
      </w:r>
    </w:p>
    <w:p>
      <w:pPr>
        <w:autoSpaceDE w:val="0"/>
        <w:autoSpaceDN w:val="0"/>
        <w:spacing w:line="360" w:lineRule="auto"/>
        <w:ind w:firstLine="420" w:firstLineChars="200"/>
        <w:rPr>
          <w:rFonts w:ascii="仿宋" w:hAnsi="仿宋" w:eastAsia="仿宋" w:cs="仿宋_GB2312"/>
          <w:color w:val="auto"/>
          <w:szCs w:val="21"/>
          <w:highlight w:val="none"/>
          <w:lang w:val="zh-CN"/>
        </w:rPr>
      </w:pPr>
      <w:r>
        <w:rPr>
          <w:rFonts w:hint="eastAsia" w:ascii="仿宋" w:hAnsi="仿宋" w:eastAsia="仿宋" w:cs="仿宋_GB2312"/>
          <w:color w:val="auto"/>
          <w:szCs w:val="21"/>
          <w:highlight w:val="none"/>
        </w:rPr>
        <w:t>投标文件及投标人与采购有关的来往通知、函件和文件均应使用中文。</w:t>
      </w:r>
    </w:p>
    <w:p>
      <w:pPr>
        <w:pStyle w:val="34"/>
        <w:spacing w:line="360" w:lineRule="auto"/>
        <w:rPr>
          <w:rFonts w:ascii="仿宋" w:hAnsi="仿宋" w:eastAsia="仿宋" w:cs="仿宋_GB2312"/>
          <w:b/>
          <w:color w:val="auto"/>
          <w:highlight w:val="none"/>
        </w:rPr>
      </w:pPr>
      <w:r>
        <w:rPr>
          <w:rFonts w:ascii="仿宋" w:hAnsi="仿宋" w:eastAsia="仿宋" w:cs="仿宋_GB2312"/>
          <w:b/>
          <w:color w:val="auto"/>
          <w:highlight w:val="none"/>
        </w:rPr>
        <w:t>11.</w:t>
      </w:r>
      <w:r>
        <w:rPr>
          <w:rFonts w:hint="eastAsia" w:ascii="仿宋" w:hAnsi="仿宋" w:eastAsia="仿宋" w:cs="仿宋_GB2312"/>
          <w:b/>
          <w:color w:val="auto"/>
          <w:highlight w:val="none"/>
        </w:rPr>
        <w:t>投标文件的组成</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11.1</w:t>
      </w:r>
      <w:r>
        <w:rPr>
          <w:rFonts w:hint="eastAsia" w:ascii="仿宋" w:hAnsi="仿宋" w:eastAsia="仿宋" w:cs="仿宋_GB2312"/>
          <w:b/>
          <w:color w:val="auto"/>
          <w:szCs w:val="21"/>
          <w:highlight w:val="none"/>
        </w:rPr>
        <w:t>资格文件</w:t>
      </w: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11.1.1符合参加政府采购活动应当具备的一般条件的承诺函；</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11.1.2落实政府采购政策需满足的资格要求</w:t>
      </w:r>
      <w:r>
        <w:rPr>
          <w:rFonts w:hint="eastAsia" w:ascii="仿宋" w:hAnsi="仿宋" w:eastAsia="仿宋" w:cs="仿宋_GB2312"/>
          <w:color w:val="auto"/>
          <w:szCs w:val="21"/>
          <w:highlight w:val="none"/>
        </w:rPr>
        <w:t>（如果有）</w:t>
      </w:r>
      <w:r>
        <w:rPr>
          <w:rFonts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11.1.3本项目的特定资格要求</w:t>
      </w:r>
      <w:r>
        <w:rPr>
          <w:rFonts w:hint="eastAsia" w:ascii="仿宋" w:hAnsi="仿宋" w:eastAsia="仿宋" w:cs="仿宋_GB2312"/>
          <w:color w:val="auto"/>
          <w:szCs w:val="21"/>
          <w:highlight w:val="none"/>
        </w:rPr>
        <w:t>（如果有）</w:t>
      </w:r>
      <w:r>
        <w:rPr>
          <w:rFonts w:ascii="仿宋" w:hAnsi="仿宋" w:eastAsia="仿宋" w:cs="仿宋_GB2312"/>
          <w:color w:val="auto"/>
          <w:szCs w:val="21"/>
          <w:highlight w:val="none"/>
        </w:rPr>
        <w:t>。</w:t>
      </w:r>
    </w:p>
    <w:p>
      <w:pPr>
        <w:snapToGrid w:val="0"/>
        <w:spacing w:line="360" w:lineRule="auto"/>
        <w:ind w:firstLine="422" w:firstLineChars="200"/>
        <w:rPr>
          <w:rFonts w:ascii="仿宋" w:hAnsi="仿宋" w:eastAsia="仿宋" w:cs="仿宋_GB2312"/>
          <w:b/>
          <w:bCs/>
          <w:color w:val="auto"/>
          <w:szCs w:val="21"/>
          <w:highlight w:val="none"/>
          <w:lang w:val="zh-CN"/>
        </w:rPr>
      </w:pPr>
      <w:r>
        <w:rPr>
          <w:rFonts w:ascii="仿宋" w:hAnsi="仿宋" w:eastAsia="仿宋" w:cs="仿宋_GB2312"/>
          <w:b/>
          <w:bCs/>
          <w:color w:val="auto"/>
          <w:szCs w:val="21"/>
          <w:highlight w:val="none"/>
          <w:lang w:val="zh-CN"/>
        </w:rPr>
        <w:t>11.</w:t>
      </w:r>
      <w:r>
        <w:rPr>
          <w:rFonts w:ascii="仿宋" w:hAnsi="仿宋" w:eastAsia="仿宋" w:cs="仿宋_GB2312"/>
          <w:b/>
          <w:bCs/>
          <w:color w:val="auto"/>
          <w:szCs w:val="21"/>
          <w:highlight w:val="none"/>
        </w:rPr>
        <w:t>2</w:t>
      </w:r>
      <w:r>
        <w:rPr>
          <w:rFonts w:hint="eastAsia" w:ascii="仿宋" w:hAnsi="仿宋" w:eastAsia="仿宋" w:cs="仿宋_GB2312"/>
          <w:b/>
          <w:bCs/>
          <w:color w:val="auto"/>
          <w:szCs w:val="21"/>
          <w:highlight w:val="none"/>
        </w:rPr>
        <w:t xml:space="preserve"> 商务技术</w:t>
      </w:r>
      <w:r>
        <w:rPr>
          <w:rFonts w:hint="eastAsia" w:ascii="仿宋" w:hAnsi="仿宋" w:eastAsia="仿宋" w:cs="仿宋_GB2312"/>
          <w:b/>
          <w:bCs/>
          <w:color w:val="auto"/>
          <w:szCs w:val="21"/>
          <w:highlight w:val="none"/>
          <w:lang w:val="zh-CN"/>
        </w:rPr>
        <w:t>文件：</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11.2.1投标函；</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11.2.2授权委托书或法定代表人（单位负责人、自然人本人）身份证明；</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11.2.3联合协议</w:t>
      </w:r>
      <w:r>
        <w:rPr>
          <w:rFonts w:hint="eastAsia" w:ascii="仿宋" w:hAnsi="仿宋" w:eastAsia="仿宋" w:cs="仿宋_GB2312"/>
          <w:color w:val="auto"/>
          <w:szCs w:val="21"/>
          <w:highlight w:val="none"/>
        </w:rPr>
        <w:t>（如果有）</w:t>
      </w:r>
      <w:r>
        <w:rPr>
          <w:rFonts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11.2.4分包意向协议</w:t>
      </w:r>
      <w:r>
        <w:rPr>
          <w:rFonts w:hint="eastAsia" w:ascii="仿宋" w:hAnsi="仿宋" w:eastAsia="仿宋" w:cs="仿宋_GB2312"/>
          <w:color w:val="auto"/>
          <w:szCs w:val="21"/>
          <w:highlight w:val="none"/>
        </w:rPr>
        <w:t>（如果有）</w:t>
      </w:r>
      <w:r>
        <w:rPr>
          <w:rFonts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11.2.5符合性审查资料；</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11.2.6评标标准相应的商务技术资料；</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11.2.7商务技术偏离表；</w:t>
      </w:r>
    </w:p>
    <w:p>
      <w:pPr>
        <w:snapToGrid w:val="0"/>
        <w:spacing w:line="360" w:lineRule="auto"/>
        <w:ind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lang w:val="zh-CN"/>
        </w:rPr>
        <w:t>11.</w:t>
      </w: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8</w:t>
      </w:r>
      <w:r>
        <w:rPr>
          <w:rFonts w:hint="eastAsia" w:ascii="仿宋" w:hAnsi="仿宋" w:eastAsia="仿宋" w:cs="仿宋_GB2312"/>
          <w:color w:val="auto"/>
          <w:szCs w:val="21"/>
          <w:highlight w:val="none"/>
          <w:lang w:val="zh-CN"/>
        </w:rPr>
        <w:t>政府采购供应商廉洁自律承诺书；</w:t>
      </w:r>
    </w:p>
    <w:p>
      <w:pPr>
        <w:snapToGrid w:val="0"/>
        <w:spacing w:line="360" w:lineRule="auto"/>
        <w:ind w:firstLine="422" w:firstLineChars="200"/>
        <w:rPr>
          <w:rFonts w:ascii="仿宋" w:hAnsi="仿宋" w:eastAsia="仿宋" w:cs="仿宋_GB2312"/>
          <w:color w:val="auto"/>
          <w:szCs w:val="21"/>
          <w:highlight w:val="none"/>
          <w:u w:val="single"/>
          <w:lang w:val="zh-CN"/>
        </w:rPr>
      </w:pPr>
      <w:r>
        <w:rPr>
          <w:rFonts w:ascii="仿宋" w:hAnsi="仿宋" w:eastAsia="仿宋" w:cs="仿宋_GB2312"/>
          <w:b/>
          <w:bCs/>
          <w:color w:val="auto"/>
          <w:kern w:val="0"/>
          <w:szCs w:val="21"/>
          <w:highlight w:val="none"/>
          <w:lang w:val="zh-CN"/>
        </w:rPr>
        <w:t>11.</w:t>
      </w:r>
      <w:r>
        <w:rPr>
          <w:rFonts w:ascii="仿宋" w:hAnsi="仿宋" w:eastAsia="仿宋" w:cs="仿宋_GB2312"/>
          <w:b/>
          <w:bCs/>
          <w:color w:val="auto"/>
          <w:kern w:val="0"/>
          <w:szCs w:val="21"/>
          <w:highlight w:val="none"/>
        </w:rPr>
        <w:t>3</w:t>
      </w:r>
      <w:r>
        <w:rPr>
          <w:rFonts w:hint="eastAsia" w:ascii="仿宋" w:hAnsi="仿宋" w:eastAsia="仿宋" w:cs="仿宋_GB2312"/>
          <w:b/>
          <w:color w:val="auto"/>
          <w:szCs w:val="21"/>
          <w:highlight w:val="none"/>
        </w:rPr>
        <w:t>报价文件：</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11.3.1开标一览表（报价表）；</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11.3.2报价明细表；</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11.3.</w:t>
      </w: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中小企业声明函</w:t>
      </w: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11.3.</w:t>
      </w:r>
      <w:r>
        <w:rPr>
          <w:rFonts w:hint="eastAsia" w:ascii="仿宋" w:hAnsi="仿宋" w:eastAsia="仿宋" w:cs="仿宋_GB2312"/>
          <w:color w:val="auto"/>
          <w:szCs w:val="21"/>
          <w:highlight w:val="none"/>
        </w:rPr>
        <w:t>4代理服务费支付承诺书。</w:t>
      </w:r>
    </w:p>
    <w:p>
      <w:pPr>
        <w:spacing w:line="360" w:lineRule="auto"/>
        <w:ind w:firstLine="422" w:firstLineChars="200"/>
        <w:rPr>
          <w:rFonts w:ascii="仿宋" w:hAnsi="仿宋" w:eastAsia="仿宋"/>
          <w:b/>
          <w:color w:val="auto"/>
          <w:szCs w:val="21"/>
          <w:highlight w:val="none"/>
        </w:rPr>
      </w:pPr>
      <w:r>
        <w:rPr>
          <w:rFonts w:hint="eastAsia" w:ascii="仿宋" w:hAnsi="仿宋" w:eastAsia="仿宋"/>
          <w:b/>
          <w:bCs/>
          <w:color w:val="auto"/>
          <w:szCs w:val="21"/>
          <w:highlight w:val="none"/>
        </w:rPr>
        <w:t>▲</w:t>
      </w:r>
      <w:r>
        <w:rPr>
          <w:rFonts w:hint="eastAsia" w:ascii="仿宋" w:hAnsi="仿宋" w:eastAsia="仿宋"/>
          <w:b/>
          <w:color w:val="auto"/>
          <w:szCs w:val="21"/>
          <w:highlight w:val="none"/>
        </w:rPr>
        <w:t>投标文件含有采购人不能接受的附加条件的，投标无效；</w:t>
      </w:r>
    </w:p>
    <w:p>
      <w:pPr>
        <w:spacing w:line="360" w:lineRule="auto"/>
        <w:ind w:firstLine="422" w:firstLineChars="200"/>
        <w:rPr>
          <w:rFonts w:ascii="仿宋" w:hAnsi="仿宋" w:eastAsia="仿宋" w:cs="仿宋_GB2312"/>
          <w:b/>
          <w:color w:val="auto"/>
          <w:szCs w:val="21"/>
          <w:highlight w:val="none"/>
        </w:rPr>
      </w:pPr>
      <w:r>
        <w:rPr>
          <w:rFonts w:hint="eastAsia" w:ascii="仿宋" w:hAnsi="仿宋" w:eastAsia="仿宋"/>
          <w:b/>
          <w:bCs/>
          <w:color w:val="auto"/>
          <w:szCs w:val="21"/>
          <w:highlight w:val="none"/>
        </w:rPr>
        <w:t>▲</w:t>
      </w:r>
      <w:r>
        <w:rPr>
          <w:rFonts w:hint="eastAsia" w:ascii="仿宋" w:hAnsi="仿宋" w:eastAsia="仿宋"/>
          <w:b/>
          <w:color w:val="auto"/>
          <w:szCs w:val="21"/>
          <w:highlight w:val="none"/>
        </w:rPr>
        <w:t>投标人提供虚假材料投标的，投标无效。</w:t>
      </w:r>
    </w:p>
    <w:p>
      <w:pPr>
        <w:pStyle w:val="131"/>
        <w:snapToGrid w:val="0"/>
        <w:spacing w:before="0"/>
        <w:ind w:firstLine="0" w:firstLineChars="0"/>
        <w:outlineLvl w:val="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12</w:t>
      </w:r>
      <w:r>
        <w:rPr>
          <w:rFonts w:ascii="仿宋" w:hAnsi="仿宋" w:eastAsia="仿宋" w:cs="仿宋_GB2312"/>
          <w:b/>
          <w:color w:val="auto"/>
          <w:kern w:val="0"/>
          <w:sz w:val="21"/>
          <w:szCs w:val="21"/>
          <w:highlight w:val="none"/>
          <w:lang w:val="zh-CN"/>
        </w:rPr>
        <w:t>.</w:t>
      </w:r>
      <w:r>
        <w:rPr>
          <w:rFonts w:hint="eastAsia" w:ascii="仿宋" w:hAnsi="仿宋" w:eastAsia="仿宋" w:cs="仿宋_GB2312"/>
          <w:b/>
          <w:color w:val="auto"/>
          <w:sz w:val="21"/>
          <w:szCs w:val="21"/>
          <w:highlight w:val="none"/>
        </w:rPr>
        <w:t>投标文件的编制</w:t>
      </w:r>
    </w:p>
    <w:p>
      <w:pPr>
        <w:spacing w:line="360" w:lineRule="auto"/>
        <w:ind w:firstLine="420" w:firstLineChars="200"/>
        <w:rPr>
          <w:rFonts w:ascii="仿宋" w:hAnsi="仿宋" w:eastAsia="仿宋" w:cs="仿宋_GB2312"/>
          <w:b/>
          <w:color w:val="auto"/>
          <w:szCs w:val="21"/>
          <w:highlight w:val="none"/>
        </w:rPr>
      </w:pPr>
      <w:r>
        <w:rPr>
          <w:rFonts w:ascii="仿宋" w:hAnsi="仿宋" w:eastAsia="仿宋" w:cs="仿宋_GB2312"/>
          <w:color w:val="auto"/>
          <w:kern w:val="0"/>
          <w:szCs w:val="21"/>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Cs w:val="21"/>
          <w:highlight w:val="none"/>
          <w:lang w:val="zh-CN"/>
        </w:rPr>
        <w:t>分规定的格式进行，混乱的编排导致投标文件被误读或评标委员会查找不到有效文件是投标人的风险。</w:t>
      </w:r>
    </w:p>
    <w:p>
      <w:pPr>
        <w:spacing w:line="360" w:lineRule="auto"/>
        <w:ind w:firstLine="420" w:firstLineChars="200"/>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12.2投标人进行电子投标应安装客户端软件—“政</w:t>
      </w:r>
      <w:r>
        <w:rPr>
          <w:rFonts w:hint="eastAsia" w:ascii="仿宋" w:hAnsi="仿宋" w:eastAsia="仿宋" w:cs="仿宋_GB2312"/>
          <w:color w:val="auto"/>
          <w:kern w:val="0"/>
          <w:szCs w:val="21"/>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12.3使用“政</w:t>
      </w:r>
      <w:r>
        <w:rPr>
          <w:rFonts w:hint="eastAsia" w:ascii="仿宋" w:hAnsi="仿宋" w:eastAsia="仿宋" w:cs="仿宋_GB2312"/>
          <w:color w:val="auto"/>
          <w:kern w:val="0"/>
          <w:szCs w:val="21"/>
          <w:highlight w:val="none"/>
          <w:lang w:val="zh-CN"/>
        </w:rPr>
        <w:t>采云电子交易客户端”需要提前申领</w:t>
      </w:r>
      <w:r>
        <w:rPr>
          <w:rFonts w:ascii="仿宋" w:hAnsi="仿宋" w:eastAsia="仿宋" w:cs="仿宋_GB2312"/>
          <w:color w:val="auto"/>
          <w:kern w:val="0"/>
          <w:szCs w:val="21"/>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Cs w:val="21"/>
          <w:highlight w:val="none"/>
        </w:rPr>
      </w:pPr>
      <w:r>
        <w:rPr>
          <w:rFonts w:ascii="仿宋" w:hAnsi="仿宋" w:eastAsia="仿宋"/>
          <w:b/>
          <w:color w:val="auto"/>
          <w:szCs w:val="21"/>
          <w:highlight w:val="none"/>
        </w:rPr>
        <w:t>13.投标文件的签署、盖章</w:t>
      </w:r>
    </w:p>
    <w:p>
      <w:pPr>
        <w:pStyle w:val="131"/>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13.1投标文件按照招标文件第六部分格式要</w:t>
      </w:r>
      <w:r>
        <w:rPr>
          <w:rFonts w:hint="eastAsia" w:ascii="仿宋" w:hAnsi="仿宋" w:eastAsia="仿宋" w:cs="仿宋_GB2312"/>
          <w:color w:val="auto"/>
          <w:sz w:val="21"/>
          <w:szCs w:val="21"/>
          <w:highlight w:val="none"/>
        </w:rPr>
        <w:t>求进行签署、盖章。</w:t>
      </w:r>
    </w:p>
    <w:p>
      <w:pPr>
        <w:pStyle w:val="131"/>
        <w:snapToGrid w:val="0"/>
        <w:spacing w:before="0"/>
        <w:ind w:firstLine="422"/>
        <w:rPr>
          <w:rFonts w:ascii="仿宋" w:hAnsi="仿宋" w:eastAsia="仿宋" w:cs="仿宋_GB2312"/>
          <w:b/>
          <w:color w:val="auto"/>
          <w:sz w:val="21"/>
          <w:szCs w:val="21"/>
          <w:highlight w:val="none"/>
        </w:rPr>
      </w:pPr>
      <w:r>
        <w:rPr>
          <w:rFonts w:hint="eastAsia" w:ascii="仿宋" w:hAnsi="仿宋" w:eastAsia="仿宋"/>
          <w:b/>
          <w:color w:val="auto"/>
          <w:sz w:val="21"/>
          <w:szCs w:val="21"/>
          <w:highlight w:val="none"/>
        </w:rPr>
        <w:t>▲</w:t>
      </w:r>
      <w:r>
        <w:rPr>
          <w:rFonts w:hint="eastAsia" w:ascii="仿宋" w:hAnsi="仿宋" w:eastAsia="仿宋" w:cs="仿宋_GB2312"/>
          <w:b/>
          <w:color w:val="auto"/>
          <w:sz w:val="21"/>
          <w:szCs w:val="21"/>
          <w:highlight w:val="none"/>
        </w:rPr>
        <w:t>投标人的投标文件未按照招标文件要求签署、盖章的，其投标无效</w:t>
      </w:r>
      <w:r>
        <w:rPr>
          <w:rFonts w:hint="eastAsia" w:ascii="仿宋" w:hAnsi="仿宋" w:eastAsia="仿宋" w:cs="仿宋_GB2312"/>
          <w:color w:val="auto"/>
          <w:sz w:val="21"/>
          <w:szCs w:val="21"/>
          <w:highlight w:val="none"/>
        </w:rPr>
        <w:t>。</w:t>
      </w:r>
    </w:p>
    <w:p>
      <w:pPr>
        <w:pStyle w:val="131"/>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13.3招标文件对投标文件签署、盖章的要求适用于电子签名。</w:t>
      </w:r>
    </w:p>
    <w:p>
      <w:pPr>
        <w:pStyle w:val="131"/>
        <w:spacing w:before="0"/>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14.</w:t>
      </w:r>
      <w:r>
        <w:rPr>
          <w:rFonts w:hint="eastAsia" w:ascii="仿宋" w:hAnsi="仿宋" w:eastAsia="仿宋" w:cs="仿宋_GB2312"/>
          <w:b/>
          <w:color w:val="auto"/>
          <w:sz w:val="21"/>
          <w:szCs w:val="21"/>
          <w:highlight w:val="none"/>
        </w:rPr>
        <w:t>投标文件的提交、补充、修改、撤回</w:t>
      </w:r>
    </w:p>
    <w:p>
      <w:pPr>
        <w:pStyle w:val="131"/>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14.1</w:t>
      </w:r>
      <w:r>
        <w:rPr>
          <w:rFonts w:hint="eastAsia" w:ascii="仿宋" w:hAnsi="仿宋" w:eastAsia="仿宋" w:cs="仿宋_GB2312"/>
          <w:color w:val="auto"/>
          <w:sz w:val="21"/>
          <w:szCs w:val="21"/>
          <w:highlight w:val="none"/>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_GB2312"/>
          <w:b/>
          <w:color w:val="auto"/>
          <w:highlight w:val="none"/>
        </w:rPr>
      </w:pPr>
      <w:r>
        <w:rPr>
          <w:rFonts w:ascii="仿宋" w:hAnsi="仿宋" w:eastAsia="仿宋" w:cs="仿宋_GB2312"/>
          <w:b/>
          <w:color w:val="auto"/>
          <w:highlight w:val="none"/>
        </w:rPr>
        <w:t>15.备份投标文件</w:t>
      </w:r>
    </w:p>
    <w:p>
      <w:pPr>
        <w:pStyle w:val="34"/>
        <w:spacing w:line="360" w:lineRule="auto"/>
        <w:ind w:firstLine="420" w:firstLineChars="200"/>
        <w:rPr>
          <w:rFonts w:ascii="仿宋" w:hAnsi="仿宋" w:eastAsia="仿宋" w:cs="仿宋_GB2312"/>
          <w:b/>
          <w:color w:val="auto"/>
          <w:highlight w:val="none"/>
        </w:rPr>
      </w:pPr>
      <w:r>
        <w:rPr>
          <w:rFonts w:ascii="仿宋" w:hAnsi="仿宋" w:eastAsia="仿宋" w:cs="仿宋_GB2312"/>
          <w:color w:val="auto"/>
          <w:highlight w:val="none"/>
        </w:rPr>
        <w:t>15.1投标人在电子交易平台传输递交投标文件后，还可以在投标截止时间前直接提交或者以邮政快递方式递交备份投标文件1份，</w:t>
      </w:r>
      <w:r>
        <w:rPr>
          <w:rFonts w:hint="eastAsia" w:ascii="仿宋" w:hAnsi="仿宋" w:eastAsia="仿宋" w:cs="仿宋_GB2312"/>
          <w:b/>
          <w:color w:val="auto"/>
          <w:highlight w:val="none"/>
        </w:rPr>
        <w:t>但采购人、采购机构不强制或变相强制投标人提交备份投标文件。</w:t>
      </w:r>
    </w:p>
    <w:p>
      <w:pPr>
        <w:pStyle w:val="34"/>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15.2备份投标文件须在“政</w:t>
      </w:r>
      <w:r>
        <w:rPr>
          <w:rFonts w:hint="eastAsia" w:ascii="仿宋" w:hAnsi="仿宋" w:eastAsia="仿宋" w:cs="仿宋_GB2312"/>
          <w:color w:val="auto"/>
          <w:highlight w:val="none"/>
        </w:rPr>
        <w:t>采云投标客户端”制作生成，并储存在</w:t>
      </w:r>
      <w:r>
        <w:rPr>
          <w:rFonts w:ascii="仿宋" w:hAnsi="仿宋" w:eastAsia="仿宋"/>
          <w:color w:val="auto"/>
          <w:highlight w:val="none"/>
        </w:rPr>
        <w:t>DVD光盘</w:t>
      </w:r>
      <w:r>
        <w:rPr>
          <w:rFonts w:hint="eastAsia" w:ascii="仿宋" w:hAnsi="仿宋" w:eastAsia="仿宋"/>
          <w:color w:val="auto"/>
          <w:highlight w:val="none"/>
        </w:rPr>
        <w:t>或U盘</w:t>
      </w:r>
      <w:r>
        <w:rPr>
          <w:rFonts w:hint="eastAsia" w:ascii="仿宋" w:hAnsi="仿宋" w:eastAsia="仿宋" w:cs="仿宋_GB2312"/>
          <w:color w:val="auto"/>
          <w:highlight w:val="none"/>
        </w:rPr>
        <w:t>中。备份投标文件应当密封包装并在包装上加盖公章并注明投标项目名称，投标人名称</w:t>
      </w:r>
      <w:r>
        <w:rPr>
          <w:rFonts w:ascii="仿宋" w:hAnsi="仿宋" w:eastAsia="仿宋" w:cs="仿宋_GB2312"/>
          <w:color w:val="auto"/>
          <w:highlight w:val="none"/>
        </w:rPr>
        <w:t>(联合体投标的，包装物封面需注明联合体投标，并注明联合体成员各方的名称和联合协议中约定的牵头人的名称)。</w:t>
      </w:r>
    </w:p>
    <w:p>
      <w:pPr>
        <w:pStyle w:val="34"/>
        <w:spacing w:line="360" w:lineRule="auto"/>
        <w:ind w:firstLine="422" w:firstLineChars="200"/>
        <w:rPr>
          <w:rFonts w:ascii="仿宋" w:hAnsi="仿宋" w:eastAsia="仿宋" w:cs="仿宋_GB2312"/>
          <w:b/>
          <w:color w:val="auto"/>
          <w:highlight w:val="none"/>
        </w:rPr>
      </w:pPr>
      <w:r>
        <w:rPr>
          <w:rFonts w:hint="eastAsia" w:ascii="仿宋" w:hAnsi="仿宋" w:eastAsia="仿宋"/>
          <w:b/>
          <w:bCs/>
          <w:color w:val="auto"/>
          <w:highlight w:val="none"/>
        </w:rPr>
        <w:t>▲</w:t>
      </w:r>
      <w:r>
        <w:rPr>
          <w:rFonts w:hint="eastAsia" w:ascii="仿宋" w:hAnsi="仿宋" w:eastAsia="仿宋"/>
          <w:b/>
          <w:color w:val="auto"/>
          <w:highlight w:val="none"/>
        </w:rPr>
        <w:t>不符合上述制作、</w:t>
      </w:r>
      <w:r>
        <w:rPr>
          <w:rFonts w:hint="eastAsia" w:ascii="仿宋" w:hAnsi="仿宋" w:eastAsia="仿宋" w:cs="仿宋_GB2312"/>
          <w:b/>
          <w:color w:val="auto"/>
          <w:highlight w:val="none"/>
        </w:rPr>
        <w:t>存储、密封规定的备份投标文件将被视为无效或者被拒绝接收。</w:t>
      </w:r>
    </w:p>
    <w:p>
      <w:pPr>
        <w:pStyle w:val="34"/>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15.3直接提交备份投标文件的，投标人应于投标截止时间前</w:t>
      </w:r>
      <w:r>
        <w:rPr>
          <w:rFonts w:hint="eastAsia" w:ascii="仿宋" w:hAnsi="仿宋" w:eastAsia="仿宋" w:cs="仿宋_GB2312"/>
          <w:color w:val="auto"/>
          <w:highlight w:val="none"/>
        </w:rPr>
        <w:t>按投标人须知前附表规定的地点</w:t>
      </w:r>
      <w:r>
        <w:rPr>
          <w:rFonts w:ascii="仿宋" w:hAnsi="仿宋" w:eastAsia="仿宋" w:cs="仿宋_GB2312"/>
          <w:color w:val="auto"/>
          <w:highlight w:val="none"/>
        </w:rPr>
        <w:t>将备份投标文件提交给采购机构，采购机构将拒绝接受逾期送达的备份投标文件。</w:t>
      </w:r>
    </w:p>
    <w:p>
      <w:pPr>
        <w:pStyle w:val="34"/>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color w:val="auto"/>
          <w:highlight w:val="none"/>
        </w:rPr>
        <w:t>招标文件第二部分投标人须知前附表规定的备份投标文件送达地点；</w:t>
      </w:r>
      <w:r>
        <w:rPr>
          <w:rFonts w:hint="eastAsia" w:ascii="仿宋" w:hAnsi="仿宋" w:eastAsia="仿宋" w:cs="仿宋_GB2312"/>
          <w:color w:val="auto"/>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22" w:firstLineChars="200"/>
        <w:rPr>
          <w:rFonts w:ascii="仿宋" w:hAnsi="仿宋" w:eastAsia="仿宋" w:cs="仿宋_GB2312"/>
          <w:b/>
          <w:color w:val="auto"/>
          <w:highlight w:val="none"/>
        </w:rPr>
      </w:pPr>
      <w:r>
        <w:rPr>
          <w:rFonts w:hint="eastAsia" w:ascii="仿宋" w:hAnsi="仿宋" w:eastAsia="仿宋"/>
          <w:b/>
          <w:bCs/>
          <w:color w:val="auto"/>
          <w:highlight w:val="none"/>
        </w:rPr>
        <w:t>▲</w:t>
      </w:r>
      <w:r>
        <w:rPr>
          <w:rFonts w:ascii="仿宋" w:hAnsi="仿宋" w:eastAsia="仿宋" w:cs="仿宋_GB2312"/>
          <w:b/>
          <w:color w:val="auto"/>
          <w:highlight w:val="none"/>
        </w:rPr>
        <w:t>15.5投标人仅提交备份投标文件，没有在电子交易平台传输递交投标文件的，投标无效。</w:t>
      </w:r>
    </w:p>
    <w:p>
      <w:pPr>
        <w:pStyle w:val="131"/>
        <w:spacing w:before="0"/>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16.投标文件的无效处理</w:t>
      </w:r>
    </w:p>
    <w:p>
      <w:pPr>
        <w:pStyle w:val="17"/>
        <w:spacing w:line="360" w:lineRule="auto"/>
        <w:ind w:firstLine="420"/>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有招标文件第四部分</w:t>
      </w:r>
      <w:r>
        <w:rPr>
          <w:rFonts w:hint="eastAsia" w:ascii="仿宋" w:hAnsi="仿宋" w:eastAsia="仿宋"/>
          <w:color w:val="auto"/>
          <w:sz w:val="21"/>
          <w:szCs w:val="21"/>
          <w:highlight w:val="none"/>
        </w:rPr>
        <w:t>第4.2</w:t>
      </w:r>
      <w:r>
        <w:rPr>
          <w:rFonts w:ascii="仿宋" w:hAnsi="仿宋" w:eastAsia="仿宋"/>
          <w:color w:val="auto"/>
          <w:sz w:val="21"/>
          <w:szCs w:val="21"/>
          <w:highlight w:val="none"/>
        </w:rPr>
        <w:t>项规定</w:t>
      </w:r>
      <w:r>
        <w:rPr>
          <w:rFonts w:hint="eastAsia" w:ascii="仿宋" w:hAnsi="仿宋" w:eastAsia="仿宋" w:cs="仿宋_GB2312"/>
          <w:color w:val="auto"/>
          <w:sz w:val="21"/>
          <w:szCs w:val="21"/>
          <w:highlight w:val="none"/>
        </w:rPr>
        <w:t>的情形之一的，投标无效：</w:t>
      </w:r>
    </w:p>
    <w:p>
      <w:pPr>
        <w:pStyle w:val="131"/>
        <w:spacing w:before="0"/>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17.投标有效期</w:t>
      </w:r>
    </w:p>
    <w:p>
      <w:pPr>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17.1投标有效期为从提交投标文件的截止之日起90天。</w:t>
      </w:r>
    </w:p>
    <w:p>
      <w:pPr>
        <w:spacing w:line="360" w:lineRule="auto"/>
        <w:ind w:firstLine="420" w:firstLineChars="200"/>
        <w:rPr>
          <w:rFonts w:ascii="仿宋" w:hAnsi="仿宋" w:eastAsia="仿宋" w:cs="仿宋_GB2312"/>
          <w:b/>
          <w:color w:val="auto"/>
          <w:szCs w:val="21"/>
          <w:highlight w:val="none"/>
        </w:rPr>
      </w:pPr>
      <w:r>
        <w:rPr>
          <w:rFonts w:ascii="仿宋" w:hAnsi="仿宋" w:eastAsia="仿宋" w:cs="仿宋_GB2312"/>
          <w:color w:val="auto"/>
          <w:szCs w:val="21"/>
          <w:highlight w:val="none"/>
        </w:rPr>
        <w:t>▲</w:t>
      </w:r>
      <w:r>
        <w:rPr>
          <w:rFonts w:hint="eastAsia" w:ascii="仿宋" w:hAnsi="仿宋" w:eastAsia="仿宋" w:cs="仿宋_GB2312"/>
          <w:b/>
          <w:color w:val="auto"/>
          <w:szCs w:val="21"/>
          <w:highlight w:val="none"/>
        </w:rPr>
        <w:t>投标人的投标文件中承诺的投标有效期少于招标文件中载明的投标有效期的，投标无效。</w:t>
      </w:r>
    </w:p>
    <w:p>
      <w:pPr>
        <w:pStyle w:val="131"/>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17.2投标文件合格投递后，自投标截止日期起，在投标有效期内有效。</w:t>
      </w:r>
    </w:p>
    <w:p>
      <w:pPr>
        <w:pStyle w:val="131"/>
        <w:spacing w:before="0"/>
        <w:ind w:firstLine="420"/>
        <w:rPr>
          <w:rFonts w:ascii="仿宋" w:hAnsi="仿宋" w:eastAsia="仿宋" w:cs="仿宋_GB2312"/>
          <w:color w:val="auto"/>
          <w:highlight w:val="none"/>
        </w:rPr>
      </w:pPr>
      <w:r>
        <w:rPr>
          <w:rFonts w:ascii="仿宋" w:hAnsi="仿宋" w:eastAsia="仿宋" w:cs="仿宋_GB2312"/>
          <w:color w:val="auto"/>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Lines="100" w:afterLines="100"/>
        <w:ind w:firstLine="0" w:firstLineChars="0"/>
        <w:jc w:val="center"/>
        <w:rPr>
          <w:rFonts w:ascii="仿宋" w:hAnsi="仿宋" w:eastAsia="仿宋" w:cs="仿宋_GB2312"/>
          <w:b/>
          <w:color w:val="auto"/>
          <w:sz w:val="36"/>
          <w:szCs w:val="21"/>
          <w:highlight w:val="none"/>
        </w:rPr>
      </w:pPr>
      <w:r>
        <w:rPr>
          <w:rFonts w:hint="eastAsia" w:ascii="仿宋" w:hAnsi="仿宋" w:eastAsia="仿宋" w:cs="仿宋_GB2312"/>
          <w:b/>
          <w:color w:val="auto"/>
          <w:sz w:val="36"/>
          <w:szCs w:val="21"/>
          <w:highlight w:val="none"/>
        </w:rPr>
        <w:t>四、开标、资格审查与信用信息查询</w:t>
      </w:r>
    </w:p>
    <w:p>
      <w:pPr>
        <w:pStyle w:val="556"/>
        <w:wordWrap w:val="0"/>
        <w:spacing w:before="0" w:line="360" w:lineRule="auto"/>
        <w:ind w:left="0" w:firstLine="0"/>
        <w:contextualSpacing/>
        <w:rPr>
          <w:rFonts w:ascii="仿宋" w:hAnsi="仿宋" w:eastAsia="仿宋"/>
          <w:color w:val="auto"/>
          <w:sz w:val="21"/>
          <w:szCs w:val="21"/>
          <w:highlight w:val="none"/>
        </w:rPr>
      </w:pPr>
      <w:r>
        <w:rPr>
          <w:rFonts w:ascii="仿宋" w:hAnsi="仿宋" w:eastAsia="仿宋" w:cs="仿宋_GB2312"/>
          <w:b/>
          <w:color w:val="auto"/>
          <w:sz w:val="21"/>
          <w:szCs w:val="21"/>
          <w:highlight w:val="none"/>
        </w:rPr>
        <w:t>18.开标</w:t>
      </w:r>
    </w:p>
    <w:p>
      <w:pPr>
        <w:pStyle w:val="556"/>
        <w:wordWrap w:val="0"/>
        <w:spacing w:before="0" w:line="360" w:lineRule="auto"/>
        <w:ind w:left="0" w:firstLine="420" w:firstLineChars="200"/>
        <w:contextualSpacing/>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18.1采购机构按照招标文件规定的时间通过电子交易平台组织开标，所有投标人均应当准时在线参加。投标人不足3家的，不得开标。</w:t>
      </w:r>
    </w:p>
    <w:p>
      <w:pPr>
        <w:pStyle w:val="556"/>
        <w:wordWrap w:val="0"/>
        <w:spacing w:before="0" w:line="360" w:lineRule="auto"/>
        <w:ind w:left="0" w:firstLine="420" w:firstLineChars="200"/>
        <w:contextualSpacing/>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18.2开标时，电子交易平台按开标时间自动提取所有投标文件。采购机构依托电子交易平台发起开始解密指令，投标人按照平台提示和招标文件的规定在半小时内完成在线解密。</w:t>
      </w:r>
    </w:p>
    <w:p>
      <w:pPr>
        <w:pStyle w:val="556"/>
        <w:wordWrap w:val="0"/>
        <w:spacing w:before="0" w:line="360" w:lineRule="auto"/>
        <w:ind w:left="0" w:firstLine="420" w:firstLineChars="200"/>
        <w:contextualSpacing/>
        <w:rPr>
          <w:rFonts w:ascii="仿宋" w:hAnsi="仿宋" w:eastAsia="仿宋" w:cs="仿宋_GB2312"/>
          <w:b/>
          <w:color w:val="auto"/>
          <w:sz w:val="21"/>
          <w:szCs w:val="21"/>
          <w:highlight w:val="none"/>
        </w:rPr>
      </w:pPr>
      <w:r>
        <w:rPr>
          <w:rFonts w:ascii="仿宋" w:hAnsi="仿宋" w:eastAsia="仿宋" w:cs="仿宋_GB2312"/>
          <w:color w:val="auto"/>
          <w:sz w:val="21"/>
          <w:szCs w:val="21"/>
          <w:highlight w:val="none"/>
        </w:rPr>
        <w:t>18.3</w:t>
      </w:r>
      <w:r>
        <w:rPr>
          <w:rFonts w:hint="eastAsia" w:ascii="仿宋" w:hAnsi="仿宋" w:eastAsia="仿宋" w:cs="仿宋_GB2312"/>
          <w:b/>
          <w:color w:val="auto"/>
          <w:sz w:val="21"/>
          <w:szCs w:val="21"/>
          <w:highlight w:val="none"/>
        </w:rPr>
        <w:t>投标文件未按时解密，投标人提供了备份投标文件的，以备份投标文件作为依据，否则视为投标文件撤回。投标文件已按时解密的，备份投标文件自动失效。</w:t>
      </w:r>
    </w:p>
    <w:p>
      <w:pPr>
        <w:widowControl/>
        <w:wordWrap w:val="0"/>
        <w:spacing w:line="360" w:lineRule="auto"/>
        <w:jc w:val="left"/>
        <w:rPr>
          <w:rFonts w:ascii="仿宋" w:hAnsi="仿宋" w:eastAsia="仿宋" w:cs="仿宋_GB2312"/>
          <w:b/>
          <w:color w:val="auto"/>
          <w:szCs w:val="21"/>
          <w:highlight w:val="none"/>
        </w:rPr>
      </w:pPr>
      <w:r>
        <w:rPr>
          <w:rFonts w:ascii="仿宋" w:hAnsi="仿宋" w:eastAsia="仿宋" w:cs="仿宋_GB2312"/>
          <w:b/>
          <w:color w:val="auto"/>
          <w:szCs w:val="21"/>
          <w:highlight w:val="none"/>
        </w:rPr>
        <w:t>19</w:t>
      </w:r>
      <w:r>
        <w:rPr>
          <w:rFonts w:hint="eastAsia" w:ascii="仿宋" w:hAnsi="仿宋" w:eastAsia="仿宋" w:cs="仿宋_GB2312"/>
          <w:b/>
          <w:color w:val="auto"/>
          <w:szCs w:val="21"/>
          <w:highlight w:val="none"/>
        </w:rPr>
        <w:t>.</w:t>
      </w:r>
      <w:r>
        <w:rPr>
          <w:rFonts w:ascii="仿宋" w:hAnsi="仿宋" w:eastAsia="仿宋" w:cs="仿宋_GB2312"/>
          <w:b/>
          <w:color w:val="auto"/>
          <w:szCs w:val="21"/>
          <w:highlight w:val="none"/>
        </w:rPr>
        <w:t>资格审查</w:t>
      </w:r>
    </w:p>
    <w:p>
      <w:pPr>
        <w:pStyle w:val="131"/>
        <w:wordWrap w:val="0"/>
        <w:spacing w:before="0"/>
        <w:ind w:firstLine="420"/>
        <w:rPr>
          <w:rFonts w:ascii="仿宋" w:hAnsi="仿宋" w:eastAsia="仿宋" w:cs="Arial"/>
          <w:color w:val="auto"/>
          <w:kern w:val="0"/>
          <w:sz w:val="21"/>
          <w:szCs w:val="21"/>
          <w:highlight w:val="none"/>
        </w:rPr>
      </w:pPr>
      <w:r>
        <w:rPr>
          <w:rFonts w:ascii="仿宋" w:hAnsi="仿宋" w:eastAsia="仿宋" w:cs="Arial"/>
          <w:color w:val="auto"/>
          <w:kern w:val="0"/>
          <w:sz w:val="21"/>
          <w:szCs w:val="21"/>
          <w:highlight w:val="none"/>
        </w:rPr>
        <w:t>19.1开标后，采购人或采购机构将依法对投标人的资格进行审查。</w:t>
      </w:r>
    </w:p>
    <w:p>
      <w:pPr>
        <w:wordWrap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Arial"/>
          <w:color w:val="auto"/>
          <w:kern w:val="0"/>
          <w:szCs w:val="21"/>
          <w:highlight w:val="none"/>
        </w:rPr>
        <w:t>19.2</w:t>
      </w:r>
      <w:r>
        <w:rPr>
          <w:rFonts w:hint="eastAsia" w:ascii="仿宋" w:hAnsi="仿宋" w:eastAsia="仿宋" w:cs="仿宋_GB2312"/>
          <w:color w:val="auto"/>
          <w:szCs w:val="21"/>
          <w:highlight w:val="none"/>
        </w:rPr>
        <w:t>采购人或采购机构依据法律法规和招标文件的规定，对投标人的基本资格条件、特定资格条件进行审查。</w:t>
      </w:r>
    </w:p>
    <w:p>
      <w:pPr>
        <w:pStyle w:val="131"/>
        <w:wordWrap w:val="0"/>
        <w:spacing w:before="0"/>
        <w:ind w:firstLine="420"/>
        <w:rPr>
          <w:rFonts w:ascii="仿宋" w:hAnsi="仿宋" w:eastAsia="仿宋" w:cs="仿宋_GB2312"/>
          <w:color w:val="auto"/>
          <w:sz w:val="21"/>
          <w:szCs w:val="21"/>
          <w:highlight w:val="none"/>
        </w:rPr>
      </w:pPr>
      <w:r>
        <w:rPr>
          <w:rFonts w:ascii="仿宋" w:hAnsi="仿宋" w:eastAsia="仿宋" w:cs="Arial"/>
          <w:color w:val="auto"/>
          <w:kern w:val="0"/>
          <w:sz w:val="21"/>
          <w:szCs w:val="21"/>
          <w:highlight w:val="none"/>
        </w:rPr>
        <w:t>19.3投标人未按照招标文件要求提供与</w:t>
      </w:r>
      <w:r>
        <w:rPr>
          <w:rFonts w:hint="eastAsia" w:ascii="仿宋" w:hAnsi="仿宋" w:eastAsia="仿宋" w:cs="仿宋_GB2312"/>
          <w:color w:val="auto"/>
          <w:sz w:val="21"/>
          <w:szCs w:val="21"/>
          <w:highlight w:val="none"/>
        </w:rPr>
        <w:t>基本资格条件、特定资格条件相应的</w:t>
      </w:r>
      <w:r>
        <w:rPr>
          <w:rFonts w:hint="eastAsia" w:ascii="仿宋" w:hAnsi="仿宋" w:eastAsia="仿宋" w:cs="Arial"/>
          <w:color w:val="auto"/>
          <w:kern w:val="0"/>
          <w:sz w:val="21"/>
          <w:szCs w:val="21"/>
          <w:highlight w:val="none"/>
        </w:rPr>
        <w:t>有效资格证明材料的，视为</w:t>
      </w:r>
      <w:r>
        <w:rPr>
          <w:rFonts w:hint="eastAsia" w:ascii="仿宋" w:hAnsi="仿宋" w:eastAsia="仿宋" w:cs="仿宋_GB2312"/>
          <w:color w:val="auto"/>
          <w:sz w:val="21"/>
          <w:szCs w:val="21"/>
          <w:highlight w:val="none"/>
        </w:rPr>
        <w:t>投标人不具备招标文件中规定的资格要求，其投标无效。</w:t>
      </w:r>
    </w:p>
    <w:p>
      <w:pPr>
        <w:pStyle w:val="131"/>
        <w:wordWrap w:val="0"/>
        <w:spacing w:before="0"/>
        <w:ind w:firstLine="420"/>
        <w:rPr>
          <w:rFonts w:ascii="仿宋" w:hAnsi="仿宋" w:eastAsia="仿宋" w:cs="仿宋_GB2312"/>
          <w:color w:val="auto"/>
          <w:sz w:val="21"/>
          <w:szCs w:val="21"/>
          <w:highlight w:val="none"/>
        </w:rPr>
      </w:pPr>
      <w:r>
        <w:rPr>
          <w:rFonts w:ascii="仿宋" w:hAnsi="仿宋" w:eastAsia="仿宋" w:cs="Arial"/>
          <w:color w:val="auto"/>
          <w:kern w:val="0"/>
          <w:sz w:val="21"/>
          <w:szCs w:val="21"/>
          <w:highlight w:val="none"/>
        </w:rPr>
        <w:t>19.</w:t>
      </w:r>
      <w:r>
        <w:rPr>
          <w:rFonts w:ascii="仿宋" w:hAnsi="仿宋" w:eastAsia="仿宋" w:cs="仿宋_GB2312"/>
          <w:color w:val="auto"/>
          <w:sz w:val="21"/>
          <w:szCs w:val="21"/>
          <w:highlight w:val="none"/>
        </w:rPr>
        <w:t>4对未通过资格审查的投标人，采购人或采购机构告知其未通过的原因。</w:t>
      </w:r>
    </w:p>
    <w:p>
      <w:pPr>
        <w:pStyle w:val="131"/>
        <w:wordWrap w:val="0"/>
        <w:spacing w:before="0"/>
        <w:ind w:firstLine="420"/>
        <w:rPr>
          <w:rFonts w:ascii="仿宋" w:hAnsi="仿宋" w:eastAsia="仿宋" w:cs="仿宋_GB2312"/>
          <w:color w:val="auto"/>
          <w:sz w:val="21"/>
          <w:szCs w:val="21"/>
          <w:highlight w:val="none"/>
        </w:rPr>
      </w:pPr>
      <w:r>
        <w:rPr>
          <w:rFonts w:ascii="仿宋" w:hAnsi="仿宋" w:eastAsia="仿宋" w:cs="Arial"/>
          <w:color w:val="auto"/>
          <w:kern w:val="0"/>
          <w:sz w:val="21"/>
          <w:szCs w:val="21"/>
          <w:highlight w:val="none"/>
        </w:rPr>
        <w:t>19.</w:t>
      </w:r>
      <w:r>
        <w:rPr>
          <w:rFonts w:ascii="仿宋" w:hAnsi="仿宋" w:eastAsia="仿宋" w:cs="仿宋_GB2312"/>
          <w:color w:val="auto"/>
          <w:sz w:val="21"/>
          <w:szCs w:val="21"/>
          <w:highlight w:val="none"/>
        </w:rPr>
        <w:t>5合格投标人不足3家的，不再评标。</w:t>
      </w:r>
    </w:p>
    <w:p>
      <w:pPr>
        <w:pStyle w:val="131"/>
        <w:wordWrap w:val="0"/>
        <w:spacing w:before="0"/>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20</w:t>
      </w:r>
      <w:r>
        <w:rPr>
          <w:rFonts w:hint="eastAsia" w:ascii="仿宋" w:hAnsi="仿宋" w:eastAsia="仿宋" w:cs="仿宋_GB2312"/>
          <w:b/>
          <w:color w:val="auto"/>
          <w:sz w:val="21"/>
          <w:szCs w:val="21"/>
          <w:highlight w:val="none"/>
        </w:rPr>
        <w:t>.</w:t>
      </w:r>
      <w:r>
        <w:rPr>
          <w:rFonts w:ascii="仿宋" w:hAnsi="仿宋" w:eastAsia="仿宋" w:cs="仿宋_GB2312"/>
          <w:b/>
          <w:color w:val="auto"/>
          <w:sz w:val="21"/>
          <w:szCs w:val="21"/>
          <w:highlight w:val="none"/>
        </w:rPr>
        <w:t>信用信息查询</w:t>
      </w:r>
    </w:p>
    <w:p>
      <w:pPr>
        <w:pStyle w:val="131"/>
        <w:wordWrap w:val="0"/>
        <w:spacing w:before="0"/>
        <w:ind w:firstLine="420"/>
        <w:rPr>
          <w:rFonts w:ascii="仿宋" w:hAnsi="仿宋" w:eastAsia="仿宋" w:cs="Arial"/>
          <w:color w:val="auto"/>
          <w:kern w:val="0"/>
          <w:sz w:val="21"/>
          <w:szCs w:val="21"/>
          <w:highlight w:val="none"/>
        </w:rPr>
      </w:pPr>
      <w:r>
        <w:rPr>
          <w:rFonts w:ascii="仿宋" w:hAnsi="仿宋" w:eastAsia="仿宋" w:cs="Arial"/>
          <w:color w:val="auto"/>
          <w:kern w:val="0"/>
          <w:sz w:val="21"/>
          <w:szCs w:val="21"/>
          <w:highlight w:val="none"/>
        </w:rPr>
        <w:t>20.1信用信息查询渠道及截止时间：采购机构将通过“信用中国”网站(www.creditchina.gov.cn)、中国政府采购网(www.ccgp.gov.cn)渠道查询投标人投标截止时间当天的信用记录。</w:t>
      </w:r>
    </w:p>
    <w:p>
      <w:pPr>
        <w:pStyle w:val="131"/>
        <w:wordWrap w:val="0"/>
        <w:spacing w:before="0"/>
        <w:ind w:firstLine="420"/>
        <w:rPr>
          <w:rFonts w:ascii="仿宋" w:hAnsi="仿宋" w:eastAsia="仿宋" w:cs="Arial"/>
          <w:color w:val="auto"/>
          <w:kern w:val="0"/>
          <w:sz w:val="21"/>
          <w:szCs w:val="21"/>
          <w:highlight w:val="none"/>
        </w:rPr>
      </w:pPr>
      <w:r>
        <w:rPr>
          <w:rFonts w:ascii="仿宋" w:hAnsi="仿宋" w:eastAsia="仿宋" w:cs="Arial"/>
          <w:color w:val="auto"/>
          <w:kern w:val="0"/>
          <w:sz w:val="21"/>
          <w:szCs w:val="21"/>
          <w:highlight w:val="none"/>
        </w:rPr>
        <w:t>20.2信用信息查询记录和证据留存的具体方式：现场查询的投标人的信用记录、查询结果经确认后将与采购文件一起存档。</w:t>
      </w:r>
    </w:p>
    <w:p>
      <w:pPr>
        <w:pStyle w:val="131"/>
        <w:wordWrap w:val="0"/>
        <w:spacing w:before="0"/>
        <w:ind w:firstLine="420"/>
        <w:rPr>
          <w:rFonts w:ascii="仿宋" w:hAnsi="仿宋" w:eastAsia="仿宋" w:cs="Arial"/>
          <w:color w:val="auto"/>
          <w:kern w:val="0"/>
          <w:sz w:val="21"/>
          <w:szCs w:val="21"/>
          <w:highlight w:val="none"/>
        </w:rPr>
      </w:pPr>
      <w:r>
        <w:rPr>
          <w:rFonts w:ascii="仿宋" w:hAnsi="仿宋" w:eastAsia="仿宋" w:cs="Arial"/>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31"/>
        <w:wordWrap w:val="0"/>
        <w:spacing w:before="0"/>
        <w:ind w:firstLine="420"/>
        <w:rPr>
          <w:rFonts w:ascii="仿宋" w:hAnsi="仿宋" w:eastAsia="仿宋" w:cs="仿宋_GB2312"/>
          <w:color w:val="auto"/>
          <w:highlight w:val="none"/>
        </w:rPr>
      </w:pPr>
      <w:r>
        <w:rPr>
          <w:rFonts w:ascii="仿宋" w:hAnsi="仿宋" w:eastAsia="仿宋" w:cs="Arial"/>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 w:val="21"/>
          <w:szCs w:val="21"/>
          <w:highlight w:val="none"/>
        </w:rPr>
        <w:t>。</w:t>
      </w:r>
    </w:p>
    <w:p>
      <w:pPr>
        <w:snapToGrid w:val="0"/>
        <w:spacing w:beforeLines="100" w:afterLines="10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rPr>
          <w:rFonts w:ascii="仿宋" w:hAnsi="仿宋" w:eastAsia="仿宋" w:cs="仿宋_GB2312"/>
          <w:b/>
          <w:color w:val="auto"/>
          <w:szCs w:val="21"/>
          <w:highlight w:val="none"/>
        </w:rPr>
      </w:pPr>
      <w:bookmarkStart w:id="13" w:name="_Toc91899903"/>
      <w:r>
        <w:rPr>
          <w:rFonts w:ascii="仿宋" w:hAnsi="仿宋" w:eastAsia="仿宋" w:cs="仿宋_GB2312"/>
          <w:b/>
          <w:color w:val="auto"/>
          <w:szCs w:val="21"/>
          <w:highlight w:val="none"/>
        </w:rPr>
        <w:t>21.</w:t>
      </w:r>
      <w:r>
        <w:rPr>
          <w:rFonts w:hint="eastAsia" w:ascii="仿宋" w:hAnsi="仿宋" w:eastAsia="仿宋" w:cs="仿宋_GB2312"/>
          <w:b/>
          <w:color w:val="auto"/>
          <w:szCs w:val="21"/>
          <w:highlight w:val="none"/>
        </w:rPr>
        <w:t>评标</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详见招标文件第四部分评标办法。</w:t>
      </w:r>
    </w:p>
    <w:p>
      <w:pPr>
        <w:snapToGrid w:val="0"/>
        <w:spacing w:beforeLines="100" w:afterLines="10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六、定标</w:t>
      </w:r>
    </w:p>
    <w:p>
      <w:pPr>
        <w:pStyle w:val="17"/>
        <w:spacing w:line="360" w:lineRule="auto"/>
        <w:ind w:firstLine="422"/>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22.</w:t>
      </w:r>
      <w:r>
        <w:rPr>
          <w:rFonts w:hint="eastAsia" w:ascii="仿宋" w:hAnsi="仿宋" w:eastAsia="仿宋" w:cs="仿宋_GB2312"/>
          <w:b/>
          <w:color w:val="auto"/>
          <w:sz w:val="21"/>
          <w:szCs w:val="21"/>
          <w:highlight w:val="none"/>
        </w:rPr>
        <w:t>确定中标供应商</w:t>
      </w:r>
    </w:p>
    <w:p>
      <w:pPr>
        <w:pStyle w:val="131"/>
        <w:snapToGrid w:val="0"/>
        <w:spacing w:before="0"/>
        <w:ind w:firstLine="420"/>
        <w:rPr>
          <w:rFonts w:ascii="仿宋" w:hAnsi="仿宋" w:eastAsia="仿宋" w:cs="仿宋_GB2312"/>
          <w:b/>
          <w:color w:val="auto"/>
          <w:sz w:val="21"/>
          <w:szCs w:val="21"/>
          <w:highlight w:val="none"/>
        </w:rPr>
      </w:pPr>
      <w:r>
        <w:rPr>
          <w:rFonts w:hint="eastAsia" w:ascii="仿宋" w:hAnsi="仿宋" w:eastAsia="仿宋" w:cs="仿宋_GB2312"/>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422"/>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23.</w:t>
      </w:r>
      <w:r>
        <w:rPr>
          <w:rFonts w:hint="eastAsia" w:ascii="仿宋" w:hAnsi="仿宋" w:eastAsia="仿宋" w:cs="仿宋_GB2312"/>
          <w:b/>
          <w:color w:val="auto"/>
          <w:sz w:val="21"/>
          <w:szCs w:val="21"/>
          <w:highlight w:val="none"/>
        </w:rPr>
        <w:t>中标通知与中标结果公告</w:t>
      </w:r>
    </w:p>
    <w:p>
      <w:pPr>
        <w:widowControl/>
        <w:shd w:val="clear" w:color="auto" w:fill="FFFFFF"/>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23.1自中标人确定之日起2个工作日内，采购机构通过电子交易平台向中标人发出中标通知书，</w:t>
      </w:r>
      <w:r>
        <w:rPr>
          <w:rFonts w:hint="eastAsia" w:ascii="仿宋" w:hAnsi="仿宋" w:eastAsia="仿宋" w:cs="仿宋_GB2312"/>
          <w:color w:val="auto"/>
          <w:szCs w:val="21"/>
          <w:highlight w:val="none"/>
        </w:rPr>
        <w:t>同时编制发布采购结果公告。采购机构也可以以纸质形式进行中标通知。</w:t>
      </w:r>
    </w:p>
    <w:p>
      <w:pPr>
        <w:widowControl/>
        <w:shd w:val="clear" w:color="auto" w:fill="FFFFFF"/>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Cs w:val="21"/>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20" w:firstLineChars="200"/>
        <w:jc w:val="left"/>
        <w:rPr>
          <w:rFonts w:ascii="仿宋" w:hAnsi="仿宋" w:eastAsia="仿宋" w:cs="仿宋_GB2312"/>
          <w:color w:val="auto"/>
          <w:sz w:val="24"/>
          <w:highlight w:val="none"/>
        </w:rPr>
      </w:pPr>
      <w:r>
        <w:rPr>
          <w:rFonts w:ascii="仿宋" w:hAnsi="仿宋" w:eastAsia="仿宋" w:cs="仿宋_GB2312"/>
          <w:color w:val="auto"/>
          <w:szCs w:val="21"/>
          <w:highlight w:val="none"/>
        </w:rPr>
        <w:t>23.3公告期限为1个工作日。</w:t>
      </w:r>
    </w:p>
    <w:p>
      <w:pPr>
        <w:snapToGrid w:val="0"/>
        <w:spacing w:beforeLines="100" w:afterLines="100" w:line="360" w:lineRule="auto"/>
        <w:jc w:val="center"/>
        <w:rPr>
          <w:rFonts w:ascii="仿宋" w:hAnsi="仿宋" w:eastAsia="仿宋" w:cs="仿宋_GB2312"/>
          <w:b/>
          <w:color w:val="auto"/>
          <w:sz w:val="36"/>
          <w:szCs w:val="28"/>
          <w:highlight w:val="none"/>
        </w:rPr>
      </w:pPr>
      <w:r>
        <w:rPr>
          <w:rFonts w:hint="eastAsia" w:ascii="仿宋" w:hAnsi="仿宋" w:eastAsia="仿宋" w:cs="仿宋_GB2312"/>
          <w:b/>
          <w:color w:val="auto"/>
          <w:sz w:val="36"/>
          <w:szCs w:val="28"/>
          <w:highlight w:val="none"/>
        </w:rPr>
        <w:t>七、合同授予</w:t>
      </w:r>
    </w:p>
    <w:p>
      <w:pPr>
        <w:pStyle w:val="17"/>
        <w:spacing w:line="360" w:lineRule="auto"/>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24.</w:t>
      </w:r>
      <w:r>
        <w:rPr>
          <w:rFonts w:hint="eastAsia" w:ascii="仿宋" w:hAnsi="仿宋" w:eastAsia="仿宋" w:cs="仿宋_GB2312"/>
          <w:b/>
          <w:color w:val="auto"/>
          <w:sz w:val="21"/>
          <w:szCs w:val="21"/>
          <w:highlight w:val="none"/>
        </w:rPr>
        <w:t>合同主要条款</w:t>
      </w:r>
    </w:p>
    <w:p>
      <w:pPr>
        <w:pStyle w:val="17"/>
        <w:spacing w:line="360" w:lineRule="auto"/>
        <w:ind w:firstLine="420"/>
        <w:rPr>
          <w:rFonts w:ascii="仿宋" w:hAnsi="仿宋" w:eastAsia="仿宋" w:cs="仿宋_GB2312"/>
          <w:b/>
          <w:color w:val="auto"/>
          <w:sz w:val="21"/>
          <w:szCs w:val="21"/>
          <w:highlight w:val="none"/>
        </w:rPr>
      </w:pPr>
      <w:r>
        <w:rPr>
          <w:rFonts w:hint="eastAsia" w:ascii="仿宋" w:hAnsi="仿宋" w:eastAsia="仿宋" w:cs="仿宋_GB2312"/>
          <w:color w:val="auto"/>
          <w:sz w:val="21"/>
          <w:szCs w:val="21"/>
          <w:highlight w:val="none"/>
        </w:rPr>
        <w:t>合同主要条款详见第五部分拟签订的合同文本。</w:t>
      </w:r>
    </w:p>
    <w:p>
      <w:pPr>
        <w:pStyle w:val="17"/>
        <w:spacing w:line="360" w:lineRule="auto"/>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25.</w:t>
      </w:r>
      <w:r>
        <w:rPr>
          <w:rFonts w:hint="eastAsia" w:ascii="仿宋" w:hAnsi="仿宋" w:eastAsia="仿宋" w:cs="仿宋_GB2312"/>
          <w:b/>
          <w:color w:val="auto"/>
          <w:sz w:val="21"/>
          <w:szCs w:val="21"/>
          <w:highlight w:val="none"/>
        </w:rPr>
        <w:t>合同的签订</w:t>
      </w:r>
    </w:p>
    <w:p>
      <w:pPr>
        <w:widowControl/>
        <w:shd w:val="clear" w:color="auto" w:fill="FFFFFF"/>
        <w:spacing w:line="360" w:lineRule="auto"/>
        <w:ind w:firstLine="420" w:firstLineChars="200"/>
        <w:jc w:val="left"/>
        <w:rPr>
          <w:rFonts w:ascii="仿宋" w:hAnsi="仿宋" w:eastAsia="仿宋" w:cs="Arial"/>
          <w:color w:val="auto"/>
          <w:kern w:val="0"/>
          <w:szCs w:val="21"/>
          <w:highlight w:val="none"/>
        </w:rPr>
      </w:pPr>
      <w:r>
        <w:rPr>
          <w:rFonts w:ascii="仿宋" w:hAnsi="仿宋" w:eastAsia="仿宋" w:cs="仿宋_GB2312"/>
          <w:color w:val="auto"/>
          <w:szCs w:val="21"/>
          <w:highlight w:val="none"/>
        </w:rPr>
        <w:t>25.1</w:t>
      </w:r>
      <w:r>
        <w:rPr>
          <w:rFonts w:hint="eastAsia" w:ascii="仿宋" w:hAnsi="仿宋" w:eastAsia="仿宋" w:cs="Arial"/>
          <w:color w:val="auto"/>
          <w:kern w:val="0"/>
          <w:szCs w:val="21"/>
          <w:highlight w:val="none"/>
        </w:rPr>
        <w:t xml:space="preserve"> 采购人与中标人应当通过电子交易平台在中标通知书发出之日起</w:t>
      </w:r>
      <w:r>
        <w:rPr>
          <w:rFonts w:hint="eastAsia" w:ascii="仿宋" w:hAnsi="仿宋" w:eastAsia="仿宋" w:cs="Arial"/>
          <w:color w:val="auto"/>
          <w:kern w:val="0"/>
          <w:szCs w:val="21"/>
          <w:highlight w:val="none"/>
          <w:lang w:val="en-US" w:eastAsia="zh-CN"/>
        </w:rPr>
        <w:t>30 日内</w:t>
      </w:r>
      <w:r>
        <w:rPr>
          <w:rFonts w:hint="eastAsia" w:ascii="仿宋" w:hAnsi="仿宋" w:eastAsia="仿宋" w:cs="Arial"/>
          <w:color w:val="auto"/>
          <w:kern w:val="0"/>
          <w:szCs w:val="21"/>
          <w:highlight w:val="none"/>
        </w:rPr>
        <w:t>，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w:t>
      </w:r>
      <w:r>
        <w:rPr>
          <w:rFonts w:hint="eastAsia" w:ascii="仿宋" w:hAnsi="仿宋" w:eastAsia="仿宋" w:cs="Arial"/>
          <w:color w:val="auto"/>
          <w:kern w:val="0"/>
          <w:szCs w:val="21"/>
          <w:highlight w:val="none"/>
          <w:lang w:val="en-US" w:eastAsia="zh-CN"/>
        </w:rPr>
        <w:t>30 日内</w:t>
      </w:r>
      <w:r>
        <w:rPr>
          <w:rFonts w:hint="eastAsia" w:ascii="仿宋" w:hAnsi="仿宋" w:eastAsia="仿宋" w:cs="Arial"/>
          <w:color w:val="auto"/>
          <w:kern w:val="0"/>
          <w:szCs w:val="21"/>
          <w:highlight w:val="none"/>
        </w:rPr>
        <w:t>，与中标供应商按照采购文件确定的事项签订政府采购合同。</w:t>
      </w:r>
    </w:p>
    <w:p>
      <w:pPr>
        <w:pStyle w:val="131"/>
        <w:snapToGrid w:val="0"/>
        <w:spacing w:before="0"/>
        <w:ind w:firstLine="420"/>
        <w:rPr>
          <w:rFonts w:ascii="仿宋" w:hAnsi="仿宋" w:eastAsia="仿宋"/>
          <w:color w:val="auto"/>
          <w:kern w:val="0"/>
          <w:sz w:val="21"/>
          <w:szCs w:val="21"/>
          <w:highlight w:val="none"/>
        </w:rPr>
      </w:pPr>
      <w:r>
        <w:rPr>
          <w:rFonts w:ascii="仿宋" w:hAnsi="仿宋" w:eastAsia="仿宋" w:cs="仿宋_GB2312"/>
          <w:color w:val="auto"/>
          <w:kern w:val="0"/>
          <w:sz w:val="21"/>
          <w:szCs w:val="21"/>
          <w:highlight w:val="none"/>
          <w:lang w:val="zh-CN"/>
        </w:rPr>
        <w:t>25.2</w:t>
      </w:r>
      <w:r>
        <w:rPr>
          <w:rFonts w:hint="eastAsia" w:ascii="仿宋" w:hAnsi="仿宋" w:eastAsia="仿宋"/>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25.3如签订合同并生效后，供应商无故拒绝或延期，除按照合同条款处理外，列入不良行为记录一次，并给予通报。</w:t>
      </w:r>
    </w:p>
    <w:p>
      <w:pPr>
        <w:pStyle w:val="131"/>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25.4中标供应</w:t>
      </w:r>
      <w:r>
        <w:rPr>
          <w:rFonts w:hint="eastAsia" w:ascii="仿宋" w:hAnsi="仿宋" w:eastAsia="仿宋" w:cs="仿宋_GB2312"/>
          <w:color w:val="auto"/>
          <w:sz w:val="21"/>
          <w:szCs w:val="21"/>
          <w:highlight w:val="none"/>
        </w:rPr>
        <w:t>商拒绝与采购人签订合同的，采购人可以按照评审报告推荐的中标或者成交候选人名单排序，确定下一候选人为中标供应商，也可以重新开展政府采购活动。</w:t>
      </w:r>
    </w:p>
    <w:p>
      <w:pPr>
        <w:pStyle w:val="131"/>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25.5采购合同由采购人与中标供应商根据</w:t>
      </w:r>
      <w:r>
        <w:rPr>
          <w:rFonts w:hint="eastAsia" w:ascii="仿宋" w:hAnsi="仿宋" w:eastAsia="仿宋" w:cs="仿宋_GB2312"/>
          <w:color w:val="auto"/>
          <w:sz w:val="21"/>
          <w:szCs w:val="21"/>
          <w:highlight w:val="none"/>
        </w:rPr>
        <w:t>招标文件、投标文件等内容通过政府采购电子交易平台在线签订，自动备案。</w:t>
      </w:r>
    </w:p>
    <w:p>
      <w:pPr>
        <w:pStyle w:val="17"/>
        <w:spacing w:line="360" w:lineRule="auto"/>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26.</w:t>
      </w:r>
      <w:r>
        <w:rPr>
          <w:rFonts w:hint="eastAsia" w:ascii="仿宋" w:hAnsi="仿宋" w:eastAsia="仿宋" w:cs="仿宋_GB2312"/>
          <w:b/>
          <w:color w:val="auto"/>
          <w:sz w:val="21"/>
          <w:szCs w:val="21"/>
          <w:highlight w:val="none"/>
        </w:rPr>
        <w:t>履约保证金</w:t>
      </w:r>
    </w:p>
    <w:p>
      <w:pPr>
        <w:tabs>
          <w:tab w:val="left" w:pos="0"/>
        </w:tabs>
        <w:wordWrap w:val="0"/>
        <w:spacing w:line="360" w:lineRule="auto"/>
        <w:ind w:firstLine="420" w:firstLineChars="200"/>
        <w:rPr>
          <w:rFonts w:ascii="仿宋" w:hAnsi="仿宋" w:eastAsia="仿宋"/>
          <w:b/>
          <w:color w:val="auto"/>
          <w:szCs w:val="21"/>
          <w:highlight w:val="none"/>
        </w:rPr>
      </w:pPr>
      <w:r>
        <w:rPr>
          <w:rFonts w:hint="eastAsia" w:ascii="仿宋" w:hAnsi="仿宋" w:eastAsia="仿宋" w:cs="Helvetica"/>
          <w:color w:val="auto"/>
          <w:kern w:val="0"/>
          <w:szCs w:val="21"/>
          <w:highlight w:val="none"/>
        </w:rPr>
        <w:t>采购中标人在收到中标通知书后，需向采购人提供合同总价1%的履约保证金,在中标人与采购人签订合同前递交,投标人可以支票、汇票、本票或者金融机构、保险公司、担保机构出具的保函/保险等非现金形式提交，建议优先使用保险/保函。中标供应商若想了解或使用保险/保函，可通过政采云平台或其他渠道进行咨询。政采云金融热线400-903-9583，也可登录政采云平台查看相关内容: https://jinrong.zcygov.cn/finance-service/#/letter。</w:t>
      </w:r>
    </w:p>
    <w:p>
      <w:pPr>
        <w:snapToGrid w:val="0"/>
        <w:spacing w:beforeLines="100" w:afterLines="100" w:line="360" w:lineRule="auto"/>
        <w:jc w:val="center"/>
        <w:rPr>
          <w:rFonts w:ascii="仿宋" w:hAnsi="仿宋" w:eastAsia="仿宋"/>
          <w:b/>
          <w:color w:val="auto"/>
          <w:sz w:val="24"/>
          <w:highlight w:val="none"/>
        </w:rPr>
      </w:pPr>
      <w:r>
        <w:rPr>
          <w:rFonts w:hint="eastAsia" w:ascii="仿宋" w:hAnsi="仿宋" w:eastAsia="仿宋" w:cs="仿宋_GB2312"/>
          <w:b/>
          <w:color w:val="auto"/>
          <w:sz w:val="36"/>
          <w:szCs w:val="28"/>
          <w:highlight w:val="none"/>
        </w:rPr>
        <w:t>八、电子交易活动的中止</w:t>
      </w:r>
    </w:p>
    <w:p>
      <w:pPr>
        <w:pStyle w:val="131"/>
        <w:snapToGrid w:val="0"/>
        <w:spacing w:before="0"/>
        <w:ind w:firstLine="0" w:firstLineChars="0"/>
        <w:rPr>
          <w:rFonts w:ascii="仿宋" w:hAnsi="仿宋" w:eastAsia="仿宋" w:cs="仿宋_GB2312"/>
          <w:b/>
          <w:color w:val="auto"/>
          <w:sz w:val="21"/>
          <w:szCs w:val="21"/>
          <w:highlight w:val="none"/>
        </w:rPr>
      </w:pPr>
      <w:r>
        <w:rPr>
          <w:rFonts w:ascii="仿宋" w:hAnsi="仿宋" w:eastAsia="仿宋" w:cs="仿宋_GB2312"/>
          <w:color w:val="auto"/>
          <w:sz w:val="21"/>
          <w:szCs w:val="16"/>
          <w:highlight w:val="none"/>
        </w:rPr>
        <w:t>2</w:t>
      </w:r>
      <w:r>
        <w:rPr>
          <w:rFonts w:ascii="仿宋" w:hAnsi="仿宋" w:eastAsia="仿宋" w:cs="仿宋_GB2312"/>
          <w:b/>
          <w:color w:val="auto"/>
          <w:sz w:val="21"/>
          <w:szCs w:val="21"/>
          <w:highlight w:val="none"/>
        </w:rPr>
        <w:t>7.</w:t>
      </w:r>
      <w:r>
        <w:rPr>
          <w:rFonts w:hint="eastAsia" w:ascii="仿宋" w:hAnsi="仿宋" w:eastAsia="仿宋" w:cs="仿宋_GB2312"/>
          <w:b/>
          <w:color w:val="auto"/>
          <w:sz w:val="21"/>
          <w:szCs w:val="21"/>
          <w:highlight w:val="none"/>
        </w:rPr>
        <w:t>电子交易活动的中止</w:t>
      </w:r>
    </w:p>
    <w:p>
      <w:pPr>
        <w:pStyle w:val="131"/>
        <w:snapToGrid w:val="0"/>
        <w:spacing w:before="0"/>
        <w:ind w:firstLine="420"/>
        <w:rPr>
          <w:rFonts w:ascii="仿宋" w:hAnsi="仿宋" w:eastAsia="仿宋" w:cs="仿宋_GB2312"/>
          <w:color w:val="auto"/>
          <w:sz w:val="21"/>
          <w:szCs w:val="16"/>
          <w:highlight w:val="none"/>
        </w:rPr>
      </w:pPr>
      <w:r>
        <w:rPr>
          <w:rFonts w:hint="eastAsia" w:ascii="仿宋" w:hAnsi="仿宋" w:eastAsia="仿宋" w:cs="仿宋_GB2312"/>
          <w:color w:val="auto"/>
          <w:sz w:val="21"/>
          <w:szCs w:val="16"/>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 xml:space="preserve">27.1电子交易平台发生故障而无法登录访问的； </w:t>
      </w:r>
    </w:p>
    <w:p>
      <w:pPr>
        <w:pStyle w:val="131"/>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27.2电子交易平台应用或数据库出现错误，不能进行正常操作的；</w:t>
      </w:r>
    </w:p>
    <w:p>
      <w:pPr>
        <w:pStyle w:val="131"/>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27.3电子交易平台发现严重安全漏洞，有潜在泄密危险的；</w:t>
      </w:r>
    </w:p>
    <w:p>
      <w:pPr>
        <w:pStyle w:val="131"/>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 xml:space="preserve">27.4病毒发作导致不能进行正常操作的； </w:t>
      </w:r>
    </w:p>
    <w:p>
      <w:pPr>
        <w:pStyle w:val="131"/>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27.5其他无法保证电子交易的公平、公正和安全的情况。</w:t>
      </w:r>
    </w:p>
    <w:p>
      <w:pPr>
        <w:pStyle w:val="131"/>
        <w:snapToGrid w:val="0"/>
        <w:spacing w:before="0"/>
        <w:ind w:firstLine="0" w:firstLineChars="0"/>
        <w:rPr>
          <w:rFonts w:ascii="仿宋" w:hAnsi="仿宋" w:eastAsia="仿宋" w:cs="仿宋_GB2312"/>
          <w:b/>
          <w:bCs/>
          <w:color w:val="auto"/>
          <w:highlight w:val="none"/>
        </w:rPr>
      </w:pPr>
      <w:r>
        <w:rPr>
          <w:rFonts w:ascii="仿宋" w:hAnsi="仿宋" w:eastAsia="仿宋" w:cs="仿宋_GB2312"/>
          <w:b/>
          <w:bCs/>
          <w:color w:val="auto"/>
          <w:sz w:val="21"/>
          <w:szCs w:val="16"/>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beforeLines="50" w:afterLines="100" w:line="360" w:lineRule="auto"/>
        <w:jc w:val="center"/>
        <w:rPr>
          <w:rFonts w:ascii="仿宋" w:hAnsi="仿宋" w:eastAsia="仿宋" w:cs="仿宋_GB2312"/>
          <w:b/>
          <w:color w:val="auto"/>
          <w:sz w:val="36"/>
          <w:szCs w:val="28"/>
          <w:highlight w:val="none"/>
        </w:rPr>
      </w:pPr>
      <w:r>
        <w:rPr>
          <w:rFonts w:hint="eastAsia" w:ascii="仿宋" w:hAnsi="仿宋" w:eastAsia="仿宋" w:cs="仿宋_GB2312"/>
          <w:b/>
          <w:color w:val="auto"/>
          <w:sz w:val="36"/>
          <w:szCs w:val="28"/>
          <w:highlight w:val="none"/>
        </w:rPr>
        <w:t>九、验收</w:t>
      </w:r>
    </w:p>
    <w:p>
      <w:pPr>
        <w:pStyle w:val="17"/>
        <w:spacing w:line="360" w:lineRule="auto"/>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29.验收</w:t>
      </w:r>
    </w:p>
    <w:p>
      <w:pPr>
        <w:tabs>
          <w:tab w:val="left" w:pos="0"/>
        </w:tabs>
        <w:spacing w:line="360" w:lineRule="auto"/>
        <w:ind w:firstLine="420" w:firstLineChars="200"/>
        <w:rPr>
          <w:rFonts w:ascii="仿宋" w:hAnsi="仿宋" w:eastAsia="仿宋" w:cs="Helvetica"/>
          <w:color w:val="auto"/>
          <w:kern w:val="0"/>
          <w:szCs w:val="21"/>
          <w:highlight w:val="none"/>
        </w:rPr>
      </w:pPr>
      <w:r>
        <w:rPr>
          <w:rFonts w:ascii="仿宋" w:hAnsi="仿宋" w:eastAsia="仿宋" w:cs="Helvetica"/>
          <w:color w:val="auto"/>
          <w:kern w:val="0"/>
          <w:szCs w:val="21"/>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仿宋" w:hAnsi="仿宋" w:eastAsia="仿宋" w:cs="Helvetica"/>
          <w:color w:val="auto"/>
          <w:kern w:val="0"/>
          <w:szCs w:val="21"/>
          <w:highlight w:val="none"/>
        </w:rPr>
      </w:pPr>
      <w:r>
        <w:rPr>
          <w:rFonts w:ascii="仿宋" w:hAnsi="仿宋" w:eastAsia="仿宋" w:cs="Helvetica"/>
          <w:color w:val="auto"/>
          <w:kern w:val="0"/>
          <w:szCs w:val="21"/>
          <w:highlight w:val="none"/>
        </w:rPr>
        <w:t>29.2采购人可以邀请参加本项目的其他投标人或者第三方机构参与验收。参与验收的投标人或者第三方机构的意见作为</w:t>
      </w:r>
      <w:r>
        <w:rPr>
          <w:rFonts w:hint="eastAsia" w:ascii="仿宋" w:hAnsi="仿宋" w:eastAsia="仿宋" w:cs="Helvetica"/>
          <w:color w:val="auto"/>
          <w:kern w:val="0"/>
          <w:szCs w:val="21"/>
          <w:highlight w:val="none"/>
        </w:rPr>
        <w:t>验收书的参考资料一并存档。</w:t>
      </w:r>
    </w:p>
    <w:p>
      <w:pPr>
        <w:tabs>
          <w:tab w:val="left" w:pos="0"/>
        </w:tabs>
        <w:spacing w:line="360" w:lineRule="auto"/>
        <w:ind w:firstLine="420" w:firstLineChars="200"/>
        <w:rPr>
          <w:rFonts w:ascii="仿宋" w:hAnsi="仿宋" w:eastAsia="仿宋" w:cs="Helvetica"/>
          <w:color w:val="auto"/>
          <w:kern w:val="0"/>
          <w:szCs w:val="21"/>
          <w:highlight w:val="none"/>
        </w:rPr>
      </w:pPr>
      <w:r>
        <w:rPr>
          <w:rFonts w:ascii="仿宋" w:hAnsi="仿宋" w:eastAsia="仿宋" w:cs="Helvetica"/>
          <w:color w:val="auto"/>
          <w:kern w:val="0"/>
          <w:szCs w:val="21"/>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仿宋" w:hAnsi="仿宋" w:eastAsia="仿宋" w:cs="仿宋_GB2312"/>
          <w:color w:val="auto"/>
          <w:sz w:val="18"/>
          <w:szCs w:val="18"/>
          <w:highlight w:val="none"/>
        </w:rPr>
      </w:pPr>
      <w:r>
        <w:rPr>
          <w:rFonts w:ascii="仿宋" w:hAnsi="仿宋" w:eastAsia="仿宋" w:cs="Helvetica"/>
          <w:color w:val="auto"/>
          <w:kern w:val="0"/>
          <w:szCs w:val="21"/>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284"/>
          <w:cols w:space="720" w:num="1"/>
          <w:titlePg/>
          <w:docGrid w:linePitch="312" w:charSpace="0"/>
        </w:sectPr>
      </w:pPr>
      <w:bookmarkStart w:id="14" w:name="_Hlt74730295"/>
      <w:bookmarkEnd w:id="14"/>
      <w:bookmarkStart w:id="15" w:name="_Hlt74714665"/>
      <w:bookmarkEnd w:id="15"/>
      <w:bookmarkStart w:id="16" w:name="_Hlt74729768"/>
      <w:bookmarkEnd w:id="16"/>
      <w:bookmarkStart w:id="17" w:name="_Hlt68057669"/>
      <w:bookmarkEnd w:id="17"/>
      <w:bookmarkStart w:id="18" w:name="_Hlt68403820"/>
      <w:bookmarkEnd w:id="18"/>
      <w:bookmarkStart w:id="19" w:name="_Hlt75236011"/>
      <w:bookmarkEnd w:id="19"/>
      <w:bookmarkStart w:id="20" w:name="_Hlt68073093"/>
      <w:bookmarkEnd w:id="20"/>
      <w:bookmarkStart w:id="21" w:name="_Hlt75236101"/>
      <w:bookmarkEnd w:id="21"/>
      <w:bookmarkStart w:id="22" w:name="_Hlt68072990"/>
      <w:bookmarkEnd w:id="22"/>
      <w:bookmarkStart w:id="23" w:name="_Hlt74707468"/>
      <w:bookmarkEnd w:id="23"/>
      <w:bookmarkStart w:id="24" w:name="_Hlt68072998"/>
      <w:bookmarkEnd w:id="24"/>
      <w:bookmarkStart w:id="25" w:name="_Hlt75236290"/>
      <w:bookmarkEnd w:id="25"/>
    </w:p>
    <w:bookmarkEnd w:id="11"/>
    <w:bookmarkEnd w:id="12"/>
    <w:p>
      <w:pPr>
        <w:spacing w:beforeLines="100" w:afterLines="100" w:line="360" w:lineRule="auto"/>
        <w:contextualSpacing/>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第三部分采购需求</w:t>
      </w:r>
    </w:p>
    <w:p>
      <w:pPr>
        <w:spacing w:line="360" w:lineRule="auto"/>
        <w:contextualSpacing/>
        <w:rPr>
          <w:rFonts w:ascii="仿宋" w:hAnsi="仿宋" w:eastAsia="仿宋"/>
          <w:b/>
          <w:bCs/>
          <w:color w:val="auto"/>
          <w:szCs w:val="21"/>
          <w:highlight w:val="none"/>
        </w:rPr>
      </w:pPr>
      <w:r>
        <w:rPr>
          <w:rFonts w:hint="eastAsia" w:ascii="仿宋" w:hAnsi="仿宋" w:eastAsia="仿宋"/>
          <w:b/>
          <w:bCs/>
          <w:color w:val="auto"/>
          <w:szCs w:val="21"/>
          <w:highlight w:val="none"/>
        </w:rPr>
        <w:t>一、保洁内容</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新城街道辖区范围内包括但不限于道路保洁、河道保洁、沿街商铺保洁、公交车站内及城市家具保洁、11座公厕养护保洁、其它公共区域保洁等。为更好的提升中心城区城市精细化管理水平，以区域定位、区块特色、品质展示、功能展现等指向性要素为依据，对中心城区的重点区域、主次干道、背街小巷实施三级精细化管控，将主次道路</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部分区域</w:t>
      </w:r>
      <w:r>
        <w:rPr>
          <w:rFonts w:hint="eastAsia" w:ascii="仿宋" w:hAnsi="仿宋" w:eastAsia="仿宋"/>
          <w:color w:val="auto"/>
          <w:szCs w:val="21"/>
          <w:highlight w:val="none"/>
        </w:rPr>
        <w:t>精细化分为一级、二级、三级三类，将江南摩尔广场、秀洲区政府广场及周边打造成“席地可坐”的城市客厅，全面打造新城街道环境卫生新思想，全面提升新城街道小区居民居住新环境。</w:t>
      </w:r>
    </w:p>
    <w:p>
      <w:pPr>
        <w:pStyle w:val="3"/>
        <w:rPr>
          <w:rFonts w:ascii="仿宋" w:eastAsia="仿宋"/>
          <w:color w:val="auto"/>
          <w:sz w:val="21"/>
          <w:szCs w:val="21"/>
          <w:highlight w:val="none"/>
          <w:lang w:val="en-US"/>
        </w:rPr>
      </w:pPr>
      <w:r>
        <w:rPr>
          <w:rFonts w:hint="eastAsia" w:ascii="仿宋" w:eastAsia="仿宋"/>
          <w:color w:val="auto"/>
          <w:sz w:val="21"/>
          <w:szCs w:val="21"/>
          <w:highlight w:val="none"/>
          <w:lang w:val="en-US"/>
        </w:rPr>
        <w:t>二、保洁范围</w:t>
      </w:r>
    </w:p>
    <w:p>
      <w:pPr>
        <w:spacing w:line="360" w:lineRule="auto"/>
        <w:contextualSpacing/>
        <w:rPr>
          <w:rFonts w:ascii="仿宋" w:hAnsi="仿宋" w:eastAsia="仿宋"/>
          <w:b/>
          <w:bCs/>
          <w:color w:val="auto"/>
          <w:szCs w:val="21"/>
          <w:highlight w:val="none"/>
        </w:rPr>
      </w:pPr>
      <w:r>
        <w:rPr>
          <w:rFonts w:hint="eastAsia" w:ascii="仿宋" w:hAnsi="仿宋" w:eastAsia="仿宋"/>
          <w:b/>
          <w:bCs/>
          <w:color w:val="auto"/>
          <w:szCs w:val="21"/>
          <w:highlight w:val="none"/>
        </w:rPr>
        <w:t>标项一：2023年新城街道区域保洁服务项目（南片）</w:t>
      </w:r>
    </w:p>
    <w:p>
      <w:pPr>
        <w:spacing w:before="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1.道路、区域保洁</w:t>
      </w:r>
    </w:p>
    <w:tbl>
      <w:tblPr>
        <w:tblStyle w:val="64"/>
        <w:tblW w:w="9201" w:type="dxa"/>
        <w:jc w:val="center"/>
        <w:tblLayout w:type="fixed"/>
        <w:tblCellMar>
          <w:top w:w="0" w:type="dxa"/>
          <w:left w:w="108" w:type="dxa"/>
          <w:bottom w:w="0" w:type="dxa"/>
          <w:right w:w="108" w:type="dxa"/>
        </w:tblCellMar>
      </w:tblPr>
      <w:tblGrid>
        <w:gridCol w:w="1356"/>
        <w:gridCol w:w="2285"/>
        <w:gridCol w:w="10"/>
        <w:gridCol w:w="2475"/>
        <w:gridCol w:w="10"/>
        <w:gridCol w:w="1297"/>
        <w:gridCol w:w="1768"/>
      </w:tblGrid>
      <w:tr>
        <w:tblPrEx>
          <w:tblCellMar>
            <w:top w:w="0" w:type="dxa"/>
            <w:left w:w="108" w:type="dxa"/>
            <w:bottom w:w="0" w:type="dxa"/>
            <w:right w:w="108" w:type="dxa"/>
          </w:tblCellMar>
        </w:tblPrEx>
        <w:trPr>
          <w:trHeight w:val="567" w:hRule="exact"/>
          <w:jc w:val="center"/>
        </w:trPr>
        <w:tc>
          <w:tcPr>
            <w:tcW w:w="13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22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路名</w:t>
            </w:r>
          </w:p>
        </w:tc>
        <w:tc>
          <w:tcPr>
            <w:tcW w:w="248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起止点</w:t>
            </w:r>
          </w:p>
        </w:tc>
        <w:tc>
          <w:tcPr>
            <w:tcW w:w="130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路长（m）</w:t>
            </w:r>
          </w:p>
        </w:tc>
        <w:tc>
          <w:tcPr>
            <w:tcW w:w="176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保洁面积（㎡)</w:t>
            </w:r>
          </w:p>
        </w:tc>
      </w:tr>
      <w:tr>
        <w:tblPrEx>
          <w:tblCellMar>
            <w:top w:w="0" w:type="dxa"/>
            <w:left w:w="108" w:type="dxa"/>
            <w:bottom w:w="0" w:type="dxa"/>
            <w:right w:w="108" w:type="dxa"/>
          </w:tblCellMar>
        </w:tblPrEx>
        <w:trPr>
          <w:trHeight w:val="567" w:hRule="exact"/>
          <w:jc w:val="center"/>
        </w:trPr>
        <w:tc>
          <w:tcPr>
            <w:tcW w:w="9201" w:type="dxa"/>
            <w:gridSpan w:val="7"/>
            <w:tcBorders>
              <w:top w:val="single" w:color="auto" w:sz="4" w:space="0"/>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一级道路（区域）</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228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亚厦路</w:t>
            </w:r>
          </w:p>
        </w:tc>
        <w:tc>
          <w:tcPr>
            <w:tcW w:w="2485" w:type="dxa"/>
            <w:gridSpan w:val="2"/>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吴越路-新洲路</w:t>
            </w:r>
          </w:p>
        </w:tc>
        <w:tc>
          <w:tcPr>
            <w:tcW w:w="1307" w:type="dxa"/>
            <w:gridSpan w:val="2"/>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482</w:t>
            </w:r>
          </w:p>
        </w:tc>
        <w:tc>
          <w:tcPr>
            <w:tcW w:w="176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9640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蓬莱路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吴越路-新洲路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482</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6266</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新洲路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洪兴西路-吉杨路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910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18200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新秀路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洪兴西路-亚厦路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740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14800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洪波路-吉杨路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24000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秀波路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洪波路-长虹路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3600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洪波路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昌盛路-春晓源河岸</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650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11700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洪殷路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昌盛路-长虹路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540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7020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启蒙路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昌盛路-摩尔东街</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482</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6266</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长虹路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环区行政中心</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830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16600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吉杨路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昌盛路-新洲路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580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9280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盛西路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亚夏路-吉杨路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1950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13</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中山西路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昌盛路-秀洲大道</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2080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79040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14</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洪兴西路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昌盛路-洪兴桥</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2340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93600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佳园路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昌盛路-吴越路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220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2530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摩尔东、西街</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启蒙路-蓬莱路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199</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1592</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17</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吉杨路-洪波路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10500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聚贤路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中山西路-洪高路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1135</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27240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亚厦路沿街店铺门前人行道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吴越路-新洲路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456</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2827</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永泰广场</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新秀路-新洲路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260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2730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21</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启蒙路两侧沿街店面人行道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吴越路-摩尔东街</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610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4805</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22</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蓬莱路两侧沿街店面人行道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吴越路-摩尔东街、新秀路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490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4115</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23</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新洲路沿街店铺门前人行道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洪兴路-吉杨路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370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2220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24</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新秀路沿街店铺门前人行道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洪兴路-亚厦路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344</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1720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25</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摩尔东街店铺门前人行道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蓬莱路-启蒙路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26</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洪兴路沿街店铺门前人行道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昌盛路-新秀路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27</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洪波路沿街店铺门前人行道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吴越路-秀波路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140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1120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28</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中山西路两侧沿街店铺门前</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昌盛路-秀洲大桥</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920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16560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29</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嘉业阳光城沿街商铺门前</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东侧沿街商铺-北侧沿街商铺</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655</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6550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吴越路沿街店铺门前</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吉杨路-蓬莱路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492</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2952</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31</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昌盛路沿街店铺门前</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洪波路-中山西路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9000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32</w:t>
            </w:r>
          </w:p>
        </w:tc>
        <w:tc>
          <w:tcPr>
            <w:tcW w:w="2285" w:type="dxa"/>
            <w:tcBorders>
              <w:top w:val="nil"/>
              <w:left w:val="single" w:color="000000" w:sz="8" w:space="0"/>
              <w:bottom w:val="single" w:color="000000" w:sz="8"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洪殷路沿街店铺门前</w:t>
            </w:r>
          </w:p>
        </w:tc>
        <w:tc>
          <w:tcPr>
            <w:tcW w:w="2485" w:type="dxa"/>
            <w:gridSpan w:val="2"/>
            <w:tcBorders>
              <w:top w:val="nil"/>
              <w:left w:val="single" w:color="auto" w:sz="4" w:space="0"/>
              <w:bottom w:val="single" w:color="000000" w:sz="8"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吴越路-昌盛路</w:t>
            </w:r>
          </w:p>
        </w:tc>
        <w:tc>
          <w:tcPr>
            <w:tcW w:w="1307" w:type="dxa"/>
            <w:gridSpan w:val="2"/>
            <w:tcBorders>
              <w:top w:val="nil"/>
              <w:left w:val="single" w:color="auto" w:sz="4"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283</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1698</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33</w:t>
            </w:r>
          </w:p>
        </w:tc>
        <w:tc>
          <w:tcPr>
            <w:tcW w:w="2295" w:type="dxa"/>
            <w:gridSpan w:val="2"/>
            <w:tcBorders>
              <w:top w:val="nil"/>
              <w:left w:val="single" w:color="000000" w:sz="8" w:space="0"/>
              <w:bottom w:val="single" w:color="000000" w:sz="8"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秀洲公园</w:t>
            </w:r>
          </w:p>
        </w:tc>
        <w:tc>
          <w:tcPr>
            <w:tcW w:w="2485" w:type="dxa"/>
            <w:gridSpan w:val="2"/>
            <w:tcBorders>
              <w:top w:val="nil"/>
              <w:left w:val="single" w:color="auto" w:sz="4" w:space="0"/>
              <w:bottom w:val="single" w:color="000000" w:sz="8"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297"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71305</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34</w:t>
            </w:r>
          </w:p>
        </w:tc>
        <w:tc>
          <w:tcPr>
            <w:tcW w:w="2295" w:type="dxa"/>
            <w:gridSpan w:val="2"/>
            <w:tcBorders>
              <w:top w:val="nil"/>
              <w:left w:val="single" w:color="000000" w:sz="8" w:space="0"/>
              <w:bottom w:val="single" w:color="000000" w:sz="8" w:space="0"/>
              <w:right w:val="single" w:color="auto" w:sz="4"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春晓公园</w:t>
            </w:r>
          </w:p>
        </w:tc>
        <w:tc>
          <w:tcPr>
            <w:tcW w:w="2485" w:type="dxa"/>
            <w:gridSpan w:val="2"/>
            <w:tcBorders>
              <w:top w:val="nil"/>
              <w:left w:val="single" w:color="auto" w:sz="4" w:space="0"/>
              <w:bottom w:val="single" w:color="000000" w:sz="8"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297"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94000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35</w:t>
            </w:r>
          </w:p>
        </w:tc>
        <w:tc>
          <w:tcPr>
            <w:tcW w:w="2295" w:type="dxa"/>
            <w:gridSpan w:val="2"/>
            <w:tcBorders>
              <w:top w:val="nil"/>
              <w:left w:val="single" w:color="000000" w:sz="8" w:space="0"/>
              <w:bottom w:val="single" w:color="000000" w:sz="8" w:space="0"/>
              <w:right w:val="single" w:color="auto" w:sz="4"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杭州塘与北郊河东岸绿地保洁</w:t>
            </w:r>
          </w:p>
        </w:tc>
        <w:tc>
          <w:tcPr>
            <w:tcW w:w="2485" w:type="dxa"/>
            <w:gridSpan w:val="2"/>
            <w:tcBorders>
              <w:top w:val="nil"/>
              <w:left w:val="single" w:color="auto" w:sz="4" w:space="0"/>
              <w:bottom w:val="single" w:color="000000" w:sz="8"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297"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100823</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36</w:t>
            </w:r>
          </w:p>
        </w:tc>
        <w:tc>
          <w:tcPr>
            <w:tcW w:w="2295" w:type="dxa"/>
            <w:gridSpan w:val="2"/>
            <w:tcBorders>
              <w:top w:val="nil"/>
              <w:left w:val="single" w:color="000000" w:sz="8" w:space="0"/>
              <w:bottom w:val="single" w:color="000000" w:sz="8"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北郊河西岸绿道保洁（中山大桥至殷秀大桥）</w:t>
            </w:r>
          </w:p>
        </w:tc>
        <w:tc>
          <w:tcPr>
            <w:tcW w:w="2485" w:type="dxa"/>
            <w:gridSpan w:val="2"/>
            <w:tcBorders>
              <w:top w:val="nil"/>
              <w:left w:val="single" w:color="auto" w:sz="4" w:space="0"/>
              <w:bottom w:val="single" w:color="000000" w:sz="8"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1297"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16405</w:t>
            </w:r>
          </w:p>
        </w:tc>
      </w:tr>
      <w:tr>
        <w:tblPrEx>
          <w:tblCellMar>
            <w:top w:w="0" w:type="dxa"/>
            <w:left w:w="108" w:type="dxa"/>
            <w:bottom w:w="0" w:type="dxa"/>
            <w:right w:w="108" w:type="dxa"/>
          </w:tblCellMar>
        </w:tblPrEx>
        <w:trPr>
          <w:trHeight w:val="567" w:hRule="exact"/>
          <w:jc w:val="center"/>
        </w:trPr>
        <w:tc>
          <w:tcPr>
            <w:tcW w:w="7433" w:type="dxa"/>
            <w:gridSpan w:val="6"/>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ind w:firstLine="181" w:firstLineChars="100"/>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rPr>
              <w:t>合</w:t>
            </w:r>
            <w:r>
              <w:rPr>
                <w:rFonts w:hint="eastAsia" w:ascii="仿宋" w:hAnsi="仿宋" w:eastAsia="仿宋" w:cs="仿宋"/>
                <w:b/>
                <w:bCs/>
                <w:color w:val="auto"/>
                <w:kern w:val="0"/>
                <w:sz w:val="18"/>
                <w:szCs w:val="18"/>
                <w:highlight w:val="none"/>
              </w:rPr>
              <w:t>计</w:t>
            </w:r>
          </w:p>
        </w:tc>
        <w:tc>
          <w:tcPr>
            <w:tcW w:w="1768" w:type="dxa"/>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kern w:val="0"/>
                <w:sz w:val="18"/>
                <w:szCs w:val="18"/>
                <w:highlight w:val="none"/>
                <w:lang w:val="en-US" w:eastAsia="zh-CN"/>
              </w:rPr>
              <w:t>684354</w:t>
            </w:r>
          </w:p>
        </w:tc>
      </w:tr>
      <w:tr>
        <w:tblPrEx>
          <w:tblCellMar>
            <w:top w:w="0" w:type="dxa"/>
            <w:left w:w="108" w:type="dxa"/>
            <w:bottom w:w="0" w:type="dxa"/>
            <w:right w:w="108" w:type="dxa"/>
          </w:tblCellMar>
        </w:tblPrEx>
        <w:trPr>
          <w:trHeight w:val="567" w:hRule="exact"/>
          <w:jc w:val="center"/>
        </w:trPr>
        <w:tc>
          <w:tcPr>
            <w:tcW w:w="9201" w:type="dxa"/>
            <w:gridSpan w:val="7"/>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二级道路（区域）</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228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洪高路</w:t>
            </w:r>
          </w:p>
        </w:tc>
        <w:tc>
          <w:tcPr>
            <w:tcW w:w="2485" w:type="dxa"/>
            <w:gridSpan w:val="2"/>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秀清港-聚贤路</w:t>
            </w:r>
          </w:p>
        </w:tc>
        <w:tc>
          <w:tcPr>
            <w:tcW w:w="1307" w:type="dxa"/>
            <w:gridSpan w:val="2"/>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1000</w:t>
            </w:r>
          </w:p>
        </w:tc>
        <w:tc>
          <w:tcPr>
            <w:tcW w:w="176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14000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殷秀路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聚贤路-明日路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2020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28280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启智路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洪贤路-洪高路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330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4620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新安路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秀洲大道-殷秀路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693</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9702</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新平路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秀洲大道-殷秀路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740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10360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明日路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龙盛路-殷秀路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406</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6496</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洪贤路</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秀洲大道-洪兴桥</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350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9100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中禾广场东侧无名路段</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洪兴西路-新平路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125</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1625</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聚贤路店铺门前人行道</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明日路-新平路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615</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6150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中山保健品市场</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市场周边公共区域</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230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22080</w:t>
            </w:r>
          </w:p>
        </w:tc>
      </w:tr>
      <w:tr>
        <w:tblPrEx>
          <w:tblCellMar>
            <w:top w:w="0" w:type="dxa"/>
            <w:left w:w="108" w:type="dxa"/>
            <w:bottom w:w="0" w:type="dxa"/>
            <w:right w:w="108" w:type="dxa"/>
          </w:tblCellMar>
        </w:tblPrEx>
        <w:trPr>
          <w:trHeight w:val="567" w:hRule="exact"/>
          <w:jc w:val="center"/>
        </w:trPr>
        <w:tc>
          <w:tcPr>
            <w:tcW w:w="135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新平路沿街店铺门前</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秀洲大道-殷秀路</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836</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10032</w:t>
            </w:r>
          </w:p>
        </w:tc>
      </w:tr>
      <w:tr>
        <w:tblPrEx>
          <w:tblCellMar>
            <w:top w:w="0" w:type="dxa"/>
            <w:left w:w="108" w:type="dxa"/>
            <w:bottom w:w="0" w:type="dxa"/>
            <w:right w:w="108" w:type="dxa"/>
          </w:tblCellMar>
        </w:tblPrEx>
        <w:trPr>
          <w:trHeight w:val="567" w:hRule="exact"/>
          <w:jc w:val="center"/>
        </w:trPr>
        <w:tc>
          <w:tcPr>
            <w:tcW w:w="1356" w:type="dxa"/>
            <w:vMerge w:val="restart"/>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w:t>
            </w: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中山西路匝道南</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中山西路-G320</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220</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3080</w:t>
            </w:r>
          </w:p>
        </w:tc>
      </w:tr>
      <w:tr>
        <w:tblPrEx>
          <w:tblCellMar>
            <w:top w:w="0" w:type="dxa"/>
            <w:left w:w="108" w:type="dxa"/>
            <w:bottom w:w="0" w:type="dxa"/>
            <w:right w:w="108" w:type="dxa"/>
          </w:tblCellMar>
        </w:tblPrEx>
        <w:trPr>
          <w:trHeight w:val="567" w:hRule="exact"/>
          <w:jc w:val="center"/>
        </w:trPr>
        <w:tc>
          <w:tcPr>
            <w:tcW w:w="1356" w:type="dxa"/>
            <w:vMerge w:val="continue"/>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p>
        </w:tc>
        <w:tc>
          <w:tcPr>
            <w:tcW w:w="228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中山西路匝道北</w:t>
            </w:r>
          </w:p>
        </w:tc>
        <w:tc>
          <w:tcPr>
            <w:tcW w:w="2485"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中山西路-G320</w:t>
            </w:r>
          </w:p>
        </w:tc>
        <w:tc>
          <w:tcPr>
            <w:tcW w:w="1307" w:type="dxa"/>
            <w:gridSpan w:val="2"/>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193</w:t>
            </w:r>
          </w:p>
        </w:tc>
        <w:tc>
          <w:tcPr>
            <w:tcW w:w="176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2702</w:t>
            </w:r>
          </w:p>
        </w:tc>
      </w:tr>
      <w:tr>
        <w:tblPrEx>
          <w:tblCellMar>
            <w:top w:w="0" w:type="dxa"/>
            <w:left w:w="108" w:type="dxa"/>
            <w:bottom w:w="0" w:type="dxa"/>
            <w:right w:w="108" w:type="dxa"/>
          </w:tblCellMar>
        </w:tblPrEx>
        <w:trPr>
          <w:trHeight w:val="567" w:hRule="exact"/>
          <w:jc w:val="center"/>
        </w:trPr>
        <w:tc>
          <w:tcPr>
            <w:tcW w:w="7433" w:type="dxa"/>
            <w:gridSpan w:val="6"/>
            <w:tcBorders>
              <w:top w:val="single" w:color="000000" w:sz="8" w:space="0"/>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kern w:val="0"/>
                <w:sz w:val="18"/>
                <w:szCs w:val="18"/>
                <w:highlight w:val="none"/>
                <w:lang w:val="en-US" w:eastAsia="zh-CN"/>
              </w:rPr>
              <w:t>合计</w:t>
            </w:r>
          </w:p>
        </w:tc>
        <w:tc>
          <w:tcPr>
            <w:tcW w:w="1768" w:type="dxa"/>
            <w:tcBorders>
              <w:top w:val="single" w:color="000000" w:sz="8" w:space="0"/>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kern w:val="0"/>
                <w:sz w:val="18"/>
                <w:szCs w:val="18"/>
                <w:highlight w:val="none"/>
                <w:lang w:val="en-US" w:eastAsia="zh-CN"/>
              </w:rPr>
              <w:t>128227</w:t>
            </w:r>
          </w:p>
        </w:tc>
      </w:tr>
    </w:tbl>
    <w:p>
      <w:pPr>
        <w:spacing w:before="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2.沿街商铺保洁</w:t>
      </w:r>
    </w:p>
    <w:tbl>
      <w:tblPr>
        <w:tblStyle w:val="6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698"/>
        <w:gridCol w:w="2207"/>
        <w:gridCol w:w="131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5"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269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地段</w:t>
            </w:r>
          </w:p>
        </w:tc>
        <w:tc>
          <w:tcPr>
            <w:tcW w:w="2207"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起止点</w:t>
            </w:r>
          </w:p>
        </w:tc>
        <w:tc>
          <w:tcPr>
            <w:tcW w:w="131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长度</w:t>
            </w:r>
          </w:p>
        </w:tc>
        <w:tc>
          <w:tcPr>
            <w:tcW w:w="1639"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保洁面积（㎡）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5"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269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殷秀花园南门无名路</w:t>
            </w:r>
          </w:p>
        </w:tc>
        <w:tc>
          <w:tcPr>
            <w:tcW w:w="2207"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殷秀花园南门-新安路</w:t>
            </w:r>
          </w:p>
        </w:tc>
        <w:tc>
          <w:tcPr>
            <w:tcW w:w="131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120</w:t>
            </w:r>
          </w:p>
        </w:tc>
        <w:tc>
          <w:tcPr>
            <w:tcW w:w="1639"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5"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269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秀洲大道商铺</w:t>
            </w:r>
          </w:p>
        </w:tc>
        <w:tc>
          <w:tcPr>
            <w:tcW w:w="2207"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盛世香园西</w:t>
            </w:r>
          </w:p>
        </w:tc>
        <w:tc>
          <w:tcPr>
            <w:tcW w:w="131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120</w:t>
            </w:r>
          </w:p>
        </w:tc>
        <w:tc>
          <w:tcPr>
            <w:tcW w:w="1639"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5"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269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明日路商铺</w:t>
            </w:r>
          </w:p>
        </w:tc>
        <w:tc>
          <w:tcPr>
            <w:tcW w:w="2207"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龙盛路-殷秀路</w:t>
            </w:r>
          </w:p>
        </w:tc>
        <w:tc>
          <w:tcPr>
            <w:tcW w:w="131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330</w:t>
            </w:r>
          </w:p>
        </w:tc>
        <w:tc>
          <w:tcPr>
            <w:tcW w:w="1639"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5"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269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嘉盛龙庭售楼处</w:t>
            </w:r>
          </w:p>
        </w:tc>
        <w:tc>
          <w:tcPr>
            <w:tcW w:w="2207"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31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639"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5"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269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新安路商铺</w:t>
            </w:r>
          </w:p>
        </w:tc>
        <w:tc>
          <w:tcPr>
            <w:tcW w:w="2207"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秀洲大道-殷秀路</w:t>
            </w:r>
          </w:p>
        </w:tc>
        <w:tc>
          <w:tcPr>
            <w:tcW w:w="131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60x240</w:t>
            </w:r>
          </w:p>
        </w:tc>
        <w:tc>
          <w:tcPr>
            <w:tcW w:w="1639"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5"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269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新塍塘桥下南边</w:t>
            </w:r>
          </w:p>
        </w:tc>
        <w:tc>
          <w:tcPr>
            <w:tcW w:w="2207"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318"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70</w:t>
            </w:r>
          </w:p>
        </w:tc>
        <w:tc>
          <w:tcPr>
            <w:tcW w:w="1639"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48" w:type="dxa"/>
            <w:gridSpan w:val="4"/>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合计</w:t>
            </w:r>
          </w:p>
        </w:tc>
        <w:tc>
          <w:tcPr>
            <w:tcW w:w="1639" w:type="dxa"/>
            <w:shd w:val="clear" w:color="auto" w:fill="B6DDE8" w:themeFill="accent5" w:themeFillTint="66"/>
            <w:noWrap/>
            <w:vAlign w:val="center"/>
          </w:tcPr>
          <w:p>
            <w:pPr>
              <w:widowControl/>
              <w:jc w:val="center"/>
              <w:textAlignment w:val="cente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kern w:val="0"/>
                <w:sz w:val="18"/>
                <w:szCs w:val="18"/>
                <w:highlight w:val="none"/>
                <w:lang w:val="en-US" w:eastAsia="zh-CN"/>
              </w:rPr>
              <w:t>14340</w:t>
            </w:r>
          </w:p>
        </w:tc>
      </w:tr>
    </w:tbl>
    <w:p>
      <w:pPr>
        <w:spacing w:before="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3.其它公共区域保洁</w:t>
      </w:r>
    </w:p>
    <w:tbl>
      <w:tblPr>
        <w:tblStyle w:val="64"/>
        <w:tblW w:w="9299" w:type="dxa"/>
        <w:jc w:val="center"/>
        <w:tblLayout w:type="autofit"/>
        <w:tblCellMar>
          <w:top w:w="0" w:type="dxa"/>
          <w:left w:w="108" w:type="dxa"/>
          <w:bottom w:w="0" w:type="dxa"/>
          <w:right w:w="108" w:type="dxa"/>
        </w:tblCellMar>
      </w:tblPr>
      <w:tblGrid>
        <w:gridCol w:w="1425"/>
        <w:gridCol w:w="2901"/>
        <w:gridCol w:w="1993"/>
        <w:gridCol w:w="1286"/>
        <w:gridCol w:w="1694"/>
      </w:tblGrid>
      <w:tr>
        <w:tblPrEx>
          <w:tblCellMar>
            <w:top w:w="0" w:type="dxa"/>
            <w:left w:w="108" w:type="dxa"/>
            <w:bottom w:w="0" w:type="dxa"/>
            <w:right w:w="108" w:type="dxa"/>
          </w:tblCellMar>
        </w:tblPrEx>
        <w:trPr>
          <w:trHeight w:val="539" w:hRule="exact"/>
          <w:jc w:val="center"/>
        </w:trPr>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2901"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名称</w:t>
            </w:r>
          </w:p>
        </w:tc>
        <w:tc>
          <w:tcPr>
            <w:tcW w:w="1993"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长（米）</w:t>
            </w:r>
          </w:p>
        </w:tc>
        <w:tc>
          <w:tcPr>
            <w:tcW w:w="1286"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宽（米）</w:t>
            </w:r>
          </w:p>
        </w:tc>
        <w:tc>
          <w:tcPr>
            <w:tcW w:w="1694"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面积</w:t>
            </w:r>
          </w:p>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rPr>
              <w:t>㎡</w:t>
            </w:r>
            <w:r>
              <w:rPr>
                <w:rFonts w:hint="eastAsia" w:ascii="仿宋" w:hAnsi="仿宋" w:eastAsia="仿宋" w:cs="仿宋"/>
                <w:color w:val="auto"/>
                <w:kern w:val="0"/>
                <w:sz w:val="18"/>
                <w:szCs w:val="18"/>
                <w:highlight w:val="none"/>
              </w:rPr>
              <w:t>）</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吴越路东侧公共区域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佳源酒店西侧公共区域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130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1300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嘉业阳光城东侧公共区域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7500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新城***周边公共区域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秀洲公园东和南公共区域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秀洲公园北公共区域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洪兴路中央公共区域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万科吴越围墙外公共区域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350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525</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燕园东和南公共区域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270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405</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海关围墙外公共区域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佳园小区和信访局公共区域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秀洲花园三期东侧公共区域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13</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秀洲花园三期西侧公共区域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14</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聚贤路洪高路口西侧公共区域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聚贤路中央公共区域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2500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新安医院养老中心围墙外公共区域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750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17</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中山西路南侧和中央公共区域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3600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殷秀路西侧公共区域</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27000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秀洲大道中央公共区域（南片）</w:t>
            </w:r>
          </w:p>
        </w:tc>
        <w:tc>
          <w:tcPr>
            <w:tcW w:w="199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4500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302国道进口</w:t>
            </w:r>
          </w:p>
        </w:tc>
        <w:tc>
          <w:tcPr>
            <w:tcW w:w="1993"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286"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8000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21</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昌盛中路新城街道公共区域</w:t>
            </w:r>
          </w:p>
        </w:tc>
        <w:tc>
          <w:tcPr>
            <w:tcW w:w="1993"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22</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盛西路公共区域</w:t>
            </w:r>
          </w:p>
        </w:tc>
        <w:tc>
          <w:tcPr>
            <w:tcW w:w="1993"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120</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960</w:t>
            </w:r>
          </w:p>
        </w:tc>
      </w:tr>
      <w:tr>
        <w:tblPrEx>
          <w:tblCellMar>
            <w:top w:w="0" w:type="dxa"/>
            <w:left w:w="108" w:type="dxa"/>
            <w:bottom w:w="0" w:type="dxa"/>
            <w:right w:w="108" w:type="dxa"/>
          </w:tblCellMar>
        </w:tblPrEx>
        <w:trPr>
          <w:trHeight w:val="539" w:hRule="exact"/>
          <w:jc w:val="center"/>
        </w:trPr>
        <w:tc>
          <w:tcPr>
            <w:tcW w:w="142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23</w:t>
            </w:r>
          </w:p>
        </w:tc>
        <w:tc>
          <w:tcPr>
            <w:tcW w:w="29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新安国际门口公共区域</w:t>
            </w:r>
          </w:p>
        </w:tc>
        <w:tc>
          <w:tcPr>
            <w:tcW w:w="1993"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p>
        </w:tc>
        <w:tc>
          <w:tcPr>
            <w:tcW w:w="128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w:t>
            </w:r>
          </w:p>
        </w:tc>
        <w:tc>
          <w:tcPr>
            <w:tcW w:w="169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3000</w:t>
            </w:r>
          </w:p>
        </w:tc>
      </w:tr>
      <w:tr>
        <w:tblPrEx>
          <w:tblCellMar>
            <w:top w:w="0" w:type="dxa"/>
            <w:left w:w="108" w:type="dxa"/>
            <w:bottom w:w="0" w:type="dxa"/>
            <w:right w:w="108" w:type="dxa"/>
          </w:tblCellMar>
        </w:tblPrEx>
        <w:trPr>
          <w:trHeight w:val="539" w:hRule="exact"/>
          <w:jc w:val="center"/>
        </w:trPr>
        <w:tc>
          <w:tcPr>
            <w:tcW w:w="7605" w:type="dxa"/>
            <w:gridSpan w:val="4"/>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合计</w:t>
            </w:r>
          </w:p>
        </w:tc>
        <w:tc>
          <w:tcPr>
            <w:tcW w:w="1694" w:type="dxa"/>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82940</w:t>
            </w:r>
          </w:p>
        </w:tc>
      </w:tr>
    </w:tbl>
    <w:p>
      <w:pPr>
        <w:spacing w:before="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4.河道保洁</w:t>
      </w:r>
    </w:p>
    <w:tbl>
      <w:tblPr>
        <w:tblStyle w:val="6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781"/>
        <w:gridCol w:w="1073"/>
        <w:gridCol w:w="1131"/>
        <w:gridCol w:w="1142"/>
        <w:gridCol w:w="1673"/>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2"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178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河道名称</w:t>
            </w:r>
          </w:p>
        </w:tc>
        <w:tc>
          <w:tcPr>
            <w:tcW w:w="107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长度m</w:t>
            </w:r>
          </w:p>
        </w:tc>
        <w:tc>
          <w:tcPr>
            <w:tcW w:w="113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宽度m</w:t>
            </w:r>
          </w:p>
        </w:tc>
        <w:tc>
          <w:tcPr>
            <w:tcW w:w="1142"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河岸各6m</w:t>
            </w:r>
          </w:p>
        </w:tc>
        <w:tc>
          <w:tcPr>
            <w:tcW w:w="167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保洁面积（㎡)</w:t>
            </w:r>
          </w:p>
        </w:tc>
        <w:tc>
          <w:tcPr>
            <w:tcW w:w="1492" w:type="dxa"/>
            <w:noWrap/>
            <w:vAlign w:val="center"/>
          </w:tcPr>
          <w:p>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612" w:type="dxa"/>
            <w:noWrap/>
            <w:vAlign w:val="center"/>
          </w:tcPr>
          <w:p>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w:t>
            </w:r>
          </w:p>
        </w:tc>
        <w:tc>
          <w:tcPr>
            <w:tcW w:w="178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和睦桥港</w:t>
            </w:r>
          </w:p>
        </w:tc>
        <w:tc>
          <w:tcPr>
            <w:tcW w:w="10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1600</w:t>
            </w:r>
          </w:p>
        </w:tc>
        <w:tc>
          <w:tcPr>
            <w:tcW w:w="113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14.5</w:t>
            </w:r>
          </w:p>
        </w:tc>
        <w:tc>
          <w:tcPr>
            <w:tcW w:w="1142"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6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43900</w:t>
            </w:r>
          </w:p>
        </w:tc>
        <w:tc>
          <w:tcPr>
            <w:tcW w:w="1492"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（包括和睦桥港闸站北侧新塍塘1500㎡）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2"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78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春晓源西侧</w:t>
            </w:r>
          </w:p>
        </w:tc>
        <w:tc>
          <w:tcPr>
            <w:tcW w:w="10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250</w:t>
            </w:r>
          </w:p>
        </w:tc>
        <w:tc>
          <w:tcPr>
            <w:tcW w:w="113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c>
          <w:tcPr>
            <w:tcW w:w="1142" w:type="dxa"/>
            <w:noWrap/>
            <w:vAlign w:val="center"/>
          </w:tcPr>
          <w:p>
            <w:pPr>
              <w:jc w:val="center"/>
              <w:rPr>
                <w:rFonts w:hint="eastAsia" w:ascii="仿宋" w:hAnsi="仿宋" w:eastAsia="仿宋" w:cs="仿宋"/>
                <w:color w:val="auto"/>
                <w:sz w:val="18"/>
                <w:szCs w:val="18"/>
                <w:highlight w:val="none"/>
              </w:rPr>
            </w:pPr>
          </w:p>
        </w:tc>
        <w:tc>
          <w:tcPr>
            <w:tcW w:w="16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1250</w:t>
            </w:r>
          </w:p>
        </w:tc>
        <w:tc>
          <w:tcPr>
            <w:tcW w:w="1492" w:type="dxa"/>
            <w:noWrap/>
            <w:vAlign w:val="center"/>
          </w:tcPr>
          <w:p>
            <w:pPr>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2"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178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长住桥港</w:t>
            </w:r>
          </w:p>
        </w:tc>
        <w:tc>
          <w:tcPr>
            <w:tcW w:w="10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723</w:t>
            </w:r>
          </w:p>
        </w:tc>
        <w:tc>
          <w:tcPr>
            <w:tcW w:w="113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w:t>
            </w:r>
          </w:p>
        </w:tc>
        <w:tc>
          <w:tcPr>
            <w:tcW w:w="1142"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6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19521</w:t>
            </w:r>
          </w:p>
        </w:tc>
        <w:tc>
          <w:tcPr>
            <w:tcW w:w="1492" w:type="dxa"/>
            <w:noWrap/>
            <w:vAlign w:val="center"/>
          </w:tcPr>
          <w:p>
            <w:pPr>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2" w:type="dxa"/>
            <w:noWrap/>
            <w:vAlign w:val="center"/>
          </w:tcPr>
          <w:p>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4</w:t>
            </w:r>
          </w:p>
        </w:tc>
        <w:tc>
          <w:tcPr>
            <w:tcW w:w="178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朱家桥港</w:t>
            </w:r>
          </w:p>
        </w:tc>
        <w:tc>
          <w:tcPr>
            <w:tcW w:w="10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w:t>
            </w:r>
          </w:p>
        </w:tc>
        <w:tc>
          <w:tcPr>
            <w:tcW w:w="113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w:t>
            </w:r>
          </w:p>
        </w:tc>
        <w:tc>
          <w:tcPr>
            <w:tcW w:w="1142"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6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13000</w:t>
            </w:r>
          </w:p>
        </w:tc>
        <w:tc>
          <w:tcPr>
            <w:tcW w:w="1492" w:type="dxa"/>
            <w:noWrap/>
            <w:vAlign w:val="center"/>
          </w:tcPr>
          <w:p>
            <w:pPr>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2" w:type="dxa"/>
            <w:noWrap/>
            <w:vAlign w:val="center"/>
          </w:tcPr>
          <w:p>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5</w:t>
            </w:r>
          </w:p>
        </w:tc>
        <w:tc>
          <w:tcPr>
            <w:tcW w:w="178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秀清港</w:t>
            </w:r>
          </w:p>
        </w:tc>
        <w:tc>
          <w:tcPr>
            <w:tcW w:w="10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2100</w:t>
            </w:r>
          </w:p>
        </w:tc>
        <w:tc>
          <w:tcPr>
            <w:tcW w:w="113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14.5</w:t>
            </w:r>
          </w:p>
        </w:tc>
        <w:tc>
          <w:tcPr>
            <w:tcW w:w="1142"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67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55650</w:t>
            </w:r>
          </w:p>
        </w:tc>
        <w:tc>
          <w:tcPr>
            <w:tcW w:w="1492" w:type="dxa"/>
            <w:noWrap/>
            <w:vAlign w:val="center"/>
          </w:tcPr>
          <w:p>
            <w:pPr>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39" w:type="dxa"/>
            <w:gridSpan w:val="5"/>
            <w:shd w:val="clear" w:color="auto" w:fill="B6DDE8" w:themeFill="accent5" w:themeFillTint="66"/>
            <w:noWrap/>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合计</w:t>
            </w:r>
          </w:p>
        </w:tc>
        <w:tc>
          <w:tcPr>
            <w:tcW w:w="1673" w:type="dxa"/>
            <w:shd w:val="clear" w:color="auto" w:fill="B6DDE8" w:themeFill="accent5" w:themeFillTint="66"/>
            <w:noWrap/>
            <w:vAlign w:val="center"/>
          </w:tcPr>
          <w:p>
            <w:pPr>
              <w:jc w:val="cente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133321</w:t>
            </w:r>
          </w:p>
        </w:tc>
        <w:tc>
          <w:tcPr>
            <w:tcW w:w="1492" w:type="dxa"/>
            <w:shd w:val="clear" w:color="auto" w:fill="B6DDE8" w:themeFill="accent5" w:themeFillTint="66"/>
            <w:noWrap/>
            <w:vAlign w:val="center"/>
          </w:tcPr>
          <w:p>
            <w:pPr>
              <w:jc w:val="center"/>
              <w:rPr>
                <w:rFonts w:hint="eastAsia" w:ascii="仿宋" w:hAnsi="仿宋" w:eastAsia="仿宋" w:cs="仿宋"/>
                <w:color w:val="auto"/>
                <w:sz w:val="18"/>
                <w:szCs w:val="18"/>
                <w:highlight w:val="none"/>
              </w:rPr>
            </w:pPr>
          </w:p>
        </w:tc>
      </w:tr>
    </w:tbl>
    <w:p>
      <w:pPr>
        <w:spacing w:before="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5.“席地可坐”城市客厅</w:t>
      </w:r>
    </w:p>
    <w:tbl>
      <w:tblPr>
        <w:tblStyle w:val="65"/>
        <w:tblpPr w:leftFromText="180" w:rightFromText="180" w:vertAnchor="text" w:horzAnchor="page" w:tblpXSpec="center" w:tblpY="30"/>
        <w:tblOverlap w:val="never"/>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525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5250"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名称</w:t>
            </w:r>
          </w:p>
        </w:tc>
        <w:tc>
          <w:tcPr>
            <w:tcW w:w="214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面积</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w:t>
            </w:r>
          </w:p>
        </w:tc>
        <w:tc>
          <w:tcPr>
            <w:tcW w:w="5250"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江南摩尔广场</w:t>
            </w:r>
          </w:p>
        </w:tc>
        <w:tc>
          <w:tcPr>
            <w:tcW w:w="214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w:t>
            </w:r>
          </w:p>
        </w:tc>
        <w:tc>
          <w:tcPr>
            <w:tcW w:w="5250"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秀洲区政府广场</w:t>
            </w:r>
          </w:p>
        </w:tc>
        <w:tc>
          <w:tcPr>
            <w:tcW w:w="214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7" w:type="dxa"/>
            <w:gridSpan w:val="2"/>
            <w:shd w:val="clear" w:color="auto" w:fill="B6DDE8" w:themeFill="accent5" w:themeFillTint="66"/>
            <w:noWrap/>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合计</w:t>
            </w:r>
          </w:p>
        </w:tc>
        <w:tc>
          <w:tcPr>
            <w:tcW w:w="2148" w:type="dxa"/>
            <w:shd w:val="clear" w:color="auto" w:fill="B6DDE8" w:themeFill="accent5" w:themeFillTint="66"/>
            <w:noWrap/>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90000</w:t>
            </w:r>
          </w:p>
        </w:tc>
      </w:tr>
    </w:tbl>
    <w:p>
      <w:pPr>
        <w:spacing w:before="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6.其他保洁内容</w:t>
      </w:r>
    </w:p>
    <w:tbl>
      <w:tblPr>
        <w:tblStyle w:val="6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4162"/>
        <w:gridCol w:w="219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1"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4162"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保洁内容</w:t>
            </w:r>
          </w:p>
        </w:tc>
        <w:tc>
          <w:tcPr>
            <w:tcW w:w="2190"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单位</w:t>
            </w:r>
          </w:p>
        </w:tc>
        <w:tc>
          <w:tcPr>
            <w:tcW w:w="1496"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1" w:type="dxa"/>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1</w:t>
            </w:r>
          </w:p>
        </w:tc>
        <w:tc>
          <w:tcPr>
            <w:tcW w:w="4162"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公交车站内及城市家具保洁（每天清洗一次）</w:t>
            </w:r>
          </w:p>
        </w:tc>
        <w:tc>
          <w:tcPr>
            <w:tcW w:w="2190"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w:t>
            </w:r>
          </w:p>
        </w:tc>
        <w:tc>
          <w:tcPr>
            <w:tcW w:w="1496"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1" w:type="dxa"/>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2</w:t>
            </w:r>
          </w:p>
        </w:tc>
        <w:tc>
          <w:tcPr>
            <w:tcW w:w="4162"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公厕日常维护保洁(含消杀)                 (两座三星、七座二星管养标准)</w:t>
            </w:r>
          </w:p>
        </w:tc>
        <w:tc>
          <w:tcPr>
            <w:tcW w:w="2190"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座</w:t>
            </w:r>
          </w:p>
        </w:tc>
        <w:tc>
          <w:tcPr>
            <w:tcW w:w="1496"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1" w:type="dxa"/>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3</w:t>
            </w:r>
          </w:p>
        </w:tc>
        <w:tc>
          <w:tcPr>
            <w:tcW w:w="4162"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沿街店面（商铺）垃圾分类上门收集</w:t>
            </w:r>
          </w:p>
        </w:tc>
        <w:tc>
          <w:tcPr>
            <w:tcW w:w="2190"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w:t>
            </w:r>
          </w:p>
        </w:tc>
        <w:tc>
          <w:tcPr>
            <w:tcW w:w="1496"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1" w:type="dxa"/>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4</w:t>
            </w:r>
          </w:p>
        </w:tc>
        <w:tc>
          <w:tcPr>
            <w:tcW w:w="4162"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其他为完成本街道范围内道路保洁所需的内容</w:t>
            </w:r>
          </w:p>
        </w:tc>
        <w:tc>
          <w:tcPr>
            <w:tcW w:w="2190"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w:t>
            </w:r>
          </w:p>
        </w:tc>
        <w:tc>
          <w:tcPr>
            <w:tcW w:w="1496" w:type="dxa"/>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r>
    </w:tbl>
    <w:p>
      <w:pPr>
        <w:pStyle w:val="3"/>
        <w:spacing w:line="240" w:lineRule="auto"/>
        <w:ind w:left="0" w:firstLine="0"/>
        <w:rPr>
          <w:rFonts w:ascii="仿宋" w:eastAsia="仿宋"/>
          <w:color w:val="auto"/>
          <w:sz w:val="21"/>
          <w:szCs w:val="21"/>
          <w:highlight w:val="none"/>
          <w:lang w:val="en-US"/>
        </w:rPr>
      </w:pPr>
    </w:p>
    <w:p>
      <w:pPr>
        <w:pStyle w:val="4"/>
        <w:ind w:left="420" w:firstLine="480"/>
        <w:rPr>
          <w:color w:val="auto"/>
          <w:highlight w:val="none"/>
        </w:rPr>
      </w:pPr>
    </w:p>
    <w:p>
      <w:pPr>
        <w:pStyle w:val="3"/>
        <w:spacing w:line="240" w:lineRule="auto"/>
        <w:ind w:left="0" w:firstLine="0"/>
        <w:rPr>
          <w:rFonts w:ascii="仿宋" w:eastAsia="仿宋"/>
          <w:color w:val="auto"/>
          <w:sz w:val="21"/>
          <w:szCs w:val="21"/>
          <w:highlight w:val="none"/>
          <w:lang w:val="en-US"/>
        </w:rPr>
      </w:pPr>
    </w:p>
    <w:p>
      <w:pPr>
        <w:pStyle w:val="4"/>
        <w:rPr>
          <w:rFonts w:ascii="仿宋" w:eastAsia="仿宋"/>
          <w:color w:val="auto"/>
          <w:sz w:val="21"/>
          <w:szCs w:val="21"/>
          <w:highlight w:val="none"/>
          <w:lang w:val="en-US"/>
        </w:rPr>
      </w:pPr>
    </w:p>
    <w:p>
      <w:pPr>
        <w:pStyle w:val="4"/>
        <w:rPr>
          <w:rFonts w:ascii="仿宋" w:eastAsia="仿宋"/>
          <w:color w:val="auto"/>
          <w:sz w:val="21"/>
          <w:szCs w:val="21"/>
          <w:highlight w:val="none"/>
          <w:lang w:val="en-US"/>
        </w:rPr>
      </w:pPr>
    </w:p>
    <w:p>
      <w:pPr>
        <w:pStyle w:val="4"/>
        <w:rPr>
          <w:rFonts w:ascii="仿宋" w:eastAsia="仿宋"/>
          <w:color w:val="auto"/>
          <w:sz w:val="21"/>
          <w:szCs w:val="21"/>
          <w:highlight w:val="none"/>
          <w:lang w:val="en-US"/>
        </w:rPr>
      </w:pPr>
    </w:p>
    <w:p>
      <w:pPr>
        <w:pStyle w:val="3"/>
        <w:spacing w:line="240" w:lineRule="auto"/>
        <w:ind w:left="0" w:firstLine="0"/>
        <w:rPr>
          <w:rFonts w:ascii="仿宋" w:eastAsia="仿宋"/>
          <w:color w:val="auto"/>
          <w:sz w:val="21"/>
          <w:szCs w:val="21"/>
          <w:highlight w:val="none"/>
          <w:lang w:val="en-US"/>
        </w:rPr>
      </w:pPr>
      <w:r>
        <w:rPr>
          <w:rFonts w:hint="eastAsia" w:ascii="仿宋" w:eastAsia="仿宋"/>
          <w:color w:val="auto"/>
          <w:sz w:val="21"/>
          <w:szCs w:val="21"/>
          <w:highlight w:val="none"/>
          <w:lang w:val="en-US"/>
        </w:rPr>
        <w:t>标项二：2023年新城街道区域保洁服务项目（北片）</w:t>
      </w:r>
    </w:p>
    <w:p>
      <w:pPr>
        <w:pStyle w:val="3"/>
        <w:spacing w:before="200" w:line="240" w:lineRule="auto"/>
        <w:ind w:left="0" w:firstLine="0"/>
        <w:rPr>
          <w:rFonts w:ascii="仿宋" w:eastAsia="仿宋"/>
          <w:color w:val="auto"/>
          <w:sz w:val="21"/>
          <w:szCs w:val="21"/>
          <w:highlight w:val="none"/>
          <w:lang w:val="en-US"/>
        </w:rPr>
      </w:pPr>
      <w:r>
        <w:rPr>
          <w:rFonts w:hint="eastAsia" w:ascii="仿宋" w:eastAsia="仿宋"/>
          <w:color w:val="auto"/>
          <w:sz w:val="21"/>
          <w:szCs w:val="21"/>
          <w:highlight w:val="none"/>
          <w:lang w:val="en-US"/>
        </w:rPr>
        <w:t>1.道路、区域保洁</w:t>
      </w:r>
    </w:p>
    <w:tbl>
      <w:tblPr>
        <w:tblStyle w:val="64"/>
        <w:tblW w:w="9612" w:type="dxa"/>
        <w:jc w:val="center"/>
        <w:tblLayout w:type="fixed"/>
        <w:tblCellMar>
          <w:top w:w="0" w:type="dxa"/>
          <w:left w:w="108" w:type="dxa"/>
          <w:bottom w:w="0" w:type="dxa"/>
          <w:right w:w="108" w:type="dxa"/>
        </w:tblCellMar>
      </w:tblPr>
      <w:tblGrid>
        <w:gridCol w:w="1058"/>
        <w:gridCol w:w="3171"/>
        <w:gridCol w:w="2745"/>
        <w:gridCol w:w="1333"/>
        <w:gridCol w:w="1305"/>
      </w:tblGrid>
      <w:tr>
        <w:tblPrEx>
          <w:tblCellMar>
            <w:top w:w="0" w:type="dxa"/>
            <w:left w:w="108" w:type="dxa"/>
            <w:bottom w:w="0" w:type="dxa"/>
            <w:right w:w="108" w:type="dxa"/>
          </w:tblCellMar>
        </w:tblPrEx>
        <w:trPr>
          <w:trHeight w:val="567" w:hRule="exact"/>
          <w:jc w:val="center"/>
        </w:trPr>
        <w:tc>
          <w:tcPr>
            <w:tcW w:w="105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31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路名</w:t>
            </w:r>
          </w:p>
        </w:tc>
        <w:tc>
          <w:tcPr>
            <w:tcW w:w="27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起止点</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路长（m）</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保洁面积（㎡)</w:t>
            </w:r>
          </w:p>
        </w:tc>
      </w:tr>
      <w:tr>
        <w:tblPrEx>
          <w:tblCellMar>
            <w:top w:w="0" w:type="dxa"/>
            <w:left w:w="108" w:type="dxa"/>
            <w:bottom w:w="0" w:type="dxa"/>
            <w:right w:w="108" w:type="dxa"/>
          </w:tblCellMar>
        </w:tblPrEx>
        <w:trPr>
          <w:trHeight w:val="567" w:hRule="exact"/>
          <w:jc w:val="center"/>
        </w:trPr>
        <w:tc>
          <w:tcPr>
            <w:tcW w:w="9612" w:type="dxa"/>
            <w:gridSpan w:val="5"/>
            <w:tcBorders>
              <w:top w:val="single" w:color="auto" w:sz="4" w:space="0"/>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一级道路（区域）</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3171"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w:t>
            </w:r>
          </w:p>
        </w:tc>
        <w:tc>
          <w:tcPr>
            <w:tcW w:w="274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新塍塘大桥-杨家桥</w:t>
            </w:r>
          </w:p>
        </w:tc>
        <w:tc>
          <w:tcPr>
            <w:tcW w:w="1333"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3354</w:t>
            </w:r>
          </w:p>
        </w:tc>
        <w:tc>
          <w:tcPr>
            <w:tcW w:w="13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93032</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东升西路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北郊河大桥-秀园路</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4426</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150328</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新塍塘路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大德路-秀洲大道</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644</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10304</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九里、大德、秀洲大道</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沿街店铺门前</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东升路恒丰大厦北侧沿街商铺门前</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大德路-边防检查站门口</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130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2080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新塍塘路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秀园路-秀港路</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600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16800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秀港路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新塍塘路-兴园路</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1800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43200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新塍塘路延伸段</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秀园路-成秀路</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30000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外港路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新塍塘路-兴园路</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1800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32400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w:t>
            </w:r>
          </w:p>
        </w:tc>
        <w:tc>
          <w:tcPr>
            <w:tcW w:w="3171"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九里路</w:t>
            </w:r>
          </w:p>
        </w:tc>
        <w:tc>
          <w:tcPr>
            <w:tcW w:w="2745"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秀园路-秀港路</w:t>
            </w:r>
          </w:p>
        </w:tc>
        <w:tc>
          <w:tcPr>
            <w:tcW w:w="1333"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485</w:t>
            </w:r>
          </w:p>
        </w:tc>
        <w:tc>
          <w:tcPr>
            <w:tcW w:w="1305"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8730</w:t>
            </w:r>
          </w:p>
        </w:tc>
      </w:tr>
      <w:tr>
        <w:tblPrEx>
          <w:tblCellMar>
            <w:top w:w="0" w:type="dxa"/>
            <w:left w:w="108" w:type="dxa"/>
            <w:bottom w:w="0" w:type="dxa"/>
            <w:right w:w="108" w:type="dxa"/>
          </w:tblCellMar>
        </w:tblPrEx>
        <w:trPr>
          <w:trHeight w:val="567" w:hRule="exact"/>
          <w:jc w:val="center"/>
        </w:trPr>
        <w:tc>
          <w:tcPr>
            <w:tcW w:w="105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11</w:t>
            </w:r>
          </w:p>
        </w:tc>
        <w:tc>
          <w:tcPr>
            <w:tcW w:w="3171"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秀园路 </w:t>
            </w:r>
          </w:p>
        </w:tc>
        <w:tc>
          <w:tcPr>
            <w:tcW w:w="2745"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东升西路以北段</w:t>
            </w:r>
          </w:p>
        </w:tc>
        <w:tc>
          <w:tcPr>
            <w:tcW w:w="1333"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w:t>
            </w:r>
          </w:p>
        </w:tc>
        <w:tc>
          <w:tcPr>
            <w:tcW w:w="1305"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31200</w:t>
            </w:r>
          </w:p>
        </w:tc>
      </w:tr>
      <w:tr>
        <w:tblPrEx>
          <w:tblCellMar>
            <w:top w:w="0" w:type="dxa"/>
            <w:left w:w="108" w:type="dxa"/>
            <w:bottom w:w="0" w:type="dxa"/>
            <w:right w:w="108" w:type="dxa"/>
          </w:tblCellMar>
        </w:tblPrEx>
        <w:trPr>
          <w:trHeight w:val="567" w:hRule="exact"/>
          <w:jc w:val="center"/>
        </w:trPr>
        <w:tc>
          <w:tcPr>
            <w:tcW w:w="8307" w:type="dxa"/>
            <w:gridSpan w:val="4"/>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kern w:val="0"/>
                <w:sz w:val="18"/>
                <w:szCs w:val="18"/>
                <w:highlight w:val="none"/>
                <w:lang w:val="en-US" w:eastAsia="zh-CN"/>
              </w:rPr>
              <w:t>合计</w:t>
            </w:r>
          </w:p>
        </w:tc>
        <w:tc>
          <w:tcPr>
            <w:tcW w:w="1305" w:type="dxa"/>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421074</w:t>
            </w:r>
          </w:p>
        </w:tc>
      </w:tr>
      <w:tr>
        <w:tblPrEx>
          <w:tblCellMar>
            <w:top w:w="0" w:type="dxa"/>
            <w:left w:w="108" w:type="dxa"/>
            <w:bottom w:w="0" w:type="dxa"/>
            <w:right w:w="108" w:type="dxa"/>
          </w:tblCellMar>
        </w:tblPrEx>
        <w:trPr>
          <w:trHeight w:val="567" w:hRule="exact"/>
          <w:jc w:val="center"/>
        </w:trPr>
        <w:tc>
          <w:tcPr>
            <w:tcW w:w="9612" w:type="dxa"/>
            <w:gridSpan w:val="5"/>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二级道路（区域）</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3171"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大德路</w:t>
            </w:r>
          </w:p>
        </w:tc>
        <w:tc>
          <w:tcPr>
            <w:tcW w:w="274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全路段</w:t>
            </w:r>
          </w:p>
        </w:tc>
        <w:tc>
          <w:tcPr>
            <w:tcW w:w="1333"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1597</w:t>
            </w:r>
          </w:p>
        </w:tc>
        <w:tc>
          <w:tcPr>
            <w:tcW w:w="13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25552</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木桥港路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全路段</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2364</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42572</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成秀路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全路段</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740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11820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东港路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全路段</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700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9100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九里路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秀庄路-秀洲大道</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903</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14448</w:t>
            </w:r>
          </w:p>
        </w:tc>
      </w:tr>
      <w:tr>
        <w:tblPrEx>
          <w:tblCellMar>
            <w:top w:w="0" w:type="dxa"/>
            <w:left w:w="108" w:type="dxa"/>
            <w:bottom w:w="0" w:type="dxa"/>
            <w:right w:w="108" w:type="dxa"/>
          </w:tblCellMar>
        </w:tblPrEx>
        <w:trPr>
          <w:trHeight w:val="567" w:hRule="exact"/>
          <w:jc w:val="center"/>
        </w:trPr>
        <w:tc>
          <w:tcPr>
            <w:tcW w:w="8307" w:type="dxa"/>
            <w:gridSpan w:val="4"/>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kern w:val="0"/>
                <w:sz w:val="18"/>
                <w:szCs w:val="18"/>
                <w:highlight w:val="none"/>
                <w:lang w:val="en-US" w:eastAsia="zh-CN"/>
              </w:rPr>
              <w:t>合计</w:t>
            </w:r>
          </w:p>
        </w:tc>
        <w:tc>
          <w:tcPr>
            <w:tcW w:w="1305" w:type="dxa"/>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103492</w:t>
            </w:r>
          </w:p>
        </w:tc>
      </w:tr>
      <w:tr>
        <w:tblPrEx>
          <w:tblCellMar>
            <w:top w:w="0" w:type="dxa"/>
            <w:left w:w="108" w:type="dxa"/>
            <w:bottom w:w="0" w:type="dxa"/>
            <w:right w:w="108" w:type="dxa"/>
          </w:tblCellMar>
        </w:tblPrEx>
        <w:trPr>
          <w:trHeight w:val="567" w:hRule="exact"/>
          <w:jc w:val="center"/>
        </w:trPr>
        <w:tc>
          <w:tcPr>
            <w:tcW w:w="9612" w:type="dxa"/>
            <w:gridSpan w:val="5"/>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三级道路（区域）</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3171"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秀圣路至北义庄港段</w:t>
            </w:r>
          </w:p>
        </w:tc>
        <w:tc>
          <w:tcPr>
            <w:tcW w:w="274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秀圣路-北义庄港段无名路段</w:t>
            </w:r>
          </w:p>
        </w:tc>
        <w:tc>
          <w:tcPr>
            <w:tcW w:w="1333"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281</w:t>
            </w:r>
          </w:p>
        </w:tc>
        <w:tc>
          <w:tcPr>
            <w:tcW w:w="13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1686</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义庄路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全路段</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971</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10681</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秀圣路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全路段</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440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5720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秀庄路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全路段</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970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10670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雁泾港路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东港路-秀圣路</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1520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19760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二号桥、三号桥</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通往希尔顿酒店</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181</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2353</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金盾路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秀洲大道西，消防大队</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766</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3458</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义庄公墓西无名路</w:t>
            </w:r>
          </w:p>
        </w:tc>
        <w:tc>
          <w:tcPr>
            <w:tcW w:w="274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九里路-殷秀路</w:t>
            </w: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700</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4900</w:t>
            </w:r>
          </w:p>
        </w:tc>
      </w:tr>
      <w:tr>
        <w:tblPrEx>
          <w:tblCellMar>
            <w:top w:w="0" w:type="dxa"/>
            <w:left w:w="108" w:type="dxa"/>
            <w:bottom w:w="0" w:type="dxa"/>
            <w:right w:w="108" w:type="dxa"/>
          </w:tblCellMar>
        </w:tblPrEx>
        <w:trPr>
          <w:trHeight w:val="567" w:hRule="exact"/>
          <w:jc w:val="center"/>
        </w:trPr>
        <w:tc>
          <w:tcPr>
            <w:tcW w:w="105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317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大德路北延伸段</w:t>
            </w:r>
          </w:p>
        </w:tc>
        <w:tc>
          <w:tcPr>
            <w:tcW w:w="2745"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p>
        </w:tc>
        <w:tc>
          <w:tcPr>
            <w:tcW w:w="1333"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1001</w:t>
            </w:r>
          </w:p>
        </w:tc>
        <w:tc>
          <w:tcPr>
            <w:tcW w:w="130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20020</w:t>
            </w:r>
          </w:p>
        </w:tc>
      </w:tr>
      <w:tr>
        <w:tblPrEx>
          <w:tblCellMar>
            <w:top w:w="0" w:type="dxa"/>
            <w:left w:w="108" w:type="dxa"/>
            <w:bottom w:w="0" w:type="dxa"/>
            <w:right w:w="108" w:type="dxa"/>
          </w:tblCellMar>
        </w:tblPrEx>
        <w:trPr>
          <w:trHeight w:val="567" w:hRule="exact"/>
          <w:jc w:val="center"/>
        </w:trPr>
        <w:tc>
          <w:tcPr>
            <w:tcW w:w="8307" w:type="dxa"/>
            <w:gridSpan w:val="4"/>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kern w:val="0"/>
                <w:sz w:val="18"/>
                <w:szCs w:val="18"/>
                <w:highlight w:val="none"/>
                <w:lang w:val="en-US" w:eastAsia="zh-CN"/>
              </w:rPr>
              <w:t>合计</w:t>
            </w:r>
          </w:p>
        </w:tc>
        <w:tc>
          <w:tcPr>
            <w:tcW w:w="1305" w:type="dxa"/>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79248</w:t>
            </w:r>
          </w:p>
        </w:tc>
      </w:tr>
    </w:tbl>
    <w:p>
      <w:pPr>
        <w:pStyle w:val="3"/>
        <w:spacing w:before="200"/>
        <w:ind w:left="0" w:firstLine="0"/>
        <w:rPr>
          <w:rFonts w:ascii="仿宋" w:eastAsia="仿宋"/>
          <w:color w:val="auto"/>
          <w:sz w:val="21"/>
          <w:szCs w:val="21"/>
          <w:highlight w:val="none"/>
          <w:lang w:val="en-US"/>
        </w:rPr>
      </w:pPr>
      <w:r>
        <w:rPr>
          <w:rFonts w:hint="eastAsia" w:ascii="仿宋" w:eastAsia="仿宋"/>
          <w:color w:val="auto"/>
          <w:sz w:val="21"/>
          <w:szCs w:val="21"/>
          <w:highlight w:val="none"/>
          <w:lang w:val="en-US"/>
        </w:rPr>
        <w:t>2.沿街商铺保洁</w:t>
      </w:r>
    </w:p>
    <w:tbl>
      <w:tblPr>
        <w:tblStyle w:val="64"/>
        <w:tblW w:w="9610" w:type="dxa"/>
        <w:jc w:val="center"/>
        <w:tblLayout w:type="autofit"/>
        <w:tblCellMar>
          <w:top w:w="0" w:type="dxa"/>
          <w:left w:w="108" w:type="dxa"/>
          <w:bottom w:w="0" w:type="dxa"/>
          <w:right w:w="108" w:type="dxa"/>
        </w:tblCellMar>
      </w:tblPr>
      <w:tblGrid>
        <w:gridCol w:w="1148"/>
        <w:gridCol w:w="2640"/>
        <w:gridCol w:w="2505"/>
        <w:gridCol w:w="1500"/>
        <w:gridCol w:w="1817"/>
      </w:tblGrid>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地段</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起止点</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长度</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保洁面积（㎡）</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公墓西边无名路</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大德路-老大德路</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280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消防大队南无名路</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秀洲大道-金盾路</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1080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消防大队北无名路</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秀洲大道-金盾路</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1080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成秀路沿街商铺</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东港路-秀洲大道</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240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6240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木桥港路沿街商铺</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东港路-秀洲大道</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2470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秀洲大道商铺</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香颂湾售楼处</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5130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咖尔花园大德路东边</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咖尔花园九里路北边</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2250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咖尔花园秀庄路西边</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九里花园西侧绿地</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900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九里路秀亭商业街背巷</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秀园路</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1500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45000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13</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新塍塘桥下北边</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40</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1200</w:t>
            </w:r>
          </w:p>
        </w:tc>
      </w:tr>
      <w:tr>
        <w:tblPrEx>
          <w:tblCellMar>
            <w:top w:w="0" w:type="dxa"/>
            <w:left w:w="108" w:type="dxa"/>
            <w:bottom w:w="0" w:type="dxa"/>
            <w:right w:w="108" w:type="dxa"/>
          </w:tblCellMar>
        </w:tblPrEx>
        <w:trPr>
          <w:trHeight w:val="567" w:hRule="exact"/>
          <w:jc w:val="center"/>
        </w:trPr>
        <w:tc>
          <w:tcPr>
            <w:tcW w:w="114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14</w:t>
            </w:r>
          </w:p>
        </w:tc>
        <w:tc>
          <w:tcPr>
            <w:tcW w:w="26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金盛花苑沿街商铺</w:t>
            </w:r>
          </w:p>
        </w:tc>
        <w:tc>
          <w:tcPr>
            <w:tcW w:w="250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0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81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3000</w:t>
            </w:r>
          </w:p>
        </w:tc>
      </w:tr>
      <w:tr>
        <w:tblPrEx>
          <w:tblCellMar>
            <w:top w:w="0" w:type="dxa"/>
            <w:left w:w="108" w:type="dxa"/>
            <w:bottom w:w="0" w:type="dxa"/>
            <w:right w:w="108" w:type="dxa"/>
          </w:tblCellMar>
        </w:tblPrEx>
        <w:trPr>
          <w:trHeight w:val="567" w:hRule="exact"/>
          <w:jc w:val="center"/>
        </w:trPr>
        <w:tc>
          <w:tcPr>
            <w:tcW w:w="7793" w:type="dxa"/>
            <w:gridSpan w:val="4"/>
            <w:tcBorders>
              <w:top w:val="single" w:color="000000" w:sz="8" w:space="0"/>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合计</w:t>
            </w:r>
          </w:p>
        </w:tc>
        <w:tc>
          <w:tcPr>
            <w:tcW w:w="1817" w:type="dxa"/>
            <w:tcBorders>
              <w:top w:val="single" w:color="000000" w:sz="8" w:space="0"/>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74130</w:t>
            </w:r>
          </w:p>
        </w:tc>
      </w:tr>
    </w:tbl>
    <w:p>
      <w:pPr>
        <w:spacing w:line="360" w:lineRule="auto"/>
        <w:rPr>
          <w:rFonts w:ascii="仿宋" w:hAnsi="仿宋" w:eastAsia="仿宋"/>
          <w:b/>
          <w:bCs/>
          <w:color w:val="auto"/>
          <w:szCs w:val="21"/>
          <w:highlight w:val="none"/>
        </w:rPr>
      </w:pPr>
      <w:r>
        <w:rPr>
          <w:rFonts w:hint="eastAsia" w:ascii="仿宋" w:hAnsi="仿宋" w:eastAsia="仿宋"/>
          <w:b/>
          <w:bCs/>
          <w:color w:val="auto"/>
          <w:szCs w:val="21"/>
          <w:highlight w:val="none"/>
        </w:rPr>
        <w:t>3.河道保洁</w:t>
      </w:r>
    </w:p>
    <w:tbl>
      <w:tblPr>
        <w:tblStyle w:val="64"/>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283"/>
        <w:gridCol w:w="1221"/>
        <w:gridCol w:w="1139"/>
        <w:gridCol w:w="1411"/>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河道名称</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长度m</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宽度m</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河岸各6m</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保洁面积（㎡)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木桥港</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2900</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14.5</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76850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乌桥港</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1200</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18</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北义庄港</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700</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雁泾港</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1600</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建德港</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1575</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牛溪洋港</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2500</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7</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竹管泾港</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1800</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w:t>
            </w:r>
          </w:p>
        </w:tc>
        <w:tc>
          <w:tcPr>
            <w:tcW w:w="228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介村桥南港</w:t>
            </w:r>
          </w:p>
        </w:tc>
        <w:tc>
          <w:tcPr>
            <w:tcW w:w="122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800</w:t>
            </w:r>
          </w:p>
        </w:tc>
        <w:tc>
          <w:tcPr>
            <w:tcW w:w="113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w:t>
            </w:r>
          </w:p>
        </w:tc>
        <w:tc>
          <w:tcPr>
            <w:tcW w:w="141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9</w:t>
            </w:r>
          </w:p>
        </w:tc>
        <w:tc>
          <w:tcPr>
            <w:tcW w:w="228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王家木桥港</w:t>
            </w:r>
          </w:p>
        </w:tc>
        <w:tc>
          <w:tcPr>
            <w:tcW w:w="122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2500</w:t>
            </w:r>
          </w:p>
        </w:tc>
        <w:tc>
          <w:tcPr>
            <w:tcW w:w="1139"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141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10</w:t>
            </w:r>
          </w:p>
        </w:tc>
        <w:tc>
          <w:tcPr>
            <w:tcW w:w="228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木桥港支流</w:t>
            </w:r>
          </w:p>
        </w:tc>
        <w:tc>
          <w:tcPr>
            <w:tcW w:w="122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w:t>
            </w:r>
          </w:p>
        </w:tc>
        <w:tc>
          <w:tcPr>
            <w:tcW w:w="1139"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w:t>
            </w:r>
          </w:p>
        </w:tc>
        <w:tc>
          <w:tcPr>
            <w:tcW w:w="141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5" w:type="dxa"/>
            <w:noWrap/>
            <w:vAlign w:val="center"/>
          </w:tcPr>
          <w:p>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w:t>
            </w:r>
          </w:p>
        </w:tc>
        <w:tc>
          <w:tcPr>
            <w:tcW w:w="2283"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横港</w:t>
            </w:r>
          </w:p>
        </w:tc>
        <w:tc>
          <w:tcPr>
            <w:tcW w:w="122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w:t>
            </w:r>
          </w:p>
        </w:tc>
        <w:tc>
          <w:tcPr>
            <w:tcW w:w="1139"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18</w:t>
            </w:r>
          </w:p>
        </w:tc>
        <w:tc>
          <w:tcPr>
            <w:tcW w:w="1411"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2355" w:type="dxa"/>
            <w:noWrap/>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89" w:type="dxa"/>
            <w:gridSpan w:val="5"/>
            <w:shd w:val="clear" w:color="auto" w:fill="B6DDE8" w:themeFill="accent5" w:themeFillTint="66"/>
            <w:noWrap/>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合计</w:t>
            </w:r>
          </w:p>
        </w:tc>
        <w:tc>
          <w:tcPr>
            <w:tcW w:w="2355" w:type="dxa"/>
            <w:shd w:val="clear" w:color="auto" w:fill="B6DDE8" w:themeFill="accent5" w:themeFillTint="66"/>
            <w:noWrap/>
            <w:vAlign w:val="center"/>
          </w:tcPr>
          <w:p>
            <w:pPr>
              <w:jc w:val="cente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387850</w:t>
            </w:r>
          </w:p>
        </w:tc>
      </w:tr>
    </w:tbl>
    <w:p>
      <w:pPr>
        <w:spacing w:line="360" w:lineRule="auto"/>
        <w:rPr>
          <w:rFonts w:ascii="仿宋" w:hAnsi="仿宋" w:eastAsia="仿宋"/>
          <w:b/>
          <w:bCs/>
          <w:color w:val="auto"/>
          <w:szCs w:val="21"/>
          <w:highlight w:val="none"/>
        </w:rPr>
      </w:pPr>
      <w:r>
        <w:rPr>
          <w:rFonts w:hint="eastAsia" w:ascii="仿宋" w:hAnsi="仿宋" w:eastAsia="仿宋"/>
          <w:b/>
          <w:bCs/>
          <w:color w:val="auto"/>
          <w:szCs w:val="21"/>
          <w:highlight w:val="none"/>
        </w:rPr>
        <w:t>4.其它公共区域保洁</w:t>
      </w:r>
    </w:p>
    <w:tbl>
      <w:tblPr>
        <w:tblStyle w:val="64"/>
        <w:tblW w:w="9431" w:type="dxa"/>
        <w:jc w:val="center"/>
        <w:tblLayout w:type="autofit"/>
        <w:tblCellMar>
          <w:top w:w="0" w:type="dxa"/>
          <w:left w:w="108" w:type="dxa"/>
          <w:bottom w:w="0" w:type="dxa"/>
          <w:right w:w="108" w:type="dxa"/>
        </w:tblCellMar>
      </w:tblPr>
      <w:tblGrid>
        <w:gridCol w:w="1092"/>
        <w:gridCol w:w="2460"/>
        <w:gridCol w:w="1560"/>
        <w:gridCol w:w="1410"/>
        <w:gridCol w:w="2909"/>
      </w:tblGrid>
      <w:tr>
        <w:tblPrEx>
          <w:tblCellMar>
            <w:top w:w="0" w:type="dxa"/>
            <w:left w:w="108" w:type="dxa"/>
            <w:bottom w:w="0" w:type="dxa"/>
            <w:right w:w="108" w:type="dxa"/>
          </w:tblCellMar>
        </w:tblPrEx>
        <w:trPr>
          <w:trHeight w:val="454" w:hRule="exact"/>
          <w:jc w:val="center"/>
        </w:trPr>
        <w:tc>
          <w:tcPr>
            <w:tcW w:w="1092"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246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名称</w:t>
            </w:r>
          </w:p>
        </w:tc>
        <w:tc>
          <w:tcPr>
            <w:tcW w:w="156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长（米）</w:t>
            </w:r>
          </w:p>
        </w:tc>
        <w:tc>
          <w:tcPr>
            <w:tcW w:w="141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宽（米）</w:t>
            </w:r>
          </w:p>
        </w:tc>
        <w:tc>
          <w:tcPr>
            <w:tcW w:w="2909"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面积</w:t>
            </w:r>
            <w:r>
              <w:rPr>
                <w:rFonts w:hint="eastAsia" w:ascii="仿宋" w:hAnsi="仿宋" w:eastAsia="仿宋" w:cs="仿宋"/>
                <w:color w:val="auto"/>
                <w:sz w:val="18"/>
                <w:szCs w:val="18"/>
                <w:highlight w:val="none"/>
              </w:rPr>
              <w:t>（㎡)</w:t>
            </w:r>
          </w:p>
        </w:tc>
      </w:tr>
      <w:tr>
        <w:tblPrEx>
          <w:tblCellMar>
            <w:top w:w="0" w:type="dxa"/>
            <w:left w:w="108" w:type="dxa"/>
            <w:bottom w:w="0" w:type="dxa"/>
            <w:right w:w="108" w:type="dxa"/>
          </w:tblCellMar>
        </w:tblPrEx>
        <w:trPr>
          <w:trHeight w:val="454" w:hRule="exact"/>
          <w:jc w:val="center"/>
        </w:trPr>
        <w:tc>
          <w:tcPr>
            <w:tcW w:w="109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24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秀湖风筝公园停车场</w:t>
            </w:r>
          </w:p>
        </w:tc>
        <w:tc>
          <w:tcPr>
            <w:tcW w:w="1560"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410"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290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5000</w:t>
            </w:r>
          </w:p>
        </w:tc>
      </w:tr>
      <w:tr>
        <w:tblPrEx>
          <w:tblCellMar>
            <w:top w:w="0" w:type="dxa"/>
            <w:left w:w="108" w:type="dxa"/>
            <w:bottom w:w="0" w:type="dxa"/>
            <w:right w:w="108" w:type="dxa"/>
          </w:tblCellMar>
        </w:tblPrEx>
        <w:trPr>
          <w:trHeight w:val="454" w:hRule="exact"/>
          <w:jc w:val="center"/>
        </w:trPr>
        <w:tc>
          <w:tcPr>
            <w:tcW w:w="109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24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东升西路公共区域</w:t>
            </w:r>
          </w:p>
        </w:tc>
        <w:tc>
          <w:tcPr>
            <w:tcW w:w="1560"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410"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290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43000</w:t>
            </w:r>
          </w:p>
        </w:tc>
      </w:tr>
      <w:tr>
        <w:tblPrEx>
          <w:tblCellMar>
            <w:top w:w="0" w:type="dxa"/>
            <w:left w:w="108" w:type="dxa"/>
            <w:bottom w:w="0" w:type="dxa"/>
            <w:right w:w="108" w:type="dxa"/>
          </w:tblCellMar>
        </w:tblPrEx>
        <w:trPr>
          <w:trHeight w:val="454" w:hRule="exact"/>
          <w:jc w:val="center"/>
        </w:trPr>
        <w:tc>
          <w:tcPr>
            <w:tcW w:w="109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24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木桥港路延伸段</w:t>
            </w:r>
          </w:p>
        </w:tc>
        <w:tc>
          <w:tcPr>
            <w:tcW w:w="1560"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410"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290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6840</w:t>
            </w:r>
          </w:p>
        </w:tc>
      </w:tr>
      <w:tr>
        <w:tblPrEx>
          <w:tblCellMar>
            <w:top w:w="0" w:type="dxa"/>
            <w:left w:w="108" w:type="dxa"/>
            <w:bottom w:w="0" w:type="dxa"/>
            <w:right w:w="108" w:type="dxa"/>
          </w:tblCellMar>
        </w:tblPrEx>
        <w:trPr>
          <w:trHeight w:val="454" w:hRule="exact"/>
          <w:jc w:val="center"/>
        </w:trPr>
        <w:tc>
          <w:tcPr>
            <w:tcW w:w="109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24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望仙路</w:t>
            </w:r>
          </w:p>
        </w:tc>
        <w:tc>
          <w:tcPr>
            <w:tcW w:w="1560"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410" w:type="dxa"/>
            <w:tcBorders>
              <w:top w:val="nil"/>
              <w:left w:val="single" w:color="000000" w:sz="8" w:space="0"/>
              <w:bottom w:val="single" w:color="000000" w:sz="8" w:space="0"/>
              <w:right w:val="single" w:color="000000" w:sz="8"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290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20780</w:t>
            </w:r>
          </w:p>
        </w:tc>
      </w:tr>
      <w:tr>
        <w:tblPrEx>
          <w:tblCellMar>
            <w:top w:w="0" w:type="dxa"/>
            <w:left w:w="108" w:type="dxa"/>
            <w:bottom w:w="0" w:type="dxa"/>
            <w:right w:w="108" w:type="dxa"/>
          </w:tblCellMar>
        </w:tblPrEx>
        <w:trPr>
          <w:trHeight w:val="454" w:hRule="exact"/>
          <w:jc w:val="center"/>
        </w:trPr>
        <w:tc>
          <w:tcPr>
            <w:tcW w:w="109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24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秀洲大道中央公共区域</w:t>
            </w:r>
          </w:p>
        </w:tc>
        <w:tc>
          <w:tcPr>
            <w:tcW w:w="15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2000</w:t>
            </w:r>
          </w:p>
        </w:tc>
        <w:tc>
          <w:tcPr>
            <w:tcW w:w="141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290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18000</w:t>
            </w:r>
          </w:p>
        </w:tc>
      </w:tr>
      <w:tr>
        <w:tblPrEx>
          <w:tblCellMar>
            <w:top w:w="0" w:type="dxa"/>
            <w:left w:w="108" w:type="dxa"/>
            <w:bottom w:w="0" w:type="dxa"/>
            <w:right w:w="108" w:type="dxa"/>
          </w:tblCellMar>
        </w:tblPrEx>
        <w:trPr>
          <w:trHeight w:val="454" w:hRule="exact"/>
          <w:jc w:val="center"/>
        </w:trPr>
        <w:tc>
          <w:tcPr>
            <w:tcW w:w="6522" w:type="dxa"/>
            <w:gridSpan w:val="4"/>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合计</w:t>
            </w:r>
          </w:p>
        </w:tc>
        <w:tc>
          <w:tcPr>
            <w:tcW w:w="2909" w:type="dxa"/>
            <w:tcBorders>
              <w:top w:val="nil"/>
              <w:left w:val="single" w:color="000000" w:sz="8" w:space="0"/>
              <w:bottom w:val="single" w:color="000000" w:sz="8" w:space="0"/>
              <w:right w:val="single" w:color="000000" w:sz="8" w:space="0"/>
            </w:tcBorders>
            <w:shd w:val="clear" w:color="auto" w:fill="B6DDE8" w:themeFill="accent5" w:themeFillTint="66"/>
            <w:noWrap/>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93620</w:t>
            </w:r>
          </w:p>
        </w:tc>
      </w:tr>
    </w:tbl>
    <w:p>
      <w:pPr>
        <w:spacing w:line="360" w:lineRule="auto"/>
        <w:rPr>
          <w:rFonts w:ascii="仿宋" w:hAnsi="仿宋" w:eastAsia="仿宋"/>
          <w:b/>
          <w:bCs/>
          <w:color w:val="auto"/>
          <w:szCs w:val="21"/>
          <w:highlight w:val="none"/>
        </w:rPr>
      </w:pPr>
      <w:r>
        <w:rPr>
          <w:rFonts w:hint="eastAsia" w:ascii="仿宋" w:hAnsi="仿宋" w:eastAsia="仿宋"/>
          <w:b/>
          <w:bCs/>
          <w:color w:val="auto"/>
          <w:szCs w:val="21"/>
          <w:highlight w:val="none"/>
        </w:rPr>
        <w:t>5.其它保洁内容</w:t>
      </w:r>
    </w:p>
    <w:tbl>
      <w:tblPr>
        <w:tblStyle w:val="64"/>
        <w:tblW w:w="9060" w:type="dxa"/>
        <w:tblInd w:w="-243" w:type="dxa"/>
        <w:tblLayout w:type="autofit"/>
        <w:tblCellMar>
          <w:top w:w="0" w:type="dxa"/>
          <w:left w:w="108" w:type="dxa"/>
          <w:bottom w:w="0" w:type="dxa"/>
          <w:right w:w="108" w:type="dxa"/>
        </w:tblCellMar>
      </w:tblPr>
      <w:tblGrid>
        <w:gridCol w:w="840"/>
        <w:gridCol w:w="4836"/>
        <w:gridCol w:w="1224"/>
        <w:gridCol w:w="2160"/>
      </w:tblGrid>
      <w:tr>
        <w:tblPrEx>
          <w:tblCellMar>
            <w:top w:w="0" w:type="dxa"/>
            <w:left w:w="108" w:type="dxa"/>
            <w:bottom w:w="0" w:type="dxa"/>
            <w:right w:w="108" w:type="dxa"/>
          </w:tblCellMar>
        </w:tblPrEx>
        <w:trPr>
          <w:trHeight w:val="567" w:hRule="exact"/>
        </w:trPr>
        <w:tc>
          <w:tcPr>
            <w:tcW w:w="84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4836"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保洁内容</w:t>
            </w:r>
          </w:p>
        </w:tc>
        <w:tc>
          <w:tcPr>
            <w:tcW w:w="1224"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单位</w:t>
            </w:r>
          </w:p>
        </w:tc>
        <w:tc>
          <w:tcPr>
            <w:tcW w:w="216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数量</w:t>
            </w:r>
          </w:p>
        </w:tc>
      </w:tr>
      <w:tr>
        <w:tblPrEx>
          <w:tblCellMar>
            <w:top w:w="0" w:type="dxa"/>
            <w:left w:w="108" w:type="dxa"/>
            <w:bottom w:w="0" w:type="dxa"/>
            <w:right w:w="108" w:type="dxa"/>
          </w:tblCellMar>
        </w:tblPrEx>
        <w:trPr>
          <w:trHeight w:val="567" w:hRule="exact"/>
        </w:trPr>
        <w:tc>
          <w:tcPr>
            <w:tcW w:w="84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1</w:t>
            </w:r>
          </w:p>
        </w:tc>
        <w:tc>
          <w:tcPr>
            <w:tcW w:w="483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公交车站内及城市家具保洁</w:t>
            </w:r>
          </w:p>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（每天清洗一次）</w:t>
            </w:r>
          </w:p>
        </w:tc>
        <w:tc>
          <w:tcPr>
            <w:tcW w:w="122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w:t>
            </w:r>
          </w:p>
        </w:tc>
        <w:tc>
          <w:tcPr>
            <w:tcW w:w="21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r>
      <w:tr>
        <w:tblPrEx>
          <w:tblCellMar>
            <w:top w:w="0" w:type="dxa"/>
            <w:left w:w="108" w:type="dxa"/>
            <w:bottom w:w="0" w:type="dxa"/>
            <w:right w:w="108" w:type="dxa"/>
          </w:tblCellMar>
        </w:tblPrEx>
        <w:trPr>
          <w:trHeight w:val="567" w:hRule="exact"/>
        </w:trPr>
        <w:tc>
          <w:tcPr>
            <w:tcW w:w="84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2</w:t>
            </w:r>
          </w:p>
        </w:tc>
        <w:tc>
          <w:tcPr>
            <w:tcW w:w="483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公厕日常维护保洁(含消杀)</w:t>
            </w:r>
          </w:p>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b w:val="0"/>
                <w:bCs w:val="0"/>
                <w:color w:val="auto"/>
                <w:kern w:val="0"/>
                <w:sz w:val="18"/>
                <w:szCs w:val="18"/>
                <w:highlight w:val="none"/>
              </w:rPr>
              <w:t>(两座二星管养标准)</w:t>
            </w:r>
          </w:p>
        </w:tc>
        <w:tc>
          <w:tcPr>
            <w:tcW w:w="122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座</w:t>
            </w:r>
          </w:p>
        </w:tc>
        <w:tc>
          <w:tcPr>
            <w:tcW w:w="21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r>
      <w:tr>
        <w:tblPrEx>
          <w:tblCellMar>
            <w:top w:w="0" w:type="dxa"/>
            <w:left w:w="108" w:type="dxa"/>
            <w:bottom w:w="0" w:type="dxa"/>
            <w:right w:w="108" w:type="dxa"/>
          </w:tblCellMar>
        </w:tblPrEx>
        <w:trPr>
          <w:trHeight w:val="567" w:hRule="exact"/>
        </w:trPr>
        <w:tc>
          <w:tcPr>
            <w:tcW w:w="84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val="en-US" w:eastAsia="zh-CN"/>
              </w:rPr>
              <w:t>3</w:t>
            </w:r>
          </w:p>
        </w:tc>
        <w:tc>
          <w:tcPr>
            <w:tcW w:w="483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沿街店面（商铺）垃圾分类上门收集</w:t>
            </w:r>
          </w:p>
        </w:tc>
        <w:tc>
          <w:tcPr>
            <w:tcW w:w="122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w:t>
            </w:r>
          </w:p>
        </w:tc>
        <w:tc>
          <w:tcPr>
            <w:tcW w:w="21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r>
      <w:tr>
        <w:tblPrEx>
          <w:tblCellMar>
            <w:top w:w="0" w:type="dxa"/>
            <w:left w:w="108" w:type="dxa"/>
            <w:bottom w:w="0" w:type="dxa"/>
            <w:right w:w="108" w:type="dxa"/>
          </w:tblCellMar>
        </w:tblPrEx>
        <w:trPr>
          <w:trHeight w:val="567" w:hRule="exact"/>
        </w:trPr>
        <w:tc>
          <w:tcPr>
            <w:tcW w:w="84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4</w:t>
            </w:r>
          </w:p>
        </w:tc>
        <w:tc>
          <w:tcPr>
            <w:tcW w:w="4836"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其他为完成本街道范围内道路保洁所需的内容</w:t>
            </w:r>
          </w:p>
        </w:tc>
        <w:tc>
          <w:tcPr>
            <w:tcW w:w="1224"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w:t>
            </w:r>
          </w:p>
        </w:tc>
        <w:tc>
          <w:tcPr>
            <w:tcW w:w="21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r>
    </w:tbl>
    <w:p>
      <w:pPr>
        <w:pStyle w:val="3"/>
        <w:rPr>
          <w:rFonts w:ascii="仿宋" w:eastAsia="仿宋"/>
          <w:color w:val="auto"/>
          <w:sz w:val="21"/>
          <w:szCs w:val="21"/>
          <w:highlight w:val="none"/>
          <w:lang w:val="en-US"/>
        </w:rPr>
      </w:pPr>
    </w:p>
    <w:p>
      <w:pPr>
        <w:pStyle w:val="3"/>
        <w:rPr>
          <w:rFonts w:ascii="仿宋" w:eastAsia="仿宋"/>
          <w:color w:val="auto"/>
          <w:sz w:val="21"/>
          <w:szCs w:val="21"/>
          <w:highlight w:val="none"/>
          <w:lang w:val="en-US"/>
        </w:rPr>
      </w:pPr>
      <w:r>
        <w:rPr>
          <w:rFonts w:hint="eastAsia" w:ascii="仿宋" w:eastAsia="仿宋"/>
          <w:color w:val="auto"/>
          <w:sz w:val="21"/>
          <w:szCs w:val="21"/>
          <w:highlight w:val="none"/>
          <w:lang w:val="en-US"/>
        </w:rPr>
        <w:t>三、保洁内容及标准</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1.样板街区作业要求</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1.1样板街区区域范围</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东至昌盛路，西至北郊河，南至中山西路，北至新塍塘。</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1.2作业标准</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（一）道路保洁篇</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1.相关术语及定义</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1.1普扫</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对机动车道、非机动车道、人行道、绿化带、公共场所等城市道路、场所进行的全面清扫。</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1.2道路保洁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为保持城市道路、绿化带和公共场所整洁，在统扫之后进行的巡回不间断清扫，做到随脏随扫。</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1.3道路分级</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一类道路：城市的主干道及其附近路段，商业网点集中、人流量大的主要路段，主要政府机关所在地段，城市公共交通较为集中和其他对城市形象有重大影响的路段。</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二类道路：城市的次干道及其附近路段、城郊结合部的主要交通路段，商业网点较为集中、人流量较大、车流量较多的路段。</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三类道路：城市的次干道及外环线。</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1.4环卫保洁区域分级</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一级区域：商业网点集中，道路旁商业店铺占道路长度不少于70%的繁华闹市地段；主要旅游点和主干道所在地段；大型文化娱乐、展览等主要公共场所所在地段；平均人流为100人次/分钟以上和公共交通线路较多地段；主要党政机关单位办公所在地。</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二级区域：城市、主、次干路及附近路段和商业网点较集中、占道路长度60%-70%的地段；公共文化娱乐活动场所所在地段；均人流为50-100人次/分钟的路段；有固定公共交通线路的路段。</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三级区域：商业网点较少路段；居民区和单位相间路段；城郊结合部主要交通路段；人流量、车流量一般路段。</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2.基本要求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2.1作业时应做到文明、清洁、安全和有序，最大限度地减少对环境的污染和对公众生活的影响。</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2.2环卫作业单位应建立健全安全生产管理制度和落实安全生产责任人，并有完整的作业和检查记录。</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2.3道路清扫保洁人员作业时须穿工作服、反光背心，并保持着装干净、整洁。其他环卫作业人员也须按规定统一着装和佩证。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2.4 清扫作业间隙，清扫工具摆放整齐、密闭存放。</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2.5 非统扫时间原则上不得使用大扫把清扫。</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2.6 清洁工人要根据本路段的人、车流情况，合理安排作业时间和方式，主动避开行人和车流高峰，以免发生意外。在统扫和保洁作业时，清扫机动车道中央分隔栏路面时要注意安全，注意来往车辆。道路大面积污染需要集中清扫时，应按作业区规范要求设置相应警示设施，对交通安全有影响的，应当及时通报交警部门派员协助。</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2.7 环卫各类作业车辆出车前必须进行检查，确保车况整洁良好方可进行环卫作业。车厢外无外挂，不装载废品。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2.8 严格遵守交通规则，环卫作业车辆尽量避开交通高峰时段作业，确需在高峰时段作业的，应由主管部门出具书面意见，严格控制比例报公安交警部门核准。大型洒水车应在夜间作业，降低作业噪音并在规定地点取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2.9 清扫保洁垃圾收集车必须随清随走，作业时紧靠路边或人行道停放，不影响其他车辆、行人通行，不占盲道。在距公交车站50m内路段上禁止停放。</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3.道路人工清扫作业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3.1道路人工清扫质量标准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人工清扫做到“六清”“十无”“二不”“二洁”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3.1.1“六清”：墙角清、树根清、人行道清、沟底清、隔离障（带）清、路面清。</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3.1.2“十无”：无小堆垃圾、无暴露垃圾、无废弃砖石、无灰沙积垢、无积存污水、无漏扫死角、无脏乱桶箱、无粪便痰迹、无沟眼堵塞、无果壳箱满溢。</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3.1.3“二不”：垃圾清运不落地、垃圾滞留一、二级道路不超15分钟，三级道路不超20分钟。</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3.1.4“二洁”：作业车辆完好整洁、作业工具完好整洁。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3.2清扫控制指标</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541"/>
        <w:gridCol w:w="2239"/>
        <w:gridCol w:w="1174"/>
        <w:gridCol w:w="124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1546"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不允许存在缺陷</w:t>
            </w:r>
          </w:p>
        </w:tc>
        <w:tc>
          <w:tcPr>
            <w:tcW w:w="5865" w:type="dxa"/>
            <w:gridSpan w:val="4"/>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允许存在缺陷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ign w:val="center"/>
          </w:tcPr>
          <w:p>
            <w:pPr>
              <w:jc w:val="center"/>
              <w:rPr>
                <w:rFonts w:ascii="仿宋" w:hAnsi="仿宋" w:eastAsia="仿宋" w:cs="仿宋"/>
                <w:color w:val="auto"/>
                <w:szCs w:val="21"/>
                <w:highlight w:val="none"/>
              </w:rPr>
            </w:pPr>
          </w:p>
        </w:tc>
        <w:tc>
          <w:tcPr>
            <w:tcW w:w="1546" w:type="dxa"/>
            <w:vMerge w:val="continue"/>
            <w:noWrap/>
            <w:vAlign w:val="center"/>
          </w:tcPr>
          <w:p>
            <w:pPr>
              <w:jc w:val="center"/>
              <w:rPr>
                <w:rFonts w:ascii="仿宋" w:hAnsi="仿宋" w:eastAsia="仿宋" w:cs="仿宋"/>
                <w:color w:val="auto"/>
                <w:szCs w:val="21"/>
                <w:highlight w:val="none"/>
              </w:rPr>
            </w:pPr>
          </w:p>
        </w:tc>
        <w:tc>
          <w:tcPr>
            <w:tcW w:w="2247"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单个缺陷定义</w:t>
            </w:r>
          </w:p>
        </w:tc>
        <w:tc>
          <w:tcPr>
            <w:tcW w:w="3618" w:type="dxa"/>
            <w:gridSpan w:val="3"/>
            <w:noWrap/>
            <w:vAlign w:val="center"/>
          </w:tcPr>
          <w:p>
            <w:pPr>
              <w:tabs>
                <w:tab w:val="left" w:pos="1195"/>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控量指标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ign w:val="center"/>
          </w:tcPr>
          <w:p>
            <w:pPr>
              <w:jc w:val="center"/>
              <w:rPr>
                <w:rFonts w:ascii="仿宋" w:hAnsi="仿宋" w:eastAsia="仿宋" w:cs="仿宋"/>
                <w:color w:val="auto"/>
                <w:szCs w:val="21"/>
                <w:highlight w:val="none"/>
              </w:rPr>
            </w:pPr>
          </w:p>
        </w:tc>
        <w:tc>
          <w:tcPr>
            <w:tcW w:w="1546" w:type="dxa"/>
            <w:vMerge w:val="continue"/>
            <w:noWrap/>
            <w:vAlign w:val="center"/>
          </w:tcPr>
          <w:p>
            <w:pPr>
              <w:jc w:val="center"/>
              <w:rPr>
                <w:rFonts w:ascii="仿宋" w:hAnsi="仿宋" w:eastAsia="仿宋" w:cs="仿宋"/>
                <w:color w:val="auto"/>
                <w:szCs w:val="21"/>
                <w:highlight w:val="none"/>
              </w:rPr>
            </w:pPr>
          </w:p>
        </w:tc>
        <w:tc>
          <w:tcPr>
            <w:tcW w:w="2247" w:type="dxa"/>
            <w:vMerge w:val="continue"/>
            <w:noWrap/>
            <w:vAlign w:val="center"/>
          </w:tcPr>
          <w:p>
            <w:pPr>
              <w:jc w:val="center"/>
              <w:rPr>
                <w:rFonts w:ascii="仿宋" w:hAnsi="仿宋" w:eastAsia="仿宋" w:cs="仿宋"/>
                <w:color w:val="auto"/>
                <w:szCs w:val="21"/>
                <w:highlight w:val="none"/>
              </w:rPr>
            </w:pPr>
          </w:p>
        </w:tc>
        <w:tc>
          <w:tcPr>
            <w:tcW w:w="1178"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一级区域</w:t>
            </w:r>
          </w:p>
        </w:tc>
        <w:tc>
          <w:tcPr>
            <w:tcW w:w="1246"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二级区域</w:t>
            </w:r>
          </w:p>
        </w:tc>
        <w:tc>
          <w:tcPr>
            <w:tcW w:w="1194"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路面</w:t>
            </w:r>
          </w:p>
        </w:tc>
        <w:tc>
          <w:tcPr>
            <w:tcW w:w="1546"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条状、块状污染物，粪便</w:t>
            </w:r>
          </w:p>
        </w:tc>
        <w:tc>
          <w:tcPr>
            <w:tcW w:w="2247"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3M半径以内点状污染物≤5个</w:t>
            </w:r>
          </w:p>
        </w:tc>
        <w:tc>
          <w:tcPr>
            <w:tcW w:w="1178"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2处</w:t>
            </w:r>
          </w:p>
        </w:tc>
        <w:tc>
          <w:tcPr>
            <w:tcW w:w="1246"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4处</w:t>
            </w:r>
          </w:p>
        </w:tc>
        <w:tc>
          <w:tcPr>
            <w:tcW w:w="1194"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沟底</w:t>
            </w:r>
          </w:p>
        </w:tc>
        <w:tc>
          <w:tcPr>
            <w:tcW w:w="1546" w:type="dxa"/>
            <w:vMerge w:val="continue"/>
            <w:noWrap/>
            <w:vAlign w:val="center"/>
          </w:tcPr>
          <w:p>
            <w:pPr>
              <w:jc w:val="center"/>
              <w:rPr>
                <w:rFonts w:ascii="仿宋" w:hAnsi="仿宋" w:eastAsia="仿宋" w:cs="仿宋"/>
                <w:color w:val="auto"/>
                <w:szCs w:val="21"/>
                <w:highlight w:val="none"/>
              </w:rPr>
            </w:pPr>
          </w:p>
        </w:tc>
        <w:tc>
          <w:tcPr>
            <w:tcW w:w="2247" w:type="dxa"/>
            <w:vMerge w:val="continue"/>
            <w:noWrap/>
            <w:vAlign w:val="center"/>
          </w:tcPr>
          <w:p>
            <w:pPr>
              <w:jc w:val="center"/>
              <w:rPr>
                <w:rFonts w:ascii="仿宋" w:hAnsi="仿宋" w:eastAsia="仿宋" w:cs="仿宋"/>
                <w:color w:val="auto"/>
                <w:szCs w:val="21"/>
                <w:highlight w:val="none"/>
              </w:rPr>
            </w:pPr>
          </w:p>
        </w:tc>
        <w:tc>
          <w:tcPr>
            <w:tcW w:w="1178" w:type="dxa"/>
            <w:vMerge w:val="continue"/>
            <w:noWrap/>
            <w:vAlign w:val="center"/>
          </w:tcPr>
          <w:p>
            <w:pPr>
              <w:jc w:val="center"/>
              <w:rPr>
                <w:rFonts w:ascii="仿宋" w:hAnsi="仿宋" w:eastAsia="仿宋" w:cs="仿宋"/>
                <w:color w:val="auto"/>
                <w:szCs w:val="21"/>
                <w:highlight w:val="none"/>
              </w:rPr>
            </w:pPr>
          </w:p>
        </w:tc>
        <w:tc>
          <w:tcPr>
            <w:tcW w:w="1246" w:type="dxa"/>
            <w:vMerge w:val="continue"/>
            <w:noWrap/>
            <w:vAlign w:val="center"/>
          </w:tcPr>
          <w:p>
            <w:pPr>
              <w:jc w:val="center"/>
              <w:rPr>
                <w:rFonts w:ascii="仿宋" w:hAnsi="仿宋" w:eastAsia="仿宋" w:cs="仿宋"/>
                <w:color w:val="auto"/>
                <w:szCs w:val="21"/>
                <w:highlight w:val="none"/>
              </w:rPr>
            </w:pPr>
          </w:p>
        </w:tc>
        <w:tc>
          <w:tcPr>
            <w:tcW w:w="1194" w:type="dxa"/>
            <w:vMerge w:val="continue"/>
            <w:noWrap/>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人行道</w:t>
            </w:r>
          </w:p>
        </w:tc>
        <w:tc>
          <w:tcPr>
            <w:tcW w:w="1546" w:type="dxa"/>
            <w:vMerge w:val="continue"/>
            <w:noWrap/>
            <w:vAlign w:val="center"/>
          </w:tcPr>
          <w:p>
            <w:pPr>
              <w:jc w:val="center"/>
              <w:rPr>
                <w:rFonts w:ascii="仿宋" w:hAnsi="仿宋" w:eastAsia="仿宋" w:cs="仿宋"/>
                <w:color w:val="auto"/>
                <w:szCs w:val="21"/>
                <w:highlight w:val="none"/>
              </w:rPr>
            </w:pPr>
          </w:p>
        </w:tc>
        <w:tc>
          <w:tcPr>
            <w:tcW w:w="2247"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2M半径以内点状污染物≤5个</w:t>
            </w:r>
          </w:p>
        </w:tc>
        <w:tc>
          <w:tcPr>
            <w:tcW w:w="1178" w:type="dxa"/>
            <w:vMerge w:val="continue"/>
            <w:noWrap/>
            <w:vAlign w:val="center"/>
          </w:tcPr>
          <w:p>
            <w:pPr>
              <w:jc w:val="center"/>
              <w:rPr>
                <w:rFonts w:ascii="仿宋" w:hAnsi="仿宋" w:eastAsia="仿宋" w:cs="仿宋"/>
                <w:color w:val="auto"/>
                <w:szCs w:val="21"/>
                <w:highlight w:val="none"/>
              </w:rPr>
            </w:pPr>
          </w:p>
        </w:tc>
        <w:tc>
          <w:tcPr>
            <w:tcW w:w="1246" w:type="dxa"/>
            <w:vMerge w:val="continue"/>
            <w:noWrap/>
            <w:vAlign w:val="center"/>
          </w:tcPr>
          <w:p>
            <w:pPr>
              <w:jc w:val="center"/>
              <w:rPr>
                <w:rFonts w:ascii="仿宋" w:hAnsi="仿宋" w:eastAsia="仿宋" w:cs="仿宋"/>
                <w:color w:val="auto"/>
                <w:szCs w:val="21"/>
                <w:highlight w:val="none"/>
              </w:rPr>
            </w:pPr>
          </w:p>
        </w:tc>
        <w:tc>
          <w:tcPr>
            <w:tcW w:w="1194" w:type="dxa"/>
            <w:vMerge w:val="continue"/>
            <w:noWrap/>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墙角</w:t>
            </w:r>
          </w:p>
        </w:tc>
        <w:tc>
          <w:tcPr>
            <w:tcW w:w="1546"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条状、块状污染物</w:t>
            </w:r>
          </w:p>
        </w:tc>
        <w:tc>
          <w:tcPr>
            <w:tcW w:w="2247"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3M半径以内点状污染物≤5个</w:t>
            </w:r>
          </w:p>
        </w:tc>
        <w:tc>
          <w:tcPr>
            <w:tcW w:w="1178" w:type="dxa"/>
            <w:vMerge w:val="continue"/>
            <w:noWrap/>
            <w:vAlign w:val="center"/>
          </w:tcPr>
          <w:p>
            <w:pPr>
              <w:jc w:val="center"/>
              <w:rPr>
                <w:rFonts w:ascii="仿宋" w:hAnsi="仿宋" w:eastAsia="仿宋" w:cs="仿宋"/>
                <w:color w:val="auto"/>
                <w:szCs w:val="21"/>
                <w:highlight w:val="none"/>
              </w:rPr>
            </w:pPr>
          </w:p>
        </w:tc>
        <w:tc>
          <w:tcPr>
            <w:tcW w:w="1246" w:type="dxa"/>
            <w:vMerge w:val="continue"/>
            <w:noWrap/>
            <w:vAlign w:val="center"/>
          </w:tcPr>
          <w:p>
            <w:pPr>
              <w:jc w:val="center"/>
              <w:rPr>
                <w:rFonts w:ascii="仿宋" w:hAnsi="仿宋" w:eastAsia="仿宋" w:cs="仿宋"/>
                <w:color w:val="auto"/>
                <w:szCs w:val="21"/>
                <w:highlight w:val="none"/>
              </w:rPr>
            </w:pPr>
          </w:p>
        </w:tc>
        <w:tc>
          <w:tcPr>
            <w:tcW w:w="1194" w:type="dxa"/>
            <w:vMerge w:val="continue"/>
            <w:noWrap/>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公共广场</w:t>
            </w:r>
          </w:p>
        </w:tc>
        <w:tc>
          <w:tcPr>
            <w:tcW w:w="1546"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条状、块状污染物，粪便</w:t>
            </w:r>
          </w:p>
        </w:tc>
        <w:tc>
          <w:tcPr>
            <w:tcW w:w="2247" w:type="dxa"/>
            <w:vMerge w:val="continue"/>
            <w:noWrap/>
            <w:vAlign w:val="center"/>
          </w:tcPr>
          <w:p>
            <w:pPr>
              <w:jc w:val="center"/>
              <w:rPr>
                <w:rFonts w:ascii="仿宋" w:hAnsi="仿宋" w:eastAsia="仿宋" w:cs="仿宋"/>
                <w:color w:val="auto"/>
                <w:szCs w:val="21"/>
                <w:highlight w:val="none"/>
              </w:rPr>
            </w:pPr>
          </w:p>
        </w:tc>
        <w:tc>
          <w:tcPr>
            <w:tcW w:w="1178" w:type="dxa"/>
            <w:vMerge w:val="continue"/>
            <w:noWrap/>
            <w:vAlign w:val="center"/>
          </w:tcPr>
          <w:p>
            <w:pPr>
              <w:jc w:val="center"/>
              <w:rPr>
                <w:rFonts w:ascii="仿宋" w:hAnsi="仿宋" w:eastAsia="仿宋" w:cs="仿宋"/>
                <w:color w:val="auto"/>
                <w:szCs w:val="21"/>
                <w:highlight w:val="none"/>
              </w:rPr>
            </w:pPr>
          </w:p>
        </w:tc>
        <w:tc>
          <w:tcPr>
            <w:tcW w:w="1246" w:type="dxa"/>
            <w:vMerge w:val="continue"/>
            <w:noWrap/>
            <w:vAlign w:val="center"/>
          </w:tcPr>
          <w:p>
            <w:pPr>
              <w:jc w:val="center"/>
              <w:rPr>
                <w:rFonts w:ascii="仿宋" w:hAnsi="仿宋" w:eastAsia="仿宋" w:cs="仿宋"/>
                <w:color w:val="auto"/>
                <w:szCs w:val="21"/>
                <w:highlight w:val="none"/>
              </w:rPr>
            </w:pPr>
          </w:p>
        </w:tc>
        <w:tc>
          <w:tcPr>
            <w:tcW w:w="1194" w:type="dxa"/>
            <w:vMerge w:val="continue"/>
            <w:noWrap/>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广场设施</w:t>
            </w:r>
          </w:p>
        </w:tc>
        <w:tc>
          <w:tcPr>
            <w:tcW w:w="1546"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乱涂写、招贴、刻画</w:t>
            </w:r>
          </w:p>
        </w:tc>
        <w:tc>
          <w:tcPr>
            <w:tcW w:w="2247"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当划痕长度为10CM时出现浮灰堆积</w:t>
            </w:r>
          </w:p>
        </w:tc>
        <w:tc>
          <w:tcPr>
            <w:tcW w:w="1178"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1处</w:t>
            </w:r>
          </w:p>
        </w:tc>
        <w:tc>
          <w:tcPr>
            <w:tcW w:w="1246"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2处</w:t>
            </w:r>
          </w:p>
        </w:tc>
        <w:tc>
          <w:tcPr>
            <w:tcW w:w="1194"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4处</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3.3作业时间及频次</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3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道路分类</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清扫作业时间（小时/日）</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清扫作业频次（日）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≥6遍（其中普扫2遍）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16-20</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≥4遍（其中普扫2遍）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14-16</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≥3遍（其中普扫1遍）</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3.4人工作业规范</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3.4.1严格遵守作业流程及作息时间安排，做到作业流程规范、行为文明；</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3.4.2规范着装，保持衣帽整洁，佩戴工号牌，作业时佩戴反光标识。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3.4.3举止文明，严禁群聊，作业过程严禁吸烟和使用电子产品。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3.4.4掌握气候顺风扫，雨天积水用力扫，公交车站招呼扫，商业网点宣传扫，路边沟眼绕道扫，车辆占道弯腰扫。</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3.4.5按规定在指定地点停放垃圾收集车；作业工具不得摆放超越车身宽度，车身不悬挂与作业无关物品。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3.4.6头、末普扫使用大扫帚，其余时段使用小扫帚巡回扫。</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3.4.7人流较少时运用现代化机械进行巡回作业。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3.4.8果壳箱满溢及周边垃圾应及时清理，发现破损设施及时报修。</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3.4.9合理运用随身作业工具“六件套”，地面口香糖、小广告、杂草用铲刀清理；烟蒂、纸屑和夹缝树穴内小垃圾用镊子捡拾；果壳箱内外和路面配套设施采用抹布、百洁布、喷壶配合清理；窨井沟眼内有树叶和垃圾及时清理，发现堵塞及时报修。</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3.4.10在作业过程中用礼貌用语</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4.道路人工冲洗作业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4.1人工冲洗作业标准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人工冲洗做到“四清”“三无”“一见”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4.1.1“四清”：路面清、沟底清、人行道清、墙角清。</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4.1.2“三无”：无积泥、无灰沙、无漏扫</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4.1.3“一见”：路面见本色</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4.2道路冲洗环境卫生控制指标</w:t>
      </w:r>
    </w:p>
    <w:tbl>
      <w:tblPr>
        <w:tblStyle w:val="65"/>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86"/>
        <w:gridCol w:w="2057"/>
        <w:gridCol w:w="2079"/>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1686"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污染要素</w:t>
            </w:r>
          </w:p>
        </w:tc>
        <w:tc>
          <w:tcPr>
            <w:tcW w:w="6172" w:type="dxa"/>
            <w:gridSpan w:val="3"/>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定时、定量控制标准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ign w:val="center"/>
          </w:tcPr>
          <w:p>
            <w:pPr>
              <w:rPr>
                <w:rFonts w:ascii="仿宋" w:hAnsi="仿宋" w:eastAsia="仿宋" w:cs="仿宋"/>
                <w:color w:val="auto"/>
                <w:szCs w:val="21"/>
                <w:highlight w:val="none"/>
              </w:rPr>
            </w:pPr>
          </w:p>
        </w:tc>
        <w:tc>
          <w:tcPr>
            <w:tcW w:w="1686"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灰沙、污迹、呕吐物、粪便</w:t>
            </w:r>
          </w:p>
        </w:tc>
        <w:tc>
          <w:tcPr>
            <w:tcW w:w="2057"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一级道路、风景区、重要商业场所</w:t>
            </w:r>
          </w:p>
        </w:tc>
        <w:tc>
          <w:tcPr>
            <w:tcW w:w="2079"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二级道路、风景区、重要商业场所</w:t>
            </w:r>
          </w:p>
        </w:tc>
        <w:tc>
          <w:tcPr>
            <w:tcW w:w="2036"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三级道路、风景区、重要商业场所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路面</w:t>
            </w:r>
          </w:p>
        </w:tc>
        <w:tc>
          <w:tcPr>
            <w:tcW w:w="1686"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50米半径内点状污染物</w:t>
            </w:r>
          </w:p>
        </w:tc>
        <w:tc>
          <w:tcPr>
            <w:tcW w:w="2057"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30分钟内不得发现1处（含）以上污染物</w:t>
            </w:r>
          </w:p>
        </w:tc>
        <w:tc>
          <w:tcPr>
            <w:tcW w:w="2079"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30分钟内不得发现2处（含）以上污染物</w:t>
            </w:r>
          </w:p>
        </w:tc>
        <w:tc>
          <w:tcPr>
            <w:tcW w:w="2036"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30分钟内不得发现4处（含）以上污染物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人行道</w:t>
            </w:r>
          </w:p>
        </w:tc>
        <w:tc>
          <w:tcPr>
            <w:tcW w:w="1686" w:type="dxa"/>
            <w:vMerge w:val="continue"/>
            <w:noWrap/>
          </w:tcPr>
          <w:p>
            <w:pPr>
              <w:jc w:val="left"/>
              <w:rPr>
                <w:rFonts w:ascii="仿宋" w:hAnsi="仿宋" w:eastAsia="仿宋" w:cs="仿宋"/>
                <w:color w:val="auto"/>
                <w:szCs w:val="21"/>
                <w:highlight w:val="none"/>
              </w:rPr>
            </w:pPr>
          </w:p>
        </w:tc>
        <w:tc>
          <w:tcPr>
            <w:tcW w:w="2057" w:type="dxa"/>
            <w:vMerge w:val="continue"/>
            <w:noWrap/>
          </w:tcPr>
          <w:p>
            <w:pPr>
              <w:jc w:val="left"/>
              <w:rPr>
                <w:rFonts w:ascii="仿宋" w:hAnsi="仿宋" w:eastAsia="仿宋" w:cs="仿宋"/>
                <w:color w:val="auto"/>
                <w:szCs w:val="21"/>
                <w:highlight w:val="none"/>
              </w:rPr>
            </w:pPr>
          </w:p>
        </w:tc>
        <w:tc>
          <w:tcPr>
            <w:tcW w:w="2079" w:type="dxa"/>
            <w:vMerge w:val="continue"/>
            <w:noWrap/>
          </w:tcPr>
          <w:p>
            <w:pPr>
              <w:jc w:val="left"/>
              <w:rPr>
                <w:rFonts w:ascii="仿宋" w:hAnsi="仿宋" w:eastAsia="仿宋" w:cs="仿宋"/>
                <w:color w:val="auto"/>
                <w:szCs w:val="21"/>
                <w:highlight w:val="none"/>
              </w:rPr>
            </w:pPr>
          </w:p>
        </w:tc>
        <w:tc>
          <w:tcPr>
            <w:tcW w:w="2036" w:type="dxa"/>
            <w:vMerge w:val="continue"/>
            <w:noWrap/>
          </w:tcPr>
          <w:p>
            <w:pPr>
              <w:jc w:val="lef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沟底</w:t>
            </w:r>
          </w:p>
        </w:tc>
        <w:tc>
          <w:tcPr>
            <w:tcW w:w="1686" w:type="dxa"/>
            <w:vMerge w:val="continue"/>
            <w:noWrap/>
          </w:tcPr>
          <w:p>
            <w:pPr>
              <w:jc w:val="left"/>
              <w:rPr>
                <w:rFonts w:ascii="仿宋" w:hAnsi="仿宋" w:eastAsia="仿宋" w:cs="仿宋"/>
                <w:color w:val="auto"/>
                <w:szCs w:val="21"/>
                <w:highlight w:val="none"/>
              </w:rPr>
            </w:pPr>
          </w:p>
        </w:tc>
        <w:tc>
          <w:tcPr>
            <w:tcW w:w="2057" w:type="dxa"/>
            <w:vMerge w:val="continue"/>
            <w:noWrap/>
          </w:tcPr>
          <w:p>
            <w:pPr>
              <w:jc w:val="left"/>
              <w:rPr>
                <w:rFonts w:ascii="仿宋" w:hAnsi="仿宋" w:eastAsia="仿宋" w:cs="仿宋"/>
                <w:color w:val="auto"/>
                <w:szCs w:val="21"/>
                <w:highlight w:val="none"/>
              </w:rPr>
            </w:pPr>
          </w:p>
        </w:tc>
        <w:tc>
          <w:tcPr>
            <w:tcW w:w="2079" w:type="dxa"/>
            <w:vMerge w:val="continue"/>
            <w:noWrap/>
          </w:tcPr>
          <w:p>
            <w:pPr>
              <w:jc w:val="left"/>
              <w:rPr>
                <w:rFonts w:ascii="仿宋" w:hAnsi="仿宋" w:eastAsia="仿宋" w:cs="仿宋"/>
                <w:color w:val="auto"/>
                <w:szCs w:val="21"/>
                <w:highlight w:val="none"/>
              </w:rPr>
            </w:pPr>
          </w:p>
        </w:tc>
        <w:tc>
          <w:tcPr>
            <w:tcW w:w="2036" w:type="dxa"/>
            <w:vMerge w:val="continue"/>
            <w:noWrap/>
          </w:tcPr>
          <w:p>
            <w:pPr>
              <w:jc w:val="lef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墙角</w:t>
            </w:r>
          </w:p>
        </w:tc>
        <w:tc>
          <w:tcPr>
            <w:tcW w:w="1686" w:type="dxa"/>
            <w:vMerge w:val="continue"/>
            <w:noWrap/>
          </w:tcPr>
          <w:p>
            <w:pPr>
              <w:jc w:val="left"/>
              <w:rPr>
                <w:rFonts w:ascii="仿宋" w:hAnsi="仿宋" w:eastAsia="仿宋" w:cs="仿宋"/>
                <w:color w:val="auto"/>
                <w:szCs w:val="21"/>
                <w:highlight w:val="none"/>
              </w:rPr>
            </w:pPr>
          </w:p>
        </w:tc>
        <w:tc>
          <w:tcPr>
            <w:tcW w:w="2057" w:type="dxa"/>
            <w:vMerge w:val="continue"/>
            <w:noWrap/>
          </w:tcPr>
          <w:p>
            <w:pPr>
              <w:jc w:val="left"/>
              <w:rPr>
                <w:rFonts w:ascii="仿宋" w:hAnsi="仿宋" w:eastAsia="仿宋" w:cs="仿宋"/>
                <w:color w:val="auto"/>
                <w:szCs w:val="21"/>
                <w:highlight w:val="none"/>
              </w:rPr>
            </w:pPr>
          </w:p>
        </w:tc>
        <w:tc>
          <w:tcPr>
            <w:tcW w:w="2079" w:type="dxa"/>
            <w:vMerge w:val="continue"/>
            <w:noWrap/>
          </w:tcPr>
          <w:p>
            <w:pPr>
              <w:jc w:val="left"/>
              <w:rPr>
                <w:rFonts w:ascii="仿宋" w:hAnsi="仿宋" w:eastAsia="仿宋" w:cs="仿宋"/>
                <w:color w:val="auto"/>
                <w:szCs w:val="21"/>
                <w:highlight w:val="none"/>
              </w:rPr>
            </w:pPr>
          </w:p>
        </w:tc>
        <w:tc>
          <w:tcPr>
            <w:tcW w:w="2036" w:type="dxa"/>
            <w:vMerge w:val="continue"/>
            <w:noWrap/>
          </w:tcPr>
          <w:p>
            <w:pPr>
              <w:jc w:val="left"/>
              <w:rPr>
                <w:rFonts w:ascii="仿宋" w:hAnsi="仿宋" w:eastAsia="仿宋" w:cs="仿宋"/>
                <w:color w:val="auto"/>
                <w:szCs w:val="21"/>
                <w:highlight w:val="none"/>
              </w:rPr>
            </w:pP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4.3作业时间及频次</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3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道路分类</w:t>
            </w:r>
          </w:p>
        </w:tc>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冲洗作业时间（小时/日）</w:t>
            </w:r>
          </w:p>
        </w:tc>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冲洗作业频次（日）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一级区域</w:t>
            </w:r>
          </w:p>
        </w:tc>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12-16</w:t>
            </w:r>
          </w:p>
        </w:tc>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二级区域</w:t>
            </w:r>
          </w:p>
        </w:tc>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10-12</w:t>
            </w:r>
          </w:p>
        </w:tc>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三级区域</w:t>
            </w:r>
          </w:p>
        </w:tc>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8-10</w:t>
            </w:r>
          </w:p>
        </w:tc>
        <w:tc>
          <w:tcPr>
            <w:tcW w:w="3020" w:type="dxa"/>
            <w:noWrap/>
            <w:vAlign w:val="center"/>
          </w:tcPr>
          <w:p>
            <w:pPr>
              <w:spacing w:line="4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≥1次</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4.4作业规范</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4.4.1严格遵守作业流程及作息时间安排，做到作业流程规范、行为文明；</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4.4.2规范着装，保持衣帽整洁，佩戴工号牌，作业时佩戴反光标识。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4.4.3举止文明，严禁群聊，作业过程严禁吸烟和使用电子产品。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4.4.4作业车辆应保持车容车貌整洁，专用标志清晰完整，专用设备、警示灯有效无残缺，作业时必须开启警示灯。</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4.4.5作业时速不得超过5KM/H，清洗回场后做好车辆保养，保证下班次正常用车。</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4.4.6当气温低于2℃或雨天等不适宜进行道路清洗时应停止作业。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4.4.7冲洗过程中应对沿街果壳箱和大型废物箱及周边进行冲洗。</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4.4.8高压冲洗保洁应做到文明、清洁、卫生和安全，不得影响周边行人正常通行。</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4.4.9靠路边停车作业时，应当提前开启右转向灯，驶离作业点，应当提前开启左转向灯，夜间还应当同时开启示廓灯和后位灯。</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5.快速机动保洁作业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5.1快速机动保洁作业标准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快速保洁做到“六无”“三清”“一洁”。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5.1.1“六无”：无暴露垃圾、无小堆垃圾、无手推作业车满溢、无废物箱满溢、无垃圾遗撒、无废物箱污迹。</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5.1.2“三清”：内外清洗、标识清晰、垃圾出清。</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5.1.3“一洁”：作业工具、车辆干净整洁。</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5.2作业时间及频次</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3"/>
        <w:gridCol w:w="212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道路分类</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作业时间（小时/日）</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作业频次（日）</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零星垃圾滞留时间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一级区域</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16-20</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二级区域</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12-16</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三级区域</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26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5.3作业规范</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5.3.1严格遵守作业流程及作息时间安排，做到作业流程规范、行为文明；</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5.3.2规范着装，保持衣帽整洁，佩戴工号牌，作业时佩戴反光标识。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5.3.3举止文明，严禁群聊，作业过程严禁吸烟和使用电子产品。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5.3.4作业车辆应保持车容车貌整洁，专用标志清晰完整，专用设备、警示灯有效无残缺，作业时必须开启警示灯。</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5.3.5按交通法规规定行驶，作业时速不得超过15KM/H，离开电动车时需关闭电源。</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5.3.6作业机具严禁超载、超高、超宽作业，严禁车厢载人。</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5.3.7在清理大件垃圾时，车辆栏板盖平，不带帽，不拖挂；作业时应扎码整齐，捆扎牢固。</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5.3.8收集运输时，无散落并保持场地清洁。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5.3.9建立大件垃圾清理台账，如实记录。</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6.道路机械清扫保洁作业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6.1机械清扫保洁作业标准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机械清扫做到“三清”“五无”“一洁”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6.1.1“三清”：沟底清、隔离障（带）清、路面清。</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6.1.2“十无”：无灰沙积垢、无积存污水、无漏扫死角、无沟眼堵塞、无病车上路。</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6.1.3“一洁”：作业车辆完好整洁。</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6.2清扫控制指标</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385"/>
        <w:gridCol w:w="2070"/>
        <w:gridCol w:w="1350"/>
        <w:gridCol w:w="124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1463"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不允许存在缺陷</w:t>
            </w:r>
          </w:p>
        </w:tc>
        <w:tc>
          <w:tcPr>
            <w:tcW w:w="6187" w:type="dxa"/>
            <w:gridSpan w:val="4"/>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允许存在缺陷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noWrap/>
            <w:vAlign w:val="center"/>
          </w:tcPr>
          <w:p>
            <w:pPr>
              <w:jc w:val="center"/>
              <w:rPr>
                <w:rFonts w:ascii="仿宋" w:hAnsi="仿宋" w:eastAsia="仿宋" w:cs="仿宋"/>
                <w:color w:val="auto"/>
                <w:szCs w:val="21"/>
                <w:highlight w:val="none"/>
              </w:rPr>
            </w:pPr>
          </w:p>
        </w:tc>
        <w:tc>
          <w:tcPr>
            <w:tcW w:w="1463" w:type="dxa"/>
            <w:vMerge w:val="continue"/>
            <w:noWrap/>
            <w:vAlign w:val="center"/>
          </w:tcPr>
          <w:p>
            <w:pPr>
              <w:jc w:val="center"/>
              <w:rPr>
                <w:rFonts w:ascii="仿宋" w:hAnsi="仿宋" w:eastAsia="仿宋" w:cs="仿宋"/>
                <w:color w:val="auto"/>
                <w:szCs w:val="21"/>
                <w:highlight w:val="none"/>
              </w:rPr>
            </w:pPr>
          </w:p>
        </w:tc>
        <w:tc>
          <w:tcPr>
            <w:tcW w:w="2193"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单个缺陷定义</w:t>
            </w:r>
          </w:p>
        </w:tc>
        <w:tc>
          <w:tcPr>
            <w:tcW w:w="3994" w:type="dxa"/>
            <w:gridSpan w:val="3"/>
            <w:noWrap/>
            <w:vAlign w:val="center"/>
          </w:tcPr>
          <w:p>
            <w:pPr>
              <w:tabs>
                <w:tab w:val="left" w:pos="1195"/>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控量指标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noWrap/>
            <w:vAlign w:val="center"/>
          </w:tcPr>
          <w:p>
            <w:pPr>
              <w:jc w:val="center"/>
              <w:rPr>
                <w:rFonts w:ascii="仿宋" w:hAnsi="仿宋" w:eastAsia="仿宋" w:cs="仿宋"/>
                <w:color w:val="auto"/>
                <w:szCs w:val="21"/>
                <w:highlight w:val="none"/>
              </w:rPr>
            </w:pPr>
          </w:p>
        </w:tc>
        <w:tc>
          <w:tcPr>
            <w:tcW w:w="1463" w:type="dxa"/>
            <w:vMerge w:val="continue"/>
            <w:noWrap/>
            <w:vAlign w:val="center"/>
          </w:tcPr>
          <w:p>
            <w:pPr>
              <w:jc w:val="center"/>
              <w:rPr>
                <w:rFonts w:ascii="仿宋" w:hAnsi="仿宋" w:eastAsia="仿宋" w:cs="仿宋"/>
                <w:color w:val="auto"/>
                <w:szCs w:val="21"/>
                <w:highlight w:val="none"/>
              </w:rPr>
            </w:pPr>
          </w:p>
        </w:tc>
        <w:tc>
          <w:tcPr>
            <w:tcW w:w="2193" w:type="dxa"/>
            <w:vMerge w:val="continue"/>
            <w:noWrap/>
            <w:vAlign w:val="center"/>
          </w:tcPr>
          <w:p>
            <w:pPr>
              <w:jc w:val="center"/>
              <w:rPr>
                <w:rFonts w:ascii="仿宋" w:hAnsi="仿宋" w:eastAsia="仿宋" w:cs="仿宋"/>
                <w:color w:val="auto"/>
                <w:szCs w:val="21"/>
                <w:highlight w:val="none"/>
              </w:rPr>
            </w:pPr>
          </w:p>
        </w:tc>
        <w:tc>
          <w:tcPr>
            <w:tcW w:w="1425"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一级区域</w:t>
            </w:r>
          </w:p>
        </w:tc>
        <w:tc>
          <w:tcPr>
            <w:tcW w:w="1313"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二级区域</w:t>
            </w:r>
          </w:p>
        </w:tc>
        <w:tc>
          <w:tcPr>
            <w:tcW w:w="1256"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路面</w:t>
            </w:r>
          </w:p>
        </w:tc>
        <w:tc>
          <w:tcPr>
            <w:tcW w:w="1463"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条状、块状污染物，粪便</w:t>
            </w:r>
          </w:p>
        </w:tc>
        <w:tc>
          <w:tcPr>
            <w:tcW w:w="2193"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3M半径以内点状污染物≤5个</w:t>
            </w:r>
          </w:p>
        </w:tc>
        <w:tc>
          <w:tcPr>
            <w:tcW w:w="1425"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2处</w:t>
            </w:r>
          </w:p>
        </w:tc>
        <w:tc>
          <w:tcPr>
            <w:tcW w:w="1313"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4处</w:t>
            </w:r>
          </w:p>
        </w:tc>
        <w:tc>
          <w:tcPr>
            <w:tcW w:w="1256" w:type="dxa"/>
            <w:vMerge w:val="restart"/>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沟底</w:t>
            </w:r>
          </w:p>
        </w:tc>
        <w:tc>
          <w:tcPr>
            <w:tcW w:w="1463" w:type="dxa"/>
            <w:vMerge w:val="continue"/>
            <w:noWrap/>
            <w:vAlign w:val="center"/>
          </w:tcPr>
          <w:p>
            <w:pPr>
              <w:jc w:val="center"/>
              <w:rPr>
                <w:rFonts w:ascii="仿宋" w:hAnsi="仿宋" w:eastAsia="仿宋" w:cs="仿宋"/>
                <w:color w:val="auto"/>
                <w:szCs w:val="21"/>
                <w:highlight w:val="none"/>
              </w:rPr>
            </w:pPr>
          </w:p>
        </w:tc>
        <w:tc>
          <w:tcPr>
            <w:tcW w:w="2193" w:type="dxa"/>
            <w:vMerge w:val="continue"/>
            <w:noWrap/>
            <w:vAlign w:val="center"/>
          </w:tcPr>
          <w:p>
            <w:pPr>
              <w:jc w:val="center"/>
              <w:rPr>
                <w:rFonts w:ascii="仿宋" w:hAnsi="仿宋" w:eastAsia="仿宋" w:cs="仿宋"/>
                <w:color w:val="auto"/>
                <w:szCs w:val="21"/>
                <w:highlight w:val="none"/>
              </w:rPr>
            </w:pPr>
          </w:p>
        </w:tc>
        <w:tc>
          <w:tcPr>
            <w:tcW w:w="1425" w:type="dxa"/>
            <w:vMerge w:val="continue"/>
            <w:noWrap/>
            <w:vAlign w:val="center"/>
          </w:tcPr>
          <w:p>
            <w:pPr>
              <w:jc w:val="center"/>
              <w:rPr>
                <w:rFonts w:ascii="仿宋" w:hAnsi="仿宋" w:eastAsia="仿宋" w:cs="仿宋"/>
                <w:color w:val="auto"/>
                <w:szCs w:val="21"/>
                <w:highlight w:val="none"/>
              </w:rPr>
            </w:pPr>
          </w:p>
        </w:tc>
        <w:tc>
          <w:tcPr>
            <w:tcW w:w="1313" w:type="dxa"/>
            <w:vMerge w:val="continue"/>
            <w:noWrap/>
            <w:vAlign w:val="center"/>
          </w:tcPr>
          <w:p>
            <w:pPr>
              <w:jc w:val="center"/>
              <w:rPr>
                <w:rFonts w:ascii="仿宋" w:hAnsi="仿宋" w:eastAsia="仿宋" w:cs="仿宋"/>
                <w:color w:val="auto"/>
                <w:szCs w:val="21"/>
                <w:highlight w:val="none"/>
              </w:rPr>
            </w:pPr>
          </w:p>
        </w:tc>
        <w:tc>
          <w:tcPr>
            <w:tcW w:w="1256" w:type="dxa"/>
            <w:vMerge w:val="continue"/>
            <w:noWrap/>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人行道</w:t>
            </w:r>
          </w:p>
        </w:tc>
        <w:tc>
          <w:tcPr>
            <w:tcW w:w="1463" w:type="dxa"/>
            <w:vMerge w:val="continue"/>
            <w:noWrap/>
            <w:vAlign w:val="center"/>
          </w:tcPr>
          <w:p>
            <w:pPr>
              <w:jc w:val="center"/>
              <w:rPr>
                <w:rFonts w:ascii="仿宋" w:hAnsi="仿宋" w:eastAsia="仿宋" w:cs="仿宋"/>
                <w:color w:val="auto"/>
                <w:szCs w:val="21"/>
                <w:highlight w:val="none"/>
              </w:rPr>
            </w:pPr>
          </w:p>
        </w:tc>
        <w:tc>
          <w:tcPr>
            <w:tcW w:w="2193"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2M半径以内点状污染物≤5个</w:t>
            </w:r>
          </w:p>
        </w:tc>
        <w:tc>
          <w:tcPr>
            <w:tcW w:w="1425" w:type="dxa"/>
            <w:vMerge w:val="continue"/>
            <w:noWrap/>
            <w:vAlign w:val="center"/>
          </w:tcPr>
          <w:p>
            <w:pPr>
              <w:jc w:val="center"/>
              <w:rPr>
                <w:rFonts w:ascii="仿宋" w:hAnsi="仿宋" w:eastAsia="仿宋" w:cs="仿宋"/>
                <w:color w:val="auto"/>
                <w:szCs w:val="21"/>
                <w:highlight w:val="none"/>
              </w:rPr>
            </w:pPr>
          </w:p>
        </w:tc>
        <w:tc>
          <w:tcPr>
            <w:tcW w:w="1313" w:type="dxa"/>
            <w:vMerge w:val="continue"/>
            <w:noWrap/>
            <w:vAlign w:val="center"/>
          </w:tcPr>
          <w:p>
            <w:pPr>
              <w:jc w:val="center"/>
              <w:rPr>
                <w:rFonts w:ascii="仿宋" w:hAnsi="仿宋" w:eastAsia="仿宋" w:cs="仿宋"/>
                <w:color w:val="auto"/>
                <w:szCs w:val="21"/>
                <w:highlight w:val="none"/>
              </w:rPr>
            </w:pPr>
          </w:p>
        </w:tc>
        <w:tc>
          <w:tcPr>
            <w:tcW w:w="1256" w:type="dxa"/>
            <w:vMerge w:val="continue"/>
            <w:noWrap/>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墙角</w:t>
            </w:r>
          </w:p>
        </w:tc>
        <w:tc>
          <w:tcPr>
            <w:tcW w:w="1463"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条状、块状污染物</w:t>
            </w:r>
          </w:p>
        </w:tc>
        <w:tc>
          <w:tcPr>
            <w:tcW w:w="2193"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3M半径以内点状污染物≤5个</w:t>
            </w:r>
          </w:p>
        </w:tc>
        <w:tc>
          <w:tcPr>
            <w:tcW w:w="1425" w:type="dxa"/>
            <w:vMerge w:val="continue"/>
            <w:noWrap/>
            <w:vAlign w:val="center"/>
          </w:tcPr>
          <w:p>
            <w:pPr>
              <w:jc w:val="center"/>
              <w:rPr>
                <w:rFonts w:ascii="仿宋" w:hAnsi="仿宋" w:eastAsia="仿宋" w:cs="仿宋"/>
                <w:color w:val="auto"/>
                <w:szCs w:val="21"/>
                <w:highlight w:val="none"/>
              </w:rPr>
            </w:pPr>
          </w:p>
        </w:tc>
        <w:tc>
          <w:tcPr>
            <w:tcW w:w="1313" w:type="dxa"/>
            <w:vMerge w:val="continue"/>
            <w:noWrap/>
            <w:vAlign w:val="center"/>
          </w:tcPr>
          <w:p>
            <w:pPr>
              <w:jc w:val="center"/>
              <w:rPr>
                <w:rFonts w:ascii="仿宋" w:hAnsi="仿宋" w:eastAsia="仿宋" w:cs="仿宋"/>
                <w:color w:val="auto"/>
                <w:szCs w:val="21"/>
                <w:highlight w:val="none"/>
              </w:rPr>
            </w:pPr>
          </w:p>
        </w:tc>
        <w:tc>
          <w:tcPr>
            <w:tcW w:w="1256" w:type="dxa"/>
            <w:vMerge w:val="continue"/>
            <w:noWrap/>
            <w:vAlign w:val="center"/>
          </w:tcPr>
          <w:p>
            <w:pPr>
              <w:jc w:val="center"/>
              <w:rPr>
                <w:rFonts w:ascii="仿宋" w:hAnsi="仿宋" w:eastAsia="仿宋" w:cs="仿宋"/>
                <w:color w:val="auto"/>
                <w:szCs w:val="21"/>
                <w:highlight w:val="none"/>
              </w:rPr>
            </w:pP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6.3作业时间及频次</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3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道路分类</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清扫作业时间（小时/日）</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清扫作业频次（日）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16-20</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12-16</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≥4遍</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6.4作业规范</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6.4.1严格遵守作业流程及作息时间安排，做到作业流程规范、行为文明；</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6.4.2规范着装，保持衣帽整洁，佩戴工号牌，作业时佩戴反光标识。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6.4.3举止文明，严禁群聊，作业过程严禁吸烟和使用电子产品。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6.4.4作业车辆应保持车容车貌整洁，专用标志清晰完整，专用设备、警示灯有效无残缺，作业时必须开启警示灯。</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6.4.5出车前应做好车辆检查，确保可正常工作。</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6.4.6作业时必须严格遵守交通规则</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6.4.7作业时必须开启喷淋装置，确保喷水雾状，避免扬尘。</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6.4.8作业时发现大堆垃圾，大量不可吸入垃圾时（石块、树枝、混凝土）应绕行并及时上报。</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6.4.9作业车辆必须在指定取水点取水。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6.4.10夜间作业必须做好噪音管控，避免扰民。</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7.道路机械冲洗洒水作业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7.1机械冲洗洒水作业标准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机械冲洗洒水作业做到“二清”“二无”“一见”。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7.1.1“四清”：路面清、沟底清。</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7.1.2“三无”：无积泥、无灰沙。</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7.1.3“一见”：路面见本色</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7.2道路冲洗环境卫生控制指标</w:t>
      </w:r>
    </w:p>
    <w:tbl>
      <w:tblPr>
        <w:tblStyle w:val="65"/>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563"/>
        <w:gridCol w:w="2119"/>
        <w:gridCol w:w="2018"/>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1563"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污染要素</w:t>
            </w:r>
          </w:p>
        </w:tc>
        <w:tc>
          <w:tcPr>
            <w:tcW w:w="6259" w:type="dxa"/>
            <w:gridSpan w:val="3"/>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定时、定量控制标准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40" w:type="dxa"/>
            <w:vMerge w:val="continue"/>
            <w:noWrap/>
            <w:vAlign w:val="center"/>
          </w:tcPr>
          <w:p>
            <w:pPr>
              <w:rPr>
                <w:rFonts w:ascii="仿宋" w:hAnsi="仿宋" w:eastAsia="仿宋" w:cs="仿宋"/>
                <w:color w:val="auto"/>
                <w:szCs w:val="21"/>
                <w:highlight w:val="none"/>
              </w:rPr>
            </w:pPr>
          </w:p>
        </w:tc>
        <w:tc>
          <w:tcPr>
            <w:tcW w:w="1563"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灰沙、污迹、呕吐物、粪便</w:t>
            </w:r>
          </w:p>
        </w:tc>
        <w:tc>
          <w:tcPr>
            <w:tcW w:w="2119"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一级道路、风景区、重要商业场所</w:t>
            </w:r>
          </w:p>
        </w:tc>
        <w:tc>
          <w:tcPr>
            <w:tcW w:w="2018"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二级道路、风景区、重要商业场所</w:t>
            </w:r>
          </w:p>
        </w:tc>
        <w:tc>
          <w:tcPr>
            <w:tcW w:w="2122" w:type="dxa"/>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三级道路、风景区、重要商业场所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路面</w:t>
            </w:r>
          </w:p>
        </w:tc>
        <w:tc>
          <w:tcPr>
            <w:tcW w:w="1563"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50米半径内点状污染物</w:t>
            </w:r>
          </w:p>
        </w:tc>
        <w:tc>
          <w:tcPr>
            <w:tcW w:w="2119"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30分钟内不得发现1处（含）以上污染物</w:t>
            </w:r>
          </w:p>
        </w:tc>
        <w:tc>
          <w:tcPr>
            <w:tcW w:w="2018"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30分钟内不得发现2处（含）以上污染物</w:t>
            </w:r>
          </w:p>
        </w:tc>
        <w:tc>
          <w:tcPr>
            <w:tcW w:w="2122" w:type="dxa"/>
            <w:vMerge w:val="restart"/>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30分钟内不得发现4处（含）以上污染物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人行道</w:t>
            </w:r>
          </w:p>
        </w:tc>
        <w:tc>
          <w:tcPr>
            <w:tcW w:w="1563" w:type="dxa"/>
            <w:vMerge w:val="continue"/>
            <w:noWrap/>
          </w:tcPr>
          <w:p>
            <w:pPr>
              <w:jc w:val="left"/>
              <w:rPr>
                <w:rFonts w:ascii="仿宋" w:hAnsi="仿宋" w:eastAsia="仿宋" w:cs="仿宋"/>
                <w:color w:val="auto"/>
                <w:szCs w:val="21"/>
                <w:highlight w:val="none"/>
              </w:rPr>
            </w:pPr>
          </w:p>
        </w:tc>
        <w:tc>
          <w:tcPr>
            <w:tcW w:w="2119" w:type="dxa"/>
            <w:vMerge w:val="continue"/>
            <w:noWrap/>
          </w:tcPr>
          <w:p>
            <w:pPr>
              <w:jc w:val="left"/>
              <w:rPr>
                <w:rFonts w:ascii="仿宋" w:hAnsi="仿宋" w:eastAsia="仿宋" w:cs="仿宋"/>
                <w:color w:val="auto"/>
                <w:szCs w:val="21"/>
                <w:highlight w:val="none"/>
              </w:rPr>
            </w:pPr>
          </w:p>
        </w:tc>
        <w:tc>
          <w:tcPr>
            <w:tcW w:w="2018" w:type="dxa"/>
            <w:vMerge w:val="continue"/>
            <w:noWrap/>
          </w:tcPr>
          <w:p>
            <w:pPr>
              <w:jc w:val="left"/>
              <w:rPr>
                <w:rFonts w:ascii="仿宋" w:hAnsi="仿宋" w:eastAsia="仿宋" w:cs="仿宋"/>
                <w:color w:val="auto"/>
                <w:szCs w:val="21"/>
                <w:highlight w:val="none"/>
              </w:rPr>
            </w:pPr>
          </w:p>
        </w:tc>
        <w:tc>
          <w:tcPr>
            <w:tcW w:w="2122" w:type="dxa"/>
            <w:vMerge w:val="continue"/>
            <w:noWrap/>
          </w:tcPr>
          <w:p>
            <w:pPr>
              <w:jc w:val="lef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沟底</w:t>
            </w:r>
          </w:p>
        </w:tc>
        <w:tc>
          <w:tcPr>
            <w:tcW w:w="1563" w:type="dxa"/>
            <w:vMerge w:val="continue"/>
            <w:noWrap/>
          </w:tcPr>
          <w:p>
            <w:pPr>
              <w:jc w:val="left"/>
              <w:rPr>
                <w:rFonts w:ascii="仿宋" w:hAnsi="仿宋" w:eastAsia="仿宋" w:cs="仿宋"/>
                <w:color w:val="auto"/>
                <w:szCs w:val="21"/>
                <w:highlight w:val="none"/>
              </w:rPr>
            </w:pPr>
          </w:p>
        </w:tc>
        <w:tc>
          <w:tcPr>
            <w:tcW w:w="2119" w:type="dxa"/>
            <w:vMerge w:val="continue"/>
            <w:noWrap/>
          </w:tcPr>
          <w:p>
            <w:pPr>
              <w:jc w:val="left"/>
              <w:rPr>
                <w:rFonts w:ascii="仿宋" w:hAnsi="仿宋" w:eastAsia="仿宋" w:cs="仿宋"/>
                <w:color w:val="auto"/>
                <w:szCs w:val="21"/>
                <w:highlight w:val="none"/>
              </w:rPr>
            </w:pPr>
          </w:p>
        </w:tc>
        <w:tc>
          <w:tcPr>
            <w:tcW w:w="2018" w:type="dxa"/>
            <w:vMerge w:val="continue"/>
            <w:noWrap/>
          </w:tcPr>
          <w:p>
            <w:pPr>
              <w:jc w:val="left"/>
              <w:rPr>
                <w:rFonts w:ascii="仿宋" w:hAnsi="仿宋" w:eastAsia="仿宋" w:cs="仿宋"/>
                <w:color w:val="auto"/>
                <w:szCs w:val="21"/>
                <w:highlight w:val="none"/>
              </w:rPr>
            </w:pPr>
          </w:p>
        </w:tc>
        <w:tc>
          <w:tcPr>
            <w:tcW w:w="2122" w:type="dxa"/>
            <w:vMerge w:val="continue"/>
            <w:noWrap/>
          </w:tcPr>
          <w:p>
            <w:pPr>
              <w:jc w:val="lef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墙角</w:t>
            </w:r>
          </w:p>
        </w:tc>
        <w:tc>
          <w:tcPr>
            <w:tcW w:w="1563" w:type="dxa"/>
            <w:vMerge w:val="continue"/>
            <w:noWrap/>
          </w:tcPr>
          <w:p>
            <w:pPr>
              <w:jc w:val="left"/>
              <w:rPr>
                <w:rFonts w:ascii="仿宋" w:hAnsi="仿宋" w:eastAsia="仿宋" w:cs="仿宋"/>
                <w:color w:val="auto"/>
                <w:szCs w:val="21"/>
                <w:highlight w:val="none"/>
              </w:rPr>
            </w:pPr>
          </w:p>
        </w:tc>
        <w:tc>
          <w:tcPr>
            <w:tcW w:w="2119" w:type="dxa"/>
            <w:vMerge w:val="continue"/>
            <w:noWrap/>
          </w:tcPr>
          <w:p>
            <w:pPr>
              <w:jc w:val="left"/>
              <w:rPr>
                <w:rFonts w:ascii="仿宋" w:hAnsi="仿宋" w:eastAsia="仿宋" w:cs="仿宋"/>
                <w:color w:val="auto"/>
                <w:szCs w:val="21"/>
                <w:highlight w:val="none"/>
              </w:rPr>
            </w:pPr>
          </w:p>
        </w:tc>
        <w:tc>
          <w:tcPr>
            <w:tcW w:w="2018" w:type="dxa"/>
            <w:vMerge w:val="continue"/>
            <w:noWrap/>
          </w:tcPr>
          <w:p>
            <w:pPr>
              <w:jc w:val="left"/>
              <w:rPr>
                <w:rFonts w:ascii="仿宋" w:hAnsi="仿宋" w:eastAsia="仿宋" w:cs="仿宋"/>
                <w:color w:val="auto"/>
                <w:szCs w:val="21"/>
                <w:highlight w:val="none"/>
              </w:rPr>
            </w:pPr>
          </w:p>
        </w:tc>
        <w:tc>
          <w:tcPr>
            <w:tcW w:w="2122" w:type="dxa"/>
            <w:vMerge w:val="continue"/>
            <w:noWrap/>
          </w:tcPr>
          <w:p>
            <w:pPr>
              <w:jc w:val="left"/>
              <w:rPr>
                <w:rFonts w:ascii="仿宋" w:hAnsi="仿宋" w:eastAsia="仿宋" w:cs="仿宋"/>
                <w:color w:val="auto"/>
                <w:szCs w:val="21"/>
                <w:highlight w:val="none"/>
              </w:rPr>
            </w:pP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7.3作业时间及频次</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冲洗车辆（含雾炮车）作业时间应避开城市早晚交通高峰时段，充分利用夜间等人流较少时段开展深度洒水冲洗。</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3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道路分类</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冲洗频次（次/日）</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深度清洗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每周不少于1次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每两周不少于1次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三级区域</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每三周不少于1次</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7.4作业规范</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7.4.1严格遵守作业流程及作息时间安排，做到作业流程规范、行为文明；</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7.4.2规范着装，保持衣帽整洁，佩戴工号牌，作业时佩戴反光标识。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7.4.3举止文明，严禁群聊，作业过程严禁吸烟和使用电子产品。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7.4.4作业车辆应保持车容车貌整洁，专用标志清晰完整，专用设备、警示灯有效无残缺，作业时必须开启警示灯。</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7.4.5出车前应做好车辆检查，确保可正常工作。</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7.4.6作业时必须严格遵守交通规则，洒水车车速：≤30km/h。</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7.4.7作业时应注意避让行人、车辆，文明作业。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7.4.8按照不同天气调整作业模式，雨雪天气及气温降至2℃以下时停止作业；当气温高于30℃及雾霾污染天气时，每日适当增加1-2次作业.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7.4.9作业车辆必须在指定取水点取水。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7.4.10夜间作业必须做好噪音管控，避免扰民。</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（二）公共卫生间（驿站）保洁篇</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公共卫生间（驿站）保洁参照《嘉兴市公共卫生间保洁服务标准规范及考核标准》（嘉建〔2020〕2号）执行。</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1、术语和定义</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1.1环卫公共卫生间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在道路两侧或公共场所等处设置的供公众使用的卫生间。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1.2驿站</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具备条件的环卫公共卫生间，配套建设的包含休息、学习、服务等功能的综合服务空间。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1.3流动保洁公共卫生间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无专人在岗看管、保洁人员流动保洁的公共卫生间。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1.4臭味强度</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针对公共卫生间，指人们通过嗅觉感觉到的气味的强弱程度。国内采用6级强度表示臭味强度：0级为无臭味；1级为勉强感觉臭味存在；2级为稍可感觉出的臭味；3级为极易感觉臭味存在；4级为强烈的气味；5级为无法忍受的极强气味。</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1.5窗口单位附设公共卫生间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车站、码头、广场、特色街（区）等窗口地区单位附设的公共卫生间。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1.6社会对外开放卫生间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沿街宾馆、饭店、政府部门、企事业单位等承诺向公众开放的单位内部卫生间。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2、环卫公共卫生间（驿站）星级保洁分类与通用要求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2.1星级保洁分类</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嘉兴市公共卫生间（驿站）星级保洁分类参照CJJ14的基本规定的基础上进行改进。星级保洁分类主要分为标准级、一星、二星、三星四个分类标准。其中标准级主要针对建造设计、管理设施上不能达到星级标准的公共卫生间，一星级是针对流动保洁公共卫生间的保洁标准，二星级、三星级针对专人专职公共卫生间（驿站）的保洁标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2.2通用要求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公共卫生间（驿站）应功能完善，干净、整洁、舒适、方便。</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各分类公共卫生间保洁与服务质量应无差异。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公共卫生间主体建筑、内部设施、给排水、化粪池或贮粪池、无障碍设施、驿站内公益文化设施等各类硬件设施应保持完好，无破损和缺失问题，各项功能应符合使用要求。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不得利用公共卫生间（驿站）从事与公共卫生间管理无关的经营性活动。</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3、公共卫生间（驿站）管理要求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3.1开放时间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专人专职公共卫生间（驿站）开放时间：5：00～22：00。有条件的逐步推行24小时开放。</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流动保洁公共卫生间开放时间：全天24小时开放。</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3.2保洁时间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专人专职公共卫生间（驿站）保洁时间：保洁时间15小时，保洁时间分为两班制，上午5：00～下午13：00，下午13：00～晚上22：00，其中6:30—7:30；17：30～18:30为保洁员吃饭休息时间。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流动保洁公共卫生间保洁时间：保洁时间9小时，上午6：00～中午11：00，下午13：00～17：00</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4、环卫公共卫生间保洁要求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4.1全面保洁和巡回保洁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在保洁时段内，保洁员开始及结束时应全面清洁公共卫生间、驿站1次。</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三星级、二星级公共卫生间、驿站在保洁时段内，除去全面清洗时间，其他时间段应进行巡回保洁。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标准级每周对公共卫生间进行消毒杀菌1次；一星级、二星级每3日对公共卫生间进行消毒杀菌1次；三星级每日对公共卫生间进行消毒杀菌1次。</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4.2周边环境</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公共卫生间（驿站）周边环境应整洁有序，周边无垃圾、粪便、污水、杂草、废土，不得吊挂物品，无卫生死角，不得晾晒衣物。自行车、电动车等非机动车辆应在固定位置有序停放。</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坡道、台阶、扶手应保持干净整洁，不得有障碍物。</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化粪池、贮粪池周围场地应保持整洁，无垃圾、粪迹、污水，不得有恶臭、蝇蛆。化粪池、贮粪池不得满溢。</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4.3内部环境</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4.3.1门窗</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门的正、反面和门把手应洁净，无污迹和吊挂杂物；门缝处无垃圾、积灰、蛛网。</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窗玻璃应干净明亮，窗台、窗框、窗纱、排风扇等处应无垃圾、杂物、蛛网、积灰。</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4.3.2地面</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地面应洁净，无垃圾、污迹、积水、杂物。</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4.3.3厕位</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蹲便器、座便器内外应洁净，无水锈、粪便、污物、堵塞。</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小便器（槽）应清洁，无垃圾、尿垢、水锈，管道沟眼应保持畅通。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厕位隔断板应洁净，无积灰、污迹、蛛网、乱涂乱画。</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4.4设施设备</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4.4.1内部设施</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内部设施根据各星级要求以表一规定执行</w:t>
      </w:r>
    </w:p>
    <w:p>
      <w:pPr>
        <w:spacing w:line="360" w:lineRule="auto"/>
        <w:contextualSpacing/>
        <w:jc w:val="center"/>
        <w:rPr>
          <w:rFonts w:ascii="仿宋" w:hAnsi="仿宋" w:eastAsia="仿宋"/>
          <w:color w:val="auto"/>
          <w:szCs w:val="21"/>
          <w:highlight w:val="none"/>
        </w:rPr>
      </w:pPr>
      <w:r>
        <w:rPr>
          <w:rFonts w:hint="eastAsia" w:ascii="仿宋" w:hAnsi="仿宋" w:eastAsia="仿宋"/>
          <w:color w:val="auto"/>
          <w:szCs w:val="21"/>
          <w:highlight w:val="none"/>
        </w:rPr>
        <w:t>表一</w:t>
      </w:r>
    </w:p>
    <w:tbl>
      <w:tblPr>
        <w:tblStyle w:val="64"/>
        <w:tblW w:w="9039" w:type="dxa"/>
        <w:jc w:val="center"/>
        <w:tblLayout w:type="fixed"/>
        <w:tblCellMar>
          <w:top w:w="0" w:type="dxa"/>
          <w:left w:w="10" w:type="dxa"/>
          <w:bottom w:w="0" w:type="dxa"/>
          <w:right w:w="10" w:type="dxa"/>
        </w:tblCellMar>
      </w:tblPr>
      <w:tblGrid>
        <w:gridCol w:w="720"/>
        <w:gridCol w:w="830"/>
        <w:gridCol w:w="7489"/>
      </w:tblGrid>
      <w:tr>
        <w:tblPrEx>
          <w:tblCellMar>
            <w:top w:w="0" w:type="dxa"/>
            <w:left w:w="10" w:type="dxa"/>
            <w:bottom w:w="0" w:type="dxa"/>
            <w:right w:w="10" w:type="dxa"/>
          </w:tblCellMar>
        </w:tblPrEx>
        <w:trPr>
          <w:trHeight w:val="384" w:hRule="exact"/>
          <w:jc w:val="center"/>
        </w:trPr>
        <w:tc>
          <w:tcPr>
            <w:tcW w:w="720" w:type="dxa"/>
            <w:tcBorders>
              <w:top w:val="single" w:color="auto" w:sz="4" w:space="0"/>
              <w:lef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830" w:type="dxa"/>
            <w:tcBorders>
              <w:top w:val="single" w:color="auto" w:sz="4" w:space="0"/>
              <w:lef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星级</w:t>
            </w:r>
          </w:p>
        </w:tc>
        <w:tc>
          <w:tcPr>
            <w:tcW w:w="7489" w:type="dxa"/>
            <w:tcBorders>
              <w:top w:val="single" w:color="auto" w:sz="4" w:space="0"/>
              <w:left w:val="single" w:color="auto" w:sz="4" w:space="0"/>
              <w:righ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服务项目和要求</w:t>
            </w:r>
          </w:p>
        </w:tc>
      </w:tr>
      <w:tr>
        <w:tblPrEx>
          <w:tblCellMar>
            <w:top w:w="0" w:type="dxa"/>
            <w:left w:w="10" w:type="dxa"/>
            <w:bottom w:w="0" w:type="dxa"/>
            <w:right w:w="10" w:type="dxa"/>
          </w:tblCellMar>
        </w:tblPrEx>
        <w:trPr>
          <w:trHeight w:val="1473" w:hRule="exact"/>
          <w:jc w:val="center"/>
        </w:trPr>
        <w:tc>
          <w:tcPr>
            <w:tcW w:w="720" w:type="dxa"/>
            <w:tcBorders>
              <w:top w:val="single" w:color="auto" w:sz="4" w:space="0"/>
              <w:lef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30" w:type="dxa"/>
            <w:tcBorders>
              <w:top w:val="single" w:color="auto" w:sz="4" w:space="0"/>
              <w:lef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三星级</w:t>
            </w:r>
          </w:p>
        </w:tc>
        <w:tc>
          <w:tcPr>
            <w:tcW w:w="7489" w:type="dxa"/>
            <w:tcBorders>
              <w:top w:val="single" w:color="auto" w:sz="4" w:space="0"/>
              <w:left w:val="single" w:color="auto" w:sz="4" w:space="0"/>
              <w:right w:val="single" w:color="auto" w:sz="4" w:space="0"/>
            </w:tcBorders>
            <w:shd w:val="clear" w:color="auto" w:fill="FFFFFF"/>
            <w:noWrap/>
            <w:vAlign w:val="center"/>
          </w:tcPr>
          <w:p>
            <w:pPr>
              <w:pStyle w:val="258"/>
              <w:numPr>
                <w:ilvl w:val="2"/>
                <w:numId w:val="1"/>
              </w:numPr>
              <w:tabs>
                <w:tab w:val="left" w:pos="933"/>
                <w:tab w:val="left" w:pos="934"/>
              </w:tabs>
              <w:spacing w:before="42" w:line="240" w:lineRule="auto"/>
              <w:ind w:left="4" w:leftChars="-90" w:right="473" w:hanging="193" w:hangingChars="95"/>
              <w:rPr>
                <w:rFonts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各类保洁设施、除臭设备、空调、灯具及开关等设备应洁净、无积灰、污迹，使用标识应清晰、无污迹。</w:t>
            </w:r>
            <w:r>
              <w:rPr>
                <w:rFonts w:hint="eastAsia" w:ascii="仿宋" w:hAnsi="仿宋" w:eastAsia="仿宋" w:cs="仿宋"/>
                <w:color w:val="auto"/>
                <w:spacing w:val="-10"/>
                <w:sz w:val="21"/>
                <w:szCs w:val="21"/>
                <w:highlight w:val="none"/>
              </w:rPr>
              <w:t>洗手池无水渍、台面整洁无水渍、拖把池无污渍、搁物台无积灰、镜子完好无污渍水渍</w:t>
            </w:r>
            <w:r>
              <w:rPr>
                <w:rFonts w:hint="eastAsia" w:ascii="仿宋" w:hAnsi="仿宋" w:eastAsia="仿宋" w:cs="仿宋"/>
                <w:color w:val="auto"/>
                <w:spacing w:val="-5"/>
                <w:sz w:val="21"/>
                <w:szCs w:val="21"/>
                <w:highlight w:val="none"/>
              </w:rPr>
              <w:t>。</w:t>
            </w:r>
            <w:r>
              <w:rPr>
                <w:rFonts w:hint="eastAsia" w:ascii="仿宋" w:hAnsi="仿宋" w:eastAsia="仿宋" w:cs="仿宋"/>
                <w:color w:val="auto"/>
                <w:spacing w:val="-3"/>
                <w:sz w:val="21"/>
                <w:szCs w:val="21"/>
                <w:highlight w:val="none"/>
              </w:rPr>
              <w:t>废物篓内废弃物不得超过废物篓的三分之一。制止乱涂乱画行为，如有发现立刻制止并及时清理。</w:t>
            </w:r>
            <w:r>
              <w:rPr>
                <w:rFonts w:hint="eastAsia" w:ascii="仿宋" w:hAnsi="仿宋" w:eastAsia="仿宋" w:cs="仿宋"/>
                <w:color w:val="auto"/>
                <w:sz w:val="21"/>
                <w:szCs w:val="21"/>
                <w:highlight w:val="none"/>
              </w:rPr>
              <w:t>驿站内地面、桌椅和设备干净整齐，书籍资料、设施设备按规定位置放置。</w:t>
            </w:r>
          </w:p>
        </w:tc>
      </w:tr>
      <w:tr>
        <w:tblPrEx>
          <w:tblCellMar>
            <w:top w:w="0" w:type="dxa"/>
            <w:left w:w="10" w:type="dxa"/>
            <w:bottom w:w="0" w:type="dxa"/>
            <w:right w:w="10" w:type="dxa"/>
          </w:tblCellMar>
        </w:tblPrEx>
        <w:trPr>
          <w:trHeight w:val="875" w:hRule="exact"/>
          <w:jc w:val="center"/>
        </w:trPr>
        <w:tc>
          <w:tcPr>
            <w:tcW w:w="720" w:type="dxa"/>
            <w:tcBorders>
              <w:top w:val="single" w:color="auto" w:sz="4" w:space="0"/>
              <w:lef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30" w:type="dxa"/>
            <w:tcBorders>
              <w:top w:val="single" w:color="auto" w:sz="4" w:space="0"/>
              <w:lef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二星级</w:t>
            </w:r>
          </w:p>
        </w:tc>
        <w:tc>
          <w:tcPr>
            <w:tcW w:w="7489" w:type="dxa"/>
            <w:tcBorders>
              <w:top w:val="single" w:color="auto" w:sz="4" w:space="0"/>
              <w:left w:val="single" w:color="auto" w:sz="4" w:space="0"/>
              <w:right w:val="single" w:color="auto" w:sz="4" w:space="0"/>
            </w:tcBorders>
            <w:shd w:val="clear" w:color="auto" w:fill="FFFFFF"/>
            <w:noWrap/>
            <w:vAlign w:val="bottom"/>
          </w:tcPr>
          <w:p>
            <w:pPr>
              <w:pStyle w:val="258"/>
              <w:numPr>
                <w:ilvl w:val="2"/>
                <w:numId w:val="1"/>
              </w:numPr>
              <w:tabs>
                <w:tab w:val="left" w:pos="933"/>
                <w:tab w:val="left" w:pos="934"/>
              </w:tabs>
              <w:spacing w:before="42" w:line="240" w:lineRule="auto"/>
              <w:ind w:left="4" w:leftChars="-90" w:right="473" w:hanging="193" w:hangingChars="95"/>
              <w:rPr>
                <w:rFonts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各类保洁设施、除臭设备、空调、灯具及开关等设备应洁净、无积灰、污迹，使用标识应清晰、无污迹。废物篓内废弃物不得超过废物篓的二分之一。制止乱涂乱画行为，如有发现立刻制止并及时清理。</w:t>
            </w:r>
          </w:p>
          <w:p>
            <w:pPr>
              <w:pStyle w:val="970"/>
              <w:shd w:val="clear" w:color="auto" w:fill="auto"/>
              <w:spacing w:after="0" w:line="240" w:lineRule="auto"/>
              <w:rPr>
                <w:rFonts w:ascii="仿宋" w:hAnsi="仿宋" w:eastAsia="仿宋" w:cs="仿宋"/>
                <w:color w:val="auto"/>
                <w:sz w:val="21"/>
                <w:szCs w:val="21"/>
                <w:highlight w:val="none"/>
              </w:rPr>
            </w:pPr>
          </w:p>
        </w:tc>
      </w:tr>
      <w:tr>
        <w:tblPrEx>
          <w:tblCellMar>
            <w:top w:w="0" w:type="dxa"/>
            <w:left w:w="10" w:type="dxa"/>
            <w:bottom w:w="0" w:type="dxa"/>
            <w:right w:w="10" w:type="dxa"/>
          </w:tblCellMar>
        </w:tblPrEx>
        <w:trPr>
          <w:trHeight w:val="656" w:hRule="exact"/>
          <w:jc w:val="center"/>
        </w:trPr>
        <w:tc>
          <w:tcPr>
            <w:tcW w:w="720" w:type="dxa"/>
            <w:tcBorders>
              <w:top w:val="single" w:color="auto" w:sz="4" w:space="0"/>
              <w:lef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30" w:type="dxa"/>
            <w:tcBorders>
              <w:top w:val="single" w:color="auto" w:sz="4" w:space="0"/>
              <w:lef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一星级</w:t>
            </w:r>
          </w:p>
        </w:tc>
        <w:tc>
          <w:tcPr>
            <w:tcW w:w="7489" w:type="dxa"/>
            <w:tcBorders>
              <w:top w:val="single" w:color="auto" w:sz="4" w:space="0"/>
              <w:left w:val="single" w:color="auto" w:sz="4" w:space="0"/>
              <w:righ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保持灯具、开关等其他设施设备洁净、无积灰、污迹，使用标识清晰无积灰。</w:t>
            </w:r>
          </w:p>
        </w:tc>
      </w:tr>
      <w:tr>
        <w:tblPrEx>
          <w:tblCellMar>
            <w:top w:w="0" w:type="dxa"/>
            <w:left w:w="10" w:type="dxa"/>
            <w:bottom w:w="0" w:type="dxa"/>
            <w:right w:w="10" w:type="dxa"/>
          </w:tblCellMar>
        </w:tblPrEx>
        <w:trPr>
          <w:trHeight w:val="527" w:hRule="exact"/>
          <w:jc w:val="center"/>
        </w:trPr>
        <w:tc>
          <w:tcPr>
            <w:tcW w:w="720" w:type="dxa"/>
            <w:tcBorders>
              <w:top w:val="single" w:color="auto" w:sz="4" w:space="0"/>
              <w:left w:val="single" w:color="auto" w:sz="4" w:space="0"/>
              <w:bottom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830" w:type="dxa"/>
            <w:tcBorders>
              <w:top w:val="single" w:color="auto" w:sz="4" w:space="0"/>
              <w:left w:val="single" w:color="auto" w:sz="4" w:space="0"/>
              <w:bottom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标准级</w:t>
            </w:r>
          </w:p>
        </w:tc>
        <w:tc>
          <w:tcPr>
            <w:tcW w:w="74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各设施使用正常，卫生间内保持整洁干净，无污迹。</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4.4.2设施维护</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公共卫生间（驿站）维修人员接到维修报告后，应及时维修，保证公共卫生间的正常使用。</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漏水、便器堵塞等故障应在2小时内修复；确实无法及时修复的，应向上级部门汇报。等外级在10个工作日内修复；一星级、二星级在5个工作日内修复；三星级在3个工作日内修复。</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公共卫生间（驿站）门、窗、标牌、无障碍设施等设施损坏应在24小时内修复；确实无法及时修复的，应向上级部门汇报。等外级在10个工作日内修复；一星级、二星级在5个工作日内修复；三星级在3个工作日内修复。</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维修设施时，应有明显标识提示。卫生间停止使用，应张贴停用通知，明确停用时间、原因。</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4.4.3内外墙面及屋顶</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内外墙面和天花板应保持洁净，无积灰、污迹、渗漏、蛛网，无乱涂乱画、无张贴，不得安装或吊挂与卫生间管理无关的物品。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屋顶应无垃圾、无杂物，不得设置与卫生间（驿站）管理无关的物品。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公共卫生间（驿站）内外不得乱接水管电线。</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4.4.4作业和工具放置</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保洁作业时需在入口处设置提示牌。冲洗卫生间地面和雨雪冰冻天气时需设置防滑标志和铺设防滑垫，冲洗完毕后应拖干地面水渍，保持地面干燥。</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清洁大小便洁具的拖把、抹布应专用，不得与清洁其他设施的拖把、抹布混用。</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每座卫生间（驿站）应设置统一的工具架或者工具房，工具架摆放不得影响路人通行和卫生间整体美观。拖把、扫把、抹布晾晒时应置于工具架上，晾晒完后，应及时放回工具间。其它作业工具保洁作业完毕后，应统一放回工具间。工具间内工具应摆放整齐。</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公共卫生间内部通道、洗手台不得放置拖把、水桶、抹布、扫把等作业工具和其他影响视觉观瞻及通行的物品。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4.5环境卫生控制指标</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公共卫生间（驿站）环境卫生控制指标应符合表二的规定。</w:t>
      </w:r>
    </w:p>
    <w:p>
      <w:pPr>
        <w:spacing w:line="360" w:lineRule="auto"/>
        <w:contextualSpacing/>
        <w:jc w:val="center"/>
        <w:rPr>
          <w:rFonts w:ascii="仿宋" w:hAnsi="仿宋" w:eastAsia="仿宋"/>
          <w:color w:val="auto"/>
          <w:szCs w:val="21"/>
          <w:highlight w:val="none"/>
        </w:rPr>
      </w:pPr>
      <w:r>
        <w:rPr>
          <w:rFonts w:hint="eastAsia" w:ascii="仿宋" w:hAnsi="仿宋" w:eastAsia="仿宋"/>
          <w:color w:val="auto"/>
          <w:szCs w:val="21"/>
          <w:highlight w:val="none"/>
        </w:rPr>
        <w:t>表二</w:t>
      </w:r>
    </w:p>
    <w:tbl>
      <w:tblPr>
        <w:tblStyle w:val="64"/>
        <w:tblW w:w="8893" w:type="dxa"/>
        <w:tblInd w:w="-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1847"/>
        <w:gridCol w:w="6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7" w:type="dxa"/>
            <w:noWrap/>
            <w:vAlign w:val="center"/>
          </w:tcPr>
          <w:p>
            <w:pPr>
              <w:pStyle w:val="955"/>
              <w:tabs>
                <w:tab w:val="left" w:pos="0"/>
                <w:tab w:val="left" w:pos="84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tc>
        <w:tc>
          <w:tcPr>
            <w:tcW w:w="1847" w:type="dxa"/>
            <w:noWrap/>
            <w:vAlign w:val="center"/>
          </w:tcPr>
          <w:p>
            <w:pPr>
              <w:pStyle w:val="955"/>
              <w:tabs>
                <w:tab w:val="left" w:pos="126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卫生指标</w:t>
            </w:r>
          </w:p>
        </w:tc>
        <w:tc>
          <w:tcPr>
            <w:tcW w:w="6129"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17"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47"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纸片（块）</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标准级不多于3个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17"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47" w:type="dxa"/>
            <w:noWrap/>
            <w:vAlign w:val="center"/>
          </w:tcPr>
          <w:p>
            <w:pPr>
              <w:pStyle w:val="955"/>
              <w:tabs>
                <w:tab w:val="left" w:pos="1260"/>
                <w:tab w:val="left" w:pos="148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烟蒂（个）</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标准级不多于3个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7"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47" w:type="dxa"/>
            <w:noWrap/>
            <w:vAlign w:val="center"/>
          </w:tcPr>
          <w:p>
            <w:pPr>
              <w:pStyle w:val="955"/>
              <w:tabs>
                <w:tab w:val="left" w:pos="1260"/>
                <w:tab w:val="left" w:pos="148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粪迹（处）</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不应有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7"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47" w:type="dxa"/>
            <w:noWrap/>
            <w:vAlign w:val="center"/>
          </w:tcPr>
          <w:p>
            <w:pPr>
              <w:pStyle w:val="955"/>
              <w:tabs>
                <w:tab w:val="left" w:pos="1260"/>
                <w:tab w:val="left" w:pos="148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痰迹（处）</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标准级不多于2个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7"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847" w:type="dxa"/>
            <w:noWrap/>
            <w:vAlign w:val="center"/>
          </w:tcPr>
          <w:p>
            <w:pPr>
              <w:pStyle w:val="955"/>
              <w:tabs>
                <w:tab w:val="left" w:pos="1260"/>
                <w:tab w:val="left" w:pos="148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窗格积灰</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不应有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7"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847" w:type="dxa"/>
            <w:noWrap/>
            <w:vAlign w:val="center"/>
          </w:tcPr>
          <w:p>
            <w:pPr>
              <w:pStyle w:val="955"/>
              <w:tabs>
                <w:tab w:val="left" w:pos="1260"/>
                <w:tab w:val="left" w:pos="148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蛛网</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不应有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7" w:type="dxa"/>
            <w:vMerge w:val="restart"/>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847" w:type="dxa"/>
            <w:vMerge w:val="restart"/>
            <w:noWrap/>
            <w:vAlign w:val="center"/>
          </w:tcPr>
          <w:p>
            <w:pPr>
              <w:pStyle w:val="955"/>
              <w:tabs>
                <w:tab w:val="left" w:pos="1260"/>
                <w:tab w:val="left" w:pos="148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成蝇（只）</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二星级、三星级公厕不应有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7" w:type="dxa"/>
            <w:vMerge w:val="continue"/>
            <w:noWrap/>
            <w:vAlign w:val="center"/>
          </w:tcPr>
          <w:p>
            <w:pPr>
              <w:pStyle w:val="955"/>
              <w:jc w:val="center"/>
              <w:rPr>
                <w:rFonts w:ascii="仿宋" w:hAnsi="仿宋" w:eastAsia="仿宋" w:cs="仿宋"/>
                <w:color w:val="auto"/>
                <w:sz w:val="21"/>
                <w:szCs w:val="21"/>
                <w:highlight w:val="none"/>
                <w:lang w:eastAsia="zh-CN"/>
              </w:rPr>
            </w:pPr>
          </w:p>
        </w:tc>
        <w:tc>
          <w:tcPr>
            <w:tcW w:w="1847" w:type="dxa"/>
            <w:vMerge w:val="continue"/>
            <w:noWrap/>
            <w:vAlign w:val="center"/>
          </w:tcPr>
          <w:p>
            <w:pPr>
              <w:pStyle w:val="955"/>
              <w:tabs>
                <w:tab w:val="left" w:pos="1260"/>
                <w:tab w:val="left" w:pos="1480"/>
              </w:tabs>
              <w:jc w:val="center"/>
              <w:rPr>
                <w:rFonts w:ascii="仿宋" w:hAnsi="仿宋" w:eastAsia="仿宋" w:cs="仿宋"/>
                <w:color w:val="auto"/>
                <w:sz w:val="21"/>
                <w:szCs w:val="21"/>
                <w:highlight w:val="none"/>
                <w:lang w:eastAsia="zh-CN"/>
              </w:rPr>
            </w:pP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标准级、一星级公厕不得多于5只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17" w:type="dxa"/>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847" w:type="dxa"/>
            <w:noWrap/>
            <w:vAlign w:val="center"/>
          </w:tcPr>
          <w:p>
            <w:pPr>
              <w:pStyle w:val="955"/>
              <w:tabs>
                <w:tab w:val="left" w:pos="1260"/>
                <w:tab w:val="left" w:pos="1480"/>
              </w:tabs>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蝇蛆（尾）</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在厕室的大小便器内外、地面和化（贮）粪池周围</w:t>
            </w:r>
            <w:r>
              <w:rPr>
                <w:rFonts w:hint="eastAsia" w:ascii="仿宋" w:hAnsi="仿宋" w:eastAsia="仿宋" w:cs="仿宋"/>
                <w:color w:val="auto"/>
                <w:sz w:val="21"/>
                <w:szCs w:val="21"/>
                <w:highlight w:val="none"/>
                <w:lang w:bidi="en-US"/>
              </w:rPr>
              <w:t>30-50</w:t>
            </w:r>
            <w:r>
              <w:rPr>
                <w:rFonts w:hint="eastAsia" w:ascii="仿宋" w:hAnsi="仿宋" w:eastAsia="仿宋" w:cs="仿宋"/>
                <w:color w:val="auto"/>
                <w:sz w:val="21"/>
                <w:szCs w:val="21"/>
                <w:highlight w:val="none"/>
              </w:rPr>
              <w:t>厘米以内用肉眼观察不到蝇蛆。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17" w:type="dxa"/>
            <w:vMerge w:val="restart"/>
            <w:tcBorders>
              <w:top w:val="nil"/>
            </w:tcBorders>
            <w:noWrap/>
            <w:vAlign w:val="center"/>
          </w:tcPr>
          <w:p>
            <w:pPr>
              <w:pStyle w:val="95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847" w:type="dxa"/>
            <w:vMerge w:val="restart"/>
            <w:tcBorders>
              <w:top w:val="nil"/>
            </w:tcBorders>
            <w:noWrap/>
            <w:vAlign w:val="center"/>
          </w:tcPr>
          <w:p>
            <w:pPr>
              <w:tabs>
                <w:tab w:val="left" w:pos="1260"/>
                <w:tab w:val="left" w:pos="148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臭味强度</w:t>
            </w: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二星级、三星级公厕臭味强度为0。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17" w:type="dxa"/>
            <w:vMerge w:val="continue"/>
            <w:noWrap/>
            <w:vAlign w:val="center"/>
          </w:tcPr>
          <w:p>
            <w:pPr>
              <w:pStyle w:val="955"/>
              <w:jc w:val="center"/>
              <w:rPr>
                <w:rFonts w:ascii="仿宋" w:hAnsi="仿宋" w:eastAsia="仿宋" w:cs="仿宋"/>
                <w:color w:val="auto"/>
                <w:sz w:val="21"/>
                <w:szCs w:val="21"/>
                <w:highlight w:val="none"/>
                <w:lang w:eastAsia="zh-CN"/>
              </w:rPr>
            </w:pPr>
          </w:p>
        </w:tc>
        <w:tc>
          <w:tcPr>
            <w:tcW w:w="1847" w:type="dxa"/>
            <w:vMerge w:val="continue"/>
            <w:noWrap/>
            <w:vAlign w:val="center"/>
          </w:tcPr>
          <w:p>
            <w:pPr>
              <w:pStyle w:val="955"/>
              <w:jc w:val="center"/>
              <w:rPr>
                <w:rFonts w:ascii="仿宋" w:hAnsi="仿宋" w:eastAsia="仿宋" w:cs="仿宋"/>
                <w:color w:val="auto"/>
                <w:sz w:val="21"/>
                <w:szCs w:val="21"/>
                <w:highlight w:val="none"/>
                <w:lang w:eastAsia="zh-CN"/>
              </w:rPr>
            </w:pPr>
          </w:p>
        </w:tc>
        <w:tc>
          <w:tcPr>
            <w:tcW w:w="6129" w:type="dxa"/>
            <w:noWrap/>
            <w:vAlign w:val="center"/>
          </w:tcPr>
          <w:p>
            <w:pPr>
              <w:pStyle w:val="970"/>
              <w:shd w:val="clear" w:color="auto" w:fill="auto"/>
              <w:spacing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标准级、一星级公厕臭味强度≤1。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93" w:type="dxa"/>
            <w:gridSpan w:val="3"/>
            <w:noWrap/>
            <w:vAlign w:val="center"/>
          </w:tcPr>
          <w:p>
            <w:pPr>
              <w:pStyle w:val="955"/>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注：臭味强度测定按GB/T 17217执行。</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（三）果壳箱保洁篇</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1.相关术语及定义</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1.1果壳箱（废物箱）</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设置于道路两侧人行道、公交站台、车站、广场和公共场所等较小废弃物容器。</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2.果壳箱（废物箱）保洁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2.1果壳箱（废物箱）保洁标准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果壳箱（废物箱）保洁做到“二清”“七无”“四禁”。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2.1.1“二清”：容器外观清洁、容器周边区域清洁。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2.1.2“七无”：无蛛网、无陈旧黏附、无招贴、无杂物、无缺损、无堆积、无污水积存。</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2.1.3“四禁”：禁止容器门敞开、禁止容器外堆放、禁止容器满溢、禁止挪作他用。</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3.1保洁时间、频次</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3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设施</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作业时间</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作业频次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果壳箱（废物箱）</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6;00-18;00</w:t>
            </w:r>
          </w:p>
        </w:tc>
        <w:tc>
          <w:tcPr>
            <w:tcW w:w="3020" w:type="dxa"/>
            <w:noWrap/>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≥4次</w:t>
            </w:r>
          </w:p>
        </w:tc>
      </w:tr>
    </w:tbl>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4作业规范</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4.1严格遵守作业流程及作息时间安排，做到作业流程规范、行为文明；</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4.2规范着装，保持衣帽整洁，佩戴工号牌，作业时佩戴反光标识。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4.3举止文明，严禁群聊，作业过程严禁吸烟和使用电子产品。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4.4管理人员不得擅自离岗、代岗，不得做和业务无关的事。</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4.5容器破损应及时上报。</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2.“席地可坐”城市客厅作业标准</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2.1“席地可坐”城市客厅区域范围</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江南摩尔、区政府广场。</w:t>
      </w:r>
    </w:p>
    <w:p>
      <w:pPr>
        <w:pStyle w:val="25"/>
        <w:ind w:firstLine="422" w:firstLineChars="200"/>
        <w:rPr>
          <w:rFonts w:ascii="仿宋" w:hAnsi="仿宋" w:eastAsia="仿宋" w:cs="Times New Roman"/>
          <w:b/>
          <w:bCs/>
          <w:snapToGrid/>
          <w:color w:val="auto"/>
          <w:sz w:val="21"/>
          <w:highlight w:val="none"/>
          <w:lang w:val="en-US"/>
        </w:rPr>
      </w:pPr>
      <w:r>
        <w:rPr>
          <w:rFonts w:hint="eastAsia" w:ascii="仿宋" w:hAnsi="仿宋" w:eastAsia="仿宋" w:cs="Times New Roman"/>
          <w:b/>
          <w:bCs/>
          <w:snapToGrid/>
          <w:color w:val="auto"/>
          <w:sz w:val="21"/>
          <w:highlight w:val="none"/>
          <w:lang w:val="en-US"/>
        </w:rPr>
        <w:t>2.2作业标准</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（一）</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1.作业模式要求</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以机械化作业为主，人工作业为辅，深化人机结合的组团式保洁模式，优化资源配置，强化工种协作，细化保洁流程，机械保面、人工保点；强化夜间基础保洁作业，利用夜间人少车稀,开展大面积机械冲洗、顽固性污渍洗刷等工作，白天以精细化养护为主，进行喷雾洒水降尘、巡回保洁、拖洗、捡拾、擦拭等。</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2.作业装备、工具要求</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配置各类新型保洁车辆和作业机具，引进、更新一批效率高、功能全、形象好的洗扫车、吸尘车、清污车等大型保洁机械装备和小型机扫车、洗地机、垃圾分类收集车等小型作业机具；配齐“铲刀、刷子、可伸缩缝隙清理杆、折叠钳、喷水壶、钢 丝球、干湿抹布、百洁布” 等工具套件，注重实用性、规整性，便捷性。除普扫等作业外，其他作业原则上不得使用“大扫把”。作业装备、工具等要保持干净整洁，展示环卫作业形象。</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3.作业人员要求</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保洁作业应做到文明、规范、安全，作业时应避高峰、避行人，作业过程中不扬尘、不影响行人，车辆行驶安全，停放符合要求。作业人员要求着装规范，衣着干净平整，无残破、无污渍，工作帽穿戴端正，工号牌佩戴规范，季节换装，统一穿着，不得混穿；员工岗位作业时段禁止玩手机，不得抽烟、吃零食，禁止出现串岗、聚众聊天等现象。</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（二）作业标准</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“席地可坐”高标准保洁总体应达到“四无、一见”，无垃圾、无污迹、无积尘、无积水，见本色。每日作业时长不少于18小时。</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（三）保洁要求</w:t>
      </w:r>
    </w:p>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1.平面保洁要求</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617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项目</w:t>
            </w:r>
          </w:p>
        </w:tc>
        <w:tc>
          <w:tcPr>
            <w:tcW w:w="6193"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保洁要求</w:t>
            </w:r>
          </w:p>
        </w:tc>
        <w:tc>
          <w:tcPr>
            <w:tcW w:w="1110"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2" w:hRule="atLeast"/>
        </w:trPr>
        <w:tc>
          <w:tcPr>
            <w:tcW w:w="1219"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道路保洁</w:t>
            </w:r>
          </w:p>
        </w:tc>
        <w:tc>
          <w:tcPr>
            <w:tcW w:w="6193" w:type="dxa"/>
            <w:noWrap/>
            <w:vAlign w:val="center"/>
          </w:tcPr>
          <w:p>
            <w:pPr>
              <w:pStyle w:val="25"/>
              <w:snapToGrid w:val="0"/>
              <w:spacing w:line="240" w:lineRule="auto"/>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1、道路保洁应以机械化作业为主，人工作业为辅，机械化作业应避早晚高峰，应加强对特殊路段台阶、角落、绿地边缘等卫生死角的清理，确保无垃圾杂物。</w:t>
            </w:r>
          </w:p>
          <w:p>
            <w:pPr>
              <w:pStyle w:val="25"/>
              <w:snapToGrid w:val="0"/>
              <w:spacing w:line="240" w:lineRule="auto"/>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2、路面及人行道应保持干净整洁，确保无明显条状污染物、块状污染物、各类零星垃圾、痰迹、污水、污物等点状污染物及粪便等。</w:t>
            </w:r>
          </w:p>
        </w:tc>
        <w:tc>
          <w:tcPr>
            <w:tcW w:w="1110" w:type="dxa"/>
            <w:vMerge w:val="restart"/>
            <w:noWrap/>
            <w:vAlign w:val="center"/>
          </w:tcPr>
          <w:p>
            <w:pPr>
              <w:snapToGrid w:val="0"/>
              <w:rPr>
                <w:rFonts w:ascii="仿宋" w:hAnsi="仿宋" w:eastAsia="仿宋"/>
                <w:color w:val="auto"/>
                <w:szCs w:val="21"/>
                <w:highlight w:val="none"/>
              </w:rPr>
            </w:pPr>
            <w:r>
              <w:rPr>
                <w:rFonts w:hint="eastAsia" w:ascii="仿宋" w:hAnsi="仿宋" w:eastAsia="仿宋"/>
                <w:color w:val="auto"/>
                <w:szCs w:val="21"/>
                <w:highlight w:val="none"/>
              </w:rPr>
              <w:t>推行以科技引领的精细保洁、智能保洁、无（扬）尘保洁，（可）机械化清扫率为100%，冲洗率为100%。</w:t>
            </w:r>
          </w:p>
          <w:p>
            <w:pPr>
              <w:snapToGrid w:val="0"/>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219"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公共广场地面保洁</w:t>
            </w:r>
          </w:p>
        </w:tc>
        <w:tc>
          <w:tcPr>
            <w:tcW w:w="6193" w:type="dxa"/>
            <w:noWrap/>
            <w:vAlign w:val="center"/>
          </w:tcPr>
          <w:p>
            <w:pPr>
              <w:pStyle w:val="25"/>
              <w:snapToGrid w:val="0"/>
              <w:spacing w:line="240" w:lineRule="auto"/>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1、公共广场保洁以小型机械化作业为主，人工清扫、擦洗为辅，落实“室外环境、室内标准”的精细保洁，提升保洁品质。</w:t>
            </w:r>
          </w:p>
          <w:p>
            <w:pPr>
              <w:pStyle w:val="25"/>
              <w:snapToGrid w:val="0"/>
              <w:spacing w:line="240" w:lineRule="auto"/>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2、定期对公共广场地面进行洗刷，广场地面应保持干净整洁，确保无明显条状污染物、块状污染物、各类零星垃圾、痰迹、残留污水、残积沙土、污迹等点状污染物及粪便等。</w:t>
            </w:r>
          </w:p>
        </w:tc>
        <w:tc>
          <w:tcPr>
            <w:tcW w:w="1110" w:type="dxa"/>
            <w:vMerge w:val="continue"/>
            <w:noWrap/>
          </w:tcPr>
          <w:p>
            <w:pPr>
              <w:snapToGrid w:val="0"/>
              <w:rPr>
                <w:rFonts w:ascii="仿宋" w:hAnsi="仿宋" w:eastAsia="仿宋"/>
                <w:color w:val="auto"/>
                <w:szCs w:val="21"/>
                <w:highlight w:val="none"/>
              </w:rPr>
            </w:pPr>
          </w:p>
        </w:tc>
      </w:tr>
    </w:tbl>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2.立面保洁要求</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80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19"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项目</w:t>
            </w:r>
          </w:p>
        </w:tc>
        <w:tc>
          <w:tcPr>
            <w:tcW w:w="5829"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保洁要求</w:t>
            </w:r>
          </w:p>
        </w:tc>
        <w:tc>
          <w:tcPr>
            <w:tcW w:w="1474"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219"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绿地（绿化带）保洁</w:t>
            </w:r>
          </w:p>
        </w:tc>
        <w:tc>
          <w:tcPr>
            <w:tcW w:w="5829" w:type="dxa"/>
            <w:noWrap/>
            <w:vAlign w:val="center"/>
          </w:tcPr>
          <w:p>
            <w:pPr>
              <w:pStyle w:val="25"/>
              <w:snapToGrid w:val="0"/>
              <w:spacing w:line="240" w:lineRule="auto"/>
              <w:jc w:val="left"/>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1、绿地或绿化带保洁应以冲洗、捡拾为主，利用高压冲洗车冲洗绿植浮尘，利用火钳、小畚箕等作业工具对绿化带、绿地内的垃圾进行清理，清理完成后，及时对周边道路（地面）进行保洁，确保道路（地面）干净整洁。</w:t>
            </w:r>
          </w:p>
          <w:p>
            <w:pPr>
              <w:pStyle w:val="25"/>
              <w:snapToGrid w:val="0"/>
              <w:spacing w:line="240" w:lineRule="auto"/>
              <w:jc w:val="left"/>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2、绿地（绿化带）环境应保持整洁、有序，及时清除暴露垃圾及包袋垃圾，绿化带内无杂物悬挂、堆放，绿植表面无明显浮尘，水体保持清洁、干净。</w:t>
            </w:r>
          </w:p>
        </w:tc>
        <w:tc>
          <w:tcPr>
            <w:tcW w:w="1474" w:type="dxa"/>
            <w:vMerge w:val="restart"/>
            <w:noWrap/>
            <w:vAlign w:val="center"/>
          </w:tcPr>
          <w:p>
            <w:pPr>
              <w:snapToGrid w:val="0"/>
              <w:rPr>
                <w:rFonts w:ascii="仿宋" w:hAnsi="仿宋" w:eastAsia="仿宋"/>
                <w:color w:val="auto"/>
                <w:szCs w:val="21"/>
                <w:highlight w:val="none"/>
              </w:rPr>
            </w:pPr>
            <w:r>
              <w:rPr>
                <w:rFonts w:hint="eastAsia" w:ascii="仿宋" w:hAnsi="仿宋" w:eastAsia="仿宋"/>
                <w:color w:val="auto"/>
                <w:szCs w:val="21"/>
                <w:highlight w:val="none"/>
              </w:rPr>
              <w:t>推行区域内立面一体化保洁，着眼每一处细节、紧盯每一个环节，目之所及，洁净如洗。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219"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废物箱保洁</w:t>
            </w:r>
          </w:p>
        </w:tc>
        <w:tc>
          <w:tcPr>
            <w:tcW w:w="5829" w:type="dxa"/>
            <w:noWrap/>
            <w:vAlign w:val="center"/>
          </w:tcPr>
          <w:p>
            <w:pPr>
              <w:pStyle w:val="25"/>
              <w:snapToGrid w:val="0"/>
              <w:spacing w:line="240" w:lineRule="auto"/>
              <w:jc w:val="left"/>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1、废物箱应保持设施完好，外观干净整洁，无污渍、积尘、无乱涂写、乱刻画、乱张贴等现象。保洁应做到箱内垃圾出清（内外洗清）、地坪扫清、标识擦清；内外壁无粘附、箱口无吊挂、箱体无积垢痰迹、垃圾无满溢、无污水外流。</w:t>
            </w:r>
          </w:p>
          <w:p>
            <w:pPr>
              <w:pStyle w:val="25"/>
              <w:snapToGrid w:val="0"/>
              <w:spacing w:line="240" w:lineRule="auto"/>
              <w:jc w:val="left"/>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2、废物箱垃圾收集应确保落实专用收集车辆，实行垃圾分类收集。应做到箱桶内垃圾分类袋装，收集过程无垃圾散落，无污水滴漏。</w:t>
            </w:r>
          </w:p>
        </w:tc>
        <w:tc>
          <w:tcPr>
            <w:tcW w:w="1474" w:type="dxa"/>
            <w:vMerge w:val="continue"/>
            <w:noWrap/>
            <w:vAlign w:val="center"/>
          </w:tcPr>
          <w:p>
            <w:pPr>
              <w:snapToGrid w:val="0"/>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19"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公共设施</w:t>
            </w:r>
          </w:p>
          <w:p>
            <w:pPr>
              <w:jc w:val="center"/>
              <w:rPr>
                <w:rFonts w:ascii="仿宋" w:hAnsi="仿宋" w:eastAsia="仿宋"/>
                <w:color w:val="auto"/>
                <w:szCs w:val="21"/>
                <w:highlight w:val="none"/>
              </w:rPr>
            </w:pPr>
            <w:r>
              <w:rPr>
                <w:rFonts w:hint="eastAsia" w:ascii="仿宋" w:hAnsi="仿宋" w:eastAsia="仿宋"/>
                <w:color w:val="auto"/>
                <w:szCs w:val="21"/>
                <w:highlight w:val="none"/>
              </w:rPr>
              <w:t>保洁</w:t>
            </w:r>
          </w:p>
        </w:tc>
        <w:tc>
          <w:tcPr>
            <w:tcW w:w="5829" w:type="dxa"/>
            <w:noWrap/>
            <w:vAlign w:val="center"/>
          </w:tcPr>
          <w:p>
            <w:pPr>
              <w:pStyle w:val="25"/>
              <w:snapToGrid w:val="0"/>
              <w:spacing w:line="240" w:lineRule="auto"/>
              <w:jc w:val="left"/>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1、公共设施保洁以冲洗、擦拭为主，作业时应划出安全距离，设置警示标志，防范安全事故。</w:t>
            </w:r>
          </w:p>
          <w:p>
            <w:pPr>
              <w:pStyle w:val="25"/>
              <w:snapToGrid w:val="0"/>
              <w:spacing w:line="240" w:lineRule="auto"/>
              <w:jc w:val="left"/>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2、公共设施保洁应做到外观整洁，设施上无杂物，无灰尘、无污迹，及时清除违规张贴、涂写等污损。应定期对供市民、游客休憩的条椅、石凳等设施进行冲洗、擦拭。</w:t>
            </w:r>
          </w:p>
        </w:tc>
        <w:tc>
          <w:tcPr>
            <w:tcW w:w="1474" w:type="dxa"/>
            <w:vMerge w:val="continue"/>
            <w:noWrap/>
            <w:vAlign w:val="center"/>
          </w:tcPr>
          <w:p>
            <w:pPr>
              <w:pStyle w:val="25"/>
              <w:snapToGrid w:val="0"/>
              <w:spacing w:line="240" w:lineRule="auto"/>
              <w:rPr>
                <w:rFonts w:ascii="仿宋" w:hAnsi="仿宋" w:eastAsia="仿宋" w:cs="Times New Roman"/>
                <w:snapToGrid/>
                <w:color w:val="auto"/>
                <w:sz w:val="21"/>
                <w:highlight w:val="none"/>
                <w:lang w:val="en-US"/>
              </w:rPr>
            </w:pPr>
          </w:p>
        </w:tc>
      </w:tr>
    </w:tbl>
    <w:p>
      <w:pPr>
        <w:pStyle w:val="25"/>
        <w:ind w:firstLine="420" w:firstLineChars="200"/>
        <w:rPr>
          <w:rFonts w:ascii="仿宋" w:hAnsi="仿宋" w:eastAsia="仿宋" w:cs="Times New Roman"/>
          <w:snapToGrid/>
          <w:color w:val="auto"/>
          <w:sz w:val="21"/>
          <w:highlight w:val="none"/>
          <w:lang w:val="en-US"/>
        </w:rPr>
      </w:pPr>
      <w:r>
        <w:rPr>
          <w:rFonts w:hint="eastAsia" w:ascii="仿宋" w:hAnsi="仿宋" w:eastAsia="仿宋" w:cs="Times New Roman"/>
          <w:snapToGrid/>
          <w:color w:val="auto"/>
          <w:sz w:val="21"/>
          <w:highlight w:val="none"/>
          <w:lang w:val="en-US"/>
        </w:rPr>
        <w:t>3.剖面保洁要求</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80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8"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项目</w:t>
            </w:r>
          </w:p>
        </w:tc>
        <w:tc>
          <w:tcPr>
            <w:tcW w:w="4819"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保洁要求</w:t>
            </w:r>
          </w:p>
        </w:tc>
        <w:tc>
          <w:tcPr>
            <w:tcW w:w="2035"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沟底保洁</w:t>
            </w:r>
          </w:p>
        </w:tc>
        <w:tc>
          <w:tcPr>
            <w:tcW w:w="4819" w:type="dxa"/>
            <w:noWrap/>
          </w:tcPr>
          <w:p>
            <w:pPr>
              <w:snapToGrid w:val="0"/>
              <w:rPr>
                <w:rFonts w:ascii="仿宋" w:hAnsi="仿宋" w:eastAsia="仿宋"/>
                <w:color w:val="auto"/>
                <w:szCs w:val="21"/>
                <w:highlight w:val="none"/>
              </w:rPr>
            </w:pPr>
            <w:r>
              <w:rPr>
                <w:rFonts w:hint="eastAsia" w:ascii="仿宋" w:hAnsi="仿宋" w:eastAsia="仿宋"/>
                <w:color w:val="auto"/>
                <w:szCs w:val="21"/>
                <w:highlight w:val="none"/>
              </w:rPr>
              <w:t>沟底进行定期深度保洁，保持清洁，及时对格栅板沟眼进行疏通，及时清除沟底内的零星垃圾、残留污水、残积沙土等污染物及粪便。</w:t>
            </w:r>
          </w:p>
        </w:tc>
        <w:tc>
          <w:tcPr>
            <w:tcW w:w="2035" w:type="dxa"/>
            <w:vMerge w:val="restart"/>
            <w:noWrap/>
            <w:vAlign w:val="center"/>
          </w:tcPr>
          <w:p>
            <w:pPr>
              <w:snapToGrid w:val="0"/>
              <w:rPr>
                <w:rFonts w:ascii="仿宋" w:hAnsi="仿宋" w:eastAsia="仿宋"/>
                <w:color w:val="auto"/>
                <w:szCs w:val="21"/>
                <w:highlight w:val="none"/>
              </w:rPr>
            </w:pPr>
            <w:r>
              <w:rPr>
                <w:rFonts w:hint="eastAsia" w:ascii="仿宋" w:hAnsi="仿宋" w:eastAsia="仿宋"/>
                <w:color w:val="auto"/>
                <w:szCs w:val="21"/>
                <w:highlight w:val="none"/>
              </w:rPr>
              <w:t>推行区域内剖面深度保洁，制定特色保洁作业法，做到底子清、无死角。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68"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窨井保洁</w:t>
            </w:r>
          </w:p>
        </w:tc>
        <w:tc>
          <w:tcPr>
            <w:tcW w:w="4819" w:type="dxa"/>
            <w:noWrap/>
          </w:tcPr>
          <w:p>
            <w:pPr>
              <w:snapToGrid w:val="0"/>
              <w:rPr>
                <w:rFonts w:ascii="仿宋" w:hAnsi="仿宋" w:eastAsia="仿宋"/>
                <w:color w:val="auto"/>
                <w:szCs w:val="21"/>
                <w:highlight w:val="none"/>
              </w:rPr>
            </w:pPr>
            <w:r>
              <w:rPr>
                <w:rFonts w:hint="eastAsia" w:ascii="仿宋" w:hAnsi="仿宋" w:eastAsia="仿宋"/>
                <w:color w:val="auto"/>
                <w:szCs w:val="21"/>
                <w:highlight w:val="none"/>
              </w:rPr>
              <w:t>定期对窨井盖进行冲洗保洁，确保窨井进水口清洁、畅通。</w:t>
            </w:r>
          </w:p>
        </w:tc>
        <w:tc>
          <w:tcPr>
            <w:tcW w:w="2035" w:type="dxa"/>
            <w:vMerge w:val="continue"/>
            <w:noWrap/>
          </w:tcPr>
          <w:p>
            <w:pPr>
              <w:snapToGrid w:val="0"/>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8"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侧石保洁</w:t>
            </w:r>
          </w:p>
        </w:tc>
        <w:tc>
          <w:tcPr>
            <w:tcW w:w="4819" w:type="dxa"/>
            <w:noWrap/>
          </w:tcPr>
          <w:p>
            <w:pPr>
              <w:snapToGrid w:val="0"/>
              <w:rPr>
                <w:rFonts w:ascii="仿宋" w:hAnsi="仿宋" w:eastAsia="仿宋"/>
                <w:color w:val="auto"/>
                <w:szCs w:val="21"/>
                <w:highlight w:val="none"/>
              </w:rPr>
            </w:pPr>
            <w:r>
              <w:rPr>
                <w:rFonts w:hint="eastAsia" w:ascii="仿宋" w:hAnsi="仿宋" w:eastAsia="仿宋"/>
                <w:color w:val="auto"/>
                <w:szCs w:val="21"/>
                <w:highlight w:val="none"/>
              </w:rPr>
              <w:t>定期对道路侧石进行冲洗保洁，保持侧石干净整洁，无明显污迹。</w:t>
            </w:r>
          </w:p>
        </w:tc>
        <w:tc>
          <w:tcPr>
            <w:tcW w:w="2035" w:type="dxa"/>
            <w:vMerge w:val="continue"/>
            <w:noWrap/>
          </w:tcPr>
          <w:p>
            <w:pPr>
              <w:snapToGrid w:val="0"/>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68"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墙角保洁</w:t>
            </w:r>
          </w:p>
        </w:tc>
        <w:tc>
          <w:tcPr>
            <w:tcW w:w="4819" w:type="dxa"/>
            <w:noWrap/>
          </w:tcPr>
          <w:p>
            <w:pPr>
              <w:snapToGrid w:val="0"/>
              <w:rPr>
                <w:rFonts w:ascii="仿宋" w:hAnsi="仿宋" w:eastAsia="仿宋"/>
                <w:color w:val="auto"/>
                <w:szCs w:val="21"/>
                <w:highlight w:val="none"/>
              </w:rPr>
            </w:pPr>
            <w:r>
              <w:rPr>
                <w:rFonts w:hint="eastAsia" w:ascii="仿宋" w:hAnsi="仿宋" w:eastAsia="仿宋"/>
                <w:color w:val="auto"/>
                <w:szCs w:val="21"/>
                <w:highlight w:val="none"/>
              </w:rPr>
              <w:t>定期清理墙角等卫生死角，确保墙角无堆物、无零星垃圾、残留污水、残积沙土、明显污迹等。</w:t>
            </w:r>
          </w:p>
        </w:tc>
        <w:tc>
          <w:tcPr>
            <w:tcW w:w="2035" w:type="dxa"/>
            <w:vMerge w:val="continue"/>
            <w:noWrap/>
          </w:tcPr>
          <w:p>
            <w:pPr>
              <w:snapToGrid w:val="0"/>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68"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树根保洁</w:t>
            </w:r>
          </w:p>
        </w:tc>
        <w:tc>
          <w:tcPr>
            <w:tcW w:w="4819" w:type="dxa"/>
            <w:noWrap/>
          </w:tcPr>
          <w:p>
            <w:pPr>
              <w:snapToGrid w:val="0"/>
              <w:rPr>
                <w:rFonts w:ascii="仿宋" w:hAnsi="仿宋" w:eastAsia="仿宋"/>
                <w:color w:val="auto"/>
                <w:szCs w:val="21"/>
                <w:highlight w:val="none"/>
              </w:rPr>
            </w:pPr>
            <w:r>
              <w:rPr>
                <w:rFonts w:hint="eastAsia" w:ascii="仿宋" w:hAnsi="仿宋" w:eastAsia="仿宋"/>
                <w:color w:val="auto"/>
                <w:szCs w:val="21"/>
                <w:highlight w:val="none"/>
              </w:rPr>
              <w:t>定期进行深度清洁，及时清除行道树树穴内的垃圾、口香糖、呕吐物、粪便等各类污染物。</w:t>
            </w:r>
          </w:p>
        </w:tc>
        <w:tc>
          <w:tcPr>
            <w:tcW w:w="2035" w:type="dxa"/>
            <w:vMerge w:val="continue"/>
            <w:noWrap/>
          </w:tcPr>
          <w:p>
            <w:pPr>
              <w:snapToGrid w:val="0"/>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68" w:type="dxa"/>
            <w:noWrap/>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砖缝保洁</w:t>
            </w:r>
          </w:p>
        </w:tc>
        <w:tc>
          <w:tcPr>
            <w:tcW w:w="4819" w:type="dxa"/>
            <w:noWrap/>
          </w:tcPr>
          <w:p>
            <w:pPr>
              <w:snapToGrid w:val="0"/>
              <w:rPr>
                <w:rFonts w:ascii="仿宋" w:hAnsi="仿宋" w:eastAsia="仿宋"/>
                <w:color w:val="auto"/>
                <w:szCs w:val="21"/>
                <w:highlight w:val="none"/>
              </w:rPr>
            </w:pPr>
            <w:r>
              <w:rPr>
                <w:rFonts w:hint="eastAsia" w:ascii="仿宋" w:hAnsi="仿宋" w:eastAsia="仿宋"/>
                <w:color w:val="auto"/>
                <w:szCs w:val="21"/>
                <w:highlight w:val="none"/>
              </w:rPr>
              <w:t>定期对砖缝进行冲洗，定期清除砖缝内杂草，及时清除烟头、口香糖等污染物。</w:t>
            </w:r>
          </w:p>
        </w:tc>
        <w:tc>
          <w:tcPr>
            <w:tcW w:w="2035" w:type="dxa"/>
            <w:vMerge w:val="continue"/>
            <w:noWrap/>
          </w:tcPr>
          <w:p>
            <w:pPr>
              <w:snapToGrid w:val="0"/>
              <w:rPr>
                <w:rFonts w:ascii="仿宋" w:hAnsi="仿宋" w:eastAsia="仿宋"/>
                <w:color w:val="auto"/>
                <w:szCs w:val="21"/>
                <w:highlight w:val="none"/>
              </w:rPr>
            </w:pPr>
          </w:p>
        </w:tc>
      </w:tr>
    </w:tbl>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cs="仿宋"/>
          <w:b/>
          <w:bCs/>
          <w:color w:val="auto"/>
          <w:szCs w:val="21"/>
          <w:highlight w:val="none"/>
        </w:rPr>
        <w:t>注：未尽要求规范按《嘉兴市建设局关于印发嘉兴市区保洁样板街区及“席地可坐”城市客厅建设实施方案及配套文件的通知》执行，实施期间若有新标准的，按新标准执行。</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3.其他区域环境卫生保洁基本要求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3.1应做到文明、清洁、安全和有序，最大限度地减少对环境的污染和对公众生活的影响。工作期间应穿工作服（含鞋、帽），佩戴工号牌或工作证,着装整洁。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3.2环卫作业车辆出车前应进行检查，确保车况良好，车容整洁。当日作业结束后，应对车辆进行清洗，保持车辆外观整洁，并做好车辆维护和保养工作。</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3.3合理安排作业计划，组织机械化清扫、洒水、清洗作业应避开交通高峰时段（7:00-8:30，17:00-18:30）。</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（一）道路、区域保洁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道路按等级分级保洁，等级划分条件见《嘉兴市地方标准城市管理规范DB 3304/T 048—2020》。各级道路保洁频次、相关作业规范及达到标准：</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1.一级道路（区域）保洁要求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（1）每日实行18小时保洁,每日普扫≥2次，机扫≥3次，洒水6-8次，机械化率达到96%以上。</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（2）垃圾滞留时间不超过10分钟，果壳箱每日清理4次，清洗2次,垃圾上门清理≥3次,路面清洗每周≥2次、机械冲洗每日≥2次。</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（3）城市家具(可坐)每日清洁3次,其他家具(不坐）每月清洁4次。</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2.二级道路（区域）保洁要求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（1）每日实行16小时保洁，每日普扫≥2次，机扫≥2次，洒水6次，机械化率达到96%以上。</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（2）垃圾滞留时间不超过15分钟，果壳箱每日清理3次，清洗1次,垃圾上门清理≥3次，路面清洗每周1次、机械冲洗每日≥2次。</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（3）城市家具(可坐)每日清洁2次，其他家具(不坐)每月清洁3次。</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3.三级道路（区域）保洁要求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（1）每日实行14小时保洁，每日普扫≥2次、机扫≥2次，洒水6次，机械化率达到96%以上。</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（2）垃圾滞留时间不超过20分钟,果壳箱每日清理3次、清洗1次，垃圾上门清理≥2次，路面清洗每周1次、机械冲洗每日&gt;1次。</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（3）城市家具(可坐)每日清洁2次其他家具(不坐)每月清洁2次。</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4.道路洒水（清洗）作业要求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每日普扫作业前，应先对车行道路面进行洒水。洒水车应在指定的环卫取水栓加足水，并按照规定的时间和路线进行洒水作业。洒水时，洒水车车速不得超过25Km/h；清洗时，高压清洗车车速不得超过10Km/h。洒水时，应调整好洒水车水压和水幅，保持车行道全路段路面湿润。途经地铁站、公交站、交叉路口、人行横道等人流量集中的地点应注意放慢车速，避让行人，调整启闭装置，避免将水洒到行人身上。最低温度为2℃及以下时暂停洒水作业。小雨及以下雨量时，按计划保持洒水作业；中雨及以上雨量或雷阵雨期间，暂停洒水作业。</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5.普扫作业要求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每日首次普扫，夏季（6月-8月）在上午6时30分以前完成，春、秋、冬季（9月-次年5月）在上午7时完成。应根据重大活动保障、落叶旺季等因素适时增加每日普扫频次。每日普扫时，应按照规定的时间、人数、路线进行集中清扫作业。清扫时，避免扬尘，清扫不留空白点。清扫时不得将垃圾扫入雨水井、绿地、绿化带、河道、道路红线外待建地块，并清理雨水井口的积泥、嵌石，保持雨水井口畅通。清扫后归拢的垃圾应靠边堆放，及时清运不漏收。对路面口香糖污渍、路面乱涂写招贴，应使用铲刀或高压清洗机具予以清除。清扫的街面垃圾、沿街果皮箱中的垃圾应密闭化运至指定地点，运输过程不得抛洒滴漏。</w:t>
      </w:r>
      <w:r>
        <w:rPr>
          <w:rFonts w:hint="eastAsia" w:ascii="仿宋" w:hAnsi="仿宋" w:eastAsia="仿宋"/>
          <w:b/>
          <w:bCs/>
          <w:color w:val="auto"/>
          <w:szCs w:val="21"/>
          <w:highlight w:val="none"/>
        </w:rPr>
        <w:t>普扫结束后，应按照规定的责任保洁区域、保洁时间组织巡回保洁。</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6.机械化清扫要求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机械化清扫范围主要为机动车道， 湿扫车或洗扫车应加足水，根据路面状况调整好扫路车侧刷和吸口，喷雾清扫无扬尘，在规定时间和路线进行机械化清扫作业。机械化清扫作业时，扫路车或洗扫车车速不得超过10Km/h。机械化清扫作业时，应沿着车行道侧石进行全路段清扫，做到不漏扫，保持路面清洁。机械化清扫车辆所用的扫把丝等消耗品应根据使用状况及时更换。</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7.道路保洁标准（即呈现效果）</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7.1一级道路（区域）</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（1）道路深度清扫冲洗,实现路见本色,打造一批席地而坐区域。</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（2）路面无垃圾杂物、无积尘积水、无烟蒂痰渍污渍。</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（3）公交站亭、街头小品等城市家具保洁及时,无乱张贴、乱涂画等现象，手摸无尘，</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7.2二级道路（区域）</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（1）道路清扫彻底、冲洗及时，路面基本见本色。</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（2）100米路面中，垃圾杂物、积尘积水、烟蒂痰渍污渍等问题，少于4处。</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（3）城市家具长效保洁,无乱张贴、乱涂画等现象，基本无尘。</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7.3三级道路（区域）</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（1）道路清扫冲洗全覆盖、干净整洁，路面基本见本色。</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（2）100米路面中，垃圾杂物、积尘积水、烟蒂痰渍污渍等问题，少于6处。</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（3）城市家具长效保洁,无乱张贴、乱涂画等现象，基本无尘。</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8.普扫作业标准</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清扫应做到“五无五净”，即无垃圾杂物，无积水积泥，无痰迹烟蒂，无果皮纸屑，无土石杂草；路面干净，绿地、绿化带和树圈干净，边角侧石干净，雨水井盖沟眼畅通干净，果皮箱等环卫设施干净。路面见本色。</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9.整体保洁作业质量</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在“五无五净”基础上，保持交通隔离栏、路灯杆、交通信号灯杆等城市家具清洁。保洁时段内，各类道路和街巷清扫保洁区域的路面废弃物总数应符合：</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（1）果皮、纸屑、塑料袋及零星垃圾每500m少于等于2个；</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（2）无生活污水积水；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（3）烟蒂每500m少于等于4个；</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（4）痰迹每500m少于等于3个；</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（5）尘土量量每平方少于等于10克；</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（6）路面见本色。</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10.其他要求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道路两侧公交站台、果壳箱、垃圾箱、城市家具保洁标准与所处道路保洁质量标准相同。</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（二）公厕保洁</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1.保洁要求</w:t>
      </w:r>
    </w:p>
    <w:p>
      <w:pPr>
        <w:spacing w:line="360" w:lineRule="auto"/>
        <w:ind w:firstLine="420" w:firstLineChars="200"/>
        <w:contextualSpacing/>
        <w:rPr>
          <w:rFonts w:ascii="仿宋" w:hAnsi="仿宋" w:eastAsia="仿宋"/>
          <w:color w:val="auto"/>
          <w:szCs w:val="21"/>
          <w:highlight w:val="none"/>
        </w:rPr>
      </w:pPr>
      <w:r>
        <w:rPr>
          <w:rFonts w:ascii="仿宋" w:hAnsi="仿宋" w:eastAsia="仿宋"/>
          <w:color w:val="auto"/>
          <w:szCs w:val="21"/>
          <w:highlight w:val="none"/>
        </w:rPr>
        <w:t>本次招标范围内共</w:t>
      </w:r>
      <w:r>
        <w:rPr>
          <w:rFonts w:hint="eastAsia" w:ascii="仿宋" w:hAnsi="仿宋" w:eastAsia="仿宋"/>
          <w:color w:val="auto"/>
          <w:szCs w:val="21"/>
          <w:highlight w:val="none"/>
        </w:rPr>
        <w:t>11</w:t>
      </w:r>
      <w:r>
        <w:rPr>
          <w:rFonts w:ascii="仿宋" w:hAnsi="仿宋" w:eastAsia="仿宋"/>
          <w:color w:val="auto"/>
          <w:szCs w:val="21"/>
          <w:highlight w:val="none"/>
        </w:rPr>
        <w:t>座公厕，</w:t>
      </w:r>
      <w:r>
        <w:rPr>
          <w:rFonts w:hint="eastAsia" w:ascii="仿宋" w:hAnsi="仿宋" w:eastAsia="仿宋"/>
          <w:color w:val="auto"/>
          <w:szCs w:val="21"/>
          <w:highlight w:val="none"/>
        </w:rPr>
        <w:t>其中标项一共有</w:t>
      </w:r>
      <w:r>
        <w:rPr>
          <w:rFonts w:ascii="仿宋" w:hAnsi="仿宋" w:eastAsia="仿宋"/>
          <w:color w:val="auto"/>
          <w:szCs w:val="21"/>
          <w:highlight w:val="none"/>
        </w:rPr>
        <w:t>三星公厕</w:t>
      </w:r>
      <w:r>
        <w:rPr>
          <w:rFonts w:hint="eastAsia" w:ascii="仿宋" w:hAnsi="仿宋" w:eastAsia="仿宋"/>
          <w:color w:val="auto"/>
          <w:szCs w:val="21"/>
          <w:highlight w:val="none"/>
        </w:rPr>
        <w:t>2</w:t>
      </w:r>
      <w:r>
        <w:rPr>
          <w:rFonts w:ascii="仿宋" w:hAnsi="仿宋" w:eastAsia="仿宋"/>
          <w:color w:val="auto"/>
          <w:szCs w:val="21"/>
          <w:highlight w:val="none"/>
        </w:rPr>
        <w:t>座，二星公厕</w:t>
      </w:r>
      <w:r>
        <w:rPr>
          <w:rFonts w:hint="eastAsia" w:ascii="仿宋" w:hAnsi="仿宋" w:eastAsia="仿宋"/>
          <w:color w:val="auto"/>
          <w:szCs w:val="21"/>
          <w:highlight w:val="none"/>
        </w:rPr>
        <w:t>7</w:t>
      </w:r>
      <w:r>
        <w:rPr>
          <w:rFonts w:ascii="仿宋" w:hAnsi="仿宋" w:eastAsia="仿宋"/>
          <w:color w:val="auto"/>
          <w:szCs w:val="21"/>
          <w:highlight w:val="none"/>
        </w:rPr>
        <w:t>座</w:t>
      </w:r>
      <w:r>
        <w:rPr>
          <w:rFonts w:hint="eastAsia" w:ascii="仿宋" w:hAnsi="仿宋" w:eastAsia="仿宋"/>
          <w:color w:val="auto"/>
          <w:szCs w:val="21"/>
          <w:highlight w:val="none"/>
        </w:rPr>
        <w:t>，标项二共有二星</w:t>
      </w:r>
      <w:r>
        <w:rPr>
          <w:rFonts w:hint="eastAsia" w:ascii="仿宋" w:hAnsi="仿宋" w:eastAsia="仿宋"/>
          <w:color w:val="auto"/>
          <w:szCs w:val="21"/>
          <w:highlight w:val="none"/>
          <w:lang w:val="en-US" w:eastAsia="zh-CN"/>
        </w:rPr>
        <w:t>公厕</w:t>
      </w:r>
      <w:r>
        <w:rPr>
          <w:rFonts w:hint="eastAsia" w:ascii="仿宋" w:hAnsi="仿宋" w:eastAsia="仿宋"/>
          <w:color w:val="auto"/>
          <w:szCs w:val="21"/>
          <w:highlight w:val="none"/>
        </w:rPr>
        <w:t>2座。</w:t>
      </w:r>
      <w:r>
        <w:rPr>
          <w:rFonts w:ascii="仿宋" w:hAnsi="仿宋" w:eastAsia="仿宋"/>
          <w:color w:val="auto"/>
          <w:szCs w:val="21"/>
          <w:highlight w:val="none"/>
        </w:rPr>
        <w:t>三星公厕</w:t>
      </w:r>
      <w:r>
        <w:rPr>
          <w:rFonts w:hint="eastAsia" w:ascii="仿宋" w:hAnsi="仿宋" w:eastAsia="仿宋"/>
          <w:color w:val="auto"/>
          <w:szCs w:val="21"/>
          <w:highlight w:val="none"/>
        </w:rPr>
        <w:t>保洁人员每座不少于</w:t>
      </w:r>
      <w:r>
        <w:rPr>
          <w:rFonts w:ascii="仿宋" w:hAnsi="仿宋" w:eastAsia="仿宋"/>
          <w:color w:val="auto"/>
          <w:szCs w:val="21"/>
          <w:highlight w:val="none"/>
        </w:rPr>
        <w:t>4人，二星公厕</w:t>
      </w:r>
      <w:r>
        <w:rPr>
          <w:rFonts w:hint="eastAsia" w:ascii="仿宋" w:hAnsi="仿宋" w:eastAsia="仿宋"/>
          <w:color w:val="auto"/>
          <w:szCs w:val="21"/>
          <w:highlight w:val="none"/>
        </w:rPr>
        <w:t>保洁人员每座不少于</w:t>
      </w:r>
      <w:r>
        <w:rPr>
          <w:rFonts w:ascii="仿宋" w:hAnsi="仿宋" w:eastAsia="仿宋"/>
          <w:color w:val="auto"/>
          <w:szCs w:val="21"/>
          <w:highlight w:val="none"/>
        </w:rPr>
        <w:t>2人</w:t>
      </w:r>
      <w:r>
        <w:rPr>
          <w:rFonts w:hint="eastAsia" w:ascii="仿宋" w:hAnsi="仿宋" w:eastAsia="仿宋"/>
          <w:color w:val="auto"/>
          <w:szCs w:val="21"/>
          <w:highlight w:val="none"/>
        </w:rPr>
        <w:t>。</w:t>
      </w:r>
      <w:r>
        <w:rPr>
          <w:rFonts w:ascii="仿宋" w:hAnsi="仿宋" w:eastAsia="仿宋"/>
          <w:color w:val="auto"/>
          <w:szCs w:val="21"/>
          <w:highlight w:val="none"/>
        </w:rPr>
        <w:t>进行两班制轮岗保洁模式。日常维护上班时间：上午6:00至晚上22:00。公厕内采光、照明和通风良好，三星公厕无异味，可视范围内无蚊蝇；二星公厕无明显异味，蚊蝇不超过3只。</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2.保洁标准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墙面洁净：公厕内、外墙整洁，墙面光洁无破损、污蚀渗漏；隔板、窗栅、门窗玻璃无破损；内墙面、天花板，门窗和隔离板无积灰、污迹、蛛网，无乱涂乱画，无破损。公厕内洗漱器具整洁。</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地面洁净：公厕内地面光洁，无积水。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厕位洁净：蹲位整洁，大便槽两侧无粪便污物，槽内无粪迹，无堵塞，洁净见底；小便槽(斗)无水锈、尿垢、烟蒂，无明显臭味；沟眼、管道保持畅通。</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设施有序：公厕内照明灯具、洗手器具、镜子挂衣钩、烘手器、冲水设备等设施设备完好有序，无缺亮渗漏，无积灰、污物；管理房（工具间）物品摆放有序，整洁无杂物，不得挪作他用；无障碍公厕通道畅通。其他参见《公共厕所保洁与服务规范》（DB3301/T74）的规定。</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（三）公交站台及城市家具保洁</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1.公交站台保洁要求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要求每天至少清洗一次。对公交站台内的大小玻璃、支架、座椅、顶棚、指路牌、站台地面需每天做好擦拭、清洗及清扫等保洁工作，保持候车座位、玻璃等站台设施清洁，干净明亮，无污渍、灰尘、牛皮癣及其它脏物，确保站台周围环境卫生干净整洁，候车环境良好。</w:t>
      </w:r>
    </w:p>
    <w:p>
      <w:pPr>
        <w:spacing w:line="360" w:lineRule="auto"/>
        <w:ind w:firstLine="422" w:firstLineChars="200"/>
        <w:contextualSpacing/>
        <w:rPr>
          <w:rFonts w:ascii="仿宋" w:hAnsi="仿宋" w:eastAsia="仿宋"/>
          <w:color w:val="auto"/>
          <w:szCs w:val="21"/>
          <w:highlight w:val="none"/>
        </w:rPr>
      </w:pPr>
      <w:r>
        <w:rPr>
          <w:rFonts w:hint="eastAsia" w:ascii="仿宋" w:hAnsi="仿宋" w:eastAsia="仿宋"/>
          <w:b/>
          <w:bCs/>
          <w:color w:val="auto"/>
          <w:szCs w:val="21"/>
          <w:highlight w:val="none"/>
        </w:rPr>
        <w:t>2.城市家具保洁要求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要求每天至少清洗一次。交安设施、标志标牌、护栏应优先采用机械清洗的方式，无法采用机械清洗的其他城市家具则用人工清洗的方式清洗。以保障城市市容市貌卫生、干净、整洁。</w:t>
      </w:r>
    </w:p>
    <w:p>
      <w:pPr>
        <w:spacing w:line="360" w:lineRule="auto"/>
        <w:ind w:firstLine="422" w:firstLineChars="200"/>
        <w:contextualSpacing/>
        <w:rPr>
          <w:rFonts w:ascii="仿宋" w:hAnsi="仿宋" w:eastAsia="仿宋"/>
          <w:color w:val="auto"/>
          <w:szCs w:val="21"/>
          <w:highlight w:val="none"/>
        </w:rPr>
      </w:pPr>
      <w:r>
        <w:rPr>
          <w:rFonts w:hint="eastAsia" w:ascii="仿宋" w:hAnsi="仿宋" w:eastAsia="仿宋"/>
          <w:b/>
          <w:bCs/>
          <w:color w:val="auto"/>
          <w:szCs w:val="21"/>
          <w:highlight w:val="none"/>
        </w:rPr>
        <w:t>（四）沿街店面（商铺）垃圾分类上门收集</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1.收集区域</w:t>
      </w:r>
    </w:p>
    <w:p>
      <w:pPr>
        <w:spacing w:line="360" w:lineRule="auto"/>
        <w:ind w:firstLine="420" w:firstLineChars="200"/>
        <w:contextualSpacing/>
        <w:rPr>
          <w:rFonts w:ascii="仿宋" w:hAnsi="仿宋" w:eastAsia="仿宋"/>
          <w:b/>
          <w:bCs/>
          <w:color w:val="auto"/>
          <w:szCs w:val="21"/>
          <w:highlight w:val="none"/>
        </w:rPr>
      </w:pPr>
      <w:r>
        <w:rPr>
          <w:rFonts w:hint="eastAsia" w:ascii="仿宋" w:hAnsi="仿宋" w:eastAsia="仿宋"/>
          <w:color w:val="auto"/>
          <w:szCs w:val="21"/>
          <w:highlight w:val="none"/>
        </w:rPr>
        <w:t>辖区范围内的所有沿街店铺产生的除绿能环保科技有限公司协议内的各类垃圾。</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2.收集时间</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一天三次，原则上上午、下午、晚上各一次。厨余、生鲜垃圾应定时定车收集。</w:t>
      </w:r>
    </w:p>
    <w:p>
      <w:pPr>
        <w:spacing w:line="360" w:lineRule="auto"/>
        <w:ind w:firstLine="422" w:firstLineChars="200"/>
        <w:contextualSpacing/>
        <w:rPr>
          <w:rFonts w:ascii="仿宋" w:hAnsi="仿宋" w:eastAsia="仿宋"/>
          <w:color w:val="auto"/>
          <w:szCs w:val="21"/>
          <w:highlight w:val="none"/>
        </w:rPr>
      </w:pPr>
      <w:r>
        <w:rPr>
          <w:rFonts w:hint="eastAsia" w:ascii="仿宋" w:hAnsi="仿宋" w:eastAsia="仿宋"/>
          <w:b/>
          <w:bCs/>
          <w:color w:val="auto"/>
          <w:szCs w:val="21"/>
          <w:highlight w:val="none"/>
        </w:rPr>
        <w:t>3.保洁要求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根据沿街商铺工作时间，上午、下午、晚上三次上门收集垃圾，如遇特殊情况或有需要增加收运次数的区域实际按</w:t>
      </w:r>
      <w:r>
        <w:rPr>
          <w:rFonts w:hint="eastAsia" w:ascii="仿宋" w:hAnsi="仿宋" w:eastAsia="仿宋"/>
          <w:color w:val="auto"/>
          <w:szCs w:val="21"/>
          <w:highlight w:val="none"/>
          <w:lang w:val="en-US" w:eastAsia="zh-CN"/>
        </w:rPr>
        <w:t>采购人</w:t>
      </w:r>
      <w:r>
        <w:rPr>
          <w:rFonts w:hint="eastAsia" w:ascii="仿宋" w:hAnsi="仿宋" w:eastAsia="仿宋"/>
          <w:color w:val="auto"/>
          <w:szCs w:val="21"/>
          <w:highlight w:val="none"/>
        </w:rPr>
        <w:t>要求进行增加收运频次，由垃圾收集车统一清运。中标单位应引导各沿街店铺经营户积极配合环卫工作，实行垃圾袋装化或桶装化后将垃圾袋（桶）摆放在店内，由保洁员上门收集清运，保洁人员凡驾驶电瓶车的，必须按照道路交通安全法规定佩戴头盔。</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（五）垃圾分类管理工作要求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垃圾分类投放管理应当做到以下几点：</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（1）建立生活垃圾分类投放责任制和日常管理制度；</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（2）开展生活垃圾分类知识宣传，指导、监督单位和个人分类投放垃圾；</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（3）按照有关规定清洁和维护生活垃圾收集容器；</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（4）将分类投放的垃圾实行中转收集、运输的，分类运送至指定收集站（点）；</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（5）督促垃圾收集、运输单位分类收集、运输生活垃圾。对不按照规定分类投放垃圾的单位和个人，应当予以劝导，并督促改正。</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（6）有害垃圾经过分类后属于危险废物的，运输过程应当遵守危险废物运输管理有关规定。可回收物可以由回收经营者优先回收。</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7）垃圾收集、运输应当将分类收集的生活垃圾及时运输至规定的地点，不得将分类投放的垃圾混合收集、运输；确因缺乏处置设施或者处置能力不足，暂时需要混合收集、运输的，应当明确期限并向社会公告。居民装修垃圾、大件垃圾实行定时定点收集、运输。</w:t>
      </w:r>
    </w:p>
    <w:p>
      <w:pPr>
        <w:spacing w:line="360" w:lineRule="auto"/>
        <w:ind w:firstLine="422" w:firstLineChars="200"/>
        <w:contextualSpacing/>
        <w:rPr>
          <w:rFonts w:ascii="仿宋" w:hAnsi="仿宋" w:eastAsia="仿宋"/>
          <w:b/>
          <w:bCs/>
          <w:color w:val="auto"/>
          <w:szCs w:val="21"/>
          <w:highlight w:val="none"/>
        </w:rPr>
      </w:pPr>
      <w:r>
        <w:rPr>
          <w:rFonts w:hint="eastAsia" w:ascii="仿宋" w:hAnsi="仿宋" w:eastAsia="仿宋"/>
          <w:b/>
          <w:bCs/>
          <w:color w:val="auto"/>
          <w:szCs w:val="21"/>
          <w:highlight w:val="none"/>
        </w:rPr>
        <w:t>（六）牛皮癣清理</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区域内建筑物外墙、各类电线杆及各类公共设施上的乱张贴、乱涂写、乱刻画、乱吊挂和过时破损标语及非法广告应及时涂刷（涂刷时颜色大致与后墙体相同），清理时尽可能不破坏原基础，达到美观的效果。</w:t>
      </w:r>
    </w:p>
    <w:p>
      <w:pPr>
        <w:pStyle w:val="34"/>
        <w:snapToGrid w:val="0"/>
        <w:spacing w:line="360" w:lineRule="auto"/>
        <w:ind w:firstLine="422" w:firstLineChars="200"/>
        <w:outlineLvl w:val="0"/>
        <w:rPr>
          <w:rFonts w:ascii="仿宋" w:hAnsi="仿宋" w:eastAsia="仿宋" w:cs="仿宋"/>
          <w:b/>
          <w:bCs/>
          <w:snapToGrid/>
          <w:color w:val="auto"/>
          <w:highlight w:val="none"/>
        </w:rPr>
      </w:pPr>
      <w:r>
        <w:rPr>
          <w:rFonts w:hint="eastAsia" w:ascii="仿宋" w:hAnsi="仿宋" w:eastAsia="仿宋" w:cs="仿宋"/>
          <w:b/>
          <w:bCs/>
          <w:snapToGrid/>
          <w:color w:val="auto"/>
          <w:highlight w:val="none"/>
        </w:rPr>
        <w:t>（七）河道保洁</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1.保洁范围</w:t>
      </w:r>
    </w:p>
    <w:p>
      <w:pPr>
        <w:pStyle w:val="3"/>
        <w:ind w:left="0" w:firstLine="420" w:firstLineChars="200"/>
        <w:rPr>
          <w:rFonts w:hint="default" w:ascii="仿宋" w:eastAsia="仿宋" w:cs="仿宋"/>
          <w:b w:val="0"/>
          <w:bCs w:val="0"/>
          <w:color w:val="auto"/>
          <w:sz w:val="21"/>
          <w:szCs w:val="21"/>
          <w:highlight w:val="none"/>
          <w:lang w:val="en-US" w:eastAsia="zh-CN"/>
        </w:rPr>
      </w:pPr>
      <w:r>
        <w:rPr>
          <w:rFonts w:hint="eastAsia" w:ascii="仿宋" w:eastAsia="仿宋" w:cs="仿宋"/>
          <w:b w:val="0"/>
          <w:bCs w:val="0"/>
          <w:color w:val="auto"/>
          <w:sz w:val="21"/>
          <w:szCs w:val="21"/>
          <w:highlight w:val="none"/>
          <w:lang w:val="en-US"/>
        </w:rPr>
        <w:t>区域范围内河道及两侧各6米岸坡范围内的保洁、河道内水生植物的养护及补种、拦污栅的维护等</w:t>
      </w:r>
      <w:r>
        <w:rPr>
          <w:rFonts w:hint="eastAsia" w:ascii="仿宋" w:eastAsia="仿宋" w:cs="仿宋"/>
          <w:b w:val="0"/>
          <w:bCs w:val="0"/>
          <w:color w:val="auto"/>
          <w:sz w:val="21"/>
          <w:szCs w:val="21"/>
          <w:highlight w:val="none"/>
          <w:lang w:val="en-US" w:eastAsia="zh-CN"/>
        </w:rPr>
        <w:t>。</w:t>
      </w:r>
      <w:r>
        <w:rPr>
          <w:rFonts w:hint="eastAsia" w:ascii="仿宋" w:eastAsia="仿宋" w:cs="仿宋"/>
          <w:b/>
          <w:bCs/>
          <w:color w:val="auto"/>
          <w:sz w:val="21"/>
          <w:szCs w:val="21"/>
          <w:highlight w:val="none"/>
          <w:lang w:val="en-US" w:eastAsia="zh-CN"/>
        </w:rPr>
        <w:t>部分涉及在建的河道根据实际情况按采购人指令实施，若确定不在本年度河道保洁范围内的，则根据实际保洁面积进行增加或者核减相应保洁费用。</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2.保洁要求</w:t>
      </w:r>
    </w:p>
    <w:p>
      <w:pPr>
        <w:pStyle w:val="4"/>
        <w:ind w:left="0" w:leftChars="0" w:firstLine="420"/>
        <w:rPr>
          <w:rFonts w:ascii="仿宋" w:hAnsi="仿宋" w:eastAsia="仿宋" w:cs="仿宋"/>
          <w:color w:val="auto"/>
          <w:sz w:val="21"/>
          <w:szCs w:val="21"/>
          <w:highlight w:val="none"/>
        </w:rPr>
      </w:pPr>
      <w:r>
        <w:rPr>
          <w:rFonts w:hint="eastAsia" w:ascii="仿宋" w:eastAsia="仿宋" w:cs="仿宋"/>
          <w:color w:val="auto"/>
          <w:sz w:val="21"/>
          <w:szCs w:val="21"/>
          <w:highlight w:val="none"/>
        </w:rPr>
        <w:t>2.1</w:t>
      </w:r>
      <w:r>
        <w:rPr>
          <w:rFonts w:hint="eastAsia" w:ascii="仿宋" w:hAnsi="仿宋" w:eastAsia="仿宋" w:cs="仿宋"/>
          <w:color w:val="auto"/>
          <w:sz w:val="21"/>
          <w:szCs w:val="21"/>
          <w:highlight w:val="none"/>
        </w:rPr>
        <w:t>实行全日制保洁，应做到河岸无垃圾，河面无漂浮物、障碍物及各类杂草、水葫芦等。</w:t>
      </w:r>
    </w:p>
    <w:p>
      <w:pPr>
        <w:pStyle w:val="4"/>
        <w:ind w:left="0" w:leftChars="0" w:firstLine="420"/>
        <w:rPr>
          <w:rFonts w:ascii="仿宋" w:hAnsi="仿宋" w:eastAsia="仿宋" w:cs="仿宋"/>
          <w:color w:val="auto"/>
          <w:sz w:val="21"/>
          <w:szCs w:val="21"/>
          <w:highlight w:val="none"/>
        </w:rPr>
      </w:pPr>
      <w:r>
        <w:rPr>
          <w:rFonts w:hint="eastAsia" w:ascii="仿宋" w:eastAsia="仿宋" w:cs="仿宋"/>
          <w:color w:val="auto"/>
          <w:sz w:val="21"/>
          <w:szCs w:val="21"/>
          <w:highlight w:val="none"/>
        </w:rPr>
        <w:t>2.2</w:t>
      </w:r>
      <w:r>
        <w:rPr>
          <w:rFonts w:hint="eastAsia" w:ascii="仿宋" w:hAnsi="仿宋" w:eastAsia="仿宋" w:cs="仿宋"/>
          <w:color w:val="auto"/>
          <w:sz w:val="21"/>
          <w:szCs w:val="21"/>
          <w:highlight w:val="none"/>
        </w:rPr>
        <w:t>保洁人员每天早上7点到岗，水域头遍保洁在早晨10点之前完成，每天上岗不少于8小时，巡回保洁打捞，保洁质量达到本合同约定的要求，如果达不到、无条件加班完成，直到达标为止。保洁中发现水面有漂浮死亡动物应及时告知有关防疫部门并进行处理。</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河面保洁质量要求达到“四无三净”，“四无”即无漂浮物、无（浮萍、水葫芦等）水生植物、无暴露垃圾、无死亡动物；“三净”是水面干净、浅滩干净、堤岸干净。岸坡、桥堍无垃圾并做好水面生态浮岛设施、绿化日常养护。</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2.4保洁船只船配备充足，</w:t>
      </w:r>
      <w:r>
        <w:rPr>
          <w:rFonts w:hint="eastAsia" w:ascii="仿宋" w:hAnsi="仿宋" w:eastAsia="仿宋" w:cs="仿宋"/>
          <w:color w:val="auto"/>
          <w:sz w:val="21"/>
          <w:szCs w:val="21"/>
          <w:highlight w:val="none"/>
          <w:lang w:val="en-US" w:eastAsia="zh-CN"/>
        </w:rPr>
        <w:t>证照齐全，</w:t>
      </w:r>
      <w:r>
        <w:rPr>
          <w:rFonts w:hint="eastAsia" w:ascii="仿宋" w:hAnsi="仿宋" w:eastAsia="仿宋" w:cs="仿宋"/>
          <w:color w:val="auto"/>
          <w:sz w:val="21"/>
          <w:szCs w:val="21"/>
          <w:highlight w:val="none"/>
        </w:rPr>
        <w:t>容船貌应保持整洁，安全求生用具齐全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作业人员必须穿戴救生衣上岗，</w:t>
      </w:r>
      <w:r>
        <w:rPr>
          <w:rFonts w:hint="eastAsia" w:ascii="仿宋" w:hAnsi="仿宋" w:eastAsia="仿宋" w:cs="仿宋"/>
          <w:color w:val="auto"/>
          <w:sz w:val="21"/>
          <w:szCs w:val="21"/>
          <w:highlight w:val="none"/>
        </w:rPr>
        <w:t>投标时在保洁方案中进行明确。如因中标供应商保洁船只配备不足导致保洁效果无法达到要求的，必须按采购人要求无条件增配。</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2.5因涉河工程建设筑坝影响船只运输时，投标人应迅速落实垃圾临时运转机制，及时清除在建河道垃圾。</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2.6做好区域范围内河面生态浮岛、水生植物的养护。</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2.7对区域范围内的拦污栅进行常规维修、养护，并能保持河水正常流动。</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2.8由于特殊情况水草爆发，乙方必须采取紧急措施增加船只设备和人员对所承包保洁区域范围内的水草及时进行打捞，确保保洁质量。</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2.9接受甲方的考核、监督和上级交办的临时任务，要听从监督部门人员的监督与协调，保洁单位要加强保洁工作责任心，尽心尽职地做好各自的水面保洁工作。水面相连处的保洁要做到相互配合，及时打捞，杜绝保洁中的推诿与扯皮现象。</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2.10水域保洁船只应有醒目标旗，新增保洁船应符合港航部门的相关规定。</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2.11垃圾堆放与要求：甲方要求打捞清运的一切垃圾必须进中转站进行中转，垃圾上岸并运至中转站由乙方负责，中转站由乙方负责联系确定，涉及的中转费由乙方承担。在清运垃圾时，不得影响周围环境卫生，在启运途中不得抛漏垃圾，并及时清扫装运场所，避免再次污染。</w:t>
      </w:r>
    </w:p>
    <w:p>
      <w:pPr>
        <w:pStyle w:val="4"/>
        <w:ind w:left="0" w:leftChars="0" w:firstLine="422"/>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（八）环境空气质量改善及大气污染防治工作</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1.作业区域</w:t>
      </w:r>
    </w:p>
    <w:p>
      <w:pPr>
        <w:pStyle w:val="4"/>
        <w:ind w:left="0" w:leftChars="0" w:firstLine="420"/>
        <w:rPr>
          <w:rFonts w:ascii="仿宋" w:hAnsi="仿宋" w:eastAsia="仿宋" w:cs="仿宋"/>
          <w:color w:val="auto"/>
          <w:sz w:val="21"/>
          <w:szCs w:val="21"/>
          <w:highlight w:val="none"/>
        </w:rPr>
      </w:pPr>
      <w:r>
        <w:rPr>
          <w:rFonts w:ascii="仿宋" w:hAnsi="仿宋" w:eastAsia="仿宋" w:cs="仿宋"/>
          <w:color w:val="auto"/>
          <w:sz w:val="21"/>
          <w:szCs w:val="21"/>
          <w:highlight w:val="none"/>
        </w:rPr>
        <w:t>新城街道在秀洲住建站周边重点区域</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2.作业要求</w:t>
      </w:r>
    </w:p>
    <w:p>
      <w:pPr>
        <w:pStyle w:val="4"/>
        <w:ind w:left="0" w:leftChars="0" w:firstLine="420"/>
        <w:rPr>
          <w:rFonts w:ascii="仿宋" w:hAnsi="仿宋" w:eastAsia="仿宋" w:cs="仿宋"/>
          <w:color w:val="auto"/>
          <w:sz w:val="21"/>
          <w:szCs w:val="21"/>
          <w:highlight w:val="none"/>
        </w:rPr>
      </w:pPr>
      <w:r>
        <w:rPr>
          <w:rFonts w:ascii="仿宋" w:hAnsi="仿宋" w:eastAsia="仿宋" w:cs="仿宋"/>
          <w:color w:val="auto"/>
          <w:sz w:val="21"/>
          <w:szCs w:val="21"/>
          <w:highlight w:val="none"/>
        </w:rPr>
        <w:t>每天4点至23点</w:t>
      </w:r>
      <w:r>
        <w:rPr>
          <w:rFonts w:hint="eastAsia" w:ascii="仿宋" w:hAnsi="仿宋" w:eastAsia="仿宋" w:cs="仿宋"/>
          <w:color w:val="auto"/>
          <w:sz w:val="21"/>
          <w:szCs w:val="21"/>
          <w:highlight w:val="none"/>
        </w:rPr>
        <w:t>3辆雾炮车同时作业</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3.车辆配置</w:t>
      </w:r>
    </w:p>
    <w:p>
      <w:pPr>
        <w:pStyle w:val="4"/>
        <w:ind w:left="0" w:leftChars="0" w:firstLine="420"/>
        <w:rPr>
          <w:rFonts w:ascii="仿宋" w:hAnsi="仿宋" w:eastAsia="仿宋" w:cs="仿宋"/>
          <w:color w:val="auto"/>
          <w:sz w:val="21"/>
          <w:szCs w:val="21"/>
          <w:highlight w:val="none"/>
        </w:rPr>
      </w:pPr>
      <w:r>
        <w:rPr>
          <w:rFonts w:ascii="仿宋" w:hAnsi="仿宋" w:eastAsia="仿宋" w:cs="仿宋"/>
          <w:color w:val="auto"/>
          <w:sz w:val="21"/>
          <w:szCs w:val="21"/>
          <w:highlight w:val="none"/>
        </w:rPr>
        <w:t>雾炮车规格应满足喷雾喷头不少于90个、喷雾最大射程不小于100米、最大射高不小于30米的要求</w:t>
      </w:r>
      <w:r>
        <w:rPr>
          <w:rFonts w:hint="eastAsia" w:ascii="仿宋" w:hAnsi="仿宋" w:eastAsia="仿宋" w:cs="仿宋"/>
          <w:color w:val="auto"/>
          <w:sz w:val="21"/>
          <w:szCs w:val="21"/>
          <w:highlight w:val="none"/>
        </w:rPr>
        <w:t>。</w:t>
      </w:r>
    </w:p>
    <w:p>
      <w:pPr>
        <w:spacing w:line="360" w:lineRule="auto"/>
        <w:ind w:firstLine="422" w:firstLineChars="200"/>
        <w:contextualSpacing/>
        <w:rPr>
          <w:rFonts w:ascii="仿宋" w:hAnsi="仿宋" w:eastAsia="仿宋"/>
          <w:color w:val="auto"/>
          <w:szCs w:val="21"/>
          <w:highlight w:val="none"/>
        </w:rPr>
      </w:pPr>
      <w:r>
        <w:rPr>
          <w:rFonts w:hint="eastAsia" w:ascii="仿宋" w:hAnsi="仿宋" w:eastAsia="仿宋"/>
          <w:b/>
          <w:bCs/>
          <w:color w:val="auto"/>
          <w:szCs w:val="21"/>
          <w:highlight w:val="none"/>
        </w:rPr>
        <w:t>（</w:t>
      </w:r>
      <w:r>
        <w:rPr>
          <w:rFonts w:hint="eastAsia" w:ascii="仿宋" w:hAnsi="仿宋" w:eastAsia="仿宋"/>
          <w:b/>
          <w:bCs/>
          <w:color w:val="auto"/>
          <w:szCs w:val="21"/>
          <w:highlight w:val="none"/>
          <w:lang w:val="en-US" w:eastAsia="zh-CN"/>
        </w:rPr>
        <w:t>九</w:t>
      </w:r>
      <w:r>
        <w:rPr>
          <w:rFonts w:hint="eastAsia" w:ascii="仿宋" w:hAnsi="仿宋" w:eastAsia="仿宋"/>
          <w:b/>
          <w:bCs/>
          <w:color w:val="auto"/>
          <w:szCs w:val="21"/>
          <w:highlight w:val="none"/>
        </w:rPr>
        <w:t>）其他要求</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1.农贸市场四周、休闲广场、停车场、保洁等公共区域，包括全区域内新增加道路，要求无杂物、生活垃圾、建筑垃圾等污物。</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2.区域范围内发现乱偷倒生活垃圾、建筑垃圾、工业垃圾等应及时发现上报或处置。</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3.保洁人员应文明作业，禁止将垃圾堆入或留在窨井盖上，禁止将垃圾扫入或倒入窨井、道路绿地、河道等处，所有垃圾必须清运到指定地点，不得随意倾倒、不得随意焚烧。垃圾运输途中没有沿路抛洒现象，造成二次环境污染。</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4.遇雨雪天气根据清雪作业应急保障需要，可使用洒水车、清洗车冲刷路面积雪，并使用清雪车、扫路车等专业车辆或人工辅助，及时清除路面积水、积雪。</w:t>
      </w:r>
    </w:p>
    <w:p>
      <w:pPr>
        <w:spacing w:line="360" w:lineRule="auto"/>
        <w:ind w:firstLine="420" w:firstLineChars="200"/>
        <w:contextualSpacing/>
        <w:rPr>
          <w:rFonts w:ascii="仿宋" w:hAnsi="仿宋" w:eastAsia="仿宋"/>
          <w:color w:val="auto"/>
          <w:szCs w:val="21"/>
          <w:highlight w:val="none"/>
        </w:rPr>
      </w:pPr>
      <w:r>
        <w:rPr>
          <w:rFonts w:hint="eastAsia" w:ascii="仿宋" w:hAnsi="仿宋" w:eastAsia="仿宋"/>
          <w:color w:val="auto"/>
          <w:szCs w:val="21"/>
          <w:highlight w:val="none"/>
        </w:rPr>
        <w:t>5.如遇卫生、文明城市创建检查须无条件服从采购单位要求，加大机械设备频率、增加人员、延长维护时间。</w:t>
      </w:r>
    </w:p>
    <w:p>
      <w:pPr>
        <w:pStyle w:val="4"/>
        <w:ind w:left="0" w:leftChars="0" w:firstLine="0" w:firstLineChars="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四、人员设备及其他要求（包括但不限于）</w:t>
      </w:r>
    </w:p>
    <w:p>
      <w:pPr>
        <w:pStyle w:val="4"/>
        <w:ind w:left="0" w:leftChars="0" w:firstLine="420"/>
        <w:rPr>
          <w:rFonts w:hint="eastAsia" w:ascii="仿宋" w:hAnsi="仿宋" w:eastAsia="仿宋" w:cs="仿宋"/>
          <w:color w:val="auto"/>
          <w:sz w:val="21"/>
          <w:szCs w:val="21"/>
          <w:highlight w:val="none"/>
          <w:lang w:val="en-US" w:eastAsia="zh-CN"/>
        </w:rPr>
      </w:pPr>
      <w:r>
        <w:rPr>
          <w:rFonts w:ascii="仿宋" w:hAnsi="仿宋" w:eastAsia="仿宋" w:cs="仿宋"/>
          <w:color w:val="auto"/>
          <w:sz w:val="21"/>
          <w:szCs w:val="21"/>
          <w:highlight w:val="none"/>
        </w:rPr>
        <w:t>▲5.1</w:t>
      </w:r>
      <w:r>
        <w:rPr>
          <w:rFonts w:hint="eastAsia" w:ascii="仿宋" w:hAnsi="仿宋" w:eastAsia="仿宋" w:cs="仿宋"/>
          <w:color w:val="auto"/>
          <w:sz w:val="21"/>
          <w:szCs w:val="21"/>
          <w:highlight w:val="none"/>
          <w:lang w:val="en-US" w:eastAsia="zh-CN"/>
        </w:rPr>
        <w:t>各标项保洁作业</w:t>
      </w:r>
      <w:r>
        <w:rPr>
          <w:rFonts w:hint="eastAsia" w:ascii="仿宋" w:hAnsi="仿宋" w:eastAsia="仿宋" w:cs="仿宋"/>
          <w:color w:val="auto"/>
          <w:sz w:val="21"/>
          <w:szCs w:val="21"/>
          <w:highlight w:val="none"/>
        </w:rPr>
        <w:t>人员</w:t>
      </w:r>
      <w:r>
        <w:rPr>
          <w:rFonts w:hint="eastAsia" w:ascii="仿宋" w:hAnsi="仿宋" w:eastAsia="仿宋" w:cs="仿宋"/>
          <w:color w:val="auto"/>
          <w:sz w:val="21"/>
          <w:szCs w:val="21"/>
          <w:highlight w:val="none"/>
          <w:lang w:val="en-US" w:eastAsia="zh-CN"/>
        </w:rPr>
        <w:t>最低配置：</w:t>
      </w:r>
    </w:p>
    <w:p>
      <w:pPr>
        <w:pStyle w:val="4"/>
        <w:ind w:left="0" w:leftChars="0" w:firstLine="42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标项一</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3192"/>
        <w:gridCol w:w="925"/>
        <w:gridCol w:w="1841"/>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服务项目</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道路区域保洁</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≥114</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c>
          <w:tcPr>
            <w:tcW w:w="1534"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人员不得兼任，工种不得重复使用，年龄不得超过65周岁，其中60周岁以下的人员占比不得低于60%。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r>
              <w:rPr>
                <w:rFonts w:ascii="仿宋" w:hAnsi="仿宋" w:eastAsia="仿宋" w:cs="仿宋"/>
                <w:color w:val="auto"/>
                <w:sz w:val="21"/>
                <w:szCs w:val="21"/>
                <w:highlight w:val="none"/>
              </w:rPr>
              <w:t>公厕保洁</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≥22</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c>
          <w:tcPr>
            <w:tcW w:w="153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河道保洁</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c>
          <w:tcPr>
            <w:tcW w:w="153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江南摩尔广场</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≥18</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璃擦拭专员≥3人，管理员≥1人</w:t>
            </w:r>
          </w:p>
        </w:tc>
        <w:tc>
          <w:tcPr>
            <w:tcW w:w="153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秀洲区政府广场</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p>
        </w:tc>
        <w:tc>
          <w:tcPr>
            <w:tcW w:w="153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驾驶员、辅助工</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≥39</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p>
        </w:tc>
        <w:tc>
          <w:tcPr>
            <w:tcW w:w="153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193"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合计</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≥199</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bl>
    <w:p>
      <w:pPr>
        <w:pStyle w:val="4"/>
        <w:ind w:left="0" w:leftChars="0" w:firstLine="420"/>
        <w:rPr>
          <w:rFonts w:hint="eastAsia" w:ascii="仿宋" w:hAnsi="仿宋" w:eastAsia="仿宋" w:cs="仿宋"/>
          <w:color w:val="auto"/>
          <w:sz w:val="21"/>
          <w:szCs w:val="21"/>
          <w:highlight w:val="none"/>
        </w:rPr>
      </w:pPr>
    </w:p>
    <w:p>
      <w:pPr>
        <w:pStyle w:val="4"/>
        <w:ind w:left="0" w:leftChars="0" w:firstLine="42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标项</w:t>
      </w:r>
      <w:r>
        <w:rPr>
          <w:rFonts w:hint="eastAsia" w:ascii="仿宋" w:hAnsi="仿宋" w:eastAsia="仿宋" w:cs="仿宋"/>
          <w:color w:val="auto"/>
          <w:sz w:val="21"/>
          <w:szCs w:val="21"/>
          <w:highlight w:val="none"/>
          <w:lang w:val="en-US" w:eastAsia="zh-CN"/>
        </w:rPr>
        <w:t>二</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3192"/>
        <w:gridCol w:w="925"/>
        <w:gridCol w:w="1841"/>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服务项目</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w:t>
            </w: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道路区域保洁</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≥78</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c>
          <w:tcPr>
            <w:tcW w:w="1534"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人员不得兼任，工种不得重复使用，年龄不得超过65周岁，其中60周岁以下的人员占比不得低于60%。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r>
              <w:rPr>
                <w:rFonts w:ascii="仿宋" w:hAnsi="仿宋" w:eastAsia="仿宋" w:cs="仿宋"/>
                <w:color w:val="auto"/>
                <w:sz w:val="21"/>
                <w:szCs w:val="21"/>
                <w:highlight w:val="none"/>
              </w:rPr>
              <w:t>公厕保洁</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c>
          <w:tcPr>
            <w:tcW w:w="153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河道保洁</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c>
          <w:tcPr>
            <w:tcW w:w="153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319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驾驶员、辅助工</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≥37</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p>
        </w:tc>
        <w:tc>
          <w:tcPr>
            <w:tcW w:w="1534"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193"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合计</w:t>
            </w:r>
          </w:p>
        </w:tc>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≥125</w:t>
            </w:r>
          </w:p>
        </w:tc>
        <w:tc>
          <w:tcPr>
            <w:tcW w:w="1841"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p>
        </w:tc>
        <w:tc>
          <w:tcPr>
            <w:tcW w:w="1534"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rPr>
            </w:pPr>
          </w:p>
        </w:tc>
      </w:tr>
    </w:tbl>
    <w:p>
      <w:pPr>
        <w:pStyle w:val="4"/>
        <w:ind w:left="0" w:leftChars="0" w:firstLine="420"/>
        <w:rPr>
          <w:rFonts w:ascii="仿宋" w:hAnsi="仿宋" w:eastAsia="仿宋" w:cs="仿宋"/>
          <w:color w:val="auto"/>
          <w:sz w:val="21"/>
          <w:szCs w:val="21"/>
          <w:highlight w:val="none"/>
        </w:rPr>
      </w:pPr>
    </w:p>
    <w:p>
      <w:pPr>
        <w:pStyle w:val="4"/>
        <w:ind w:left="0" w:leftChars="0" w:firstLine="420"/>
        <w:rPr>
          <w:rFonts w:ascii="仿宋" w:hAnsi="仿宋" w:eastAsia="仿宋" w:cs="仿宋"/>
          <w:color w:val="auto"/>
          <w:sz w:val="21"/>
          <w:szCs w:val="21"/>
          <w:highlight w:val="none"/>
        </w:rPr>
      </w:pPr>
      <w:r>
        <w:rPr>
          <w:rFonts w:ascii="仿宋" w:hAnsi="仿宋" w:eastAsia="仿宋" w:cs="仿宋"/>
          <w:color w:val="auto"/>
          <w:sz w:val="21"/>
          <w:szCs w:val="21"/>
          <w:highlight w:val="none"/>
        </w:rPr>
        <w:t>▲5.2</w:t>
      </w:r>
      <w:r>
        <w:rPr>
          <w:rFonts w:hint="eastAsia" w:ascii="仿宋" w:hAnsi="仿宋" w:eastAsia="仿宋" w:cs="仿宋"/>
          <w:color w:val="auto"/>
          <w:sz w:val="21"/>
          <w:szCs w:val="21"/>
          <w:highlight w:val="none"/>
          <w:lang w:val="en-US" w:eastAsia="zh-CN"/>
        </w:rPr>
        <w:t>各标项作业车辆及机具最低配置</w:t>
      </w:r>
      <w:r>
        <w:rPr>
          <w:rFonts w:hint="eastAsia" w:ascii="仿宋" w:hAnsi="仿宋" w:eastAsia="仿宋" w:cs="仿宋"/>
          <w:color w:val="auto"/>
          <w:sz w:val="21"/>
          <w:szCs w:val="21"/>
          <w:highlight w:val="none"/>
        </w:rPr>
        <w:t>：</w:t>
      </w:r>
    </w:p>
    <w:p>
      <w:pPr>
        <w:pStyle w:val="4"/>
        <w:ind w:left="0" w:leftChars="0"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作业设备最低配置一览表</w:t>
      </w:r>
    </w:p>
    <w:p>
      <w:pPr>
        <w:pStyle w:val="4"/>
        <w:ind w:left="0" w:leftChars="0" w:firstLine="0" w:firstLineChars="0"/>
        <w:jc w:val="both"/>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标项1</w:t>
      </w:r>
    </w:p>
    <w:tbl>
      <w:tblPr>
        <w:tblStyle w:val="64"/>
        <w:tblW w:w="847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0"/>
        <w:gridCol w:w="2374"/>
        <w:gridCol w:w="1282"/>
        <w:gridCol w:w="2216"/>
        <w:gridCol w:w="18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序号</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right="0"/>
              <w:jc w:val="center"/>
              <w:textAlignment w:val="auto"/>
              <w:rPr>
                <w:rFonts w:hint="eastAsia" w:ascii="仿宋" w:hAnsi="仿宋" w:eastAsia="仿宋" w:cs="仿宋"/>
                <w:b w:val="0"/>
                <w:bCs w:val="0"/>
                <w:color w:val="auto"/>
                <w:sz w:val="21"/>
                <w:szCs w:val="21"/>
                <w:highlight w:val="none"/>
                <w:shd w:val="clear" w:color="auto" w:fill="auto"/>
              </w:rPr>
            </w:pPr>
            <w:r>
              <w:rPr>
                <w:rFonts w:hint="eastAsia" w:ascii="仿宋" w:hAnsi="仿宋" w:eastAsia="仿宋" w:cs="仿宋"/>
                <w:b w:val="0"/>
                <w:bCs w:val="0"/>
                <w:color w:val="auto"/>
                <w:sz w:val="21"/>
                <w:szCs w:val="21"/>
                <w:highlight w:val="none"/>
                <w:shd w:val="clear" w:color="auto" w:fill="auto"/>
              </w:rPr>
              <w:t>车辆类型</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right="0"/>
              <w:jc w:val="center"/>
              <w:textAlignment w:val="auto"/>
              <w:rPr>
                <w:rFonts w:hint="eastAsia" w:ascii="仿宋" w:hAnsi="仿宋" w:eastAsia="仿宋" w:cs="仿宋"/>
                <w:b w:val="0"/>
                <w:bCs w:val="0"/>
                <w:color w:val="auto"/>
                <w:sz w:val="21"/>
                <w:szCs w:val="21"/>
                <w:highlight w:val="none"/>
                <w:shd w:val="clear" w:color="auto" w:fill="auto"/>
              </w:rPr>
            </w:pPr>
            <w:r>
              <w:rPr>
                <w:rFonts w:hint="eastAsia" w:ascii="仿宋" w:hAnsi="仿宋" w:eastAsia="仿宋" w:cs="仿宋"/>
                <w:b w:val="0"/>
                <w:bCs w:val="0"/>
                <w:color w:val="auto"/>
                <w:sz w:val="21"/>
                <w:szCs w:val="21"/>
                <w:highlight w:val="none"/>
                <w:shd w:val="clear" w:color="auto" w:fill="auto"/>
              </w:rPr>
              <w:t>车辆数量（辆）</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备注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其他要求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1</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洗扫一体车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行驶证总质量≥18吨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2</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机扫车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≥3</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行驶证总质量≥7.3吨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3</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洒水车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≥3</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行驶证总质量≥18吨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4</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雾炮车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行驶证总质量≥18吨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5</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小型机扫车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≥2</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燃油</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6</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rPr>
              <w:t>小型机扫车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≥6</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江南摩尔广场、秀洲区政府广场至少各配备1辆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7</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高压冲洗车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≥10</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江南摩尔广场、秀洲区政府广场至少各配备1辆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8</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rPr>
              <w:t>上门收集车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≥8</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9</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平板收集车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10</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深度保洁车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燃油</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江南摩尔广场专用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11</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洗地</w:t>
            </w:r>
            <w:r>
              <w:rPr>
                <w:rFonts w:hint="eastAsia" w:ascii="仿宋" w:hAnsi="仿宋" w:eastAsia="仿宋" w:cs="仿宋"/>
                <w:b w:val="0"/>
                <w:bCs w:val="0"/>
                <w:color w:val="auto"/>
                <w:sz w:val="21"/>
                <w:szCs w:val="21"/>
                <w:highlight w:val="none"/>
                <w:lang w:val="en-US" w:eastAsia="zh-CN"/>
              </w:rPr>
              <w:t>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≥2</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江南摩尔广场、秀洲区政府广场各配备1辆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12</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护栏清洗车</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燃油</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bl>
    <w:p>
      <w:pPr>
        <w:pStyle w:val="4"/>
        <w:ind w:left="0" w:leftChars="0" w:firstLine="0" w:firstLineChars="0"/>
        <w:jc w:val="center"/>
        <w:rPr>
          <w:rFonts w:hint="eastAsia" w:ascii="仿宋" w:hAnsi="仿宋" w:eastAsia="仿宋" w:cs="仿宋"/>
          <w:b/>
          <w:bCs/>
          <w:color w:val="auto"/>
          <w:sz w:val="21"/>
          <w:szCs w:val="21"/>
          <w:highlight w:val="none"/>
        </w:rPr>
      </w:pPr>
    </w:p>
    <w:p>
      <w:pPr>
        <w:pStyle w:val="4"/>
        <w:ind w:left="0" w:leftChars="0" w:firstLine="0" w:firstLineChars="0"/>
        <w:jc w:val="both"/>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标项2</w:t>
      </w:r>
    </w:p>
    <w:tbl>
      <w:tblPr>
        <w:tblStyle w:val="64"/>
        <w:tblW w:w="853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2"/>
        <w:gridCol w:w="2210"/>
        <w:gridCol w:w="1480"/>
        <w:gridCol w:w="2200"/>
        <w:gridCol w:w="18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序号</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right="0"/>
              <w:jc w:val="center"/>
              <w:textAlignment w:val="auto"/>
              <w:rPr>
                <w:rFonts w:hint="eastAsia" w:ascii="仿宋" w:hAnsi="仿宋" w:eastAsia="仿宋" w:cs="仿宋"/>
                <w:b w:val="0"/>
                <w:bCs w:val="0"/>
                <w:color w:val="auto"/>
                <w:sz w:val="21"/>
                <w:szCs w:val="21"/>
                <w:highlight w:val="none"/>
                <w:shd w:val="clear" w:color="auto" w:fill="auto"/>
              </w:rPr>
            </w:pPr>
            <w:r>
              <w:rPr>
                <w:rFonts w:hint="eastAsia" w:ascii="仿宋" w:hAnsi="仿宋" w:eastAsia="仿宋" w:cs="仿宋"/>
                <w:b w:val="0"/>
                <w:bCs w:val="0"/>
                <w:color w:val="auto"/>
                <w:sz w:val="21"/>
                <w:szCs w:val="21"/>
                <w:highlight w:val="none"/>
                <w:shd w:val="clear" w:color="auto" w:fill="auto"/>
              </w:rPr>
              <w:t>车辆类型</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right="0"/>
              <w:jc w:val="center"/>
              <w:textAlignment w:val="auto"/>
              <w:rPr>
                <w:rFonts w:hint="eastAsia" w:ascii="仿宋" w:hAnsi="仿宋" w:eastAsia="仿宋" w:cs="仿宋"/>
                <w:b w:val="0"/>
                <w:bCs w:val="0"/>
                <w:color w:val="auto"/>
                <w:sz w:val="21"/>
                <w:szCs w:val="21"/>
                <w:highlight w:val="none"/>
                <w:shd w:val="clear" w:color="auto" w:fill="auto"/>
              </w:rPr>
            </w:pPr>
            <w:r>
              <w:rPr>
                <w:rFonts w:hint="eastAsia" w:ascii="仿宋" w:hAnsi="仿宋" w:eastAsia="仿宋" w:cs="仿宋"/>
                <w:b w:val="0"/>
                <w:bCs w:val="0"/>
                <w:color w:val="auto"/>
                <w:sz w:val="21"/>
                <w:szCs w:val="21"/>
                <w:highlight w:val="none"/>
                <w:shd w:val="clear" w:color="auto" w:fill="auto"/>
              </w:rPr>
              <w:t>车辆数量（辆）</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备注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其他要求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1</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洗扫一体车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行驶证总质量≥18吨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2</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大型高压冲洗车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行驶证总质量≥18吨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3</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机扫车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≥3</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行驶证总质量≥7.3吨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4</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洒水车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≥3</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行驶证总质量≥18吨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5</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雾炮车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≥3</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行驶证总质量不少于18吨，喷雾喷头不少于90个、喷雾最大射程不小于100米、最大射高不小于30米</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6</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小型机扫车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≥2</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燃油</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7</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rPr>
              <w:t>小型机扫车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≥4</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8</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高压冲洗车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≥5</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shd w:val="clear" w:color="auto" w:fill="auto"/>
                <w:lang w:val="en-US" w:eastAsia="zh-CN"/>
              </w:rPr>
              <w:t>9</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sz w:val="21"/>
                <w:szCs w:val="21"/>
                <w:highlight w:val="none"/>
              </w:rPr>
              <w:t>上门收集车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≥6</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10</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平板收集车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电动</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11</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护栏清洗车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燃油</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12</w:t>
            </w:r>
          </w:p>
        </w:tc>
        <w:tc>
          <w:tcPr>
            <w:tcW w:w="221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路面养护车</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hint="eastAsia" w:ascii="仿宋" w:hAnsi="仿宋" w:eastAsia="仿宋" w:cs="仿宋"/>
                <w:b w:val="0"/>
                <w:bCs w:val="0"/>
                <w:color w:val="auto"/>
                <w:kern w:val="2"/>
                <w:sz w:val="21"/>
                <w:szCs w:val="21"/>
                <w:highlight w:val="none"/>
                <w:shd w:val="clear" w:color="auto" w:fill="auto"/>
                <w:lang w:val="en-US" w:eastAsia="zh-CN" w:bidi="zh-CN"/>
              </w:rPr>
              <w:t>≥1</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r>
              <w:rPr>
                <w:rFonts w:ascii="仿宋" w:hAnsi="仿宋" w:eastAsia="仿宋" w:cs="仿宋"/>
                <w:b w:val="0"/>
                <w:bCs w:val="0"/>
                <w:color w:val="auto"/>
                <w:sz w:val="21"/>
                <w:szCs w:val="21"/>
                <w:highlight w:val="none"/>
              </w:rPr>
              <w:t>燃油</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955"/>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zh-CN"/>
              </w:rPr>
            </w:pPr>
          </w:p>
        </w:tc>
      </w:tr>
    </w:tbl>
    <w:p>
      <w:pPr>
        <w:pStyle w:val="4"/>
        <w:ind w:left="0" w:leftChars="0" w:firstLine="420"/>
        <w:rPr>
          <w:rFonts w:hint="default" w:ascii="仿宋" w:hAnsi="仿宋" w:eastAsia="仿宋" w:cs="仿宋"/>
          <w:b w:val="0"/>
          <w:bCs w:val="0"/>
          <w:color w:val="auto"/>
          <w:sz w:val="21"/>
          <w:szCs w:val="21"/>
          <w:highlight w:val="none"/>
          <w:lang w:val="en-US" w:eastAsia="zh-CN"/>
        </w:rPr>
      </w:pPr>
      <w:r>
        <w:rPr>
          <w:rFonts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5.3各标项配置项目负责人1名、区域组长若干（根据各个标项的不同保洁区域进行明确），在项目实施期间，项目负责人必须驻点，对整体保洁工作进行统筹管理，向采购单位汇报工作，按采购人要求参加保洁工作例会。</w:t>
      </w:r>
    </w:p>
    <w:p>
      <w:pPr>
        <w:pStyle w:val="4"/>
        <w:ind w:left="0" w:leftChars="0" w:firstLine="420"/>
        <w:rPr>
          <w:rFonts w:hint="default" w:ascii="仿宋" w:hAnsi="仿宋" w:eastAsia="仿宋" w:cs="仿宋"/>
          <w:b w:val="0"/>
          <w:bCs w:val="0"/>
          <w:color w:val="auto"/>
          <w:sz w:val="21"/>
          <w:szCs w:val="21"/>
          <w:highlight w:val="none"/>
          <w:lang w:val="en-US" w:eastAsia="zh-CN"/>
        </w:rPr>
      </w:pPr>
      <w:r>
        <w:rPr>
          <w:rFonts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5.4各标项明确巡查监督员不少于5人，做好保洁范围内的卫生巡查工作，做好每日巡查记录，认真履行职责，深入巡查，积极主动收集保洁范围内的公共卫生信息，及时了解、掌握、跟踪有关情况，对巡查中发现的问题，进行现场拍照及时向采购单位汇报，每月上报巡查记录。</w:t>
      </w:r>
    </w:p>
    <w:p>
      <w:pPr>
        <w:pStyle w:val="4"/>
        <w:ind w:left="0" w:leftChars="0" w:firstLine="420"/>
        <w:rPr>
          <w:rFonts w:ascii="仿宋" w:hAnsi="仿宋" w:eastAsia="仿宋" w:cs="仿宋"/>
          <w:b w:val="0"/>
          <w:bCs w:val="0"/>
          <w:color w:val="auto"/>
          <w:sz w:val="21"/>
          <w:szCs w:val="21"/>
          <w:highlight w:val="none"/>
          <w:u w:val="single"/>
        </w:rPr>
      </w:pPr>
      <w:r>
        <w:rPr>
          <w:rFonts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u w:val="single"/>
        </w:rPr>
        <w:t>5.</w:t>
      </w:r>
      <w:r>
        <w:rPr>
          <w:rFonts w:hint="eastAsia" w:ascii="仿宋" w:hAnsi="仿宋" w:eastAsia="仿宋" w:cs="仿宋"/>
          <w:b w:val="0"/>
          <w:bCs w:val="0"/>
          <w:color w:val="auto"/>
          <w:sz w:val="21"/>
          <w:szCs w:val="21"/>
          <w:highlight w:val="none"/>
          <w:u w:val="single"/>
          <w:lang w:val="en-US" w:eastAsia="zh-CN"/>
        </w:rPr>
        <w:t>5</w:t>
      </w:r>
      <w:r>
        <w:rPr>
          <w:rFonts w:hint="eastAsia" w:ascii="仿宋" w:hAnsi="仿宋" w:eastAsia="仿宋" w:cs="仿宋"/>
          <w:b w:val="0"/>
          <w:bCs w:val="0"/>
          <w:color w:val="auto"/>
          <w:sz w:val="21"/>
          <w:szCs w:val="21"/>
          <w:highlight w:val="none"/>
          <w:u w:val="single"/>
        </w:rPr>
        <w:t>各标项投标人需成立一支由上述保洁人员组成的不少于10人的机动保洁队伍</w:t>
      </w:r>
      <w:r>
        <w:rPr>
          <w:rFonts w:hint="eastAsia" w:ascii="仿宋" w:hAnsi="仿宋" w:eastAsia="仿宋" w:cs="仿宋"/>
          <w:b w:val="0"/>
          <w:bCs w:val="0"/>
          <w:color w:val="auto"/>
          <w:sz w:val="21"/>
          <w:szCs w:val="21"/>
          <w:highlight w:val="none"/>
          <w:u w:val="single"/>
          <w:lang w:eastAsia="zh-CN"/>
        </w:rPr>
        <w:t>，</w:t>
      </w:r>
      <w:r>
        <w:rPr>
          <w:rFonts w:hint="eastAsia" w:ascii="仿宋" w:hAnsi="仿宋" w:eastAsia="仿宋" w:cs="仿宋"/>
          <w:b w:val="0"/>
          <w:bCs w:val="0"/>
          <w:color w:val="auto"/>
          <w:sz w:val="21"/>
          <w:szCs w:val="21"/>
          <w:highlight w:val="none"/>
          <w:u w:val="single"/>
          <w:lang w:val="en-US" w:eastAsia="zh-CN"/>
        </w:rPr>
        <w:t>要求</w:t>
      </w:r>
      <w:r>
        <w:rPr>
          <w:rFonts w:hint="eastAsia" w:ascii="仿宋" w:hAnsi="仿宋" w:eastAsia="仿宋" w:cs="仿宋"/>
          <w:b w:val="0"/>
          <w:bCs w:val="0"/>
          <w:color w:val="auto"/>
          <w:sz w:val="21"/>
          <w:szCs w:val="21"/>
          <w:highlight w:val="none"/>
          <w:u w:val="single"/>
        </w:rPr>
        <w:t>每人配备</w:t>
      </w:r>
      <w:r>
        <w:rPr>
          <w:rFonts w:hint="eastAsia" w:ascii="仿宋" w:hAnsi="仿宋" w:eastAsia="仿宋" w:cs="仿宋"/>
          <w:b w:val="0"/>
          <w:bCs w:val="0"/>
          <w:color w:val="auto"/>
          <w:sz w:val="21"/>
          <w:szCs w:val="21"/>
          <w:highlight w:val="none"/>
          <w:u w:val="single"/>
          <w:lang w:val="en-US" w:eastAsia="zh-CN"/>
        </w:rPr>
        <w:t>两轮</w:t>
      </w:r>
      <w:r>
        <w:rPr>
          <w:rFonts w:hint="eastAsia" w:ascii="仿宋" w:hAnsi="仿宋" w:eastAsia="仿宋" w:cs="仿宋"/>
          <w:b w:val="0"/>
          <w:bCs w:val="0"/>
          <w:color w:val="auto"/>
          <w:sz w:val="21"/>
          <w:szCs w:val="21"/>
          <w:highlight w:val="none"/>
          <w:u w:val="single"/>
        </w:rPr>
        <w:t>电瓶车1辆，</w:t>
      </w:r>
      <w:r>
        <w:rPr>
          <w:rFonts w:hint="eastAsia" w:ascii="仿宋" w:hAnsi="仿宋" w:eastAsia="仿宋" w:cs="仿宋"/>
          <w:b w:val="0"/>
          <w:bCs w:val="0"/>
          <w:color w:val="auto"/>
          <w:sz w:val="21"/>
          <w:szCs w:val="21"/>
          <w:highlight w:val="none"/>
          <w:u w:val="single"/>
          <w:lang w:val="en-US" w:eastAsia="zh-CN"/>
        </w:rPr>
        <w:t>且每个队伍必须配置磨洗机和洗吹一体机。机动保洁队伍主要针</w:t>
      </w:r>
      <w:r>
        <w:rPr>
          <w:rFonts w:hint="eastAsia" w:ascii="仿宋" w:hAnsi="仿宋" w:eastAsia="仿宋" w:cs="仿宋"/>
          <w:b w:val="0"/>
          <w:bCs w:val="0"/>
          <w:color w:val="auto"/>
          <w:sz w:val="21"/>
          <w:szCs w:val="21"/>
          <w:highlight w:val="none"/>
          <w:u w:val="single"/>
        </w:rPr>
        <w:t>对保洁区域内存在的垃圾进行快速捡拾，缩短垃圾的停留时间。中标后根据投标方案</w:t>
      </w:r>
      <w:r>
        <w:rPr>
          <w:rFonts w:hint="eastAsia" w:ascii="仿宋" w:hAnsi="仿宋" w:eastAsia="仿宋" w:cs="仿宋"/>
          <w:b w:val="0"/>
          <w:bCs w:val="0"/>
          <w:color w:val="auto"/>
          <w:sz w:val="21"/>
          <w:szCs w:val="21"/>
          <w:highlight w:val="none"/>
          <w:u w:val="single"/>
          <w:lang w:val="en-US" w:eastAsia="zh-CN"/>
        </w:rPr>
        <w:t>将机动保洁队伍</w:t>
      </w:r>
      <w:r>
        <w:rPr>
          <w:rFonts w:hint="eastAsia" w:ascii="仿宋" w:hAnsi="仿宋" w:eastAsia="仿宋" w:cs="仿宋"/>
          <w:b w:val="0"/>
          <w:bCs w:val="0"/>
          <w:color w:val="auto"/>
          <w:sz w:val="21"/>
          <w:szCs w:val="21"/>
          <w:highlight w:val="none"/>
          <w:u w:val="single"/>
        </w:rPr>
        <w:t>组建明细上报采购人审批备案。</w:t>
      </w:r>
    </w:p>
    <w:p>
      <w:pPr>
        <w:pStyle w:val="4"/>
        <w:ind w:left="0" w:leftChars="0" w:firstLine="420"/>
        <w:rPr>
          <w:rFonts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6</w:t>
      </w:r>
      <w:r>
        <w:rPr>
          <w:rFonts w:ascii="仿宋" w:hAnsi="仿宋" w:eastAsia="仿宋" w:cs="仿宋"/>
          <w:color w:val="auto"/>
          <w:sz w:val="21"/>
          <w:szCs w:val="21"/>
          <w:highlight w:val="none"/>
        </w:rPr>
        <w:t>上述人员、设备是采购</w:t>
      </w:r>
      <w:r>
        <w:rPr>
          <w:rFonts w:hint="eastAsia" w:ascii="仿宋" w:hAnsi="仿宋" w:eastAsia="仿宋" w:cs="仿宋"/>
          <w:color w:val="auto"/>
          <w:sz w:val="21"/>
          <w:szCs w:val="21"/>
          <w:highlight w:val="none"/>
        </w:rPr>
        <w:t>人</w:t>
      </w:r>
      <w:r>
        <w:rPr>
          <w:rFonts w:ascii="仿宋" w:hAnsi="仿宋" w:eastAsia="仿宋" w:cs="仿宋"/>
          <w:color w:val="auto"/>
          <w:sz w:val="21"/>
          <w:szCs w:val="21"/>
          <w:highlight w:val="none"/>
        </w:rPr>
        <w:t>为保证完成本项目所设置的最低要求，所有机械、车辆配备</w:t>
      </w:r>
      <w:r>
        <w:rPr>
          <w:rFonts w:hint="eastAsia" w:ascii="仿宋" w:hAnsi="仿宋" w:eastAsia="仿宋" w:cs="仿宋"/>
          <w:color w:val="auto"/>
          <w:sz w:val="21"/>
          <w:szCs w:val="21"/>
          <w:highlight w:val="none"/>
          <w:lang w:val="en-US" w:eastAsia="zh-CN"/>
        </w:rPr>
        <w:t>的</w:t>
      </w:r>
      <w:r>
        <w:rPr>
          <w:rFonts w:ascii="仿宋" w:hAnsi="仿宋" w:eastAsia="仿宋" w:cs="仿宋"/>
          <w:color w:val="auto"/>
          <w:sz w:val="21"/>
          <w:szCs w:val="21"/>
          <w:highlight w:val="none"/>
        </w:rPr>
        <w:t>驾驶员（按规定持证上岗）、辅助工及其它操作人员</w:t>
      </w:r>
      <w:r>
        <w:rPr>
          <w:rFonts w:hint="eastAsia" w:ascii="仿宋" w:hAnsi="仿宋" w:eastAsia="仿宋" w:cs="仿宋"/>
          <w:color w:val="auto"/>
          <w:sz w:val="21"/>
          <w:szCs w:val="21"/>
          <w:highlight w:val="none"/>
          <w:lang w:val="en-US" w:eastAsia="zh-CN"/>
        </w:rPr>
        <w:t>均需满足5.1人员要求</w:t>
      </w:r>
      <w:r>
        <w:rPr>
          <w:rFonts w:ascii="仿宋" w:hAnsi="仿宋" w:eastAsia="仿宋" w:cs="仿宋"/>
          <w:color w:val="auto"/>
          <w:sz w:val="21"/>
          <w:szCs w:val="21"/>
          <w:highlight w:val="none"/>
        </w:rPr>
        <w:t>。投标单位应根据服务需求拟定</w:t>
      </w:r>
      <w:r>
        <w:rPr>
          <w:rFonts w:hint="eastAsia" w:ascii="仿宋" w:hAnsi="仿宋" w:eastAsia="仿宋" w:cs="仿宋"/>
          <w:color w:val="auto"/>
          <w:sz w:val="21"/>
          <w:szCs w:val="21"/>
          <w:highlight w:val="none"/>
          <w:lang w:val="en-US" w:eastAsia="zh-CN"/>
        </w:rPr>
        <w:t>人员及设备配置</w:t>
      </w:r>
      <w:r>
        <w:rPr>
          <w:rFonts w:ascii="仿宋" w:hAnsi="仿宋" w:eastAsia="仿宋" w:cs="仿宋"/>
          <w:color w:val="auto"/>
          <w:sz w:val="21"/>
          <w:szCs w:val="21"/>
          <w:highlight w:val="none"/>
        </w:rPr>
        <w:t>方案并在投标文件中明确，总数不能低于采购文件的要求。</w:t>
      </w:r>
      <w:r>
        <w:rPr>
          <w:rFonts w:ascii="仿宋" w:hAnsi="仿宋" w:eastAsia="仿宋" w:cs="仿宋"/>
          <w:b w:val="0"/>
          <w:bCs w:val="0"/>
          <w:color w:val="auto"/>
          <w:sz w:val="21"/>
          <w:szCs w:val="21"/>
          <w:highlight w:val="none"/>
          <w:u w:val="single"/>
        </w:rPr>
        <w:t>保洁</w:t>
      </w:r>
      <w:r>
        <w:rPr>
          <w:rFonts w:hint="eastAsia" w:ascii="仿宋" w:hAnsi="仿宋" w:eastAsia="仿宋" w:cs="仿宋"/>
          <w:b w:val="0"/>
          <w:bCs w:val="0"/>
          <w:color w:val="auto"/>
          <w:sz w:val="21"/>
          <w:szCs w:val="21"/>
          <w:highlight w:val="none"/>
          <w:u w:val="single"/>
          <w:lang w:val="en-US" w:eastAsia="zh-CN"/>
        </w:rPr>
        <w:t>作业</w:t>
      </w:r>
      <w:r>
        <w:rPr>
          <w:rFonts w:ascii="仿宋" w:hAnsi="仿宋" w:eastAsia="仿宋" w:cs="仿宋"/>
          <w:b w:val="0"/>
          <w:bCs w:val="0"/>
          <w:color w:val="auto"/>
          <w:sz w:val="21"/>
          <w:szCs w:val="21"/>
          <w:highlight w:val="none"/>
          <w:u w:val="single"/>
        </w:rPr>
        <w:t>人员年龄不得超过65周岁，其中60周岁以下的人员占比不得低于60%</w:t>
      </w:r>
      <w:r>
        <w:rPr>
          <w:rFonts w:hint="eastAsia" w:ascii="仿宋" w:hAnsi="仿宋" w:eastAsia="仿宋" w:cs="仿宋"/>
          <w:b w:val="0"/>
          <w:bCs w:val="0"/>
          <w:color w:val="auto"/>
          <w:sz w:val="21"/>
          <w:szCs w:val="21"/>
          <w:highlight w:val="none"/>
          <w:u w:val="single"/>
        </w:rPr>
        <w:t>。样板街区及席地可坐城市客厅的保洁人员和保洁车辆必须配备充足，确保保洁质量符合相关文件要求。</w:t>
      </w:r>
      <w:r>
        <w:rPr>
          <w:rFonts w:ascii="仿宋" w:hAnsi="仿宋" w:eastAsia="仿宋" w:cs="仿宋"/>
          <w:color w:val="auto"/>
          <w:sz w:val="21"/>
          <w:szCs w:val="21"/>
          <w:highlight w:val="none"/>
        </w:rPr>
        <w:t>投标单位须承诺一旦中标，所有人员、机械设备</w:t>
      </w:r>
      <w:r>
        <w:rPr>
          <w:rFonts w:hint="eastAsia" w:ascii="仿宋" w:hAnsi="仿宋" w:eastAsia="仿宋" w:cs="仿宋"/>
          <w:color w:val="auto"/>
          <w:sz w:val="21"/>
          <w:szCs w:val="21"/>
          <w:highlight w:val="none"/>
        </w:rPr>
        <w:t>车辆</w:t>
      </w:r>
      <w:r>
        <w:rPr>
          <w:rFonts w:ascii="仿宋" w:hAnsi="仿宋" w:eastAsia="仿宋" w:cs="仿宋"/>
          <w:color w:val="auto"/>
          <w:sz w:val="21"/>
          <w:szCs w:val="21"/>
          <w:highlight w:val="none"/>
        </w:rPr>
        <w:t>均在领取中标通知书后签订合同前到位，</w:t>
      </w:r>
      <w:r>
        <w:rPr>
          <w:rFonts w:hint="eastAsia" w:ascii="仿宋" w:hAnsi="仿宋" w:eastAsia="仿宋" w:cs="仿宋"/>
          <w:color w:val="auto"/>
          <w:sz w:val="21"/>
          <w:szCs w:val="21"/>
          <w:highlight w:val="none"/>
        </w:rPr>
        <w:t>且已经按相关规定购买各类保险，</w:t>
      </w:r>
      <w:r>
        <w:rPr>
          <w:rFonts w:ascii="仿宋" w:hAnsi="仿宋" w:eastAsia="仿宋" w:cs="仿宋"/>
          <w:color w:val="auto"/>
          <w:sz w:val="21"/>
          <w:szCs w:val="21"/>
          <w:highlight w:val="none"/>
        </w:rPr>
        <w:t>并且承诺在项目服务期内按照实际需要配足满足工作要求的人员及机械设备</w:t>
      </w:r>
      <w:r>
        <w:rPr>
          <w:rFonts w:hint="eastAsia" w:ascii="仿宋" w:hAnsi="仿宋" w:eastAsia="仿宋" w:cs="仿宋"/>
          <w:color w:val="auto"/>
          <w:sz w:val="21"/>
          <w:szCs w:val="21"/>
          <w:highlight w:val="none"/>
        </w:rPr>
        <w:t>车辆</w:t>
      </w:r>
      <w:r>
        <w:rPr>
          <w:rFonts w:ascii="仿宋" w:hAnsi="仿宋" w:eastAsia="仿宋" w:cs="仿宋"/>
          <w:color w:val="auto"/>
          <w:sz w:val="21"/>
          <w:szCs w:val="21"/>
          <w:highlight w:val="none"/>
        </w:rPr>
        <w:t>，不限于招标文件要求的数量。承诺书（格式自拟）做在投标文件中。</w:t>
      </w:r>
    </w:p>
    <w:p>
      <w:pPr>
        <w:pStyle w:val="4"/>
        <w:ind w:left="0" w:leftChars="0" w:firstLine="420"/>
        <w:rPr>
          <w:rFonts w:hint="default" w:ascii="仿宋" w:hAnsi="仿宋" w:eastAsia="仿宋" w:cs="仿宋"/>
          <w:color w:val="auto"/>
          <w:sz w:val="21"/>
          <w:szCs w:val="21"/>
          <w:highlight w:val="none"/>
          <w:lang w:val="en-US"/>
        </w:rPr>
      </w:pP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7保洁人员必须实现智能化自动考勤及保洁作业轨迹可查询，所涉费用投标人自行考虑计入报价内，不再另行支付。</w:t>
      </w:r>
    </w:p>
    <w:p>
      <w:pPr>
        <w:pStyle w:val="4"/>
        <w:ind w:left="0" w:leftChars="0" w:firstLine="420"/>
        <w:rPr>
          <w:rFonts w:ascii="仿宋" w:hAnsi="仿宋" w:eastAsia="仿宋" w:cs="仿宋"/>
          <w:color w:val="auto"/>
          <w:sz w:val="21"/>
          <w:szCs w:val="21"/>
          <w:highlight w:val="none"/>
        </w:rPr>
      </w:pP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本项目配备的所有作业车辆设备成本均包含在报价内，且所有作业车辆设备均应装载GPS、车载监控，数据需接入秀洲区智慧城管平台，接入及日常运行费用应包含在投标报价内，不再另行支付。</w:t>
      </w:r>
    </w:p>
    <w:p>
      <w:pPr>
        <w:pStyle w:val="4"/>
        <w:ind w:left="0" w:leftChars="0" w:firstLine="420"/>
        <w:rPr>
          <w:rFonts w:ascii="仿宋" w:hAnsi="仿宋" w:eastAsia="仿宋" w:cs="仿宋"/>
          <w:color w:val="auto"/>
          <w:sz w:val="21"/>
          <w:szCs w:val="21"/>
          <w:highlight w:val="none"/>
        </w:rPr>
      </w:pP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本项目车辆均为本项目专用车辆，不得用作其他项目，投标时拟投入的车辆应当与实际投入一致，采购人在合同签订前核对车辆牌照和行驶证信息。</w:t>
      </w:r>
    </w:p>
    <w:p>
      <w:pPr>
        <w:pStyle w:val="3"/>
        <w:rPr>
          <w:rFonts w:ascii="仿宋" w:eastAsia="仿宋"/>
          <w:color w:val="auto"/>
          <w:sz w:val="21"/>
          <w:szCs w:val="21"/>
          <w:highlight w:val="none"/>
          <w:lang w:val="en-US"/>
        </w:rPr>
      </w:pPr>
      <w:r>
        <w:rPr>
          <w:rFonts w:hint="eastAsia" w:ascii="仿宋" w:eastAsia="仿宋"/>
          <w:color w:val="auto"/>
          <w:sz w:val="21"/>
          <w:szCs w:val="21"/>
          <w:highlight w:val="none"/>
          <w:lang w:val="en-US"/>
        </w:rPr>
        <w:t>五、投标人的服务承诺</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投标人应承诺本次提供的服务，保证能满足采购单位提出的针对本项目的具体要求（有新文件新政策的按最新标准执行）。</w:t>
      </w:r>
    </w:p>
    <w:p>
      <w:pPr>
        <w:pStyle w:val="3"/>
        <w:rPr>
          <w:rFonts w:ascii="仿宋" w:eastAsia="仿宋"/>
          <w:color w:val="auto"/>
          <w:sz w:val="21"/>
          <w:szCs w:val="21"/>
          <w:highlight w:val="none"/>
          <w:lang w:val="en-US"/>
        </w:rPr>
      </w:pPr>
      <w:r>
        <w:rPr>
          <w:rFonts w:hint="eastAsia" w:ascii="仿宋" w:eastAsia="仿宋"/>
          <w:color w:val="auto"/>
          <w:sz w:val="21"/>
          <w:szCs w:val="21"/>
          <w:highlight w:val="none"/>
          <w:lang w:val="en-US"/>
        </w:rPr>
        <w:t>六、服务方案</w:t>
      </w:r>
    </w:p>
    <w:p>
      <w:pPr>
        <w:pStyle w:val="4"/>
        <w:ind w:left="0" w:leftChars="0" w:firstLine="420"/>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按采购人提出的要求做出服务方案（包括保洁方案、人员配置、</w:t>
      </w:r>
      <w:r>
        <w:rPr>
          <w:rFonts w:hint="eastAsia" w:ascii="仿宋" w:hAnsi="仿宋" w:eastAsia="仿宋" w:cs="仿宋"/>
          <w:color w:val="auto"/>
          <w:sz w:val="21"/>
          <w:szCs w:val="21"/>
          <w:highlight w:val="none"/>
          <w:lang w:val="en-US" w:eastAsia="zh-CN"/>
        </w:rPr>
        <w:t>设备配置、</w:t>
      </w:r>
      <w:r>
        <w:rPr>
          <w:rFonts w:hint="eastAsia" w:ascii="仿宋" w:hAnsi="仿宋" w:eastAsia="仿宋" w:cs="仿宋"/>
          <w:color w:val="auto"/>
          <w:sz w:val="21"/>
          <w:szCs w:val="21"/>
          <w:highlight w:val="none"/>
        </w:rPr>
        <w:t>分工情况、作息安排、排班计划、费用测算、</w:t>
      </w:r>
      <w:r>
        <w:rPr>
          <w:rFonts w:hint="eastAsia" w:ascii="仿宋" w:hAnsi="仿宋" w:eastAsia="仿宋" w:cs="仿宋"/>
          <w:color w:val="auto"/>
          <w:sz w:val="21"/>
          <w:szCs w:val="21"/>
          <w:highlight w:val="none"/>
          <w:lang w:val="en-US" w:eastAsia="zh-CN"/>
        </w:rPr>
        <w:t>巡查制度、</w:t>
      </w:r>
      <w:r>
        <w:rPr>
          <w:rFonts w:hint="eastAsia" w:ascii="仿宋" w:hAnsi="仿宋" w:eastAsia="仿宋" w:cs="仿宋"/>
          <w:color w:val="auto"/>
          <w:sz w:val="21"/>
          <w:szCs w:val="21"/>
          <w:highlight w:val="none"/>
        </w:rPr>
        <w:t>管理制度、目标、理念、</w:t>
      </w:r>
      <w:r>
        <w:rPr>
          <w:rFonts w:hint="eastAsia" w:ascii="仿宋" w:hAnsi="仿宋" w:eastAsia="仿宋" w:cs="仿宋"/>
          <w:color w:val="auto"/>
          <w:sz w:val="21"/>
          <w:szCs w:val="21"/>
          <w:highlight w:val="none"/>
          <w:lang w:val="en-US" w:eastAsia="zh-CN"/>
        </w:rPr>
        <w:t>创新措施、</w:t>
      </w:r>
      <w:r>
        <w:rPr>
          <w:rFonts w:hint="eastAsia" w:ascii="仿宋" w:hAnsi="仿宋" w:eastAsia="仿宋" w:cs="仿宋"/>
          <w:color w:val="auto"/>
          <w:sz w:val="21"/>
          <w:szCs w:val="21"/>
          <w:highlight w:val="none"/>
        </w:rPr>
        <w:t>设备、设施、耗材、用品安排，应急措施，其他优化服务承诺及合理化建议等），由各投标单位根据实际情况提供。</w:t>
      </w:r>
    </w:p>
    <w:p>
      <w:pPr>
        <w:pStyle w:val="4"/>
        <w:ind w:left="0" w:leftChars="0" w:firstLine="420"/>
        <w:rPr>
          <w:rFonts w:hint="default" w:ascii="仿宋" w:hAnsi="仿宋" w:eastAsia="仿宋" w:cs="仿宋"/>
          <w:color w:val="auto"/>
          <w:sz w:val="21"/>
          <w:szCs w:val="21"/>
          <w:highlight w:val="none"/>
          <w:lang w:val="en-US" w:eastAsia="zh-CN"/>
        </w:rPr>
      </w:pP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2.投标单位根据全年中各项考核、检查以及针对企业内部对各类作业人员的月度、季度、年度考核制定相应的奖罚制度。</w:t>
      </w:r>
    </w:p>
    <w:p>
      <w:pPr>
        <w:pStyle w:val="4"/>
        <w:ind w:left="0" w:leftChars="0" w:firstLine="0" w:firstLineChars="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七、其他要求</w:t>
      </w:r>
    </w:p>
    <w:p>
      <w:pPr>
        <w:pStyle w:val="4"/>
        <w:ind w:left="0" w:leftChars="0"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样板街区及“席地可坐”城市客厅建设</w:t>
      </w:r>
      <w:r>
        <w:rPr>
          <w:rFonts w:hint="eastAsia" w:ascii="仿宋" w:hAnsi="仿宋" w:eastAsia="仿宋" w:cs="仿宋"/>
          <w:color w:val="auto"/>
          <w:sz w:val="21"/>
          <w:szCs w:val="21"/>
          <w:highlight w:val="none"/>
          <w:lang w:val="en-US" w:eastAsia="zh-CN"/>
        </w:rPr>
        <w:t>实施范围增加及标准提升所涉的费用应充分考虑在投标报价内，合同执行及续签合同期内不再另行增加保洁费用</w:t>
      </w:r>
      <w:r>
        <w:rPr>
          <w:rFonts w:hint="eastAsia" w:ascii="仿宋" w:hAnsi="仿宋" w:eastAsia="仿宋" w:cs="仿宋"/>
          <w:color w:val="auto"/>
          <w:sz w:val="21"/>
          <w:szCs w:val="21"/>
          <w:highlight w:val="none"/>
          <w:lang w:eastAsia="zh-CN"/>
        </w:rPr>
        <w:t>。</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要求服务期内所有保洁车辆均应保持车貌整洁，无渗漏。服务期内所有机械设备根据</w:t>
      </w:r>
      <w:r>
        <w:rPr>
          <w:rFonts w:hint="eastAsia" w:ascii="仿宋" w:hAnsi="仿宋" w:eastAsia="仿宋" w:cs="仿宋"/>
          <w:color w:val="auto"/>
          <w:sz w:val="21"/>
          <w:szCs w:val="21"/>
          <w:highlight w:val="none"/>
        </w:rPr>
        <w:t>采购人</w:t>
      </w:r>
      <w:r>
        <w:rPr>
          <w:rFonts w:ascii="仿宋" w:hAnsi="仿宋" w:eastAsia="仿宋" w:cs="仿宋"/>
          <w:color w:val="auto"/>
          <w:sz w:val="21"/>
          <w:szCs w:val="21"/>
          <w:highlight w:val="none"/>
        </w:rPr>
        <w:t>要求进行统一标识。</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有配套的保洁措施和与招标相融合的定期督查机制。</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根据招标要求配置的所有人员的吃住等生活问题的解决，由投标人自行解决。</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投标人要制订用工计划和加强劳动用工管理，必须符合劳动法等法律法规的要求，与员工签订正规的劳动合同，负责支付上岗人员的工资、津贴、社会保险、工伤意外保险及根据国家规定应支付的各项费用。承担体检、培训费用，并负责办理上岗人员的居住证、计划生育证明等有关证件。如果采购</w:t>
      </w:r>
      <w:r>
        <w:rPr>
          <w:rFonts w:hint="eastAsia" w:ascii="仿宋" w:hAnsi="仿宋" w:eastAsia="仿宋" w:cs="仿宋"/>
          <w:color w:val="auto"/>
          <w:sz w:val="21"/>
          <w:szCs w:val="21"/>
          <w:highlight w:val="none"/>
        </w:rPr>
        <w:t>任</w:t>
      </w:r>
      <w:r>
        <w:rPr>
          <w:rFonts w:ascii="仿宋" w:hAnsi="仿宋" w:eastAsia="仿宋" w:cs="仿宋"/>
          <w:color w:val="auto"/>
          <w:sz w:val="21"/>
          <w:szCs w:val="21"/>
          <w:highlight w:val="none"/>
        </w:rPr>
        <w:t>根据实际情况需要增加或减少人员，则按投标文件的标准支付或扣除相应费用。</w:t>
      </w:r>
      <w:r>
        <w:rPr>
          <w:rFonts w:hint="eastAsia" w:ascii="仿宋" w:hAnsi="仿宋" w:eastAsia="仿宋" w:cs="仿宋"/>
          <w:color w:val="auto"/>
          <w:sz w:val="21"/>
          <w:szCs w:val="21"/>
          <w:highlight w:val="none"/>
        </w:rPr>
        <w:t>工资发放标准不得低于嘉兴市最新最低工资标准的110%，并发放一线保洁人员特殊岗位津贴（标准为每人每出勤日10元）。如遇政府调整最低工资标准的，按招标文件规定的最低人数，以及最低工资增加的金额，进行提高调整。</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中标</w:t>
      </w:r>
      <w:r>
        <w:rPr>
          <w:rFonts w:hint="eastAsia" w:ascii="仿宋" w:hAnsi="仿宋" w:eastAsia="仿宋" w:cs="仿宋"/>
          <w:color w:val="auto"/>
          <w:sz w:val="21"/>
          <w:szCs w:val="21"/>
          <w:highlight w:val="none"/>
        </w:rPr>
        <w:t>单位</w:t>
      </w:r>
      <w:r>
        <w:rPr>
          <w:rFonts w:ascii="仿宋" w:hAnsi="仿宋" w:eastAsia="仿宋" w:cs="仿宋"/>
          <w:color w:val="auto"/>
          <w:sz w:val="21"/>
          <w:szCs w:val="21"/>
          <w:highlight w:val="none"/>
        </w:rPr>
        <w:t>在整个保洁过程中，发生安全事故的，包括人员伤亡、职业危害、设备损坏、经济损失等，其发生的一切费用均由中标单位负责，与采购</w:t>
      </w:r>
      <w:r>
        <w:rPr>
          <w:rFonts w:hint="eastAsia" w:ascii="仿宋" w:hAnsi="仿宋" w:eastAsia="仿宋" w:cs="仿宋"/>
          <w:color w:val="auto"/>
          <w:sz w:val="21"/>
          <w:szCs w:val="21"/>
          <w:highlight w:val="none"/>
        </w:rPr>
        <w:t>人</w:t>
      </w:r>
      <w:r>
        <w:rPr>
          <w:rFonts w:ascii="仿宋" w:hAnsi="仿宋" w:eastAsia="仿宋" w:cs="仿宋"/>
          <w:color w:val="auto"/>
          <w:sz w:val="21"/>
          <w:szCs w:val="21"/>
          <w:highlight w:val="none"/>
        </w:rPr>
        <w:t>无关。</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所有岗位作业人员所需要的工器具、保洁工具等均由投标人负责，使用和发放管理由投标人自行管理。</w:t>
      </w:r>
    </w:p>
    <w:p>
      <w:pPr>
        <w:pStyle w:val="4"/>
        <w:ind w:left="0" w:leftChars="0" w:firstLine="420"/>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本项目现场条件以各投标单位现场路勘情况为准。由中标单位以包工、包料、包质量、包安全等方式总承包。中标单位中标以后不得分包、转包。如一经发现上述行为，</w:t>
      </w:r>
      <w:r>
        <w:rPr>
          <w:rFonts w:hint="eastAsia" w:ascii="仿宋" w:hAnsi="仿宋" w:eastAsia="仿宋" w:cs="仿宋"/>
          <w:color w:val="auto"/>
          <w:sz w:val="21"/>
          <w:szCs w:val="21"/>
          <w:highlight w:val="none"/>
        </w:rPr>
        <w:t>采购人</w:t>
      </w:r>
      <w:r>
        <w:rPr>
          <w:rFonts w:ascii="仿宋" w:hAnsi="仿宋" w:eastAsia="仿宋" w:cs="仿宋"/>
          <w:color w:val="auto"/>
          <w:sz w:val="21"/>
          <w:szCs w:val="21"/>
          <w:highlight w:val="none"/>
        </w:rPr>
        <w:t>有权单方</w:t>
      </w:r>
      <w:r>
        <w:rPr>
          <w:rFonts w:hint="eastAsia" w:ascii="仿宋" w:hAnsi="仿宋" w:eastAsia="仿宋" w:cs="仿宋"/>
          <w:color w:val="auto"/>
          <w:sz w:val="21"/>
          <w:szCs w:val="21"/>
          <w:highlight w:val="none"/>
        </w:rPr>
        <w:t>面</w:t>
      </w:r>
      <w:r>
        <w:rPr>
          <w:rFonts w:ascii="仿宋" w:hAnsi="仿宋" w:eastAsia="仿宋" w:cs="仿宋"/>
          <w:color w:val="auto"/>
          <w:sz w:val="21"/>
          <w:szCs w:val="21"/>
          <w:highlight w:val="none"/>
        </w:rPr>
        <w:t>立即将终止合同并没收履约保证金，由此产生一切法律责任和经济损失均由</w:t>
      </w:r>
      <w:r>
        <w:rPr>
          <w:rFonts w:hint="eastAsia" w:ascii="仿宋" w:hAnsi="仿宋" w:eastAsia="仿宋" w:cs="仿宋"/>
          <w:color w:val="auto"/>
          <w:sz w:val="21"/>
          <w:szCs w:val="21"/>
          <w:highlight w:val="none"/>
        </w:rPr>
        <w:t>中标人</w:t>
      </w:r>
      <w:r>
        <w:rPr>
          <w:rFonts w:ascii="仿宋" w:hAnsi="仿宋" w:eastAsia="仿宋" w:cs="仿宋"/>
          <w:color w:val="auto"/>
          <w:sz w:val="21"/>
          <w:szCs w:val="21"/>
          <w:highlight w:val="none"/>
        </w:rPr>
        <w:t>承担。</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.中标单位应将保洁人员的分工情况、作息时间、排班计划等告知采购单位。</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.工作人员休息场所、现场用电、用水、机械设备车辆停放场地及办公场所等所有事项及所有费用均由中标单位自行解决。</w:t>
      </w:r>
    </w:p>
    <w:p>
      <w:pPr>
        <w:pStyle w:val="4"/>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.服务期保洁范围内新增的企事业单位的垃圾应无条件收集，已包含在投标报价内，不再另行支付。</w:t>
      </w:r>
    </w:p>
    <w:p>
      <w:pPr>
        <w:pStyle w:val="3"/>
        <w:rPr>
          <w:rFonts w:ascii="仿宋" w:eastAsia="仿宋"/>
          <w:color w:val="auto"/>
          <w:sz w:val="21"/>
          <w:szCs w:val="21"/>
          <w:highlight w:val="none"/>
          <w:lang w:val="en-US"/>
        </w:rPr>
      </w:pPr>
      <w:r>
        <w:rPr>
          <w:rFonts w:hint="eastAsia" w:ascii="仿宋" w:eastAsia="仿宋"/>
          <w:color w:val="auto"/>
          <w:sz w:val="21"/>
          <w:szCs w:val="21"/>
          <w:highlight w:val="none"/>
          <w:lang w:val="en-US"/>
        </w:rPr>
        <w:t>八、监督考核</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对中标单位总体实行合同管理，按合同规定条款执行，具体采用日常巡查和月度检查相结合的方式，按照《保洁考核评分细则》、《嘉兴市区保洁样板街区评价标准》、《嘉兴市区“席地可坐”城市客厅保洁评价评分标准》进行打分，评定月度考核结果，与当月养护经费核拨挂钩，年度考核分与合同规定奖惩挂钩。</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考核未尽事宜按《嘉兴市建设局关于印发嘉兴市区保洁样板街区及“席地可坐”城市客厅建设实施方案及配套文件的通知》执行，实施期间若下放新标准的，按新标准执行。</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1.日常巡查：</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由采购单位组织有关人员进行巡视检查评定，做好巡视记录，作为月度考核的一项依据。日常巡查不通知养护单位，为暗查，占月度考核分70%。</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2.月度检查：</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月度检查由采购单位确定时间，通知中标单位后组织人员进行检查评定（中标单位可要求参与检查），并做好检查记录，为明查，占月度考核分30%。</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3.月度考核结果汇总：</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每月月底或下月初，采购单位根据暗查、明查情况进行汇总打分，得出当月考核分，考核分与当月服务费挂钩。汇总采用100分制，其中《保洁考核评分细则》考核项占20%，《嘉兴市区保洁样板街区评价标准》占40%，《嘉兴市区“席地可坐”城市客厅保洁评价评分标准》占40%。90分为达标，当考评分为90分（含90分）以上，按实核定当月养护费；当考核分低于90分，每降低1分，另扣当月养护费10000元，以此类推。并要求限期整改，未及时整改，将在下月考核中翻倍扣分。连续3个月考核得分低于90分，采购人有权单方面终止合同，养护费不予支付。</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采购单位进行月度巡查及月度检查，并做好记录，每月总结按《保洁考核评分细则》进行扣款。</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4.服务期内采购单位结合道路保洁工作新特点和行业颁布的最新标准，有修改考核标准的权利。</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5.《保洁考核评分细则》</w:t>
      </w:r>
    </w:p>
    <w:tbl>
      <w:tblPr>
        <w:tblStyle w:val="64"/>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101"/>
        <w:gridCol w:w="3019"/>
        <w:gridCol w:w="133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项目</w:t>
            </w: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内容</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扣款标准</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扣分标准</w:t>
            </w:r>
          </w:p>
        </w:tc>
        <w:tc>
          <w:tcPr>
            <w:tcW w:w="1040"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93"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制度及台帐</w:t>
            </w: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有卫生保洁工作制度，安全、教育制度，车辆管理制度，日常自查记录。</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查台账，无卫生保洁工作制度、无安全、无教育制度，无车辆管理制度、无日常自查记录，每缺一项扣1000元。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每缺一项，扣0.1分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为每名保洁员购买工伤意外保险（意外保险名单与实际人员符合）；所有保洁人员着带安装标志的工作服上岗</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查台账，未为保洁员购买工伤意外保险，发现少1名，扣1000元；发现一名未按规定着装，扣1000元/名。</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每少一名购买保险或未按规定着装，扣0.1分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有卫生保洁分工、责任区划分、定路、定范围、定人、定职责，每月上报主管部门</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查台账，未上报扣500元。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查台账，未上报扣0.1元。</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93" w:type="dxa"/>
            <w:vMerge w:val="restart"/>
            <w:noWrap/>
            <w:vAlign w:val="center"/>
          </w:tcPr>
          <w:p>
            <w:pPr>
              <w:jc w:val="center"/>
              <w:rPr>
                <w:rFonts w:ascii="仿宋" w:hAnsi="仿宋" w:eastAsia="仿宋" w:cs="仿宋"/>
                <w:color w:val="auto"/>
                <w:sz w:val="18"/>
                <w:szCs w:val="18"/>
                <w:highlight w:val="none"/>
              </w:rPr>
            </w:pPr>
          </w:p>
          <w:p>
            <w:pPr>
              <w:jc w:val="center"/>
              <w:rPr>
                <w:rFonts w:ascii="仿宋" w:hAnsi="仿宋" w:eastAsia="仿宋" w:cs="仿宋"/>
                <w:color w:val="auto"/>
                <w:sz w:val="18"/>
                <w:szCs w:val="18"/>
                <w:highlight w:val="none"/>
              </w:rPr>
            </w:pP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洁</w:t>
            </w:r>
          </w:p>
          <w:p>
            <w:pPr>
              <w:jc w:val="center"/>
              <w:rPr>
                <w:rFonts w:ascii="仿宋" w:hAnsi="仿宋" w:eastAsia="仿宋" w:cs="仿宋"/>
                <w:color w:val="auto"/>
                <w:sz w:val="18"/>
                <w:szCs w:val="18"/>
                <w:highlight w:val="none"/>
              </w:rPr>
            </w:pPr>
          </w:p>
          <w:p>
            <w:pPr>
              <w:jc w:val="center"/>
              <w:rPr>
                <w:rFonts w:ascii="仿宋" w:hAnsi="仿宋" w:eastAsia="仿宋" w:cs="仿宋"/>
                <w:color w:val="auto"/>
                <w:sz w:val="18"/>
                <w:szCs w:val="18"/>
                <w:highlight w:val="none"/>
              </w:rPr>
            </w:pPr>
          </w:p>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按各保洁区规定时间到岗。</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未按规定2人以上扣500元/人；3人以上扣1000元/人。</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未按时到岗视人次每次扣0.1-0.2分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保洁质量应达到“五无五净”，即无垃圾杂物，无积水污泥，无痰迹烟蒂，无果皮纸屑，无土石杂草；路面干净，绿地、绿化带和树圈干净，边角侧石干净、雨水井盖沟眼畅通干净，果皮箱等环卫设施干净。</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发现一次未按规定完成扣100元，情况严重的扣200元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(10米范围内发现5个烟蒂以上扣2000元)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每次视情况扣0.1-0.5分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应按相应保洁区等级实行动态保洁，夏季（6月-8月）首次普遍清扫应在清晨6时30分前结束，其他季节首次普遍清扫应在清晨7时00分前结束。</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道路路面冲洗，每周应不少于2次，或视路实际情况而定。冲洗时间一般应在晚上或清晨</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绿化带内无包装袋、纸屑、粪便等垃圾，无生活垃圾、建筑垃圾等垃圾堆积。</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continue"/>
            <w:noWrap/>
            <w:vAlign w:val="center"/>
          </w:tcPr>
          <w:p>
            <w:pPr>
              <w:jc w:val="center"/>
              <w:rPr>
                <w:rFonts w:ascii="仿宋" w:hAnsi="仿宋" w:eastAsia="仿宋" w:cs="仿宋"/>
                <w:color w:val="auto"/>
                <w:sz w:val="18"/>
                <w:szCs w:val="18"/>
                <w:highlight w:val="none"/>
              </w:rPr>
            </w:pP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continue"/>
            <w:noWrap/>
            <w:vAlign w:val="center"/>
          </w:tcPr>
          <w:p>
            <w:pPr>
              <w:jc w:val="center"/>
              <w:rPr>
                <w:rFonts w:ascii="仿宋" w:hAnsi="仿宋" w:eastAsia="仿宋" w:cs="仿宋"/>
                <w:color w:val="auto"/>
                <w:sz w:val="18"/>
                <w:szCs w:val="18"/>
                <w:highlight w:val="none"/>
              </w:rPr>
            </w:pP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一级区域发现一次未按规定完成扣100元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二级区域发现一次未按规定完成扣80元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三级区域发现一次未按规定完成扣50元</w:t>
            </w:r>
          </w:p>
          <w:p>
            <w:pPr>
              <w:jc w:val="center"/>
              <w:rPr>
                <w:rFonts w:ascii="仿宋" w:hAnsi="仿宋" w:eastAsia="仿宋" w:cs="仿宋"/>
                <w:color w:val="auto"/>
                <w:sz w:val="18"/>
                <w:szCs w:val="18"/>
                <w:highlight w:val="none"/>
              </w:rPr>
            </w:pP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一级区域：问题缺陷超过2处，扣 1分；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二级区域：问题缺陷超过4处，扣 1分；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三级区域：问题缺陷超过8处，扣 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广场地面保持干净整洁，无垃圾、无污迹，保洁无死角。</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continue"/>
            <w:noWrap/>
            <w:vAlign w:val="center"/>
          </w:tcPr>
          <w:p>
            <w:pPr>
              <w:jc w:val="center"/>
              <w:rPr>
                <w:rFonts w:ascii="仿宋" w:hAnsi="仿宋" w:eastAsia="仿宋" w:cs="仿宋"/>
                <w:color w:val="auto"/>
                <w:sz w:val="18"/>
                <w:szCs w:val="18"/>
                <w:highlight w:val="none"/>
              </w:rPr>
            </w:pP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continue"/>
            <w:noWrap/>
            <w:vAlign w:val="center"/>
          </w:tcPr>
          <w:p>
            <w:pPr>
              <w:jc w:val="center"/>
              <w:rPr>
                <w:rFonts w:ascii="仿宋" w:hAnsi="仿宋" w:eastAsia="仿宋" w:cs="仿宋"/>
                <w:color w:val="auto"/>
                <w:sz w:val="18"/>
                <w:szCs w:val="18"/>
                <w:highlight w:val="none"/>
              </w:rPr>
            </w:pP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一级区域发现一次未按规定完成扣100元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二级区域发现一次未按规定完成扣80元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三级区域发现一次未按规定完成扣50元</w:t>
            </w:r>
          </w:p>
          <w:p>
            <w:pPr>
              <w:jc w:val="center"/>
              <w:rPr>
                <w:rFonts w:ascii="仿宋" w:hAnsi="仿宋" w:eastAsia="仿宋" w:cs="仿宋"/>
                <w:color w:val="auto"/>
                <w:sz w:val="18"/>
                <w:szCs w:val="18"/>
                <w:highlight w:val="none"/>
              </w:rPr>
            </w:pP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一级区域：问题缺陷超过2处，扣 1分；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二级区域：问题缺陷超过4处，扣 1分；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三级区域：问题缺陷超过8处，扣 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公共设施周边无垃圾、杂物，外表无乱涂写、乱刻画、乱张贴等，无破损、锈蚀，无明显污迹。</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一级区域发现一次未按规定完成扣100元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二级区域发现一次未按规定完成扣80元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三级区域发现一次未按规定完成扣50元</w:t>
            </w:r>
          </w:p>
          <w:p>
            <w:pPr>
              <w:jc w:val="center"/>
              <w:rPr>
                <w:rFonts w:ascii="仿宋" w:hAnsi="仿宋" w:eastAsia="仿宋" w:cs="仿宋"/>
                <w:color w:val="auto"/>
                <w:sz w:val="18"/>
                <w:szCs w:val="18"/>
                <w:highlight w:val="none"/>
              </w:rPr>
            </w:pP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一级区域：每发现一处扣1分；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二级区域：每发现一处扣0.5分；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三级区域：每发现两处扣1分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continue"/>
            <w:noWrap/>
            <w:vAlign w:val="center"/>
          </w:tcPr>
          <w:p>
            <w:pPr>
              <w:jc w:val="center"/>
              <w:rPr>
                <w:rFonts w:ascii="仿宋" w:hAnsi="仿宋" w:eastAsia="仿宋" w:cs="仿宋"/>
                <w:color w:val="auto"/>
                <w:sz w:val="18"/>
                <w:szCs w:val="18"/>
                <w:highlight w:val="none"/>
              </w:rPr>
            </w:pP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一级区域发现一次未按规定完成扣100元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二级区域发现一次未按规定完成扣80元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三级区域发现一次未按规定完成扣50元</w:t>
            </w:r>
          </w:p>
          <w:p>
            <w:pPr>
              <w:jc w:val="center"/>
              <w:rPr>
                <w:rFonts w:ascii="仿宋" w:hAnsi="仿宋" w:eastAsia="仿宋" w:cs="仿宋"/>
                <w:color w:val="auto"/>
                <w:sz w:val="18"/>
                <w:szCs w:val="18"/>
                <w:highlight w:val="none"/>
              </w:rPr>
            </w:pP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一级区域：每发现一处扣1分；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二级区域：每发现一处扣0.5分；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三级区域：每发现两处扣1分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vMerge w:val="continue"/>
            <w:noWrap/>
            <w:vAlign w:val="center"/>
          </w:tcPr>
          <w:p>
            <w:pPr>
              <w:jc w:val="center"/>
              <w:rPr>
                <w:rFonts w:ascii="仿宋" w:hAnsi="仿宋" w:eastAsia="仿宋" w:cs="仿宋"/>
                <w:color w:val="auto"/>
                <w:sz w:val="18"/>
                <w:szCs w:val="18"/>
                <w:highlight w:val="none"/>
              </w:rPr>
            </w:pP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一级区域发现一次未按规定完成扣100元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二级区域发现一次未按规定完成扣80元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三级区域发现一次未按规定完成扣50元</w:t>
            </w:r>
          </w:p>
          <w:p>
            <w:pPr>
              <w:jc w:val="center"/>
              <w:rPr>
                <w:rFonts w:ascii="仿宋" w:hAnsi="仿宋" w:eastAsia="仿宋" w:cs="仿宋"/>
                <w:color w:val="auto"/>
                <w:sz w:val="18"/>
                <w:szCs w:val="18"/>
                <w:highlight w:val="none"/>
              </w:rPr>
            </w:pP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一级区域：每发现一处扣1分；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二级区域：每发现一处扣0.5分；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三级区域：每发现两处扣1分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扫地车每天工作6小时，作业控制扬尘，并做好出车记录。避开行车高峰。</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在道路清扫机械不能作业的情况下应采用人工作业。</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未按规定清扫1 次扣100元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要求无杂物、生活垃圾、建筑垃圾等污物。</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发现一次未按规定完成扣100元，在同一区域暗查、考核及各类督办单反映连续发现三次相似问题的，扣1000元。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每次扣0.2分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区域范围内成堆垃圾</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成堆成片垃圾0.5㎡以上每处扣200元，情节严重的扣1000元；0.5㎡以下每处扣100元；零星垃圾，每处扣50元；路（硬地）面积泥、污水每处扣.30元；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每次视情况扣扣0.2-0.5分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果壳箱、垃圾箱定时清运、清洗，每天分类清运、日产日清、无散落垃圾。每天清洗擦拭，无灰尘、无乱张贴、乱涂写等。垃圾桶摆放方向统一整齐。</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垃圾收集容器未按要求分类，发现一次扣100；容器满溢每只扣100元；容器周边有污迹，每处扣100元；清洗不到位、设施不洁不到位，每处扣50元。果壳箱未锁门，发现一个扣50元。垃圾桶摆放不规则发现50一个。</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区域范围内乱偷倒生活垃圾、建筑垃圾、工业垃圾不及时处置</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每次扣0.5分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绿化内无生活及建筑垃圾、无杂草、无散落树枝和影响整洁美观的其他物品堆放等，严禁在绿化范围内放置垃圾桶、垃圾袋。</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发现一次未按规定完成扣100元。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清扫工人必须着统一带反光标记的安全服装作业，人工清扫必须做到遵章守纪讲安全，操作工具统一存放指定地点。</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发现一次未按规定着装扣50元。违反规定，每发现1人扣50元，2人以上扣100元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93"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垃</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圾</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清</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运</w:t>
            </w: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垃圾必须清运到指定地点，不得随意倾倒、不得随意焚烧。</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发现随意倾倒扣500-2000元/次，发现随意焚烧扣2000元-5000元/次</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每次扣0.5分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垃圾运输途中如有沿路抛洒现象，造成二次环境污染</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发现一次违规操作扣500，情节严重的扣1000元。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视情况每次扣0.2-0.5分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车辆设施设备</w:t>
            </w: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全区域内环卫设施、设备不得擅自拆除，注意保养，正常使用。</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违反一次扣100元。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垃圾运输车辆要密闭并保持外表整洁，扫地车、冲洗车保持外表整洁</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发现一次未达标扣100元。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环卫专业车辆完成当天任务完成后必须回场，按规定地方停放，车辆严禁外借他人驾驶，驾驶员必须严格遵守《道路交通管理条例》，不得违章乱停车。</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违反一次扣100元。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93"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乱</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张</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贴</w:t>
            </w: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保洁范围内的乱张贴、乱涂写。</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清理不干净留下痕迹每一处扣10元，落地纸屑等杂物没有清扫的每一处扣5元。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清理乱张贴、乱涂写时要按规范操作</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在清理乱张贴、乱涂写时因方法不当或操作不规范造成所清理的墙壁、地面、桥面等被污染、损坏的，由保洁单位承担所有修补清洁费用，每发现一处扣100元。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对乱张贴、乱涂写的日常检查</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日常巡逻中连续3天每天发现 “乱张贴、乱涂写”的，扣2000元。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每次扣0.3分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93" w:type="dxa"/>
            <w:vMerge w:val="restart"/>
            <w:tcBorders>
              <w:top w:val="single" w:color="auto" w:sz="4"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其它</w:t>
            </w:r>
          </w:p>
        </w:tc>
        <w:tc>
          <w:tcPr>
            <w:tcW w:w="3101" w:type="dxa"/>
            <w:tcBorders>
              <w:top w:val="single" w:color="auto" w:sz="4"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因保洁质量问题或不文明工作原因，市长投诉电话、新闻媒体曝光、上级督办单不及时经查属实。 </w:t>
            </w:r>
          </w:p>
        </w:tc>
        <w:tc>
          <w:tcPr>
            <w:tcW w:w="3019" w:type="dxa"/>
            <w:tcBorders>
              <w:top w:val="single" w:color="auto" w:sz="4"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市民投诉或被查到、媒体曝光查实每次扣500元，未及时按规定期限内完成整改并反馈的，扣5000-10000元；造成严重影响的，扣20000-50000元。未及时处理上级督办单，扣5000-10000元，各类创建活动每个扣分点扣500元。</w:t>
            </w:r>
          </w:p>
        </w:tc>
        <w:tc>
          <w:tcPr>
            <w:tcW w:w="1338" w:type="dxa"/>
            <w:tcBorders>
              <w:top w:val="single" w:color="auto" w:sz="4"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每发生一次区级的扣0.5分；市级扣1分；省级及以上每次扣1.5分。</w:t>
            </w:r>
          </w:p>
        </w:tc>
        <w:tc>
          <w:tcPr>
            <w:tcW w:w="1040" w:type="dxa"/>
            <w:tcBorders>
              <w:top w:val="single" w:color="auto" w:sz="4" w:space="0"/>
            </w:tcBorders>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当月排名位于全市前三的，当月不予扣分及扣款。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被其他上级相关部门通报批评。</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发生一次扣500元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每次扣0.3分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建立24小时值班制度，遇突发事件随叫随到，并及时派人员进行处理</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无人值班或未能随叫随到，发现一次扣1000元；未及时处理，一次扣1000-2000元。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每次扣0.5分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本项目配备的所有保洁人员及保洁车辆（包括所有服务于本项目的相关人员及设备）在为采购单位服务期间均不得为第三方提供服务。</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每发现一次扣5000元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每次扣0.5分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在全国文明城市、国家卫生城市等各类创建及其它重大活动期间，无条件服从采购单位要求，加大机械设备频率、增加人员、延长维护时间。</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配合不力，每次扣10000元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每次扣0.5分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根据数字城管的要求，及时处理派件，提出的问题应在规定时间内完成，如因工作推诿、拖拉造成数字城管单整改不力或重复整改</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不及时完成，每次扣200元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每次扣0.1分</w:t>
            </w:r>
          </w:p>
        </w:tc>
        <w:tc>
          <w:tcPr>
            <w:tcW w:w="1040" w:type="dxa"/>
            <w:noWrap/>
            <w:vAlign w:val="center"/>
          </w:tcPr>
          <w:p>
            <w:pPr>
              <w:jc w:val="center"/>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Merge w:val="continue"/>
            <w:noWrap/>
            <w:vAlign w:val="center"/>
          </w:tcPr>
          <w:p>
            <w:pPr>
              <w:jc w:val="center"/>
              <w:rPr>
                <w:rFonts w:ascii="仿宋" w:hAnsi="仿宋" w:eastAsia="仿宋" w:cs="仿宋"/>
                <w:color w:val="auto"/>
                <w:sz w:val="18"/>
                <w:szCs w:val="18"/>
                <w:highlight w:val="none"/>
              </w:rPr>
            </w:pPr>
          </w:p>
        </w:tc>
        <w:tc>
          <w:tcPr>
            <w:tcW w:w="310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车辆等设备定位：在工作期间车辆等设备未按要求携带GPS定位装置、车载监控经查实未在相应岗位的</w:t>
            </w:r>
          </w:p>
        </w:tc>
        <w:tc>
          <w:tcPr>
            <w:tcW w:w="301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每台每次扣300元</w:t>
            </w:r>
          </w:p>
        </w:tc>
        <w:tc>
          <w:tcPr>
            <w:tcW w:w="1338"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每次扣0.2分</w:t>
            </w:r>
          </w:p>
        </w:tc>
        <w:tc>
          <w:tcPr>
            <w:tcW w:w="1040" w:type="dxa"/>
            <w:noWrap/>
            <w:vAlign w:val="center"/>
          </w:tcPr>
          <w:p>
            <w:pPr>
              <w:jc w:val="center"/>
              <w:rPr>
                <w:rFonts w:ascii="仿宋" w:hAnsi="仿宋" w:eastAsia="仿宋" w:cs="仿宋"/>
                <w:color w:val="auto"/>
                <w:sz w:val="18"/>
                <w:szCs w:val="18"/>
                <w:highlight w:val="none"/>
              </w:rPr>
            </w:pPr>
          </w:p>
        </w:tc>
      </w:tr>
    </w:tbl>
    <w:p>
      <w:pPr>
        <w:pStyle w:val="4"/>
        <w:wordWrap w:val="0"/>
        <w:ind w:left="0" w:leftChars="0"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6.嘉兴市区保洁样板街区评价标准</w:t>
      </w:r>
    </w:p>
    <w:p>
      <w:pPr>
        <w:pStyle w:val="4"/>
        <w:wordWrap w:val="0"/>
        <w:ind w:left="0" w:leftChars="0"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6.1道路保洁评价评分标准</w:t>
      </w:r>
    </w:p>
    <w:tbl>
      <w:tblPr>
        <w:tblStyle w:val="6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2018"/>
        <w:gridCol w:w="1773"/>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14" w:type="dxa"/>
            <w:noWrap/>
            <w:vAlign w:val="center"/>
          </w:tcPr>
          <w:p>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考核项目</w:t>
            </w:r>
          </w:p>
        </w:tc>
        <w:tc>
          <w:tcPr>
            <w:tcW w:w="2018" w:type="dxa"/>
            <w:noWrap/>
            <w:vAlign w:val="center"/>
          </w:tcPr>
          <w:p>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考核内容</w:t>
            </w:r>
          </w:p>
        </w:tc>
        <w:tc>
          <w:tcPr>
            <w:tcW w:w="1773" w:type="dxa"/>
            <w:noWrap/>
            <w:vAlign w:val="center"/>
          </w:tcPr>
          <w:p>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考核指标</w:t>
            </w:r>
          </w:p>
        </w:tc>
        <w:tc>
          <w:tcPr>
            <w:tcW w:w="3848" w:type="dxa"/>
            <w:noWrap/>
            <w:vAlign w:val="center"/>
          </w:tcPr>
          <w:p>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14" w:type="dxa"/>
            <w:vMerge w:val="restart"/>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路面</w:t>
            </w:r>
          </w:p>
        </w:tc>
        <w:tc>
          <w:tcPr>
            <w:tcW w:w="2018" w:type="dxa"/>
            <w:vMerge w:val="restart"/>
            <w:noWrap/>
            <w:vAlign w:val="center"/>
          </w:tcPr>
          <w:p>
            <w:pPr>
              <w:adjustRightInd/>
              <w:spacing w:line="36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路面干净整洁，无垃圾、无污迹、无积尘、无积水，路面清。</w:t>
            </w: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条状污染物</w:t>
            </w:r>
          </w:p>
        </w:tc>
        <w:tc>
          <w:tcPr>
            <w:tcW w:w="3848"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块状污染物</w:t>
            </w:r>
          </w:p>
        </w:tc>
        <w:tc>
          <w:tcPr>
            <w:tcW w:w="3848"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一级区域：问题缺陷超过2处，扣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二级区域：问题缺陷超过4处，扣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三级区域：问题缺陷超过8处，扣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14" w:type="dxa"/>
            <w:vMerge w:val="restart"/>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人行道</w:t>
            </w:r>
          </w:p>
        </w:tc>
        <w:tc>
          <w:tcPr>
            <w:tcW w:w="2018" w:type="dxa"/>
            <w:vMerge w:val="restart"/>
            <w:noWrap/>
            <w:vAlign w:val="center"/>
          </w:tcPr>
          <w:p>
            <w:pPr>
              <w:adjustRightInd/>
              <w:spacing w:line="36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人行道干净整洁，无垃圾、无污迹、无积水，保洁无死角。</w:t>
            </w: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条状污染物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块状污染物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一级区域：问题缺陷超过2处，扣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二级区域：问题缺陷超过4处，扣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三级区域：问题缺陷超过8处，扣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14" w:type="dxa"/>
            <w:vMerge w:val="restart"/>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沟底</w:t>
            </w:r>
          </w:p>
        </w:tc>
        <w:tc>
          <w:tcPr>
            <w:tcW w:w="2018" w:type="dxa"/>
            <w:vMerge w:val="restart"/>
            <w:noWrap/>
            <w:vAlign w:val="center"/>
          </w:tcPr>
          <w:p>
            <w:pPr>
              <w:adjustRightInd/>
              <w:spacing w:line="36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沟底清，无零星垃圾、残留污水等污染物；格栅板沟眼通，下水沟眼无阻塞。</w:t>
            </w: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条状污染物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块状污染物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一级区域：问题缺陷超过2处，扣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二级区域：问题缺陷超过4处，扣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三级区域：问题缺陷超过8处，扣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14" w:type="dxa"/>
            <w:vMerge w:val="restart"/>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墙角</w:t>
            </w:r>
          </w:p>
        </w:tc>
        <w:tc>
          <w:tcPr>
            <w:tcW w:w="2018" w:type="dxa"/>
            <w:vMerge w:val="restart"/>
            <w:noWrap/>
            <w:vAlign w:val="center"/>
          </w:tcPr>
          <w:p>
            <w:pPr>
              <w:adjustRightInd/>
              <w:spacing w:line="36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墙角清，无零星垃圾、残留污水、明显污迹等。</w:t>
            </w: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条状污染物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tcPr>
          <w:p>
            <w:pPr>
              <w:adjustRightInd/>
              <w:spacing w:line="360" w:lineRule="exact"/>
              <w:jc w:val="center"/>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块状污染物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tcPr>
          <w:p>
            <w:pPr>
              <w:adjustRightInd/>
              <w:spacing w:line="360" w:lineRule="exact"/>
              <w:jc w:val="center"/>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一级区域：问题缺陷超过2处，扣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二级区域：问题缺陷超过4处，扣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三级区域：问题缺陷超过8处，扣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4" w:type="dxa"/>
            <w:vMerge w:val="restart"/>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绿化带</w:t>
            </w:r>
          </w:p>
        </w:tc>
        <w:tc>
          <w:tcPr>
            <w:tcW w:w="2018" w:type="dxa"/>
            <w:vMerge w:val="restart"/>
            <w:noWrap/>
            <w:vAlign w:val="center"/>
          </w:tcPr>
          <w:p>
            <w:pPr>
              <w:adjustRightInd/>
              <w:spacing w:line="36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绿化带内无包装袋、纸屑、粪便等垃圾，无生活垃圾、建筑垃圾等垃圾堆积。</w:t>
            </w: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条状污染物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jc w:val="left"/>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块状污染物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jc w:val="left"/>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一级区域：问题缺陷超过2处，扣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二级区域：问题缺陷超过4处，扣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三级区域：问题缺陷超过8处，扣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4" w:type="dxa"/>
            <w:vMerge w:val="restart"/>
            <w:noWrap/>
            <w:vAlign w:val="center"/>
          </w:tcPr>
          <w:p>
            <w:pPr>
              <w:widowControl/>
              <w:adjustRightInd/>
              <w:spacing w:line="360" w:lineRule="exact"/>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公共广场</w:t>
            </w:r>
          </w:p>
        </w:tc>
        <w:tc>
          <w:tcPr>
            <w:tcW w:w="2018" w:type="dxa"/>
            <w:vMerge w:val="restart"/>
            <w:noWrap/>
            <w:vAlign w:val="center"/>
          </w:tcPr>
          <w:p>
            <w:pPr>
              <w:widowControl/>
              <w:adjustRightInd/>
              <w:spacing w:line="36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广场地面保持干净整洁，无垃圾、无污迹，保洁无死角。</w:t>
            </w: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条状污染物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14" w:type="dxa"/>
            <w:vMerge w:val="continue"/>
            <w:noWrap/>
            <w:vAlign w:val="center"/>
          </w:tcPr>
          <w:p>
            <w:pPr>
              <w:widowControl/>
              <w:adjustRightInd/>
              <w:spacing w:line="360" w:lineRule="exact"/>
              <w:jc w:val="center"/>
              <w:rPr>
                <w:rFonts w:ascii="仿宋" w:hAnsi="仿宋" w:eastAsia="仿宋" w:cs="仿宋"/>
                <w:color w:val="auto"/>
                <w:kern w:val="0"/>
                <w:sz w:val="18"/>
                <w:szCs w:val="18"/>
                <w:highlight w:val="none"/>
              </w:rPr>
            </w:pPr>
          </w:p>
        </w:tc>
        <w:tc>
          <w:tcPr>
            <w:tcW w:w="2018" w:type="dxa"/>
            <w:vMerge w:val="continue"/>
            <w:noWrap/>
            <w:vAlign w:val="center"/>
          </w:tcPr>
          <w:p>
            <w:pPr>
              <w:widowControl/>
              <w:adjustRightInd/>
              <w:spacing w:line="360" w:lineRule="exact"/>
              <w:rPr>
                <w:rFonts w:ascii="仿宋" w:hAnsi="仿宋" w:eastAsia="仿宋" w:cs="仿宋"/>
                <w:color w:val="auto"/>
                <w:kern w:val="0"/>
                <w:sz w:val="18"/>
                <w:szCs w:val="18"/>
                <w:highlight w:val="none"/>
              </w:rPr>
            </w:pPr>
          </w:p>
        </w:tc>
        <w:tc>
          <w:tcPr>
            <w:tcW w:w="1773" w:type="dxa"/>
            <w:noWrap/>
            <w:vAlign w:val="center"/>
          </w:tcPr>
          <w:p>
            <w:pPr>
              <w:adjustRightInd/>
              <w:spacing w:line="360" w:lineRule="exact"/>
              <w:jc w:val="center"/>
              <w:rPr>
                <w:rFonts w:ascii="仿宋" w:hAnsi="仿宋" w:eastAsia="仿宋" w:cs="仿宋"/>
                <w:color w:val="auto"/>
                <w:kern w:val="0"/>
                <w:sz w:val="18"/>
                <w:szCs w:val="18"/>
                <w:highlight w:val="none"/>
              </w:rPr>
            </w:pPr>
            <w:r>
              <w:rPr>
                <w:rFonts w:hint="eastAsia" w:ascii="仿宋" w:hAnsi="仿宋" w:eastAsia="仿宋" w:cs="仿宋"/>
                <w:bCs/>
                <w:color w:val="auto"/>
                <w:sz w:val="18"/>
                <w:szCs w:val="18"/>
                <w:highlight w:val="none"/>
              </w:rPr>
              <w:t>块状污染物</w:t>
            </w:r>
          </w:p>
        </w:tc>
        <w:tc>
          <w:tcPr>
            <w:tcW w:w="3848"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adjustRightInd/>
              <w:spacing w:line="360" w:lineRule="exact"/>
              <w:jc w:val="left"/>
              <w:rPr>
                <w:rFonts w:ascii="仿宋" w:hAnsi="仿宋" w:eastAsia="仿宋" w:cs="仿宋"/>
                <w:bCs/>
                <w:color w:val="auto"/>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一级区域：问题缺陷超过2处，扣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二级区域：问题缺陷超过4处，扣 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三级区域：问题缺陷超过8处，扣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Merge w:val="restart"/>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公共设施</w:t>
            </w:r>
          </w:p>
        </w:tc>
        <w:tc>
          <w:tcPr>
            <w:tcW w:w="2018" w:type="dxa"/>
            <w:vMerge w:val="restart"/>
            <w:noWrap/>
            <w:vAlign w:val="center"/>
          </w:tcPr>
          <w:p>
            <w:pPr>
              <w:widowControl/>
              <w:adjustRightInd/>
              <w:spacing w:line="360" w:lineRule="exact"/>
              <w:rPr>
                <w:rFonts w:ascii="仿宋" w:hAnsi="仿宋" w:eastAsia="仿宋" w:cs="仿宋"/>
                <w:color w:val="auto"/>
                <w:kern w:val="0"/>
                <w:sz w:val="18"/>
                <w:szCs w:val="18"/>
                <w:highlight w:val="none"/>
              </w:rPr>
            </w:pPr>
            <w:r>
              <w:rPr>
                <w:rFonts w:hint="eastAsia" w:ascii="仿宋" w:hAnsi="仿宋" w:eastAsia="仿宋" w:cs="仿宋"/>
                <w:bCs/>
                <w:color w:val="auto"/>
                <w:sz w:val="18"/>
                <w:szCs w:val="18"/>
                <w:highlight w:val="none"/>
              </w:rPr>
              <w:t>公共设施周边无垃圾、杂物，外表无乱涂写、乱刻画、乱张贴等，无破损、锈蚀，无明显污迹。</w:t>
            </w: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color w:val="auto"/>
                <w:kern w:val="0"/>
                <w:sz w:val="18"/>
                <w:szCs w:val="18"/>
                <w:highlight w:val="none"/>
              </w:rPr>
              <w:t>乱涂写、乱刻画、乱张贴</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Merge w:val="continue"/>
            <w:noWrap/>
            <w:vAlign w:val="center"/>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widowControl/>
              <w:adjustRightInd/>
              <w:spacing w:line="360" w:lineRule="exact"/>
              <w:rPr>
                <w:rFonts w:ascii="仿宋" w:hAnsi="仿宋" w:eastAsia="仿宋" w:cs="仿宋"/>
                <w:color w:val="auto"/>
                <w:kern w:val="0"/>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周边污染物</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Merge w:val="continue"/>
            <w:noWrap/>
          </w:tcPr>
          <w:p>
            <w:pPr>
              <w:adjustRightInd/>
              <w:spacing w:line="360" w:lineRule="exact"/>
              <w:jc w:val="center"/>
              <w:rPr>
                <w:rFonts w:ascii="仿宋" w:hAnsi="仿宋" w:eastAsia="仿宋" w:cs="仿宋"/>
                <w:bCs/>
                <w:color w:val="auto"/>
                <w:sz w:val="18"/>
                <w:szCs w:val="18"/>
                <w:highlight w:val="none"/>
              </w:rPr>
            </w:pPr>
          </w:p>
        </w:tc>
        <w:tc>
          <w:tcPr>
            <w:tcW w:w="2018" w:type="dxa"/>
            <w:vMerge w:val="continue"/>
            <w:noWrap/>
            <w:vAlign w:val="center"/>
          </w:tcPr>
          <w:p>
            <w:pPr>
              <w:widowControl/>
              <w:adjustRightInd/>
              <w:spacing w:line="360" w:lineRule="exact"/>
              <w:rPr>
                <w:rFonts w:ascii="仿宋" w:hAnsi="仿宋" w:eastAsia="仿宋" w:cs="仿宋"/>
                <w:color w:val="auto"/>
                <w:kern w:val="0"/>
                <w:sz w:val="18"/>
                <w:szCs w:val="18"/>
                <w:highlight w:val="none"/>
              </w:rPr>
            </w:pPr>
          </w:p>
        </w:tc>
        <w:tc>
          <w:tcPr>
            <w:tcW w:w="1773" w:type="dxa"/>
            <w:noWrap/>
            <w:vAlign w:val="center"/>
          </w:tcPr>
          <w:p>
            <w:pPr>
              <w:adjustRightInd/>
              <w:spacing w:line="36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破损、锈蚀</w:t>
            </w:r>
          </w:p>
        </w:tc>
        <w:tc>
          <w:tcPr>
            <w:tcW w:w="3848"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三级区域：每发现两处扣1分</w:t>
            </w:r>
          </w:p>
        </w:tc>
      </w:tr>
    </w:tbl>
    <w:p>
      <w:pPr>
        <w:pStyle w:val="4"/>
        <w:wordWrap w:val="0"/>
        <w:ind w:left="0" w:leftChars="0" w:firstLine="0" w:firstLineChars="0"/>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备注：一个问题缺陷是指3M半径内点状污染物≤5个，每超过5个即算一个问题缺陷。</w:t>
      </w:r>
    </w:p>
    <w:p>
      <w:pPr>
        <w:pStyle w:val="4"/>
        <w:wordWrap w:val="0"/>
        <w:spacing w:line="240" w:lineRule="auto"/>
        <w:ind w:left="0" w:leftChars="0"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6.2公共卫生间（驿站）保洁评价评分标准</w:t>
      </w:r>
    </w:p>
    <w:tbl>
      <w:tblPr>
        <w:tblStyle w:val="64"/>
        <w:tblW w:w="9467" w:type="dxa"/>
        <w:jc w:val="center"/>
        <w:tblLayout w:type="fixed"/>
        <w:tblCellMar>
          <w:top w:w="0" w:type="dxa"/>
          <w:left w:w="108" w:type="dxa"/>
          <w:bottom w:w="0" w:type="dxa"/>
          <w:right w:w="108" w:type="dxa"/>
        </w:tblCellMar>
      </w:tblPr>
      <w:tblGrid>
        <w:gridCol w:w="1511"/>
        <w:gridCol w:w="2614"/>
        <w:gridCol w:w="1408"/>
        <w:gridCol w:w="3934"/>
      </w:tblGrid>
      <w:tr>
        <w:tblPrEx>
          <w:tblCellMar>
            <w:top w:w="0" w:type="dxa"/>
            <w:left w:w="108" w:type="dxa"/>
            <w:bottom w:w="0" w:type="dxa"/>
            <w:right w:w="108" w:type="dxa"/>
          </w:tblCellMar>
        </w:tblPrEx>
        <w:trPr>
          <w:trHeight w:val="749" w:hRule="atLeast"/>
          <w:jc w:val="center"/>
        </w:trPr>
        <w:tc>
          <w:tcPr>
            <w:tcW w:w="1511"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exact"/>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考核项目</w:t>
            </w: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exact"/>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考核内容</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exact"/>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考核指标</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exact"/>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评分标准</w:t>
            </w:r>
          </w:p>
        </w:tc>
      </w:tr>
      <w:tr>
        <w:tblPrEx>
          <w:tblCellMar>
            <w:top w:w="0" w:type="dxa"/>
            <w:left w:w="108" w:type="dxa"/>
            <w:bottom w:w="0" w:type="dxa"/>
            <w:right w:w="108" w:type="dxa"/>
          </w:tblCellMar>
        </w:tblPrEx>
        <w:trPr>
          <w:trHeight w:val="567" w:hRule="atLeast"/>
          <w:jc w:val="center"/>
        </w:trPr>
        <w:tc>
          <w:tcPr>
            <w:tcW w:w="1511" w:type="dxa"/>
            <w:vMerge w:val="restart"/>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基本</w:t>
            </w:r>
          </w:p>
          <w:p>
            <w:pPr>
              <w:widowControl/>
              <w:adjustRightInd/>
              <w:spacing w:line="36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卫生</w:t>
            </w:r>
          </w:p>
          <w:p>
            <w:pPr>
              <w:widowControl/>
              <w:adjustRightInd/>
              <w:spacing w:line="36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质量</w:t>
            </w:r>
          </w:p>
          <w:p>
            <w:pPr>
              <w:widowControl/>
              <w:adjustRightInd/>
              <w:spacing w:line="36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标准</w:t>
            </w: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除臭设备、空调、灯具及开关等内外设施整洁，无蛛网、无污迹</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蛛网、污迹</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restart"/>
            <w:tcBorders>
              <w:top w:val="single" w:color="auto" w:sz="8" w:space="0"/>
              <w:left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地面干燥，无积水、无烟蒂、无痰迹、无污迹、无蝇蛆</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纸片、烟蒂</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三星级、二星级、一星级：每发现一处扣1分；</w:t>
            </w:r>
          </w:p>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标准级：超过3个，扣1分。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continue"/>
            <w:tcBorders>
              <w:left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痰迹</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三星级、二星级、一星级：每发现一处扣1分；</w:t>
            </w:r>
          </w:p>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标准级：超过2个，扣1分。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continue"/>
            <w:tcBorders>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成蝇</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三星级、二星级：每发现一只扣1分；</w:t>
            </w:r>
          </w:p>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一星级、标准级：超过5只，扣1分。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门、窗、窗框、窗台无积灰、无杂物、玻璃干净</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积灰</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r>
      <w:tr>
        <w:tblPrEx>
          <w:tblCellMar>
            <w:top w:w="0" w:type="dxa"/>
            <w:left w:w="108" w:type="dxa"/>
            <w:bottom w:w="0" w:type="dxa"/>
            <w:right w:w="108" w:type="dxa"/>
          </w:tblCellMar>
        </w:tblPrEx>
        <w:trPr>
          <w:trHeight w:val="502"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restart"/>
            <w:tcBorders>
              <w:top w:val="single" w:color="auto" w:sz="8" w:space="0"/>
              <w:left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蹲便器、小便器无尿垢、粪迹、无堵塞，及时冲洗</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粪迹</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r>
      <w:tr>
        <w:tblPrEx>
          <w:tblCellMar>
            <w:top w:w="0" w:type="dxa"/>
            <w:left w:w="108" w:type="dxa"/>
            <w:bottom w:w="0" w:type="dxa"/>
            <w:right w:w="108" w:type="dxa"/>
          </w:tblCellMar>
        </w:tblPrEx>
        <w:trPr>
          <w:trHeight w:val="479"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continue"/>
            <w:tcBorders>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未及时冲洗</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公共卫生间内洗手池无水渍，台面整洁无水渍，拖把池无水渍，搁物台无积灰，镜子完好无污渍、无水渍</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水渍</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厕所隔板无乱涂乱画、无破损</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乱涂乱画、破损</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公共卫生间定期消毒杀菌并填写杀菌消毒日志</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消毒</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三星级：每天消毒一次，未达到扣1分；</w:t>
            </w:r>
          </w:p>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二星级、一星级：每三天消毒一次，未达到扣1分；</w:t>
            </w:r>
          </w:p>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标准级：每周消毒一次，未达到扣1分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公共卫生内无恶臭及刺激性气味</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恶臭</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bottom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废物篓内废弃物及时清理</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废弃物</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三星级：废物篓内废弃物超过废物篓的三分之一，扣1分；</w:t>
            </w:r>
          </w:p>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二星级：废物篓内废弃物超过废物篓的二分之一，扣1分；</w:t>
            </w:r>
          </w:p>
          <w:p>
            <w:pPr>
              <w:widowControl/>
              <w:adjustRightInd/>
              <w:spacing w:line="38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一星级、标准级：废物篓满溢，扣1分</w:t>
            </w:r>
          </w:p>
        </w:tc>
      </w:tr>
      <w:tr>
        <w:tblPrEx>
          <w:tblCellMar>
            <w:top w:w="0" w:type="dxa"/>
            <w:left w:w="108" w:type="dxa"/>
            <w:bottom w:w="0" w:type="dxa"/>
            <w:right w:w="108" w:type="dxa"/>
          </w:tblCellMar>
        </w:tblPrEx>
        <w:trPr>
          <w:trHeight w:val="567" w:hRule="atLeast"/>
          <w:jc w:val="center"/>
        </w:trPr>
        <w:tc>
          <w:tcPr>
            <w:tcW w:w="1511" w:type="dxa"/>
            <w:vMerge w:val="restart"/>
            <w:tcBorders>
              <w:top w:val="single" w:color="auto" w:sz="8" w:space="0"/>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文明</w:t>
            </w:r>
          </w:p>
          <w:p>
            <w:pPr>
              <w:widowControl/>
              <w:adjustRightInd/>
              <w:spacing w:line="36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安全</w:t>
            </w:r>
          </w:p>
          <w:p>
            <w:pPr>
              <w:widowControl/>
              <w:adjustRightInd/>
              <w:spacing w:line="36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作业</w:t>
            </w:r>
          </w:p>
        </w:tc>
        <w:tc>
          <w:tcPr>
            <w:tcW w:w="2614" w:type="dxa"/>
            <w:vMerge w:val="restart"/>
            <w:tcBorders>
              <w:top w:val="single" w:color="auto" w:sz="8" w:space="0"/>
              <w:left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保洁员佩戴工作牌，统一着装工作服，执行管理牌规定的开放时间</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pacing w:val="-17"/>
                <w:sz w:val="18"/>
                <w:szCs w:val="18"/>
                <w:highlight w:val="none"/>
              </w:rPr>
              <w:t>未佩戴工作牌、未统一着装</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continue"/>
            <w:tcBorders>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未执行规定开放时间</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每发现一次扣2分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保洁员保洁期间不做无关保洁事宜</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做无关保洁事宜</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每发现一次扣3分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restart"/>
            <w:tcBorders>
              <w:top w:val="single" w:color="auto" w:sz="8" w:space="0"/>
              <w:left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公共卫生间损坏及时报修，停水、停电、维修时张贴告示通知</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未及时报修</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每发现一次扣1分</w:t>
            </w:r>
          </w:p>
        </w:tc>
      </w:tr>
      <w:tr>
        <w:tblPrEx>
          <w:tblCellMar>
            <w:top w:w="0" w:type="dxa"/>
            <w:left w:w="108" w:type="dxa"/>
            <w:bottom w:w="0" w:type="dxa"/>
            <w:right w:w="108" w:type="dxa"/>
          </w:tblCellMar>
        </w:tblPrEx>
        <w:trPr>
          <w:trHeight w:val="480"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continue"/>
            <w:tcBorders>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未张贴告示</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保洁员保洁期间态度友好、主动帮助需要帮忙的特殊人群</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服务态度恶劣</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每发现一次扣5分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restart"/>
            <w:tcBorders>
              <w:top w:val="single" w:color="auto" w:sz="8" w:space="0"/>
              <w:left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保洁员将保洁工具摆放整齐、统一摆放，不私自关闭正常设施</w:t>
            </w: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工具乱堆乱放</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每发现一次扣1分</w:t>
            </w:r>
          </w:p>
        </w:tc>
      </w:tr>
      <w:tr>
        <w:tblPrEx>
          <w:tblCellMar>
            <w:top w:w="0" w:type="dxa"/>
            <w:left w:w="108" w:type="dxa"/>
            <w:bottom w:w="0" w:type="dxa"/>
            <w:right w:w="108" w:type="dxa"/>
          </w:tblCellMar>
        </w:tblPrEx>
        <w:trPr>
          <w:trHeight w:val="567" w:hRule="atLeast"/>
          <w:jc w:val="center"/>
        </w:trPr>
        <w:tc>
          <w:tcPr>
            <w:tcW w:w="1511" w:type="dxa"/>
            <w:vMerge w:val="continue"/>
            <w:tcBorders>
              <w:left w:val="single" w:color="auto" w:sz="8" w:space="0"/>
              <w:bottom w:val="single" w:color="auto" w:sz="8" w:space="0"/>
              <w:right w:val="single" w:color="auto" w:sz="8" w:space="0"/>
            </w:tcBorders>
            <w:noWrap/>
            <w:vAlign w:val="center"/>
          </w:tcPr>
          <w:p>
            <w:pPr>
              <w:widowControl/>
              <w:adjustRightInd/>
              <w:spacing w:line="360" w:lineRule="exact"/>
              <w:jc w:val="center"/>
              <w:rPr>
                <w:rFonts w:ascii="仿宋" w:hAnsi="仿宋" w:eastAsia="仿宋" w:cs="仿宋"/>
                <w:color w:val="auto"/>
                <w:sz w:val="18"/>
                <w:szCs w:val="18"/>
                <w:highlight w:val="none"/>
              </w:rPr>
            </w:pPr>
          </w:p>
        </w:tc>
        <w:tc>
          <w:tcPr>
            <w:tcW w:w="2614" w:type="dxa"/>
            <w:vMerge w:val="continue"/>
            <w:tcBorders>
              <w:left w:val="single" w:color="auto" w:sz="8" w:space="0"/>
              <w:bottom w:val="single" w:color="auto" w:sz="8" w:space="0"/>
              <w:right w:val="single" w:color="auto" w:sz="8" w:space="0"/>
            </w:tcBorders>
            <w:noWrap/>
            <w:vAlign w:val="center"/>
          </w:tcPr>
          <w:p>
            <w:pPr>
              <w:widowControl/>
              <w:adjustRightInd/>
              <w:spacing w:line="380" w:lineRule="exact"/>
              <w:rPr>
                <w:rFonts w:ascii="仿宋" w:hAnsi="仿宋" w:eastAsia="仿宋" w:cs="仿宋"/>
                <w:color w:val="auto"/>
                <w:sz w:val="18"/>
                <w:szCs w:val="18"/>
                <w:highlight w:val="none"/>
              </w:rPr>
            </w:pPr>
          </w:p>
        </w:tc>
        <w:tc>
          <w:tcPr>
            <w:tcW w:w="1408"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私自关闭正常设施</w:t>
            </w:r>
          </w:p>
        </w:tc>
        <w:tc>
          <w:tcPr>
            <w:tcW w:w="3934" w:type="dxa"/>
            <w:tcBorders>
              <w:top w:val="single" w:color="auto" w:sz="8" w:space="0"/>
              <w:left w:val="single" w:color="auto" w:sz="8" w:space="0"/>
              <w:bottom w:val="single" w:color="auto" w:sz="8" w:space="0"/>
              <w:right w:val="single" w:color="auto" w:sz="8" w:space="0"/>
            </w:tcBorders>
            <w:noWrap/>
            <w:vAlign w:val="center"/>
          </w:tcPr>
          <w:p>
            <w:pPr>
              <w:widowControl/>
              <w:adjustRightInd/>
              <w:spacing w:line="38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每发现一次扣3分</w:t>
            </w:r>
          </w:p>
        </w:tc>
      </w:tr>
    </w:tbl>
    <w:p>
      <w:pPr>
        <w:pStyle w:val="4"/>
        <w:wordWrap w:val="0"/>
        <w:ind w:left="0" w:leftChars="0"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6.3果壳箱保洁评价标准</w:t>
      </w:r>
    </w:p>
    <w:tbl>
      <w:tblPr>
        <w:tblStyle w:val="6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590"/>
        <w:gridCol w:w="1700"/>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5" w:type="dxa"/>
            <w:noWrap/>
            <w:vAlign w:val="center"/>
          </w:tcPr>
          <w:p>
            <w:pPr>
              <w:spacing w:line="380" w:lineRule="exact"/>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考核项目</w:t>
            </w:r>
          </w:p>
        </w:tc>
        <w:tc>
          <w:tcPr>
            <w:tcW w:w="2590" w:type="dxa"/>
            <w:noWrap/>
            <w:vAlign w:val="center"/>
          </w:tcPr>
          <w:p>
            <w:pPr>
              <w:spacing w:line="380" w:lineRule="exact"/>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考核内容</w:t>
            </w:r>
          </w:p>
        </w:tc>
        <w:tc>
          <w:tcPr>
            <w:tcW w:w="1700" w:type="dxa"/>
            <w:noWrap/>
            <w:vAlign w:val="center"/>
          </w:tcPr>
          <w:p>
            <w:pPr>
              <w:spacing w:line="380" w:lineRule="exact"/>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考核指标</w:t>
            </w:r>
          </w:p>
        </w:tc>
        <w:tc>
          <w:tcPr>
            <w:tcW w:w="3731" w:type="dxa"/>
            <w:noWrap/>
            <w:vAlign w:val="center"/>
          </w:tcPr>
          <w:p>
            <w:pPr>
              <w:spacing w:line="380" w:lineRule="exact"/>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435" w:type="dxa"/>
            <w:vMerge w:val="restart"/>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果壳箱</w:t>
            </w:r>
          </w:p>
        </w:tc>
        <w:tc>
          <w:tcPr>
            <w:tcW w:w="2590" w:type="dxa"/>
            <w:vMerge w:val="restart"/>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color w:val="auto"/>
                <w:kern w:val="0"/>
                <w:sz w:val="18"/>
                <w:szCs w:val="18"/>
                <w:highlight w:val="none"/>
              </w:rPr>
              <w:t>箱内垃圾日产日清，</w:t>
            </w:r>
            <w:r>
              <w:rPr>
                <w:rFonts w:hint="eastAsia" w:ascii="仿宋" w:hAnsi="仿宋" w:eastAsia="仿宋" w:cs="仿宋"/>
                <w:bCs/>
                <w:color w:val="auto"/>
                <w:sz w:val="18"/>
                <w:szCs w:val="18"/>
                <w:highlight w:val="none"/>
              </w:rPr>
              <w:t>果壳箱</w:t>
            </w:r>
            <w:r>
              <w:rPr>
                <w:rFonts w:hint="eastAsia" w:ascii="仿宋" w:hAnsi="仿宋" w:eastAsia="仿宋" w:cs="仿宋"/>
                <w:color w:val="auto"/>
                <w:kern w:val="0"/>
                <w:sz w:val="18"/>
                <w:szCs w:val="18"/>
                <w:highlight w:val="none"/>
              </w:rPr>
              <w:t>无满溢，箱内底部无积存垃圾；箱体内胆无污迹，无垃圾附着；垃圾清理后及时关闭箱门。</w:t>
            </w:r>
          </w:p>
        </w:tc>
        <w:tc>
          <w:tcPr>
            <w:tcW w:w="1700"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垃圾满溢</w:t>
            </w:r>
          </w:p>
        </w:tc>
        <w:tc>
          <w:tcPr>
            <w:tcW w:w="3731"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35" w:type="dxa"/>
            <w:vMerge w:val="continue"/>
            <w:noWrap/>
            <w:vAlign w:val="center"/>
          </w:tcPr>
          <w:p>
            <w:pPr>
              <w:adjustRightInd/>
              <w:spacing w:line="380" w:lineRule="exact"/>
              <w:jc w:val="center"/>
              <w:rPr>
                <w:rFonts w:ascii="仿宋" w:hAnsi="仿宋" w:eastAsia="仿宋" w:cs="仿宋"/>
                <w:bCs/>
                <w:color w:val="auto"/>
                <w:sz w:val="18"/>
                <w:szCs w:val="18"/>
                <w:highlight w:val="none"/>
              </w:rPr>
            </w:pPr>
          </w:p>
        </w:tc>
        <w:tc>
          <w:tcPr>
            <w:tcW w:w="2590" w:type="dxa"/>
            <w:vMerge w:val="continue"/>
            <w:noWrap/>
            <w:vAlign w:val="center"/>
          </w:tcPr>
          <w:p>
            <w:pPr>
              <w:adjustRightInd/>
              <w:spacing w:line="380" w:lineRule="exact"/>
              <w:rPr>
                <w:rFonts w:ascii="仿宋" w:hAnsi="仿宋" w:eastAsia="仿宋" w:cs="仿宋"/>
                <w:bCs/>
                <w:color w:val="auto"/>
                <w:sz w:val="18"/>
                <w:szCs w:val="18"/>
                <w:highlight w:val="none"/>
              </w:rPr>
            </w:pPr>
          </w:p>
        </w:tc>
        <w:tc>
          <w:tcPr>
            <w:tcW w:w="1700"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箱门未关闭</w:t>
            </w:r>
          </w:p>
        </w:tc>
        <w:tc>
          <w:tcPr>
            <w:tcW w:w="3731"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35" w:type="dxa"/>
            <w:vMerge w:val="continue"/>
            <w:noWrap/>
            <w:vAlign w:val="center"/>
          </w:tcPr>
          <w:p>
            <w:pPr>
              <w:adjustRightInd/>
              <w:spacing w:line="380" w:lineRule="exact"/>
              <w:jc w:val="center"/>
              <w:rPr>
                <w:rFonts w:ascii="仿宋" w:hAnsi="仿宋" w:eastAsia="仿宋" w:cs="仿宋"/>
                <w:bCs/>
                <w:color w:val="auto"/>
                <w:sz w:val="18"/>
                <w:szCs w:val="18"/>
                <w:highlight w:val="none"/>
              </w:rPr>
            </w:pPr>
          </w:p>
        </w:tc>
        <w:tc>
          <w:tcPr>
            <w:tcW w:w="2590" w:type="dxa"/>
            <w:vMerge w:val="restart"/>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果壳箱</w:t>
            </w:r>
            <w:r>
              <w:rPr>
                <w:rFonts w:hint="eastAsia" w:ascii="仿宋" w:hAnsi="仿宋" w:eastAsia="仿宋" w:cs="仿宋"/>
                <w:color w:val="auto"/>
                <w:kern w:val="0"/>
                <w:sz w:val="18"/>
                <w:szCs w:val="18"/>
                <w:highlight w:val="none"/>
              </w:rPr>
              <w:t>外表保持整洁，无破损和锈蚀，无明显浮灰，无乱涂写、乱刻画、乱张贴；垃圾分类标识正确、清晰。</w:t>
            </w:r>
          </w:p>
        </w:tc>
        <w:tc>
          <w:tcPr>
            <w:tcW w:w="1700" w:type="dxa"/>
            <w:noWrap/>
            <w:vAlign w:val="center"/>
          </w:tcPr>
          <w:p>
            <w:pPr>
              <w:widowControl/>
              <w:adjustRightInd/>
              <w:spacing w:line="380" w:lineRule="exact"/>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外表破损、锈蚀</w:t>
            </w:r>
          </w:p>
        </w:tc>
        <w:tc>
          <w:tcPr>
            <w:tcW w:w="3731"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435" w:type="dxa"/>
            <w:vMerge w:val="continue"/>
            <w:noWrap/>
            <w:vAlign w:val="center"/>
          </w:tcPr>
          <w:p>
            <w:pPr>
              <w:adjustRightInd/>
              <w:spacing w:line="380" w:lineRule="exact"/>
              <w:jc w:val="center"/>
              <w:rPr>
                <w:rFonts w:ascii="仿宋" w:hAnsi="仿宋" w:eastAsia="仿宋" w:cs="仿宋"/>
                <w:bCs/>
                <w:color w:val="auto"/>
                <w:sz w:val="18"/>
                <w:szCs w:val="18"/>
                <w:highlight w:val="none"/>
              </w:rPr>
            </w:pPr>
          </w:p>
        </w:tc>
        <w:tc>
          <w:tcPr>
            <w:tcW w:w="2590" w:type="dxa"/>
            <w:vMerge w:val="continue"/>
            <w:noWrap/>
            <w:vAlign w:val="center"/>
          </w:tcPr>
          <w:p>
            <w:pPr>
              <w:adjustRightInd/>
              <w:spacing w:line="380" w:lineRule="exact"/>
              <w:jc w:val="center"/>
              <w:rPr>
                <w:rFonts w:ascii="仿宋" w:hAnsi="仿宋" w:eastAsia="仿宋" w:cs="仿宋"/>
                <w:bCs/>
                <w:color w:val="auto"/>
                <w:sz w:val="18"/>
                <w:szCs w:val="18"/>
                <w:highlight w:val="none"/>
              </w:rPr>
            </w:pPr>
          </w:p>
        </w:tc>
        <w:tc>
          <w:tcPr>
            <w:tcW w:w="1700" w:type="dxa"/>
            <w:noWrap/>
            <w:vAlign w:val="center"/>
          </w:tcPr>
          <w:p>
            <w:pPr>
              <w:widowControl/>
              <w:adjustRightInd/>
              <w:spacing w:line="380" w:lineRule="exact"/>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乱涂写、乱刻画、乱张贴</w:t>
            </w:r>
          </w:p>
        </w:tc>
        <w:tc>
          <w:tcPr>
            <w:tcW w:w="3731"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435" w:type="dxa"/>
            <w:vMerge w:val="continue"/>
            <w:noWrap/>
            <w:vAlign w:val="center"/>
          </w:tcPr>
          <w:p>
            <w:pPr>
              <w:adjustRightInd/>
              <w:spacing w:line="380" w:lineRule="exact"/>
              <w:jc w:val="center"/>
              <w:rPr>
                <w:rFonts w:ascii="仿宋" w:hAnsi="仿宋" w:eastAsia="仿宋" w:cs="仿宋"/>
                <w:bCs/>
                <w:color w:val="auto"/>
                <w:sz w:val="18"/>
                <w:szCs w:val="18"/>
                <w:highlight w:val="none"/>
              </w:rPr>
            </w:pPr>
          </w:p>
        </w:tc>
        <w:tc>
          <w:tcPr>
            <w:tcW w:w="2590" w:type="dxa"/>
            <w:vMerge w:val="continue"/>
            <w:noWrap/>
            <w:vAlign w:val="center"/>
          </w:tcPr>
          <w:p>
            <w:pPr>
              <w:adjustRightInd/>
              <w:spacing w:line="380" w:lineRule="exact"/>
              <w:jc w:val="center"/>
              <w:rPr>
                <w:rFonts w:ascii="仿宋" w:hAnsi="仿宋" w:eastAsia="仿宋" w:cs="仿宋"/>
                <w:bCs/>
                <w:color w:val="auto"/>
                <w:sz w:val="18"/>
                <w:szCs w:val="18"/>
                <w:highlight w:val="none"/>
              </w:rPr>
            </w:pPr>
          </w:p>
        </w:tc>
        <w:tc>
          <w:tcPr>
            <w:tcW w:w="1700" w:type="dxa"/>
            <w:noWrap/>
            <w:vAlign w:val="center"/>
          </w:tcPr>
          <w:p>
            <w:pPr>
              <w:widowControl/>
              <w:adjustRightInd/>
              <w:spacing w:line="380" w:lineRule="exact"/>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垃圾分类标识错误、涂改</w:t>
            </w:r>
          </w:p>
        </w:tc>
        <w:tc>
          <w:tcPr>
            <w:tcW w:w="3731"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435" w:type="dxa"/>
            <w:vMerge w:val="continue"/>
            <w:noWrap/>
            <w:vAlign w:val="center"/>
          </w:tcPr>
          <w:p>
            <w:pPr>
              <w:adjustRightInd/>
              <w:spacing w:line="380" w:lineRule="exact"/>
              <w:jc w:val="center"/>
              <w:rPr>
                <w:rFonts w:ascii="仿宋" w:hAnsi="仿宋" w:eastAsia="仿宋" w:cs="仿宋"/>
                <w:bCs/>
                <w:color w:val="auto"/>
                <w:sz w:val="18"/>
                <w:szCs w:val="18"/>
                <w:highlight w:val="none"/>
              </w:rPr>
            </w:pPr>
          </w:p>
        </w:tc>
        <w:tc>
          <w:tcPr>
            <w:tcW w:w="2590"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果壳箱</w:t>
            </w:r>
            <w:r>
              <w:rPr>
                <w:rFonts w:hint="eastAsia" w:ascii="仿宋" w:hAnsi="仿宋" w:eastAsia="仿宋" w:cs="仿宋"/>
                <w:color w:val="auto"/>
                <w:kern w:val="0"/>
                <w:sz w:val="18"/>
                <w:szCs w:val="18"/>
                <w:highlight w:val="none"/>
              </w:rPr>
              <w:t>周边1m范围内无垃圾、无堆物。</w:t>
            </w:r>
          </w:p>
        </w:tc>
        <w:tc>
          <w:tcPr>
            <w:tcW w:w="1700" w:type="dxa"/>
            <w:noWrap/>
            <w:vAlign w:val="center"/>
          </w:tcPr>
          <w:p>
            <w:pPr>
              <w:adjustRightInd/>
              <w:spacing w:line="380" w:lineRule="exact"/>
              <w:jc w:val="cente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垃圾、堆物、污水外溢</w:t>
            </w:r>
          </w:p>
        </w:tc>
        <w:tc>
          <w:tcPr>
            <w:tcW w:w="3731" w:type="dxa"/>
            <w:noWrap/>
            <w:vAlign w:val="center"/>
          </w:tcPr>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一级区域：每发现一处扣1分；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二级区域：每发现一处扣0.5分；</w:t>
            </w:r>
          </w:p>
          <w:p>
            <w:pPr>
              <w:adjustRightInd/>
              <w:spacing w:line="380" w:lineRule="exact"/>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三级区域：每发现两处扣0.5分</w:t>
            </w:r>
          </w:p>
        </w:tc>
      </w:tr>
    </w:tbl>
    <w:p>
      <w:pPr>
        <w:pStyle w:val="4"/>
        <w:wordWrap w:val="0"/>
        <w:ind w:left="0" w:leftChars="0"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7.嘉兴市区“席地可坐”城市客厅保洁评价评分标准</w:t>
      </w:r>
    </w:p>
    <w:p>
      <w:pPr>
        <w:pStyle w:val="4"/>
        <w:wordWrap w:val="0"/>
        <w:ind w:left="0" w:leftChars="0"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7.1平面保洁评价评分标准</w:t>
      </w:r>
    </w:p>
    <w:tbl>
      <w:tblPr>
        <w:tblStyle w:val="6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2871"/>
        <w:gridCol w:w="1909"/>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72"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考核项目</w:t>
            </w:r>
          </w:p>
        </w:tc>
        <w:tc>
          <w:tcPr>
            <w:tcW w:w="2871"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考核内容</w:t>
            </w: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考核指标</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路面</w:t>
            </w:r>
          </w:p>
        </w:tc>
        <w:tc>
          <w:tcPr>
            <w:tcW w:w="2871"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路面干净整洁，无垃圾、无污迹、无积尘、无积水，路面清、见本色，机械化清扫率100%，冲洗率100%。</w:t>
            </w: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条状污染物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块状污染物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点状污染物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问题缺陷超过2处，扣 3分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粪便每发现一处扣1.5分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机械化清扫率</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达不到100%，扣2分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冲洗率</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达不到100%，扣2分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人行道</w:t>
            </w:r>
          </w:p>
        </w:tc>
        <w:tc>
          <w:tcPr>
            <w:tcW w:w="2871"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人行道干净整洁，无垃圾、无污迹、无积尘、无积水，保洁无死角、路面见本色，机械化清扫率100%，冲洗率100%。</w:t>
            </w: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条状污染物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块状污染物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点状污染物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问题缺陷超过2处，扣 3分</w:t>
            </w:r>
          </w:p>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粪便每发现一处扣1.5分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机械化清扫率</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达不到100%，扣2分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冲洗率</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达不到100%，扣2分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公共广场地面</w:t>
            </w:r>
          </w:p>
        </w:tc>
        <w:tc>
          <w:tcPr>
            <w:tcW w:w="2871" w:type="dxa"/>
            <w:vMerge w:val="restart"/>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广场地面保持干净整洁，无垃圾、无污迹、无积尘、无积水，保洁无死角、地面见本色，机械化清扫率100%，冲洗率100%。</w:t>
            </w: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条状污染物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块状污染物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点状污染物</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问题缺陷超过2处，扣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机械化清扫率</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达不到100%，扣2分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2" w:type="dxa"/>
            <w:vMerge w:val="continue"/>
            <w:noWrap/>
            <w:vAlign w:val="center"/>
          </w:tcPr>
          <w:p>
            <w:pPr>
              <w:jc w:val="center"/>
              <w:rPr>
                <w:rFonts w:ascii="仿宋" w:hAnsi="仿宋" w:eastAsia="仿宋" w:cs="仿宋"/>
                <w:color w:val="auto"/>
                <w:sz w:val="18"/>
                <w:szCs w:val="18"/>
                <w:highlight w:val="none"/>
              </w:rPr>
            </w:pPr>
          </w:p>
        </w:tc>
        <w:tc>
          <w:tcPr>
            <w:tcW w:w="2871" w:type="dxa"/>
            <w:vMerge w:val="continue"/>
            <w:noWrap/>
            <w:vAlign w:val="center"/>
          </w:tcPr>
          <w:p>
            <w:pPr>
              <w:jc w:val="center"/>
              <w:rPr>
                <w:rFonts w:ascii="仿宋" w:hAnsi="仿宋" w:eastAsia="仿宋" w:cs="仿宋"/>
                <w:color w:val="auto"/>
                <w:sz w:val="18"/>
                <w:szCs w:val="18"/>
                <w:highlight w:val="none"/>
              </w:rPr>
            </w:pPr>
          </w:p>
        </w:tc>
        <w:tc>
          <w:tcPr>
            <w:tcW w:w="1909"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冲洗率</w:t>
            </w:r>
          </w:p>
        </w:tc>
        <w:tc>
          <w:tcPr>
            <w:tcW w:w="3406" w:type="dxa"/>
            <w:noWrap/>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达不到100%，扣2分</w:t>
            </w:r>
          </w:p>
        </w:tc>
      </w:tr>
    </w:tbl>
    <w:p>
      <w:pPr>
        <w:pStyle w:val="4"/>
        <w:wordWrap w:val="0"/>
        <w:ind w:left="0" w:leftChars="0" w:firstLine="420"/>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备注：一个问题缺陷是指3M半径内点状污染物≤3个，每超过3个算一个问题缺陷。</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7.2立面保洁评价评分标准</w:t>
      </w:r>
    </w:p>
    <w:tbl>
      <w:tblPr>
        <w:tblStyle w:val="6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913"/>
        <w:gridCol w:w="1758"/>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1"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考核项目</w:t>
            </w:r>
          </w:p>
        </w:tc>
        <w:tc>
          <w:tcPr>
            <w:tcW w:w="2913"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考核内容</w:t>
            </w:r>
          </w:p>
        </w:tc>
        <w:tc>
          <w:tcPr>
            <w:tcW w:w="175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考核指标</w:t>
            </w:r>
          </w:p>
        </w:tc>
        <w:tc>
          <w:tcPr>
            <w:tcW w:w="332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61" w:type="dxa"/>
            <w:vMerge w:val="restart"/>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绿地（绿化带）</w:t>
            </w:r>
          </w:p>
        </w:tc>
        <w:tc>
          <w:tcPr>
            <w:tcW w:w="2913" w:type="dxa"/>
            <w:vMerge w:val="restart"/>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绿地（绿化带）应保持整洁、有序，及时清除暴露垃圾及包袋垃圾，无杂物悬挂、堆放，绿植表面无明显浮尘，水体保持清洁、干净。</w:t>
            </w:r>
          </w:p>
        </w:tc>
        <w:tc>
          <w:tcPr>
            <w:tcW w:w="175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条状污染物</w:t>
            </w:r>
          </w:p>
        </w:tc>
        <w:tc>
          <w:tcPr>
            <w:tcW w:w="332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1" w:type="dxa"/>
            <w:vMerge w:val="continue"/>
            <w:noWrap/>
            <w:vAlign w:val="center"/>
          </w:tcPr>
          <w:p>
            <w:pPr>
              <w:ind w:left="525"/>
              <w:rPr>
                <w:rFonts w:ascii="仿宋" w:hAnsi="仿宋" w:eastAsia="仿宋" w:cs="仿宋"/>
                <w:bCs/>
                <w:color w:val="auto"/>
                <w:sz w:val="18"/>
                <w:szCs w:val="18"/>
                <w:highlight w:val="none"/>
              </w:rPr>
            </w:pPr>
          </w:p>
        </w:tc>
        <w:tc>
          <w:tcPr>
            <w:tcW w:w="2913" w:type="dxa"/>
            <w:vMerge w:val="continue"/>
            <w:noWrap/>
            <w:vAlign w:val="center"/>
          </w:tcPr>
          <w:p>
            <w:pPr>
              <w:ind w:left="525"/>
              <w:rPr>
                <w:rFonts w:ascii="仿宋" w:hAnsi="仿宋" w:eastAsia="仿宋" w:cs="仿宋"/>
                <w:bCs/>
                <w:color w:val="auto"/>
                <w:sz w:val="18"/>
                <w:szCs w:val="18"/>
                <w:highlight w:val="none"/>
              </w:rPr>
            </w:pPr>
          </w:p>
        </w:tc>
        <w:tc>
          <w:tcPr>
            <w:tcW w:w="175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块状污染物</w:t>
            </w:r>
          </w:p>
        </w:tc>
        <w:tc>
          <w:tcPr>
            <w:tcW w:w="332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61" w:type="dxa"/>
            <w:vMerge w:val="continue"/>
            <w:noWrap/>
            <w:vAlign w:val="center"/>
          </w:tcPr>
          <w:p>
            <w:pPr>
              <w:ind w:left="525"/>
              <w:rPr>
                <w:rFonts w:ascii="仿宋" w:hAnsi="仿宋" w:eastAsia="仿宋" w:cs="仿宋"/>
                <w:bCs/>
                <w:color w:val="auto"/>
                <w:sz w:val="18"/>
                <w:szCs w:val="18"/>
                <w:highlight w:val="none"/>
              </w:rPr>
            </w:pPr>
          </w:p>
        </w:tc>
        <w:tc>
          <w:tcPr>
            <w:tcW w:w="2913" w:type="dxa"/>
            <w:vMerge w:val="continue"/>
            <w:noWrap/>
            <w:vAlign w:val="center"/>
          </w:tcPr>
          <w:p>
            <w:pPr>
              <w:ind w:left="525"/>
              <w:rPr>
                <w:rFonts w:ascii="仿宋" w:hAnsi="仿宋" w:eastAsia="仿宋" w:cs="仿宋"/>
                <w:bCs/>
                <w:color w:val="auto"/>
                <w:sz w:val="18"/>
                <w:szCs w:val="18"/>
                <w:highlight w:val="none"/>
              </w:rPr>
            </w:pPr>
          </w:p>
        </w:tc>
        <w:tc>
          <w:tcPr>
            <w:tcW w:w="175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32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问题缺陷超过2处，扣 3分</w:t>
            </w:r>
          </w:p>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粪便每发现一处扣1.5分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61" w:type="dxa"/>
            <w:vMerge w:val="restart"/>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果壳箱（废物箱）</w:t>
            </w:r>
          </w:p>
        </w:tc>
        <w:tc>
          <w:tcPr>
            <w:tcW w:w="2913" w:type="dxa"/>
            <w:vMerge w:val="restart"/>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箱内垃圾日产日清、无满溢，箱内底部无积存垃圾；箱体内胆无污迹，无垃圾附着；垃圾清理后及时关闭箱门。</w:t>
            </w:r>
          </w:p>
        </w:tc>
        <w:tc>
          <w:tcPr>
            <w:tcW w:w="175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垃圾满溢</w:t>
            </w:r>
          </w:p>
        </w:tc>
        <w:tc>
          <w:tcPr>
            <w:tcW w:w="332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61" w:type="dxa"/>
            <w:vMerge w:val="continue"/>
            <w:noWrap/>
          </w:tcPr>
          <w:p>
            <w:pPr>
              <w:ind w:left="525"/>
              <w:rPr>
                <w:rFonts w:ascii="仿宋" w:hAnsi="仿宋" w:eastAsia="仿宋" w:cs="仿宋"/>
                <w:bCs/>
                <w:color w:val="auto"/>
                <w:sz w:val="18"/>
                <w:szCs w:val="18"/>
                <w:highlight w:val="none"/>
              </w:rPr>
            </w:pPr>
          </w:p>
        </w:tc>
        <w:tc>
          <w:tcPr>
            <w:tcW w:w="2913" w:type="dxa"/>
            <w:vMerge w:val="continue"/>
            <w:noWrap/>
            <w:vAlign w:val="center"/>
          </w:tcPr>
          <w:p>
            <w:pPr>
              <w:ind w:left="525"/>
              <w:rPr>
                <w:rFonts w:ascii="仿宋" w:hAnsi="仿宋" w:eastAsia="仿宋" w:cs="仿宋"/>
                <w:bCs/>
                <w:color w:val="auto"/>
                <w:sz w:val="18"/>
                <w:szCs w:val="18"/>
                <w:highlight w:val="none"/>
              </w:rPr>
            </w:pPr>
          </w:p>
        </w:tc>
        <w:tc>
          <w:tcPr>
            <w:tcW w:w="175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污水外流</w:t>
            </w:r>
          </w:p>
        </w:tc>
        <w:tc>
          <w:tcPr>
            <w:tcW w:w="332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61" w:type="dxa"/>
            <w:vMerge w:val="continue"/>
            <w:noWrap/>
          </w:tcPr>
          <w:p>
            <w:pPr>
              <w:ind w:left="525"/>
              <w:rPr>
                <w:rFonts w:ascii="仿宋" w:hAnsi="仿宋" w:eastAsia="仿宋" w:cs="仿宋"/>
                <w:bCs/>
                <w:color w:val="auto"/>
                <w:sz w:val="18"/>
                <w:szCs w:val="18"/>
                <w:highlight w:val="none"/>
              </w:rPr>
            </w:pPr>
          </w:p>
        </w:tc>
        <w:tc>
          <w:tcPr>
            <w:tcW w:w="2913" w:type="dxa"/>
            <w:vMerge w:val="continue"/>
            <w:noWrap/>
            <w:vAlign w:val="center"/>
          </w:tcPr>
          <w:p>
            <w:pPr>
              <w:ind w:left="525"/>
              <w:rPr>
                <w:rFonts w:ascii="仿宋" w:hAnsi="仿宋" w:eastAsia="仿宋" w:cs="仿宋"/>
                <w:bCs/>
                <w:color w:val="auto"/>
                <w:sz w:val="18"/>
                <w:szCs w:val="18"/>
                <w:highlight w:val="none"/>
              </w:rPr>
            </w:pPr>
          </w:p>
        </w:tc>
        <w:tc>
          <w:tcPr>
            <w:tcW w:w="175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箱门未关闭</w:t>
            </w:r>
          </w:p>
        </w:tc>
        <w:tc>
          <w:tcPr>
            <w:tcW w:w="332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1" w:type="dxa"/>
            <w:vMerge w:val="continue"/>
            <w:noWrap/>
          </w:tcPr>
          <w:p>
            <w:pPr>
              <w:ind w:left="525"/>
              <w:rPr>
                <w:rFonts w:ascii="仿宋" w:hAnsi="仿宋" w:eastAsia="仿宋" w:cs="仿宋"/>
                <w:bCs/>
                <w:color w:val="auto"/>
                <w:sz w:val="18"/>
                <w:szCs w:val="18"/>
                <w:highlight w:val="none"/>
              </w:rPr>
            </w:pPr>
          </w:p>
        </w:tc>
        <w:tc>
          <w:tcPr>
            <w:tcW w:w="2913" w:type="dxa"/>
            <w:vMerge w:val="restart"/>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果壳箱外表保持整洁，无破损和锈蚀，无浮灰，无乱涂写、乱刻画、乱张贴；垃圾分类标识正确、清晰。</w:t>
            </w:r>
          </w:p>
        </w:tc>
        <w:tc>
          <w:tcPr>
            <w:tcW w:w="175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外表破损、锈蚀</w:t>
            </w:r>
          </w:p>
        </w:tc>
        <w:tc>
          <w:tcPr>
            <w:tcW w:w="3328"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561" w:type="dxa"/>
            <w:vMerge w:val="continue"/>
            <w:noWrap/>
          </w:tcPr>
          <w:p>
            <w:pPr>
              <w:ind w:left="525"/>
              <w:rPr>
                <w:rFonts w:ascii="仿宋" w:hAnsi="仿宋" w:eastAsia="仿宋" w:cs="仿宋"/>
                <w:bCs/>
                <w:color w:val="auto"/>
                <w:sz w:val="18"/>
                <w:szCs w:val="18"/>
                <w:highlight w:val="none"/>
              </w:rPr>
            </w:pPr>
          </w:p>
        </w:tc>
        <w:tc>
          <w:tcPr>
            <w:tcW w:w="2913" w:type="dxa"/>
            <w:vMerge w:val="continue"/>
            <w:noWrap/>
            <w:vAlign w:val="center"/>
          </w:tcPr>
          <w:p>
            <w:pPr>
              <w:ind w:left="525"/>
              <w:rPr>
                <w:rFonts w:ascii="仿宋" w:hAnsi="仿宋" w:eastAsia="仿宋" w:cs="仿宋"/>
                <w:bCs/>
                <w:color w:val="auto"/>
                <w:sz w:val="18"/>
                <w:szCs w:val="18"/>
                <w:highlight w:val="none"/>
              </w:rPr>
            </w:pPr>
          </w:p>
        </w:tc>
        <w:tc>
          <w:tcPr>
            <w:tcW w:w="175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乱涂写、乱刻画、乱张贴</w:t>
            </w:r>
          </w:p>
        </w:tc>
        <w:tc>
          <w:tcPr>
            <w:tcW w:w="332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61" w:type="dxa"/>
            <w:vMerge w:val="continue"/>
            <w:noWrap/>
          </w:tcPr>
          <w:p>
            <w:pPr>
              <w:ind w:left="525"/>
              <w:rPr>
                <w:rFonts w:ascii="仿宋" w:hAnsi="仿宋" w:eastAsia="仿宋" w:cs="仿宋"/>
                <w:bCs/>
                <w:color w:val="auto"/>
                <w:sz w:val="18"/>
                <w:szCs w:val="18"/>
                <w:highlight w:val="none"/>
              </w:rPr>
            </w:pPr>
          </w:p>
        </w:tc>
        <w:tc>
          <w:tcPr>
            <w:tcW w:w="2913" w:type="dxa"/>
            <w:vMerge w:val="continue"/>
            <w:noWrap/>
          </w:tcPr>
          <w:p>
            <w:pPr>
              <w:ind w:left="525"/>
              <w:rPr>
                <w:rFonts w:ascii="仿宋" w:hAnsi="仿宋" w:eastAsia="仿宋" w:cs="仿宋"/>
                <w:bCs/>
                <w:color w:val="auto"/>
                <w:sz w:val="18"/>
                <w:szCs w:val="18"/>
                <w:highlight w:val="none"/>
              </w:rPr>
            </w:pPr>
          </w:p>
        </w:tc>
        <w:tc>
          <w:tcPr>
            <w:tcW w:w="175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垃圾分类标识错误、涂改</w:t>
            </w:r>
          </w:p>
        </w:tc>
        <w:tc>
          <w:tcPr>
            <w:tcW w:w="332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561" w:type="dxa"/>
            <w:vMerge w:val="continue"/>
            <w:noWrap/>
          </w:tcPr>
          <w:p>
            <w:pPr>
              <w:ind w:left="525"/>
              <w:rPr>
                <w:rFonts w:ascii="仿宋" w:hAnsi="仿宋" w:eastAsia="仿宋" w:cs="仿宋"/>
                <w:bCs/>
                <w:color w:val="auto"/>
                <w:sz w:val="18"/>
                <w:szCs w:val="18"/>
                <w:highlight w:val="none"/>
              </w:rPr>
            </w:pPr>
          </w:p>
        </w:tc>
        <w:tc>
          <w:tcPr>
            <w:tcW w:w="2913"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果壳箱周边1m范围内无垃圾、无堆物。</w:t>
            </w:r>
          </w:p>
        </w:tc>
        <w:tc>
          <w:tcPr>
            <w:tcW w:w="175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污染物</w:t>
            </w:r>
          </w:p>
        </w:tc>
        <w:tc>
          <w:tcPr>
            <w:tcW w:w="332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61" w:type="dxa"/>
            <w:vMerge w:val="restart"/>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公共设施</w:t>
            </w:r>
          </w:p>
        </w:tc>
        <w:tc>
          <w:tcPr>
            <w:tcW w:w="2913" w:type="dxa"/>
            <w:vMerge w:val="restart"/>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公共设施周边无垃圾、杂物，无乱涂写、乱刻画、乱张贴等，无破损、锈蚀，表面无灰尘、无污迹。</w:t>
            </w:r>
          </w:p>
        </w:tc>
        <w:tc>
          <w:tcPr>
            <w:tcW w:w="175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乱涂写、乱刻画、乱张贴</w:t>
            </w:r>
          </w:p>
        </w:tc>
        <w:tc>
          <w:tcPr>
            <w:tcW w:w="332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61" w:type="dxa"/>
            <w:vMerge w:val="continue"/>
            <w:noWrap/>
          </w:tcPr>
          <w:p>
            <w:pPr>
              <w:ind w:left="525"/>
              <w:rPr>
                <w:rFonts w:ascii="仿宋" w:hAnsi="仿宋" w:eastAsia="仿宋" w:cs="仿宋"/>
                <w:bCs/>
                <w:color w:val="auto"/>
                <w:sz w:val="18"/>
                <w:szCs w:val="18"/>
                <w:highlight w:val="none"/>
              </w:rPr>
            </w:pPr>
          </w:p>
        </w:tc>
        <w:tc>
          <w:tcPr>
            <w:tcW w:w="2913" w:type="dxa"/>
            <w:vMerge w:val="continue"/>
            <w:noWrap/>
            <w:vAlign w:val="center"/>
          </w:tcPr>
          <w:p>
            <w:pPr>
              <w:ind w:left="525"/>
              <w:rPr>
                <w:rFonts w:ascii="仿宋" w:hAnsi="仿宋" w:eastAsia="仿宋" w:cs="仿宋"/>
                <w:bCs/>
                <w:color w:val="auto"/>
                <w:sz w:val="18"/>
                <w:szCs w:val="18"/>
                <w:highlight w:val="none"/>
              </w:rPr>
            </w:pPr>
          </w:p>
        </w:tc>
        <w:tc>
          <w:tcPr>
            <w:tcW w:w="175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周边污染物</w:t>
            </w:r>
          </w:p>
        </w:tc>
        <w:tc>
          <w:tcPr>
            <w:tcW w:w="332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61" w:type="dxa"/>
            <w:vMerge w:val="continue"/>
            <w:noWrap/>
          </w:tcPr>
          <w:p>
            <w:pPr>
              <w:ind w:left="525"/>
              <w:rPr>
                <w:rFonts w:ascii="仿宋" w:hAnsi="仿宋" w:eastAsia="仿宋" w:cs="仿宋"/>
                <w:bCs/>
                <w:color w:val="auto"/>
                <w:sz w:val="18"/>
                <w:szCs w:val="18"/>
                <w:highlight w:val="none"/>
              </w:rPr>
            </w:pPr>
          </w:p>
        </w:tc>
        <w:tc>
          <w:tcPr>
            <w:tcW w:w="2913" w:type="dxa"/>
            <w:vMerge w:val="continue"/>
            <w:noWrap/>
            <w:vAlign w:val="center"/>
          </w:tcPr>
          <w:p>
            <w:pPr>
              <w:ind w:left="525"/>
              <w:rPr>
                <w:rFonts w:ascii="仿宋" w:hAnsi="仿宋" w:eastAsia="仿宋" w:cs="仿宋"/>
                <w:bCs/>
                <w:color w:val="auto"/>
                <w:sz w:val="18"/>
                <w:szCs w:val="18"/>
                <w:highlight w:val="none"/>
              </w:rPr>
            </w:pPr>
          </w:p>
        </w:tc>
        <w:tc>
          <w:tcPr>
            <w:tcW w:w="175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破损、锈蚀、污迹</w:t>
            </w:r>
          </w:p>
        </w:tc>
        <w:tc>
          <w:tcPr>
            <w:tcW w:w="3328"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每发现一处扣2分</w:t>
            </w:r>
          </w:p>
        </w:tc>
      </w:tr>
    </w:tbl>
    <w:p>
      <w:pPr>
        <w:pStyle w:val="4"/>
        <w:wordWrap w:val="0"/>
        <w:ind w:left="0" w:leftChars="0" w:firstLine="420"/>
        <w:rPr>
          <w:rFonts w:ascii="仿宋" w:hAnsi="仿宋" w:eastAsia="仿宋" w:cs="仿宋"/>
          <w:b/>
          <w:bCs/>
          <w:color w:val="auto"/>
          <w:sz w:val="21"/>
          <w:szCs w:val="21"/>
          <w:highlight w:val="none"/>
        </w:rPr>
      </w:pPr>
      <w:r>
        <w:rPr>
          <w:rFonts w:ascii="仿宋" w:hAnsi="仿宋" w:eastAsia="仿宋" w:cs="仿宋"/>
          <w:color w:val="auto"/>
          <w:sz w:val="21"/>
          <w:szCs w:val="21"/>
          <w:highlight w:val="none"/>
        </w:rPr>
        <w:t>备注：一个问题缺陷是指3M半径内点状污染物≤3个，每超过3个算一个问题缺陷。</w:t>
      </w:r>
    </w:p>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7.3剖面保洁评价评分标准</w:t>
      </w:r>
    </w:p>
    <w:tbl>
      <w:tblPr>
        <w:tblStyle w:val="6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2980"/>
        <w:gridCol w:w="1404"/>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1"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考核项目</w:t>
            </w:r>
          </w:p>
        </w:tc>
        <w:tc>
          <w:tcPr>
            <w:tcW w:w="2980"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考核内容</w:t>
            </w:r>
          </w:p>
        </w:tc>
        <w:tc>
          <w:tcPr>
            <w:tcW w:w="1404"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考核指标</w:t>
            </w:r>
          </w:p>
        </w:tc>
        <w:tc>
          <w:tcPr>
            <w:tcW w:w="3695" w:type="dxa"/>
            <w:noWrap/>
            <w:vAlign w:val="center"/>
          </w:tcPr>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381"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沟底</w:t>
            </w:r>
          </w:p>
        </w:tc>
        <w:tc>
          <w:tcPr>
            <w:tcW w:w="2980"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沟底清，无零星垃圾、残留污水、残积尘土等污染物及粪便；格栅板沟眼通，下水沟眼无阻塞。</w:t>
            </w:r>
          </w:p>
        </w:tc>
        <w:tc>
          <w:tcPr>
            <w:tcW w:w="1404"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695"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问题缺陷超过2处，扣 2分</w:t>
            </w:r>
          </w:p>
          <w:p>
            <w:pPr>
              <w:ind w:left="525"/>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粪便每发现一处扣1.5分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1"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窨井</w:t>
            </w:r>
          </w:p>
        </w:tc>
        <w:tc>
          <w:tcPr>
            <w:tcW w:w="2980"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窨井进水口清洁、畅通，窨井盖干净整洁，无明显污迹。</w:t>
            </w:r>
          </w:p>
        </w:tc>
        <w:tc>
          <w:tcPr>
            <w:tcW w:w="1404"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695"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问题缺陷超过2处，扣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1"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侧石</w:t>
            </w:r>
          </w:p>
        </w:tc>
        <w:tc>
          <w:tcPr>
            <w:tcW w:w="2980" w:type="dxa"/>
            <w:noWrap/>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侧石保持干净整洁，无污水、污迹等污染物。</w:t>
            </w:r>
          </w:p>
        </w:tc>
        <w:tc>
          <w:tcPr>
            <w:tcW w:w="1404"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695"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问题缺陷超过2处，扣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1"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墙角</w:t>
            </w:r>
          </w:p>
        </w:tc>
        <w:tc>
          <w:tcPr>
            <w:tcW w:w="2980"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墙角清，无零星垃圾、残留污水、残积沙土、明显污迹等。</w:t>
            </w:r>
          </w:p>
        </w:tc>
        <w:tc>
          <w:tcPr>
            <w:tcW w:w="1404"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695"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问题缺陷超过2处，扣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381"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树根</w:t>
            </w:r>
          </w:p>
        </w:tc>
        <w:tc>
          <w:tcPr>
            <w:tcW w:w="2980" w:type="dxa"/>
            <w:noWrap/>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树根清，行道树树穴无零星垃圾、口香糖、呕吐物、粪便等各类残留物。</w:t>
            </w:r>
          </w:p>
        </w:tc>
        <w:tc>
          <w:tcPr>
            <w:tcW w:w="1404"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695"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问题缺陷超过2处，扣 2分</w:t>
            </w:r>
          </w:p>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粪便每发现一处扣1.5分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1" w:type="dxa"/>
            <w:noWrap/>
            <w:vAlign w:val="center"/>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砖缝</w:t>
            </w:r>
          </w:p>
        </w:tc>
        <w:tc>
          <w:tcPr>
            <w:tcW w:w="2980" w:type="dxa"/>
            <w:noWrap/>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砖缝清，无杂草、积存烟头、口香糖残留物等污染物。</w:t>
            </w:r>
          </w:p>
        </w:tc>
        <w:tc>
          <w:tcPr>
            <w:tcW w:w="1404" w:type="dxa"/>
            <w:noWrap/>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点状污染物</w:t>
            </w:r>
          </w:p>
        </w:tc>
        <w:tc>
          <w:tcPr>
            <w:tcW w:w="3695" w:type="dxa"/>
            <w:noWrap/>
          </w:tcPr>
          <w:p>
            <w:pPr>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问题缺陷超过2处，扣 2分</w:t>
            </w:r>
          </w:p>
        </w:tc>
      </w:tr>
    </w:tbl>
    <w:p>
      <w:pPr>
        <w:pStyle w:val="4"/>
        <w:wordWrap w:val="0"/>
        <w:ind w:left="0" w:leftChars="0"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备注：一个问题缺陷是指3M半径内点状污染物≤3个，每超过3个算一个问题缺陷。</w:t>
      </w:r>
    </w:p>
    <w:p>
      <w:pPr>
        <w:pStyle w:val="4"/>
        <w:wordWrap w:val="0"/>
        <w:ind w:left="0" w:leftChars="0" w:firstLine="0" w:firstLineChars="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九、商务要求表</w:t>
      </w:r>
    </w:p>
    <w:tbl>
      <w:tblPr>
        <w:tblStyle w:val="6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pPr>
              <w:spacing w:line="3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服务期限</w:t>
            </w:r>
          </w:p>
        </w:tc>
        <w:tc>
          <w:tcPr>
            <w:tcW w:w="8122" w:type="dxa"/>
            <w:vAlign w:val="center"/>
          </w:tcPr>
          <w:p>
            <w:pPr>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一年，</w:t>
            </w:r>
            <w:r>
              <w:rPr>
                <w:rFonts w:hint="eastAsia" w:ascii="仿宋" w:hAnsi="仿宋" w:eastAsia="仿宋"/>
                <w:bCs/>
                <w:color w:val="auto"/>
                <w:szCs w:val="21"/>
                <w:highlight w:val="none"/>
              </w:rPr>
              <w:t>自2023年1月1日起至2023年12月31日</w:t>
            </w:r>
            <w:r>
              <w:rPr>
                <w:rFonts w:hint="eastAsia" w:ascii="仿宋" w:hAnsi="仿宋" w:eastAsia="仿宋" w:cs="仿宋"/>
                <w:bCs/>
                <w:color w:val="auto"/>
                <w:kern w:val="0"/>
                <w:szCs w:val="21"/>
                <w:highlight w:val="none"/>
              </w:rPr>
              <w:t>。</w:t>
            </w:r>
          </w:p>
          <w:p>
            <w:p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经采购人对中标供应商考核，年平均考核分达到90分（含）以上，且无月考核低于85分的，甲乙双方按照相关规定，可续签合同。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26" w:type="dxa"/>
            <w:vAlign w:val="center"/>
          </w:tcPr>
          <w:p>
            <w:pPr>
              <w:spacing w:line="3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▲付款方式</w:t>
            </w:r>
          </w:p>
        </w:tc>
        <w:tc>
          <w:tcPr>
            <w:tcW w:w="8122" w:type="dxa"/>
            <w:vAlign w:val="center"/>
          </w:tcPr>
          <w:p>
            <w:pPr>
              <w:autoSpaceDE w:val="0"/>
              <w:autoSpaceDN w:val="0"/>
              <w:spacing w:line="340" w:lineRule="exact"/>
              <w:rPr>
                <w:rFonts w:ascii="仿宋" w:hAnsi="仿宋" w:eastAsia="仿宋"/>
                <w:color w:val="auto"/>
                <w:kern w:val="0"/>
                <w:szCs w:val="21"/>
                <w:highlight w:val="none"/>
                <w:lang w:val="zh-CN"/>
              </w:rPr>
            </w:pPr>
            <w:bookmarkStart w:id="27" w:name="_Toc13838"/>
            <w:r>
              <w:rPr>
                <w:rFonts w:hint="eastAsia" w:ascii="仿宋" w:hAnsi="仿宋" w:eastAsia="仿宋"/>
                <w:color w:val="auto"/>
                <w:kern w:val="0"/>
                <w:szCs w:val="21"/>
                <w:highlight w:val="none"/>
                <w:lang w:val="zh-CN"/>
              </w:rPr>
              <w:t>1</w:t>
            </w:r>
            <w:r>
              <w:rPr>
                <w:rFonts w:hint="eastAsia" w:ascii="仿宋" w:hAnsi="仿宋" w:eastAsia="仿宋"/>
                <w:color w:val="auto"/>
                <w:kern w:val="0"/>
                <w:szCs w:val="21"/>
                <w:highlight w:val="none"/>
              </w:rPr>
              <w:t>.</w:t>
            </w:r>
            <w:r>
              <w:rPr>
                <w:rFonts w:hint="eastAsia" w:ascii="仿宋" w:hAnsi="仿宋" w:eastAsia="仿宋"/>
                <w:color w:val="auto"/>
                <w:kern w:val="0"/>
                <w:szCs w:val="21"/>
                <w:highlight w:val="none"/>
                <w:lang w:val="zh-CN"/>
              </w:rPr>
              <w:t>政策性条款：</w:t>
            </w:r>
            <w:bookmarkEnd w:id="27"/>
          </w:p>
          <w:p>
            <w:pPr>
              <w:autoSpaceDE w:val="0"/>
              <w:autoSpaceDN w:val="0"/>
              <w:spacing w:line="340" w:lineRule="exact"/>
              <w:rPr>
                <w:rFonts w:ascii="仿宋" w:hAnsi="仿宋" w:eastAsia="仿宋"/>
                <w:color w:val="auto"/>
                <w:kern w:val="0"/>
                <w:szCs w:val="21"/>
                <w:highlight w:val="none"/>
                <w:lang w:val="zh-CN"/>
              </w:rPr>
            </w:pPr>
            <w:bookmarkStart w:id="28" w:name="_Toc6457"/>
            <w:r>
              <w:rPr>
                <w:rFonts w:hint="eastAsia" w:ascii="仿宋" w:hAnsi="仿宋" w:eastAsia="仿宋"/>
                <w:color w:val="auto"/>
                <w:kern w:val="0"/>
                <w:szCs w:val="21"/>
                <w:highlight w:val="none"/>
                <w:lang w:val="zh-CN"/>
              </w:rPr>
              <w:t>根据浙《江省财政厅关于坚决打赢疫情防控阻击战进一步做好政府采购资金支持企业发展工作的通知》[浙财采监〔2020〕3号]规定：</w:t>
            </w:r>
            <w:bookmarkEnd w:id="28"/>
          </w:p>
          <w:p>
            <w:pPr>
              <w:autoSpaceDE w:val="0"/>
              <w:autoSpaceDN w:val="0"/>
              <w:spacing w:line="340" w:lineRule="exact"/>
              <w:rPr>
                <w:rFonts w:ascii="仿宋" w:hAnsi="仿宋" w:eastAsia="仿宋"/>
                <w:color w:val="auto"/>
                <w:kern w:val="0"/>
                <w:szCs w:val="21"/>
                <w:highlight w:val="none"/>
                <w:lang w:val="zh-CN"/>
              </w:rPr>
            </w:pPr>
            <w:bookmarkStart w:id="29" w:name="_Toc7151"/>
            <w:r>
              <w:rPr>
                <w:rFonts w:hint="eastAsia" w:ascii="仿宋" w:hAnsi="仿宋" w:eastAsia="仿宋"/>
                <w:color w:val="auto"/>
                <w:kern w:val="0"/>
                <w:szCs w:val="21"/>
                <w:highlight w:val="none"/>
                <w:lang w:val="zh-CN"/>
              </w:rPr>
              <w:t>（1）各采购单位应当在政府采购合同中约定预付款，预付款比例原则上不低于合同金额的40％；项目分年安排预算的，每年预付款比例不低于项目年度计划支付资金额的40％。采购项目实施以人工投入为主的，可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招标方式采购的，预付款从其相关规定。</w:t>
            </w:r>
            <w:bookmarkEnd w:id="29"/>
          </w:p>
          <w:p>
            <w:pPr>
              <w:autoSpaceDE w:val="0"/>
              <w:autoSpaceDN w:val="0"/>
              <w:spacing w:line="340" w:lineRule="exact"/>
              <w:rPr>
                <w:rFonts w:ascii="仿宋" w:hAnsi="仿宋" w:eastAsia="仿宋"/>
                <w:color w:val="auto"/>
                <w:kern w:val="0"/>
                <w:szCs w:val="21"/>
                <w:highlight w:val="none"/>
                <w:lang w:val="zh-CN"/>
              </w:rPr>
            </w:pPr>
            <w:bookmarkStart w:id="30" w:name="_Toc3675"/>
            <w:r>
              <w:rPr>
                <w:rFonts w:hint="eastAsia" w:ascii="仿宋" w:hAnsi="仿宋" w:eastAsia="仿宋"/>
                <w:color w:val="auto"/>
                <w:kern w:val="0"/>
                <w:szCs w:val="21"/>
                <w:highlight w:val="none"/>
                <w:lang w:val="zh-CN"/>
              </w:rPr>
              <w:t>（2）政府采购预付款应在合同生效以及具备实施条件后15日内支付。项目分年安排预算的，第二年预付时间为次年相对应月份，以此类推；当年度预付款尚未扣回的，次年不重复安排。</w:t>
            </w:r>
            <w:bookmarkEnd w:id="30"/>
          </w:p>
          <w:p>
            <w:pPr>
              <w:autoSpaceDE w:val="0"/>
              <w:autoSpaceDN w:val="0"/>
              <w:spacing w:line="340" w:lineRule="exact"/>
              <w:rPr>
                <w:rFonts w:ascii="仿宋" w:hAnsi="仿宋" w:eastAsia="仿宋"/>
                <w:color w:val="auto"/>
                <w:kern w:val="0"/>
                <w:szCs w:val="21"/>
                <w:highlight w:val="none"/>
                <w:lang w:val="zh-CN"/>
              </w:rPr>
            </w:pPr>
            <w:bookmarkStart w:id="31" w:name="_Toc2527"/>
            <w:r>
              <w:rPr>
                <w:rFonts w:hint="eastAsia" w:ascii="仿宋" w:hAnsi="仿宋" w:eastAsia="仿宋"/>
                <w:color w:val="auto"/>
                <w:kern w:val="0"/>
                <w:szCs w:val="21"/>
                <w:highlight w:val="none"/>
                <w:lang w:val="zh-CN"/>
              </w:rPr>
              <w:t>（3）各采购单位可根据项目特点、供应商信用等情况，决定是否要求供应商提交银行、保险公司等金融机构出具的预付款保函或其他担保措施。疫情期间，对受疫情影响严重的中小微企业应当取消或者减少预付款担保。</w:t>
            </w:r>
            <w:bookmarkEnd w:id="31"/>
          </w:p>
          <w:p>
            <w:pPr>
              <w:autoSpaceDE w:val="0"/>
              <w:autoSpaceDN w:val="0"/>
              <w:spacing w:line="340" w:lineRule="exact"/>
              <w:rPr>
                <w:rFonts w:eastAsia="仿宋"/>
                <w:color w:val="auto"/>
                <w:highlight w:val="none"/>
              </w:rPr>
            </w:pPr>
            <w:bookmarkStart w:id="32" w:name="_Toc10611"/>
            <w:bookmarkStart w:id="33" w:name="_Toc6062"/>
            <w:bookmarkStart w:id="34" w:name="_Toc26078"/>
            <w:r>
              <w:rPr>
                <w:rFonts w:hint="eastAsia" w:ascii="仿宋" w:hAnsi="仿宋" w:eastAsia="仿宋"/>
                <w:color w:val="auto"/>
                <w:kern w:val="0"/>
                <w:szCs w:val="21"/>
                <w:highlight w:val="none"/>
              </w:rPr>
              <w:t>2.</w:t>
            </w:r>
            <w:bookmarkEnd w:id="32"/>
            <w:bookmarkEnd w:id="33"/>
            <w:bookmarkEnd w:id="34"/>
            <w:r>
              <w:rPr>
                <w:rFonts w:hint="eastAsia" w:ascii="仿宋" w:hAnsi="仿宋" w:eastAsia="仿宋"/>
                <w:color w:val="auto"/>
                <w:kern w:val="0"/>
                <w:szCs w:val="21"/>
                <w:highlight w:val="none"/>
                <w:lang w:val="zh-CN"/>
              </w:rPr>
              <w:t>保洁服务费每半年结算一次，采购人按照实际考核结果扣款后在每半年的次月向中标单位支付费用（须开税务发票）。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26" w:type="dxa"/>
            <w:vAlign w:val="center"/>
          </w:tcPr>
          <w:p>
            <w:pPr>
              <w:spacing w:line="3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8122" w:type="dxa"/>
            <w:vAlign w:val="center"/>
          </w:tcPr>
          <w:p>
            <w:pPr>
              <w:snapToGrid w:val="0"/>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签订合同价的1%，合同期满后无息退回。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8122" w:type="dxa"/>
            <w:vAlign w:val="center"/>
          </w:tcPr>
          <w:p>
            <w:pPr>
              <w:autoSpaceDE w:val="0"/>
              <w:autoSpaceDN w:val="0"/>
              <w:spacing w:line="340" w:lineRule="exact"/>
              <w:rPr>
                <w:rFonts w:ascii="仿宋" w:hAnsi="仿宋" w:eastAsia="仿宋" w:cs="仿宋"/>
                <w:color w:val="auto"/>
                <w:szCs w:val="21"/>
                <w:highlight w:val="none"/>
              </w:rPr>
            </w:pPr>
            <w:r>
              <w:rPr>
                <w:rFonts w:hint="eastAsia" w:ascii="仿宋" w:hAnsi="仿宋" w:eastAsia="仿宋"/>
                <w:color w:val="auto"/>
                <w:kern w:val="0"/>
                <w:szCs w:val="21"/>
                <w:highlight w:val="none"/>
                <w:lang w:val="zh-CN"/>
              </w:rPr>
              <w:t>有关本项目实施所需的所有费用（含税费）均计入报价，</w:t>
            </w:r>
            <w:r>
              <w:rPr>
                <w:rFonts w:hint="eastAsia" w:ascii="仿宋" w:hAnsi="仿宋" w:eastAsia="仿宋" w:cs="仿宋"/>
                <w:color w:val="auto"/>
                <w:szCs w:val="21"/>
                <w:highlight w:val="none"/>
              </w:rPr>
              <w:t>投标报价是履行合同的最终价格。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6" w:type="dxa"/>
            <w:vAlign w:val="center"/>
          </w:tcPr>
          <w:p>
            <w:pPr>
              <w:spacing w:line="3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安全生产责任</w:t>
            </w:r>
          </w:p>
        </w:tc>
        <w:tc>
          <w:tcPr>
            <w:tcW w:w="8122" w:type="dxa"/>
            <w:vAlign w:val="center"/>
          </w:tcPr>
          <w:p>
            <w:pPr>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中标人应自行承担项目实施过程中安全生产责任，采购人任何情况下均不承担因此产生的任何法律责任和经济责任。</w:t>
            </w:r>
          </w:p>
        </w:tc>
      </w:tr>
    </w:tbl>
    <w:p>
      <w:pPr>
        <w:pStyle w:val="4"/>
        <w:wordWrap w:val="0"/>
        <w:ind w:left="0" w:leftChars="0" w:firstLine="0" w:firstLineChars="0"/>
        <w:rPr>
          <w:rFonts w:ascii="仿宋" w:hAnsi="仿宋" w:eastAsia="仿宋" w:cs="仿宋"/>
          <w:color w:val="auto"/>
          <w:sz w:val="21"/>
          <w:szCs w:val="21"/>
          <w:highlight w:val="none"/>
        </w:rPr>
      </w:pPr>
    </w:p>
    <w:p>
      <w:pPr>
        <w:pStyle w:val="4"/>
        <w:wordWrap w:val="0"/>
        <w:ind w:left="0" w:leftChars="0" w:firstLine="0" w:firstLineChars="0"/>
        <w:jc w:val="center"/>
        <w:rPr>
          <w:rFonts w:ascii="仿宋" w:hAnsi="仿宋" w:eastAsia="仿宋" w:cs="仿宋_GB2312"/>
          <w:b/>
          <w:color w:val="auto"/>
          <w:highlight w:val="none"/>
        </w:rPr>
      </w:pPr>
      <w:r>
        <w:rPr>
          <w:rFonts w:ascii="仿宋" w:hAnsi="仿宋" w:eastAsia="仿宋" w:cs="仿宋_GB2312"/>
          <w:b/>
          <w:color w:val="auto"/>
          <w:highlight w:val="none"/>
        </w:rPr>
        <w:br w:type="page"/>
      </w:r>
    </w:p>
    <w:p>
      <w:pPr>
        <w:pStyle w:val="4"/>
        <w:wordWrap w:val="0"/>
        <w:ind w:left="0" w:leftChars="0" w:firstLine="0" w:firstLineChars="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35" w:name="_Toc184312081"/>
      <w:bookmarkEnd w:id="35"/>
      <w:bookmarkStart w:id="36" w:name="_Toc184308057"/>
      <w:bookmarkEnd w:id="36"/>
      <w:bookmarkStart w:id="37" w:name="_Toc184312071"/>
      <w:bookmarkEnd w:id="37"/>
      <w:bookmarkStart w:id="38" w:name="_Toc184314471"/>
      <w:bookmarkEnd w:id="38"/>
      <w:bookmarkStart w:id="39" w:name="_Toc184308041"/>
      <w:bookmarkEnd w:id="39"/>
      <w:bookmarkStart w:id="40" w:name="_Toc184310332"/>
      <w:bookmarkEnd w:id="40"/>
      <w:bookmarkStart w:id="41" w:name="_Toc184314470"/>
      <w:bookmarkEnd w:id="41"/>
      <w:bookmarkStart w:id="42" w:name="_Toc184310288"/>
      <w:bookmarkEnd w:id="42"/>
      <w:bookmarkStart w:id="43" w:name="_Toc184310344"/>
      <w:bookmarkEnd w:id="43"/>
      <w:bookmarkStart w:id="44" w:name="_Toc184314414"/>
      <w:bookmarkEnd w:id="44"/>
      <w:bookmarkStart w:id="45" w:name="_Toc184312074"/>
      <w:bookmarkEnd w:id="45"/>
      <w:bookmarkStart w:id="46" w:name="_Toc184312111"/>
      <w:bookmarkEnd w:id="46"/>
      <w:bookmarkStart w:id="47" w:name="_Toc184312128"/>
      <w:bookmarkEnd w:id="47"/>
      <w:bookmarkStart w:id="48" w:name="_Toc184314464"/>
      <w:bookmarkEnd w:id="48"/>
      <w:bookmarkStart w:id="49" w:name="_Toc184312119"/>
      <w:bookmarkEnd w:id="49"/>
      <w:bookmarkStart w:id="50" w:name="_Toc184312137"/>
      <w:bookmarkEnd w:id="50"/>
      <w:bookmarkStart w:id="51" w:name="_Toc184313267"/>
      <w:bookmarkEnd w:id="51"/>
      <w:bookmarkStart w:id="52" w:name="_Toc184310280"/>
      <w:bookmarkEnd w:id="52"/>
      <w:bookmarkStart w:id="53" w:name="_Toc184312084"/>
      <w:bookmarkEnd w:id="53"/>
      <w:bookmarkStart w:id="54" w:name="_Toc184314413"/>
      <w:bookmarkEnd w:id="54"/>
      <w:bookmarkStart w:id="55" w:name="_Toc184312118"/>
      <w:bookmarkEnd w:id="55"/>
      <w:bookmarkStart w:id="56" w:name="_Toc184312098"/>
      <w:bookmarkEnd w:id="56"/>
      <w:bookmarkStart w:id="57" w:name="_Toc184310290"/>
      <w:bookmarkEnd w:id="57"/>
      <w:bookmarkStart w:id="58" w:name="_Toc184310336"/>
      <w:bookmarkEnd w:id="58"/>
      <w:bookmarkStart w:id="59" w:name="_Toc184314422"/>
      <w:bookmarkEnd w:id="59"/>
      <w:bookmarkStart w:id="60" w:name="_Toc184313285"/>
      <w:bookmarkEnd w:id="60"/>
      <w:bookmarkStart w:id="61" w:name="_Toc184312123"/>
      <w:bookmarkEnd w:id="61"/>
      <w:bookmarkStart w:id="62" w:name="_Toc184310298"/>
      <w:bookmarkEnd w:id="62"/>
      <w:bookmarkStart w:id="63" w:name="_Toc184313276"/>
      <w:bookmarkEnd w:id="63"/>
      <w:bookmarkStart w:id="64" w:name="_Toc184314477"/>
      <w:bookmarkEnd w:id="64"/>
      <w:bookmarkStart w:id="65" w:name="_Toc184308092"/>
      <w:bookmarkEnd w:id="65"/>
      <w:bookmarkStart w:id="66" w:name="_Toc184314463"/>
      <w:bookmarkEnd w:id="66"/>
      <w:bookmarkStart w:id="67" w:name="_Toc184313302"/>
      <w:bookmarkEnd w:id="67"/>
      <w:bookmarkStart w:id="68" w:name="_Toc184308052"/>
      <w:bookmarkEnd w:id="68"/>
      <w:bookmarkStart w:id="69" w:name="_Toc184313247"/>
      <w:bookmarkEnd w:id="69"/>
      <w:bookmarkStart w:id="70" w:name="_Toc184314468"/>
      <w:bookmarkEnd w:id="70"/>
      <w:bookmarkStart w:id="71" w:name="_Toc184314423"/>
      <w:bookmarkEnd w:id="71"/>
      <w:bookmarkStart w:id="72" w:name="_Toc184313300"/>
      <w:bookmarkEnd w:id="72"/>
      <w:bookmarkStart w:id="73" w:name="_Toc184308049"/>
      <w:bookmarkEnd w:id="73"/>
      <w:bookmarkStart w:id="74" w:name="_Toc184310308"/>
      <w:bookmarkEnd w:id="74"/>
      <w:bookmarkStart w:id="75" w:name="_Toc184314442"/>
      <w:bookmarkEnd w:id="75"/>
      <w:bookmarkStart w:id="76" w:name="_Toc184310277"/>
      <w:bookmarkEnd w:id="76"/>
      <w:bookmarkStart w:id="77" w:name="_Toc184313241"/>
      <w:bookmarkEnd w:id="77"/>
      <w:bookmarkStart w:id="78" w:name="_Toc184310312"/>
      <w:bookmarkEnd w:id="78"/>
      <w:bookmarkStart w:id="79" w:name="_Toc184310322"/>
      <w:bookmarkEnd w:id="79"/>
      <w:bookmarkStart w:id="80" w:name="_Toc184313251"/>
      <w:bookmarkEnd w:id="80"/>
      <w:bookmarkStart w:id="81" w:name="_Toc184314446"/>
      <w:bookmarkEnd w:id="81"/>
      <w:bookmarkStart w:id="82" w:name="_Toc184312120"/>
      <w:bookmarkEnd w:id="82"/>
      <w:bookmarkStart w:id="83" w:name="_Toc184313289"/>
      <w:bookmarkEnd w:id="83"/>
      <w:bookmarkStart w:id="84" w:name="_Toc184308077"/>
      <w:bookmarkEnd w:id="84"/>
      <w:bookmarkStart w:id="85" w:name="_Toc184310291"/>
      <w:bookmarkEnd w:id="85"/>
      <w:bookmarkStart w:id="86" w:name="_Toc184313269"/>
      <w:bookmarkEnd w:id="86"/>
      <w:bookmarkStart w:id="87" w:name="_Toc184308046"/>
      <w:bookmarkEnd w:id="87"/>
      <w:bookmarkStart w:id="88" w:name="_Toc184313281"/>
      <w:bookmarkEnd w:id="88"/>
      <w:bookmarkStart w:id="89" w:name="_Toc184314418"/>
      <w:bookmarkEnd w:id="89"/>
      <w:bookmarkStart w:id="90" w:name="_Toc184310274"/>
      <w:bookmarkEnd w:id="90"/>
      <w:bookmarkStart w:id="91" w:name="_Toc184308101"/>
      <w:bookmarkEnd w:id="91"/>
      <w:bookmarkStart w:id="92" w:name="_Toc184310317"/>
      <w:bookmarkEnd w:id="92"/>
      <w:bookmarkStart w:id="93" w:name="_Toc184314459"/>
      <w:bookmarkEnd w:id="93"/>
      <w:bookmarkStart w:id="94" w:name="_Toc184308044"/>
      <w:bookmarkEnd w:id="94"/>
      <w:bookmarkStart w:id="95" w:name="_Toc184313304"/>
      <w:bookmarkEnd w:id="95"/>
      <w:bookmarkStart w:id="96" w:name="_Toc184310278"/>
      <w:bookmarkEnd w:id="96"/>
      <w:bookmarkStart w:id="97" w:name="_Toc184312076"/>
      <w:bookmarkEnd w:id="97"/>
      <w:bookmarkStart w:id="98" w:name="_Toc184313248"/>
      <w:bookmarkEnd w:id="98"/>
      <w:bookmarkStart w:id="99" w:name="_Toc184312099"/>
      <w:bookmarkEnd w:id="99"/>
      <w:bookmarkStart w:id="100" w:name="_Toc184310303"/>
      <w:bookmarkEnd w:id="100"/>
      <w:bookmarkStart w:id="101" w:name="_Toc184310304"/>
      <w:bookmarkEnd w:id="101"/>
      <w:bookmarkStart w:id="102" w:name="_Toc184312110"/>
      <w:bookmarkEnd w:id="102"/>
      <w:bookmarkStart w:id="103" w:name="_Toc184314412"/>
      <w:bookmarkEnd w:id="103"/>
      <w:bookmarkStart w:id="104" w:name="_Toc184314452"/>
      <w:bookmarkEnd w:id="104"/>
      <w:bookmarkStart w:id="105" w:name="_Toc184310315"/>
      <w:bookmarkEnd w:id="105"/>
      <w:bookmarkStart w:id="106" w:name="_Toc184314444"/>
      <w:bookmarkEnd w:id="106"/>
      <w:bookmarkStart w:id="107" w:name="_Toc184310273"/>
      <w:bookmarkEnd w:id="107"/>
      <w:bookmarkStart w:id="108" w:name="_Toc184312088"/>
      <w:bookmarkEnd w:id="108"/>
      <w:bookmarkStart w:id="109" w:name="_Toc184313303"/>
      <w:bookmarkEnd w:id="109"/>
      <w:bookmarkStart w:id="110" w:name="_Toc184314449"/>
      <w:bookmarkEnd w:id="110"/>
      <w:bookmarkStart w:id="111" w:name="_Toc184310326"/>
      <w:bookmarkEnd w:id="111"/>
      <w:bookmarkStart w:id="112" w:name="_Toc184308037"/>
      <w:bookmarkEnd w:id="112"/>
      <w:bookmarkStart w:id="113" w:name="_Toc184310275"/>
      <w:bookmarkEnd w:id="113"/>
      <w:bookmarkStart w:id="114" w:name="_Toc184313279"/>
      <w:bookmarkEnd w:id="114"/>
      <w:bookmarkStart w:id="115" w:name="_Toc184314453"/>
      <w:bookmarkEnd w:id="115"/>
      <w:bookmarkStart w:id="116" w:name="_Toc184310338"/>
      <w:bookmarkEnd w:id="116"/>
      <w:bookmarkStart w:id="117" w:name="_Toc184313264"/>
      <w:bookmarkEnd w:id="117"/>
      <w:bookmarkStart w:id="118" w:name="_Toc184310276"/>
      <w:bookmarkEnd w:id="118"/>
      <w:bookmarkStart w:id="119" w:name="_Toc184308053"/>
      <w:bookmarkEnd w:id="119"/>
      <w:bookmarkStart w:id="120" w:name="_Toc184308071"/>
      <w:bookmarkEnd w:id="120"/>
      <w:bookmarkStart w:id="121" w:name="_Toc184314420"/>
      <w:bookmarkEnd w:id="121"/>
      <w:bookmarkStart w:id="122" w:name="_Toc184313306"/>
      <w:bookmarkEnd w:id="122"/>
      <w:bookmarkStart w:id="123" w:name="_Toc184308064"/>
      <w:bookmarkEnd w:id="123"/>
      <w:bookmarkStart w:id="124" w:name="_Toc184310306"/>
      <w:bookmarkEnd w:id="124"/>
      <w:bookmarkStart w:id="125" w:name="_Toc184314478"/>
      <w:bookmarkEnd w:id="125"/>
      <w:bookmarkStart w:id="126" w:name="_Toc184314426"/>
      <w:bookmarkEnd w:id="126"/>
      <w:bookmarkStart w:id="127" w:name="_Toc184313270"/>
      <w:bookmarkEnd w:id="127"/>
      <w:bookmarkStart w:id="128" w:name="_Toc184312083"/>
      <w:bookmarkEnd w:id="128"/>
      <w:bookmarkStart w:id="129" w:name="_Toc184314438"/>
      <w:bookmarkEnd w:id="129"/>
      <w:bookmarkStart w:id="130" w:name="_Toc184310314"/>
      <w:bookmarkEnd w:id="130"/>
      <w:bookmarkStart w:id="131" w:name="_Toc184308055"/>
      <w:bookmarkEnd w:id="131"/>
      <w:bookmarkStart w:id="132" w:name="_Toc184313274"/>
      <w:bookmarkEnd w:id="132"/>
      <w:bookmarkStart w:id="133" w:name="_Toc184312116"/>
      <w:bookmarkEnd w:id="133"/>
      <w:bookmarkStart w:id="134" w:name="_Toc184308085"/>
      <w:bookmarkEnd w:id="134"/>
      <w:bookmarkStart w:id="135" w:name="_Toc184313263"/>
      <w:bookmarkEnd w:id="135"/>
      <w:bookmarkStart w:id="136" w:name="_Toc184310284"/>
      <w:bookmarkEnd w:id="136"/>
      <w:bookmarkStart w:id="137" w:name="_Toc184312138"/>
      <w:bookmarkEnd w:id="137"/>
      <w:bookmarkStart w:id="138" w:name="_Toc184312127"/>
      <w:bookmarkEnd w:id="138"/>
      <w:bookmarkStart w:id="139" w:name="_Toc184312101"/>
      <w:bookmarkEnd w:id="139"/>
      <w:bookmarkStart w:id="140" w:name="_Toc184308090"/>
      <w:bookmarkEnd w:id="140"/>
      <w:bookmarkStart w:id="141" w:name="_Toc184313280"/>
      <w:bookmarkEnd w:id="141"/>
      <w:bookmarkStart w:id="142" w:name="_Toc184308068"/>
      <w:bookmarkEnd w:id="142"/>
      <w:bookmarkStart w:id="143" w:name="_Toc184310324"/>
      <w:bookmarkEnd w:id="143"/>
      <w:bookmarkStart w:id="144" w:name="_Toc184310342"/>
      <w:bookmarkEnd w:id="144"/>
      <w:bookmarkStart w:id="145" w:name="_Toc184314467"/>
      <w:bookmarkEnd w:id="145"/>
      <w:bookmarkStart w:id="146" w:name="_Toc184313239"/>
      <w:bookmarkEnd w:id="146"/>
      <w:bookmarkStart w:id="147" w:name="_Toc184313310"/>
      <w:bookmarkEnd w:id="147"/>
      <w:bookmarkStart w:id="148" w:name="_Toc184308076"/>
      <w:bookmarkEnd w:id="148"/>
      <w:bookmarkStart w:id="149" w:name="_Toc184313291"/>
      <w:bookmarkEnd w:id="149"/>
      <w:bookmarkStart w:id="150" w:name="_Toc184314457"/>
      <w:bookmarkEnd w:id="150"/>
      <w:bookmarkStart w:id="151" w:name="_Toc184314479"/>
      <w:bookmarkEnd w:id="151"/>
      <w:bookmarkStart w:id="152" w:name="_Toc184312115"/>
      <w:bookmarkEnd w:id="152"/>
      <w:bookmarkStart w:id="153" w:name="_Toc184314435"/>
      <w:bookmarkEnd w:id="153"/>
      <w:bookmarkStart w:id="154" w:name="_Toc184314472"/>
      <w:bookmarkEnd w:id="154"/>
      <w:bookmarkStart w:id="155" w:name="_Toc184313259"/>
      <w:bookmarkEnd w:id="155"/>
      <w:bookmarkStart w:id="156" w:name="_Toc184312091"/>
      <w:bookmarkEnd w:id="156"/>
      <w:bookmarkStart w:id="157" w:name="_Toc184313246"/>
      <w:bookmarkEnd w:id="157"/>
      <w:bookmarkStart w:id="158" w:name="_Toc184313294"/>
      <w:bookmarkEnd w:id="158"/>
      <w:bookmarkStart w:id="159" w:name="_Toc184314417"/>
      <w:bookmarkEnd w:id="159"/>
      <w:bookmarkStart w:id="160" w:name="_Toc184313244"/>
      <w:bookmarkEnd w:id="160"/>
      <w:bookmarkStart w:id="161" w:name="_Toc184312130"/>
      <w:bookmarkEnd w:id="161"/>
      <w:bookmarkStart w:id="162" w:name="_Toc184314460"/>
      <w:bookmarkEnd w:id="162"/>
      <w:bookmarkStart w:id="163" w:name="_Toc184312072"/>
      <w:bookmarkEnd w:id="163"/>
      <w:bookmarkStart w:id="164" w:name="_Toc184312132"/>
      <w:bookmarkEnd w:id="164"/>
      <w:bookmarkStart w:id="165" w:name="_Toc184312067"/>
      <w:bookmarkEnd w:id="165"/>
      <w:bookmarkStart w:id="166" w:name="_Toc184312096"/>
      <w:bookmarkEnd w:id="166"/>
      <w:bookmarkStart w:id="167" w:name="_Toc184314410"/>
      <w:bookmarkEnd w:id="167"/>
      <w:bookmarkStart w:id="168" w:name="_Toc184314431"/>
      <w:bookmarkEnd w:id="168"/>
      <w:bookmarkStart w:id="169" w:name="_Toc184313307"/>
      <w:bookmarkEnd w:id="169"/>
      <w:bookmarkStart w:id="170" w:name="_Toc184308040"/>
      <w:bookmarkEnd w:id="170"/>
      <w:bookmarkStart w:id="171" w:name="_Toc184308103"/>
      <w:bookmarkEnd w:id="171"/>
      <w:bookmarkStart w:id="172" w:name="_Toc184308036"/>
      <w:bookmarkEnd w:id="172"/>
      <w:bookmarkStart w:id="173" w:name="_Toc184314461"/>
      <w:bookmarkEnd w:id="173"/>
      <w:bookmarkStart w:id="174" w:name="_Toc184312136"/>
      <w:bookmarkEnd w:id="174"/>
      <w:bookmarkStart w:id="175" w:name="_Toc184312087"/>
      <w:bookmarkEnd w:id="175"/>
      <w:bookmarkStart w:id="176" w:name="_Toc184310295"/>
      <w:bookmarkEnd w:id="176"/>
      <w:bookmarkStart w:id="177" w:name="_Toc184314427"/>
      <w:bookmarkEnd w:id="177"/>
      <w:bookmarkStart w:id="178" w:name="_Toc184310331"/>
      <w:bookmarkEnd w:id="178"/>
      <w:bookmarkStart w:id="179" w:name="_Toc184313271"/>
      <w:bookmarkEnd w:id="179"/>
      <w:bookmarkStart w:id="180" w:name="_Toc184312097"/>
      <w:bookmarkEnd w:id="180"/>
      <w:bookmarkStart w:id="181" w:name="_Toc184310311"/>
      <w:bookmarkEnd w:id="181"/>
      <w:bookmarkStart w:id="182" w:name="_Toc184312103"/>
      <w:bookmarkEnd w:id="182"/>
      <w:bookmarkStart w:id="183" w:name="_Toc184313287"/>
      <w:bookmarkEnd w:id="183"/>
      <w:bookmarkStart w:id="184" w:name="_Toc184313295"/>
      <w:bookmarkEnd w:id="184"/>
      <w:bookmarkStart w:id="185" w:name="_Toc184314480"/>
      <w:bookmarkEnd w:id="185"/>
      <w:bookmarkStart w:id="186" w:name="_Toc184312078"/>
      <w:bookmarkEnd w:id="186"/>
      <w:bookmarkStart w:id="187" w:name="_Toc184308054"/>
      <w:bookmarkEnd w:id="187"/>
      <w:bookmarkStart w:id="188" w:name="_Toc184310286"/>
      <w:bookmarkEnd w:id="188"/>
      <w:bookmarkStart w:id="189" w:name="_Toc184313242"/>
      <w:bookmarkEnd w:id="189"/>
      <w:bookmarkStart w:id="190" w:name="_Toc184308074"/>
      <w:bookmarkEnd w:id="190"/>
      <w:bookmarkStart w:id="191" w:name="_Toc184312131"/>
      <w:bookmarkEnd w:id="191"/>
      <w:bookmarkStart w:id="192" w:name="_Toc184313277"/>
      <w:bookmarkEnd w:id="192"/>
      <w:bookmarkStart w:id="193" w:name="_Toc184310319"/>
      <w:bookmarkEnd w:id="193"/>
      <w:bookmarkStart w:id="194" w:name="_Toc184308059"/>
      <w:bookmarkEnd w:id="194"/>
      <w:bookmarkStart w:id="195" w:name="_Toc184308081"/>
      <w:bookmarkEnd w:id="195"/>
      <w:bookmarkStart w:id="196" w:name="_Toc184313254"/>
      <w:bookmarkEnd w:id="196"/>
      <w:bookmarkStart w:id="197" w:name="_Toc184308087"/>
      <w:bookmarkEnd w:id="197"/>
      <w:bookmarkStart w:id="198" w:name="_Toc184312082"/>
      <w:bookmarkEnd w:id="198"/>
      <w:bookmarkStart w:id="199" w:name="_Toc184314450"/>
      <w:bookmarkEnd w:id="199"/>
      <w:bookmarkStart w:id="200" w:name="_Toc184310292"/>
      <w:bookmarkEnd w:id="200"/>
      <w:bookmarkStart w:id="201" w:name="_Toc184314411"/>
      <w:bookmarkEnd w:id="201"/>
      <w:bookmarkStart w:id="202" w:name="_Toc184310285"/>
      <w:bookmarkEnd w:id="202"/>
      <w:bookmarkStart w:id="203" w:name="_Toc184310296"/>
      <w:bookmarkEnd w:id="203"/>
      <w:bookmarkStart w:id="204" w:name="_Toc184308082"/>
      <w:bookmarkEnd w:id="204"/>
      <w:bookmarkStart w:id="205" w:name="_Toc184310341"/>
      <w:bookmarkEnd w:id="205"/>
      <w:bookmarkStart w:id="206" w:name="_Toc184312105"/>
      <w:bookmarkEnd w:id="206"/>
      <w:bookmarkStart w:id="207" w:name="_Toc184314434"/>
      <w:bookmarkEnd w:id="207"/>
      <w:bookmarkStart w:id="208" w:name="_Toc184312102"/>
      <w:bookmarkEnd w:id="208"/>
      <w:bookmarkStart w:id="209" w:name="_Toc184314454"/>
      <w:bookmarkEnd w:id="209"/>
      <w:bookmarkStart w:id="210" w:name="_Toc184310302"/>
      <w:bookmarkEnd w:id="210"/>
      <w:bookmarkStart w:id="211" w:name="_Toc184313255"/>
      <w:bookmarkEnd w:id="211"/>
      <w:bookmarkStart w:id="212" w:name="_Toc184314429"/>
      <w:bookmarkEnd w:id="212"/>
      <w:bookmarkStart w:id="213" w:name="_Toc184312075"/>
      <w:bookmarkEnd w:id="213"/>
      <w:bookmarkStart w:id="214" w:name="_Toc184310283"/>
      <w:bookmarkEnd w:id="214"/>
      <w:bookmarkStart w:id="215" w:name="_Toc184308051"/>
      <w:bookmarkEnd w:id="215"/>
      <w:bookmarkStart w:id="216" w:name="_Toc184312108"/>
      <w:bookmarkEnd w:id="216"/>
      <w:bookmarkStart w:id="217" w:name="_Toc184312107"/>
      <w:bookmarkEnd w:id="217"/>
      <w:bookmarkStart w:id="218" w:name="_Toc184308086"/>
      <w:bookmarkEnd w:id="218"/>
      <w:bookmarkStart w:id="219" w:name="_Toc184310330"/>
      <w:bookmarkEnd w:id="219"/>
      <w:bookmarkStart w:id="220" w:name="_Toc184310343"/>
      <w:bookmarkEnd w:id="220"/>
      <w:bookmarkStart w:id="221" w:name="_Toc184310289"/>
      <w:bookmarkEnd w:id="221"/>
      <w:bookmarkStart w:id="222" w:name="_Toc184312080"/>
      <w:bookmarkEnd w:id="222"/>
      <w:bookmarkStart w:id="223" w:name="_Toc184310281"/>
      <w:bookmarkEnd w:id="223"/>
      <w:bookmarkStart w:id="224" w:name="_Toc184308073"/>
      <w:bookmarkEnd w:id="224"/>
      <w:bookmarkStart w:id="225" w:name="_Toc184310323"/>
      <w:bookmarkEnd w:id="225"/>
      <w:bookmarkStart w:id="226" w:name="_Toc184314436"/>
      <w:bookmarkEnd w:id="226"/>
      <w:bookmarkStart w:id="227" w:name="_Toc184312093"/>
      <w:bookmarkEnd w:id="227"/>
      <w:bookmarkStart w:id="228" w:name="_Toc184308045"/>
      <w:bookmarkEnd w:id="228"/>
      <w:bookmarkStart w:id="229" w:name="_Toc184313296"/>
      <w:bookmarkEnd w:id="229"/>
      <w:bookmarkStart w:id="230" w:name="_Toc184308093"/>
      <w:bookmarkEnd w:id="230"/>
      <w:bookmarkStart w:id="231" w:name="_Toc184312085"/>
      <w:bookmarkEnd w:id="231"/>
      <w:bookmarkStart w:id="232" w:name="_Toc184313240"/>
      <w:bookmarkEnd w:id="232"/>
      <w:bookmarkStart w:id="233" w:name="_Toc184310309"/>
      <w:bookmarkEnd w:id="233"/>
      <w:bookmarkStart w:id="234" w:name="_Toc184313284"/>
      <w:bookmarkEnd w:id="234"/>
      <w:bookmarkStart w:id="235" w:name="_Toc184308067"/>
      <w:bookmarkEnd w:id="235"/>
      <w:bookmarkStart w:id="236" w:name="_Toc184308108"/>
      <w:bookmarkEnd w:id="236"/>
      <w:bookmarkStart w:id="237" w:name="_Toc184313238"/>
      <w:bookmarkEnd w:id="237"/>
      <w:bookmarkStart w:id="238" w:name="_Toc184314473"/>
      <w:bookmarkEnd w:id="238"/>
      <w:bookmarkStart w:id="239" w:name="_Toc184313292"/>
      <w:bookmarkEnd w:id="239"/>
      <w:bookmarkStart w:id="240" w:name="_Toc184308070"/>
      <w:bookmarkEnd w:id="240"/>
      <w:bookmarkStart w:id="241" w:name="_Toc184308063"/>
      <w:bookmarkEnd w:id="241"/>
      <w:bookmarkStart w:id="242" w:name="_Toc184308088"/>
      <w:bookmarkEnd w:id="242"/>
      <w:bookmarkStart w:id="243" w:name="_Toc184313305"/>
      <w:bookmarkEnd w:id="243"/>
      <w:bookmarkStart w:id="244" w:name="_Toc184314430"/>
      <w:bookmarkEnd w:id="244"/>
      <w:bookmarkStart w:id="245" w:name="_Toc184308072"/>
      <w:bookmarkEnd w:id="245"/>
      <w:bookmarkStart w:id="246" w:name="_Toc184308096"/>
      <w:bookmarkEnd w:id="246"/>
      <w:bookmarkStart w:id="247" w:name="_Toc184310297"/>
      <w:bookmarkEnd w:id="247"/>
      <w:bookmarkStart w:id="248" w:name="_Toc184313257"/>
      <w:bookmarkEnd w:id="248"/>
      <w:bookmarkStart w:id="249" w:name="_Toc184310320"/>
      <w:bookmarkEnd w:id="249"/>
      <w:bookmarkStart w:id="250" w:name="_Toc184308050"/>
      <w:bookmarkEnd w:id="250"/>
      <w:bookmarkStart w:id="251" w:name="_Toc184314432"/>
      <w:bookmarkEnd w:id="251"/>
      <w:bookmarkStart w:id="252" w:name="_Toc184312070"/>
      <w:bookmarkEnd w:id="252"/>
      <w:bookmarkStart w:id="253" w:name="_Toc184312134"/>
      <w:bookmarkEnd w:id="253"/>
      <w:bookmarkStart w:id="254" w:name="_Toc184310279"/>
      <w:bookmarkEnd w:id="254"/>
      <w:bookmarkStart w:id="255" w:name="_Toc184310313"/>
      <w:bookmarkEnd w:id="255"/>
      <w:bookmarkStart w:id="256" w:name="_Toc184314475"/>
      <w:bookmarkEnd w:id="256"/>
      <w:bookmarkStart w:id="257" w:name="_Toc184313260"/>
      <w:bookmarkEnd w:id="257"/>
      <w:bookmarkStart w:id="258" w:name="_Toc184308062"/>
      <w:bookmarkEnd w:id="258"/>
      <w:bookmarkStart w:id="259" w:name="_Toc184314415"/>
      <w:bookmarkEnd w:id="259"/>
      <w:bookmarkStart w:id="260" w:name="_Toc184313256"/>
      <w:bookmarkEnd w:id="260"/>
      <w:bookmarkStart w:id="261" w:name="_Toc184313293"/>
      <w:bookmarkEnd w:id="261"/>
      <w:bookmarkStart w:id="262" w:name="_Toc184310321"/>
      <w:bookmarkEnd w:id="262"/>
      <w:bookmarkStart w:id="263" w:name="_Toc184310293"/>
      <w:bookmarkEnd w:id="263"/>
      <w:bookmarkStart w:id="264" w:name="_Toc184314456"/>
      <w:bookmarkEnd w:id="264"/>
      <w:bookmarkStart w:id="265" w:name="_Toc184314441"/>
      <w:bookmarkEnd w:id="265"/>
      <w:bookmarkStart w:id="266" w:name="_Toc184308039"/>
      <w:bookmarkEnd w:id="266"/>
      <w:bookmarkStart w:id="267" w:name="_Toc184312069"/>
      <w:bookmarkEnd w:id="267"/>
      <w:bookmarkStart w:id="268" w:name="_Toc184312092"/>
      <w:bookmarkEnd w:id="268"/>
      <w:bookmarkStart w:id="269" w:name="_Toc184310299"/>
      <w:bookmarkEnd w:id="269"/>
      <w:bookmarkStart w:id="270" w:name="_Toc184310325"/>
      <w:bookmarkEnd w:id="270"/>
      <w:bookmarkStart w:id="271" w:name="_Toc184314482"/>
      <w:bookmarkEnd w:id="271"/>
      <w:bookmarkStart w:id="272" w:name="_Toc184313268"/>
      <w:bookmarkEnd w:id="272"/>
      <w:bookmarkStart w:id="273" w:name="_Toc184313308"/>
      <w:bookmarkEnd w:id="273"/>
      <w:bookmarkStart w:id="274" w:name="_Toc184312086"/>
      <w:bookmarkEnd w:id="274"/>
      <w:bookmarkStart w:id="275" w:name="_Toc184308048"/>
      <w:bookmarkEnd w:id="275"/>
      <w:bookmarkStart w:id="276" w:name="_Toc184314445"/>
      <w:bookmarkEnd w:id="276"/>
      <w:bookmarkStart w:id="277" w:name="_Toc184308083"/>
      <w:bookmarkEnd w:id="277"/>
      <w:bookmarkStart w:id="278" w:name="_Toc184312073"/>
      <w:bookmarkEnd w:id="278"/>
      <w:bookmarkStart w:id="279" w:name="_Toc184308043"/>
      <w:bookmarkEnd w:id="279"/>
      <w:bookmarkStart w:id="280" w:name="_Toc184308065"/>
      <w:bookmarkEnd w:id="280"/>
      <w:bookmarkStart w:id="281" w:name="_Toc184314424"/>
      <w:bookmarkEnd w:id="281"/>
      <w:bookmarkStart w:id="282" w:name="_Toc184312117"/>
      <w:bookmarkEnd w:id="282"/>
      <w:bookmarkStart w:id="283" w:name="_Toc184314469"/>
      <w:bookmarkEnd w:id="283"/>
      <w:bookmarkStart w:id="284" w:name="_Toc184308056"/>
      <w:bookmarkEnd w:id="284"/>
      <w:bookmarkStart w:id="285" w:name="_Toc184313275"/>
      <w:bookmarkEnd w:id="285"/>
      <w:bookmarkStart w:id="286" w:name="_Toc184308100"/>
      <w:bookmarkEnd w:id="286"/>
      <w:bookmarkStart w:id="287" w:name="_Toc184312112"/>
      <w:bookmarkEnd w:id="287"/>
      <w:bookmarkStart w:id="288" w:name="_Toc184312124"/>
      <w:bookmarkEnd w:id="288"/>
      <w:bookmarkStart w:id="289" w:name="_Toc184313243"/>
      <w:bookmarkEnd w:id="289"/>
      <w:bookmarkStart w:id="290" w:name="_Toc184310305"/>
      <w:bookmarkEnd w:id="290"/>
      <w:bookmarkStart w:id="291" w:name="_Toc184314447"/>
      <w:bookmarkEnd w:id="291"/>
      <w:bookmarkStart w:id="292" w:name="_Toc184308069"/>
      <w:bookmarkEnd w:id="292"/>
      <w:bookmarkStart w:id="293" w:name="_Toc184312079"/>
      <w:bookmarkEnd w:id="293"/>
      <w:bookmarkStart w:id="294" w:name="_Toc184314465"/>
      <w:bookmarkEnd w:id="294"/>
      <w:bookmarkStart w:id="295" w:name="_Toc184313253"/>
      <w:bookmarkEnd w:id="295"/>
      <w:bookmarkStart w:id="296" w:name="_Toc184310333"/>
      <w:bookmarkEnd w:id="296"/>
      <w:bookmarkStart w:id="297" w:name="_Toc184308094"/>
      <w:bookmarkEnd w:id="297"/>
      <w:bookmarkStart w:id="298" w:name="_Toc184314425"/>
      <w:bookmarkEnd w:id="298"/>
      <w:bookmarkStart w:id="299" w:name="_Toc184314458"/>
      <w:bookmarkEnd w:id="299"/>
      <w:bookmarkStart w:id="300" w:name="_Toc184308061"/>
      <w:bookmarkEnd w:id="300"/>
      <w:bookmarkStart w:id="301" w:name="_Toc184313286"/>
      <w:bookmarkEnd w:id="301"/>
      <w:bookmarkStart w:id="302" w:name="_Toc184313261"/>
      <w:bookmarkEnd w:id="302"/>
      <w:bookmarkStart w:id="303" w:name="_Toc184314451"/>
      <w:bookmarkEnd w:id="303"/>
      <w:bookmarkStart w:id="304" w:name="_Toc184308106"/>
      <w:bookmarkEnd w:id="304"/>
      <w:bookmarkStart w:id="305" w:name="_Toc184312094"/>
      <w:bookmarkEnd w:id="305"/>
      <w:bookmarkStart w:id="306" w:name="_Toc184308038"/>
      <w:bookmarkEnd w:id="306"/>
      <w:bookmarkStart w:id="307" w:name="_Toc184312100"/>
      <w:bookmarkEnd w:id="307"/>
      <w:bookmarkStart w:id="308" w:name="_Toc184310282"/>
      <w:bookmarkEnd w:id="308"/>
      <w:bookmarkStart w:id="309" w:name="_Toc184314474"/>
      <w:bookmarkEnd w:id="309"/>
      <w:bookmarkStart w:id="310" w:name="_Toc184308104"/>
      <w:bookmarkEnd w:id="310"/>
      <w:bookmarkStart w:id="311" w:name="_Toc184310301"/>
      <w:bookmarkEnd w:id="311"/>
      <w:bookmarkStart w:id="312" w:name="_Toc184308060"/>
      <w:bookmarkEnd w:id="312"/>
      <w:bookmarkStart w:id="313" w:name="_Toc184310329"/>
      <w:bookmarkEnd w:id="313"/>
      <w:bookmarkStart w:id="314" w:name="_Toc184308047"/>
      <w:bookmarkEnd w:id="314"/>
      <w:bookmarkStart w:id="315" w:name="_Toc184310300"/>
      <w:bookmarkEnd w:id="315"/>
      <w:bookmarkStart w:id="316" w:name="_Toc184308107"/>
      <w:bookmarkEnd w:id="316"/>
      <w:bookmarkStart w:id="317" w:name="_Toc184308079"/>
      <w:bookmarkEnd w:id="317"/>
      <w:bookmarkStart w:id="318" w:name="_Toc184310334"/>
      <w:bookmarkEnd w:id="318"/>
      <w:bookmarkStart w:id="319" w:name="_Toc184313290"/>
      <w:bookmarkEnd w:id="319"/>
      <w:bookmarkStart w:id="320" w:name="_Toc184312113"/>
      <w:bookmarkEnd w:id="320"/>
      <w:bookmarkStart w:id="321" w:name="_Toc184310340"/>
      <w:bookmarkEnd w:id="321"/>
      <w:bookmarkStart w:id="322" w:name="_Toc184312122"/>
      <w:bookmarkEnd w:id="322"/>
      <w:bookmarkStart w:id="323" w:name="_Toc184313273"/>
      <w:bookmarkEnd w:id="323"/>
      <w:bookmarkStart w:id="324" w:name="_Toc184314476"/>
      <w:bookmarkEnd w:id="324"/>
      <w:bookmarkStart w:id="325" w:name="_Toc184313288"/>
      <w:bookmarkEnd w:id="325"/>
      <w:bookmarkStart w:id="326" w:name="_Toc184308075"/>
      <w:bookmarkEnd w:id="326"/>
      <w:bookmarkStart w:id="327" w:name="_Toc184308042"/>
      <w:bookmarkEnd w:id="327"/>
      <w:bookmarkStart w:id="328" w:name="_Toc184314462"/>
      <w:bookmarkEnd w:id="328"/>
      <w:bookmarkStart w:id="329" w:name="_Toc184313301"/>
      <w:bookmarkEnd w:id="329"/>
      <w:bookmarkStart w:id="330" w:name="_Toc184313258"/>
      <w:bookmarkEnd w:id="330"/>
      <w:bookmarkStart w:id="331" w:name="_Toc184312090"/>
      <w:bookmarkEnd w:id="331"/>
      <w:bookmarkStart w:id="332" w:name="_Toc184310337"/>
      <w:bookmarkEnd w:id="332"/>
      <w:bookmarkStart w:id="333" w:name="_Toc184310287"/>
      <w:bookmarkEnd w:id="333"/>
      <w:bookmarkStart w:id="334" w:name="_Toc184310335"/>
      <w:bookmarkEnd w:id="334"/>
      <w:bookmarkStart w:id="335" w:name="_Toc184313262"/>
      <w:bookmarkEnd w:id="335"/>
      <w:bookmarkStart w:id="336" w:name="_Toc184308078"/>
      <w:bookmarkEnd w:id="336"/>
      <w:bookmarkStart w:id="337" w:name="_Toc184313266"/>
      <w:bookmarkEnd w:id="337"/>
      <w:bookmarkStart w:id="338" w:name="_Toc184308102"/>
      <w:bookmarkEnd w:id="338"/>
      <w:bookmarkStart w:id="339" w:name="_Toc184313265"/>
      <w:bookmarkEnd w:id="339"/>
      <w:bookmarkStart w:id="340" w:name="_Toc184313299"/>
      <w:bookmarkEnd w:id="340"/>
      <w:bookmarkStart w:id="341" w:name="_Toc184308099"/>
      <w:bookmarkEnd w:id="341"/>
      <w:bookmarkStart w:id="342" w:name="_Toc184308058"/>
      <w:bookmarkEnd w:id="342"/>
      <w:bookmarkStart w:id="343" w:name="_Toc184313250"/>
      <w:bookmarkEnd w:id="343"/>
      <w:bookmarkStart w:id="344" w:name="_Toc184313278"/>
      <w:bookmarkEnd w:id="344"/>
      <w:bookmarkStart w:id="345" w:name="_Toc184314443"/>
      <w:bookmarkEnd w:id="345"/>
      <w:bookmarkStart w:id="346" w:name="_Toc184313272"/>
      <w:bookmarkEnd w:id="346"/>
      <w:bookmarkStart w:id="347" w:name="_Toc184310307"/>
      <w:bookmarkEnd w:id="347"/>
      <w:bookmarkStart w:id="348" w:name="_Toc184312095"/>
      <w:bookmarkEnd w:id="348"/>
      <w:bookmarkStart w:id="349" w:name="_Toc184308084"/>
      <w:bookmarkEnd w:id="349"/>
      <w:bookmarkStart w:id="350" w:name="_Toc184314439"/>
      <w:bookmarkEnd w:id="350"/>
      <w:bookmarkStart w:id="351" w:name="_Toc184312089"/>
      <w:bookmarkEnd w:id="351"/>
      <w:bookmarkStart w:id="352" w:name="_Toc184313309"/>
      <w:bookmarkEnd w:id="352"/>
      <w:bookmarkStart w:id="353" w:name="_Toc184314440"/>
      <w:bookmarkEnd w:id="353"/>
      <w:bookmarkStart w:id="354" w:name="_Toc184308097"/>
      <w:bookmarkEnd w:id="354"/>
      <w:bookmarkStart w:id="355" w:name="_Toc184308089"/>
      <w:bookmarkEnd w:id="355"/>
      <w:bookmarkStart w:id="356" w:name="_Toc184312139"/>
      <w:bookmarkEnd w:id="356"/>
      <w:bookmarkStart w:id="357" w:name="_Toc184314433"/>
      <w:bookmarkEnd w:id="357"/>
      <w:bookmarkStart w:id="358" w:name="_Toc184308091"/>
      <w:bookmarkEnd w:id="358"/>
      <w:bookmarkStart w:id="359" w:name="_Toc184308066"/>
      <w:bookmarkEnd w:id="359"/>
      <w:bookmarkStart w:id="360" w:name="_Toc184314421"/>
      <w:bookmarkEnd w:id="360"/>
      <w:bookmarkStart w:id="361" w:name="_Toc184312104"/>
      <w:bookmarkEnd w:id="361"/>
      <w:bookmarkStart w:id="362" w:name="_Toc184314455"/>
      <w:bookmarkEnd w:id="362"/>
      <w:bookmarkStart w:id="363" w:name="_Toc184313282"/>
      <w:bookmarkEnd w:id="363"/>
      <w:bookmarkStart w:id="364" w:name="_Toc184308095"/>
      <w:bookmarkEnd w:id="364"/>
      <w:bookmarkStart w:id="365" w:name="_Toc184312135"/>
      <w:bookmarkEnd w:id="365"/>
      <w:bookmarkStart w:id="366" w:name="_Toc184314448"/>
      <w:bookmarkEnd w:id="366"/>
      <w:bookmarkStart w:id="367" w:name="_Toc184310339"/>
      <w:bookmarkEnd w:id="367"/>
      <w:bookmarkStart w:id="368" w:name="_Toc184312114"/>
      <w:bookmarkEnd w:id="368"/>
      <w:bookmarkStart w:id="369" w:name="_Toc184308105"/>
      <w:bookmarkEnd w:id="369"/>
      <w:bookmarkStart w:id="370" w:name="_Toc184310328"/>
      <w:bookmarkEnd w:id="370"/>
      <w:bookmarkStart w:id="371" w:name="_Toc184312068"/>
      <w:bookmarkEnd w:id="371"/>
      <w:bookmarkStart w:id="372" w:name="_Toc184314481"/>
      <w:bookmarkEnd w:id="372"/>
      <w:bookmarkStart w:id="373" w:name="_Toc184314419"/>
      <w:bookmarkEnd w:id="373"/>
      <w:bookmarkStart w:id="374" w:name="_Toc184313245"/>
      <w:bookmarkEnd w:id="374"/>
      <w:bookmarkStart w:id="375" w:name="_Toc184310316"/>
      <w:bookmarkEnd w:id="375"/>
      <w:bookmarkStart w:id="376" w:name="_Toc184308098"/>
      <w:bookmarkEnd w:id="376"/>
      <w:bookmarkStart w:id="377" w:name="_Toc184310294"/>
      <w:bookmarkEnd w:id="377"/>
      <w:bookmarkStart w:id="378" w:name="_Toc184310327"/>
      <w:bookmarkEnd w:id="378"/>
      <w:bookmarkStart w:id="379" w:name="_Toc184310318"/>
      <w:bookmarkEnd w:id="379"/>
      <w:bookmarkStart w:id="380" w:name="_Toc184310310"/>
      <w:bookmarkEnd w:id="380"/>
      <w:bookmarkStart w:id="381" w:name="_Toc184312121"/>
      <w:bookmarkEnd w:id="381"/>
      <w:bookmarkStart w:id="382" w:name="_Toc184313298"/>
      <w:bookmarkEnd w:id="382"/>
      <w:bookmarkStart w:id="383" w:name="_Toc184314466"/>
      <w:bookmarkEnd w:id="383"/>
      <w:bookmarkStart w:id="384" w:name="_Toc184312133"/>
      <w:bookmarkEnd w:id="384"/>
      <w:bookmarkStart w:id="385" w:name="_Toc184312106"/>
      <w:bookmarkEnd w:id="385"/>
      <w:bookmarkStart w:id="386" w:name="_Toc184308080"/>
      <w:bookmarkEnd w:id="386"/>
      <w:bookmarkStart w:id="387" w:name="_Toc184312126"/>
      <w:bookmarkEnd w:id="387"/>
      <w:bookmarkStart w:id="388" w:name="_Toc184310272"/>
      <w:bookmarkEnd w:id="388"/>
      <w:bookmarkStart w:id="389" w:name="_Toc184313252"/>
      <w:bookmarkEnd w:id="389"/>
      <w:bookmarkStart w:id="390" w:name="_Toc184313249"/>
      <w:bookmarkEnd w:id="390"/>
      <w:bookmarkStart w:id="391" w:name="_Toc184312125"/>
      <w:bookmarkEnd w:id="391"/>
      <w:bookmarkStart w:id="392" w:name="_Toc184312129"/>
      <w:bookmarkEnd w:id="392"/>
      <w:bookmarkStart w:id="393" w:name="_Toc184313283"/>
      <w:bookmarkEnd w:id="393"/>
      <w:bookmarkStart w:id="394" w:name="_Toc184312077"/>
      <w:bookmarkEnd w:id="394"/>
      <w:bookmarkStart w:id="395" w:name="_Toc184314416"/>
      <w:bookmarkEnd w:id="395"/>
      <w:bookmarkStart w:id="396" w:name="_Toc184314428"/>
      <w:bookmarkEnd w:id="396"/>
      <w:bookmarkStart w:id="397" w:name="_Toc184313297"/>
      <w:bookmarkEnd w:id="397"/>
      <w:bookmarkStart w:id="398" w:name="_Toc184314437"/>
      <w:bookmarkEnd w:id="398"/>
      <w:bookmarkStart w:id="399" w:name="_Toc184312109"/>
      <w:bookmarkEnd w:id="399"/>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lang w:eastAsia="zh-CN"/>
        </w:rPr>
      </w:pPr>
      <w:r>
        <w:rPr>
          <w:rFonts w:hint="eastAsia" w:ascii="仿宋" w:hAnsi="仿宋" w:eastAsia="仿宋" w:cs="仿宋_GB2312"/>
          <w:b/>
          <w:color w:val="auto"/>
          <w:sz w:val="32"/>
          <w:szCs w:val="20"/>
          <w:highlight w:val="none"/>
        </w:rPr>
        <w:t>评标办法前附表</w:t>
      </w:r>
    </w:p>
    <w:tbl>
      <w:tblPr>
        <w:tblStyle w:val="64"/>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669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评定项目</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评定内容</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6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技术商务部分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trPr>
        <w:tc>
          <w:tcPr>
            <w:tcW w:w="773" w:type="pct"/>
            <w:tcBorders>
              <w:top w:val="single" w:color="auto" w:sz="4" w:space="0"/>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项目理解分析</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根据投标人针对各实施区域的了解及分析是否到位、准确，重、难点区域保洁工作的分析，并提出切实可行的提高保洁质量和效率的创新改建措施进行综合评审：</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完整性、准确性（0-2分）；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重点区域分析（0-2分）；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难点区域分析（0-2分）；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针对保洁项目中普遍存在的痛点、重点、难点提出的有利于提高保洁质量和保洁效率的创新措施，根据创新措施的合理性、可行性、科学性进行综合评审（0-4分）。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10</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服务方案</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根据投标人针对本项目提供的整体服务方案内容的完整性、合理性、可行性进行综合评审：</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完整性进行综合打分（0-</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合理性进行综合打分（0-</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可行性进行综合打分（0-</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12</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管理规章制度</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根据投标人针对本项目实施质量的各项规章制度进行综合评审：</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工作绩效考核制度的合理性、完整性（0-2分）；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新增人员招录制度的合理性、完整性（0-2分）；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稳定员工队伍制度的合理性、完整性（0-2分）；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工作纪律管理制度的合理性、完整性（0-2分）；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安全管理制度的合理性、完整性（0-2分）；    </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业务操作流程制度的合理性、完整性（0-2分）。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各项措施</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根据投标人针对本项目实施的各种工作措施的完整性、合理性、科学性、可行性进行综合评审：</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质量保证措施（0-2分）；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安全、文明措施（0-2分）；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经济措施（0-2分）；</w:t>
            </w:r>
          </w:p>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管理措施（0-2分）。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组织机构</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根据投标人拟派项目负责人的管理水平及工作能力进行评审（2-4分）</w:t>
            </w:r>
          </w:p>
          <w:p>
            <w:pPr>
              <w:autoSpaceDE w:val="0"/>
              <w:autoSpaceDN w:val="0"/>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根据投标人明确的各区域组长的管理水平及工作能力进行评审（0-2分）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人员配备</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根据投标人针对本项目管理人员的配备情况进行综合评审：</w:t>
            </w:r>
          </w:p>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人员工种设置（0-2分）；</w:t>
            </w:r>
          </w:p>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人员数量配置（0-2分）；</w:t>
            </w:r>
          </w:p>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工作时间安排（0-2分）；</w:t>
            </w:r>
          </w:p>
          <w:p>
            <w:pPr>
              <w:autoSpaceDE w:val="0"/>
              <w:autoSpaceDN w:val="0"/>
              <w:rPr>
                <w:rFonts w:hint="default" w:ascii="仿宋" w:hAnsi="仿宋" w:eastAsia="仿宋" w:cs="仿宋"/>
                <w:color w:val="0000FF"/>
                <w:sz w:val="18"/>
                <w:szCs w:val="18"/>
                <w:highlight w:val="none"/>
                <w:lang w:val="en-US" w:eastAsia="zh-CN"/>
              </w:rPr>
            </w:pPr>
            <w:r>
              <w:rPr>
                <w:rFonts w:hint="eastAsia" w:ascii="仿宋" w:hAnsi="仿宋" w:eastAsia="仿宋" w:cs="仿宋"/>
                <w:color w:val="0000FF"/>
                <w:sz w:val="18"/>
                <w:szCs w:val="18"/>
                <w:highlight w:val="none"/>
              </w:rPr>
              <w:t>样板街区、“席地可坐”城市客厅重点区域的人员配置（0-4分）</w:t>
            </w:r>
            <w:r>
              <w:rPr>
                <w:rFonts w:hint="eastAsia" w:ascii="仿宋" w:hAnsi="仿宋" w:eastAsia="仿宋" w:cs="仿宋"/>
                <w:color w:val="0000FF"/>
                <w:sz w:val="18"/>
                <w:szCs w:val="18"/>
                <w:highlight w:val="none"/>
                <w:lang w:eastAsia="zh-CN"/>
              </w:rPr>
              <w:t>（</w:t>
            </w:r>
            <w:r>
              <w:rPr>
                <w:rFonts w:hint="eastAsia" w:ascii="仿宋" w:hAnsi="仿宋" w:eastAsia="仿宋" w:cs="仿宋"/>
                <w:color w:val="0000FF"/>
                <w:sz w:val="18"/>
                <w:szCs w:val="18"/>
                <w:highlight w:val="none"/>
                <w:lang w:val="en-US" w:eastAsia="zh-CN"/>
              </w:rPr>
              <w:t>仅适用标项一</w:t>
            </w:r>
            <w:r>
              <w:rPr>
                <w:rFonts w:hint="eastAsia" w:ascii="仿宋" w:hAnsi="仿宋" w:eastAsia="仿宋" w:cs="仿宋"/>
                <w:color w:val="0000FF"/>
                <w:sz w:val="18"/>
                <w:szCs w:val="18"/>
                <w:highlight w:val="none"/>
                <w:lang w:eastAsia="zh-CN"/>
              </w:rPr>
              <w:t>）</w:t>
            </w:r>
            <w:r>
              <w:rPr>
                <w:rFonts w:hint="eastAsia" w:ascii="仿宋" w:hAnsi="仿宋" w:eastAsia="仿宋" w:cs="仿宋"/>
                <w:color w:val="0000FF"/>
                <w:sz w:val="18"/>
                <w:szCs w:val="18"/>
                <w:highlight w:val="none"/>
              </w:rPr>
              <w:t>。</w:t>
            </w:r>
          </w:p>
          <w:p>
            <w:pPr>
              <w:autoSpaceDE w:val="0"/>
              <w:autoSpaceDN w:val="0"/>
              <w:rPr>
                <w:rFonts w:ascii="仿宋" w:hAnsi="仿宋" w:eastAsia="仿宋" w:cs="仿宋"/>
                <w:color w:val="0000FF"/>
                <w:sz w:val="18"/>
                <w:szCs w:val="18"/>
                <w:highlight w:val="none"/>
              </w:rPr>
            </w:pPr>
            <w:r>
              <w:rPr>
                <w:rFonts w:ascii="仿宋" w:hAnsi="仿宋" w:eastAsia="仿宋" w:cs="仿宋"/>
                <w:color w:val="0000FF"/>
                <w:sz w:val="18"/>
                <w:szCs w:val="18"/>
                <w:highlight w:val="none"/>
              </w:rPr>
              <w:t>重点区域</w:t>
            </w:r>
            <w:r>
              <w:rPr>
                <w:rFonts w:hint="eastAsia" w:ascii="仿宋" w:hAnsi="仿宋" w:eastAsia="仿宋" w:cs="仿宋"/>
                <w:color w:val="0000FF"/>
                <w:sz w:val="18"/>
                <w:szCs w:val="18"/>
                <w:highlight w:val="none"/>
                <w:lang w:val="en-US" w:eastAsia="zh-CN"/>
              </w:rPr>
              <w:t>保洁人员配置</w:t>
            </w:r>
            <w:r>
              <w:rPr>
                <w:rFonts w:hint="eastAsia" w:ascii="仿宋" w:hAnsi="仿宋" w:eastAsia="仿宋" w:cs="仿宋"/>
                <w:color w:val="0000FF"/>
                <w:sz w:val="18"/>
                <w:szCs w:val="18"/>
                <w:highlight w:val="none"/>
              </w:rPr>
              <w:t>（0-4分）</w:t>
            </w:r>
            <w:r>
              <w:rPr>
                <w:rFonts w:hint="eastAsia" w:ascii="仿宋" w:hAnsi="仿宋" w:eastAsia="仿宋" w:cs="仿宋"/>
                <w:color w:val="0000FF"/>
                <w:sz w:val="18"/>
                <w:szCs w:val="18"/>
                <w:highlight w:val="none"/>
                <w:lang w:eastAsia="zh-CN"/>
              </w:rPr>
              <w:t>（</w:t>
            </w:r>
            <w:r>
              <w:rPr>
                <w:rFonts w:hint="eastAsia" w:ascii="仿宋" w:hAnsi="仿宋" w:eastAsia="仿宋" w:cs="仿宋"/>
                <w:color w:val="0000FF"/>
                <w:sz w:val="18"/>
                <w:szCs w:val="18"/>
                <w:highlight w:val="none"/>
                <w:lang w:val="en-US" w:eastAsia="zh-CN"/>
              </w:rPr>
              <w:t>仅适用标项二</w:t>
            </w:r>
            <w:r>
              <w:rPr>
                <w:rFonts w:hint="eastAsia" w:ascii="仿宋" w:hAnsi="仿宋" w:eastAsia="仿宋" w:cs="仿宋"/>
                <w:color w:val="0000FF"/>
                <w:sz w:val="18"/>
                <w:szCs w:val="18"/>
                <w:highlight w:val="none"/>
                <w:lang w:eastAsia="zh-CN"/>
              </w:rPr>
              <w:t>）。</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机械配备</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根据投标人针对本项目机械、设备及车辆的功能配置、区域数量配置、作业时间安排及性能进行综合评审：</w:t>
            </w:r>
          </w:p>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机械、设备及车辆功能、性能（0-2分）；</w:t>
            </w:r>
          </w:p>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各区域数量、功能配置（0-2分）；</w:t>
            </w:r>
          </w:p>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作业时间安排（0-2分）；</w:t>
            </w:r>
          </w:p>
          <w:p>
            <w:pPr>
              <w:autoSpaceDE w:val="0"/>
              <w:autoSpaceDN w:val="0"/>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驾驶员、操作员及辅助人员配备（0-2分）；</w:t>
            </w:r>
          </w:p>
          <w:p>
            <w:pPr>
              <w:autoSpaceDE w:val="0"/>
              <w:autoSpaceDN w:val="0"/>
              <w:rPr>
                <w:rFonts w:hint="default" w:ascii="仿宋" w:hAnsi="仿宋" w:eastAsia="仿宋" w:cs="仿宋"/>
                <w:color w:val="0000FF"/>
                <w:sz w:val="18"/>
                <w:szCs w:val="18"/>
                <w:highlight w:val="none"/>
                <w:lang w:val="en-US" w:eastAsia="zh-CN"/>
              </w:rPr>
            </w:pPr>
            <w:r>
              <w:rPr>
                <w:rFonts w:hint="eastAsia" w:ascii="仿宋" w:hAnsi="仿宋" w:eastAsia="仿宋" w:cs="仿宋"/>
                <w:color w:val="0000FF"/>
                <w:sz w:val="18"/>
                <w:szCs w:val="18"/>
                <w:highlight w:val="none"/>
              </w:rPr>
              <w:t>样板街区、“席地可坐”城市客厅重点区域的设备配置（0-4分）</w:t>
            </w:r>
            <w:r>
              <w:rPr>
                <w:rFonts w:hint="eastAsia" w:ascii="仿宋" w:hAnsi="仿宋" w:eastAsia="仿宋" w:cs="仿宋"/>
                <w:color w:val="0000FF"/>
                <w:sz w:val="18"/>
                <w:szCs w:val="18"/>
                <w:highlight w:val="none"/>
                <w:lang w:eastAsia="zh-CN"/>
              </w:rPr>
              <w:t>（</w:t>
            </w:r>
            <w:r>
              <w:rPr>
                <w:rFonts w:hint="eastAsia" w:ascii="仿宋" w:hAnsi="仿宋" w:eastAsia="仿宋" w:cs="仿宋"/>
                <w:color w:val="0000FF"/>
                <w:sz w:val="18"/>
                <w:szCs w:val="18"/>
                <w:highlight w:val="none"/>
                <w:lang w:val="en-US" w:eastAsia="zh-CN"/>
              </w:rPr>
              <w:t>仅适用标项一</w:t>
            </w:r>
            <w:r>
              <w:rPr>
                <w:rFonts w:hint="eastAsia" w:ascii="仿宋" w:hAnsi="仿宋" w:eastAsia="仿宋" w:cs="仿宋"/>
                <w:color w:val="0000FF"/>
                <w:sz w:val="18"/>
                <w:szCs w:val="18"/>
                <w:highlight w:val="none"/>
                <w:lang w:eastAsia="zh-CN"/>
              </w:rPr>
              <w:t>）</w:t>
            </w:r>
            <w:r>
              <w:rPr>
                <w:rFonts w:hint="eastAsia" w:ascii="仿宋" w:hAnsi="仿宋" w:eastAsia="仿宋" w:cs="仿宋"/>
                <w:color w:val="0000FF"/>
                <w:sz w:val="18"/>
                <w:szCs w:val="18"/>
                <w:highlight w:val="none"/>
              </w:rPr>
              <w:t>。</w:t>
            </w:r>
          </w:p>
          <w:p>
            <w:pPr>
              <w:autoSpaceDE w:val="0"/>
              <w:autoSpaceDN w:val="0"/>
              <w:rPr>
                <w:rFonts w:hint="default" w:ascii="仿宋" w:hAnsi="仿宋" w:eastAsia="仿宋" w:cs="仿宋"/>
                <w:color w:val="0000FF"/>
                <w:sz w:val="18"/>
                <w:szCs w:val="18"/>
                <w:highlight w:val="none"/>
                <w:lang w:val="en-US" w:eastAsia="zh-CN"/>
              </w:rPr>
            </w:pPr>
            <w:r>
              <w:rPr>
                <w:rFonts w:ascii="仿宋" w:hAnsi="仿宋" w:eastAsia="仿宋" w:cs="仿宋"/>
                <w:color w:val="0000FF"/>
                <w:sz w:val="18"/>
                <w:szCs w:val="18"/>
                <w:highlight w:val="none"/>
              </w:rPr>
              <w:t>重点区域</w:t>
            </w:r>
            <w:r>
              <w:rPr>
                <w:rFonts w:hint="eastAsia" w:ascii="仿宋" w:hAnsi="仿宋" w:eastAsia="仿宋" w:cs="仿宋"/>
                <w:color w:val="0000FF"/>
                <w:sz w:val="18"/>
                <w:szCs w:val="18"/>
                <w:highlight w:val="none"/>
                <w:lang w:val="en-US" w:eastAsia="zh-CN"/>
              </w:rPr>
              <w:t>作业车辆及机具配置</w:t>
            </w:r>
            <w:r>
              <w:rPr>
                <w:rFonts w:hint="eastAsia" w:ascii="仿宋" w:hAnsi="仿宋" w:eastAsia="仿宋" w:cs="仿宋"/>
                <w:color w:val="0000FF"/>
                <w:sz w:val="18"/>
                <w:szCs w:val="18"/>
                <w:highlight w:val="none"/>
              </w:rPr>
              <w:t>（0-4分）</w:t>
            </w:r>
            <w:r>
              <w:rPr>
                <w:rFonts w:hint="eastAsia" w:ascii="仿宋" w:hAnsi="仿宋" w:eastAsia="仿宋" w:cs="仿宋"/>
                <w:color w:val="0000FF"/>
                <w:sz w:val="18"/>
                <w:szCs w:val="18"/>
                <w:highlight w:val="none"/>
                <w:lang w:eastAsia="zh-CN"/>
              </w:rPr>
              <w:t>（</w:t>
            </w:r>
            <w:r>
              <w:rPr>
                <w:rFonts w:hint="eastAsia" w:ascii="仿宋" w:hAnsi="仿宋" w:eastAsia="仿宋" w:cs="仿宋"/>
                <w:color w:val="0000FF"/>
                <w:sz w:val="18"/>
                <w:szCs w:val="18"/>
                <w:highlight w:val="none"/>
                <w:lang w:val="en-US" w:eastAsia="zh-CN"/>
              </w:rPr>
              <w:t>仅适用标项二</w:t>
            </w:r>
            <w:r>
              <w:rPr>
                <w:rFonts w:hint="eastAsia" w:ascii="仿宋" w:hAnsi="仿宋" w:eastAsia="仿宋" w:cs="仿宋"/>
                <w:color w:val="0000FF"/>
                <w:sz w:val="18"/>
                <w:szCs w:val="18"/>
                <w:highlight w:val="none"/>
                <w:lang w:eastAsia="zh-CN"/>
              </w:rPr>
              <w:t>）。</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0000FF"/>
                <w:sz w:val="18"/>
                <w:szCs w:val="18"/>
                <w:highlight w:val="none"/>
              </w:rPr>
            </w:pPr>
            <w:r>
              <w:rPr>
                <w:rFonts w:hint="eastAsia" w:ascii="仿宋" w:hAnsi="仿宋" w:eastAsia="仿宋" w:cs="仿宋"/>
                <w:color w:val="0000FF"/>
                <w:sz w:val="18"/>
                <w:szCs w:val="18"/>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人员机械承诺</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投标人提供对拟投入本项目的人员及机械设备车辆满足招标需求的承诺函原件加盖公章。</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智慧化管理</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投标人具有相关</w:t>
            </w:r>
            <w:r>
              <w:rPr>
                <w:rFonts w:hint="eastAsia" w:ascii="仿宋" w:hAnsi="仿宋" w:eastAsia="仿宋" w:cs="仿宋"/>
                <w:color w:val="auto"/>
                <w:sz w:val="18"/>
                <w:szCs w:val="18"/>
                <w:highlight w:val="none"/>
              </w:rPr>
              <w:t>保洁作业管理系统</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具备</w:t>
            </w:r>
            <w:r>
              <w:rPr>
                <w:rFonts w:hint="eastAsia" w:ascii="仿宋" w:hAnsi="仿宋" w:eastAsia="仿宋" w:cs="仿宋"/>
                <w:color w:val="auto"/>
                <w:sz w:val="18"/>
                <w:szCs w:val="18"/>
                <w:highlight w:val="none"/>
              </w:rPr>
              <w:t>智能化自动考勤及保洁作业</w:t>
            </w:r>
            <w:r>
              <w:rPr>
                <w:rFonts w:hint="eastAsia" w:ascii="仿宋" w:hAnsi="仿宋" w:eastAsia="仿宋" w:cs="仿宋"/>
                <w:color w:val="auto"/>
                <w:sz w:val="18"/>
                <w:szCs w:val="18"/>
                <w:highlight w:val="none"/>
                <w:lang w:val="en-US" w:eastAsia="zh-CN"/>
              </w:rPr>
              <w:t>轨迹可查</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评标委员会根据投标人演示进行打分（0-4分）。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应急预案</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安全文明礼貌的承诺及应急预案实施措施，评委根据投标方提供的安全服务方案及应急预案措施进行综合评分，应急预案要求：针对台风暴雨天气、梅雨季节、冰雪霜冻天气、污雨水井或管道或化粪池堵塞或污水外溢情况、发生火灾等特殊紧急情况进行详细方案描述（0-</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疫情防控措施</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针对疫情期间响应政府应急防控保障措施的及时性、科学性及规范性进行评议</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0-2分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人员保障</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color w:val="auto"/>
                <w:highlight w:val="none"/>
              </w:rPr>
            </w:pPr>
            <w:r>
              <w:rPr>
                <w:rFonts w:hint="eastAsia" w:ascii="仿宋" w:hAnsi="仿宋" w:eastAsia="仿宋" w:cs="仿宋"/>
                <w:color w:val="auto"/>
                <w:sz w:val="18"/>
                <w:szCs w:val="18"/>
                <w:highlight w:val="none"/>
              </w:rPr>
              <w:t>人员的业务培训措施、平均工资水平及是否缴纳社保或合作医疗保险、以及其它各类商业保险情况，根据其保障的落实情况进行综合评审（0-</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巡查监督</w:t>
            </w:r>
          </w:p>
        </w:tc>
        <w:tc>
          <w:tcPr>
            <w:tcW w:w="3793" w:type="pct"/>
            <w:tcBorders>
              <w:top w:val="single" w:color="auto" w:sz="4" w:space="0"/>
              <w:left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明确巡查监督人员，针对本项目制定巡查监督方案</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具有完善的监督巡查体系</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0</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合理化建议</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针对本项目的合理化建议及有利于提高保洁质量和效率的创新型改进措施，根据科学性、合理性、可行性等综合评分（0-</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773" w:type="pct"/>
            <w:tcBorders>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体系认证</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投标单位通过质量管理体系认证、环境管理体系认证、职业健康安全管理体系认证、每项得1分，最高3分；（相关证书复印件做在投标文件中）</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6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 w:val="18"/>
                <w:szCs w:val="18"/>
                <w:highlight w:val="none"/>
              </w:rPr>
            </w:pPr>
            <w:r>
              <w:rPr>
                <w:rFonts w:hint="eastAsia" w:ascii="仿宋" w:hAnsi="仿宋" w:eastAsia="仿宋" w:cs="仿宋"/>
                <w:b/>
                <w:color w:val="auto"/>
                <w:sz w:val="18"/>
                <w:szCs w:val="18"/>
                <w:highlight w:val="none"/>
              </w:rPr>
              <w:t>报价部分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exact"/>
        </w:trPr>
        <w:tc>
          <w:tcPr>
            <w:tcW w:w="77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投标报价</w:t>
            </w:r>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有效投标报价的最低价作为评标基准价，其最低报价为满分；按［投标报价得分=（评标基准价/投标报价）×10］的计算公式计算。</w:t>
            </w:r>
          </w:p>
          <w:p>
            <w:pPr>
              <w:spacing w:line="36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评标过程中，不得去掉报价中的最高报价和最低报价。</w:t>
            </w:r>
          </w:p>
          <w:p>
            <w:pPr>
              <w:spacing w:line="36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因落实政府采购政策需要进行价格调整的，以调整后的价格计算评标基准价和投标报价。</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10分</w:t>
            </w:r>
          </w:p>
        </w:tc>
      </w:tr>
    </w:tbl>
    <w:p>
      <w:pPr>
        <w:snapToGrid w:val="0"/>
        <w:spacing w:line="360" w:lineRule="auto"/>
        <w:rPr>
          <w:rFonts w:ascii="仿宋" w:hAnsi="仿宋" w:eastAsia="仿宋" w:cs="仿宋"/>
          <w:b/>
          <w:color w:val="auto"/>
          <w:szCs w:val="21"/>
          <w:highlight w:val="none"/>
        </w:rPr>
      </w:pPr>
      <w:r>
        <w:rPr>
          <w:rFonts w:ascii="Calibri" w:hAnsi="Calibri" w:eastAsia="仿宋" w:cs="Calibri"/>
          <w:color w:val="auto"/>
          <w:sz w:val="20"/>
          <w:szCs w:val="20"/>
          <w:highlight w:val="none"/>
          <w:shd w:val="clear" w:color="auto" w:fill="FFFFFF"/>
        </w:rPr>
        <w:t> </w:t>
      </w:r>
      <w:r>
        <w:rPr>
          <w:rFonts w:hint="eastAsia" w:ascii="仿宋" w:hAnsi="仿宋" w:eastAsia="仿宋" w:cs="仿宋"/>
          <w:color w:val="auto"/>
          <w:szCs w:val="21"/>
          <w:highlight w:val="none"/>
          <w:shd w:val="clear" w:color="auto" w:fill="FFFFFF"/>
        </w:rPr>
        <w:t>*</w:t>
      </w:r>
      <w:r>
        <w:rPr>
          <w:rFonts w:hint="eastAsia" w:ascii="仿宋" w:hAnsi="仿宋" w:eastAsia="仿宋" w:cs="仿宋"/>
          <w:b/>
          <w:color w:val="auto"/>
          <w:szCs w:val="21"/>
          <w:highlight w:val="none"/>
        </w:rPr>
        <w:t>备注：</w:t>
      </w:r>
      <w:r>
        <w:rPr>
          <w:rFonts w:hint="eastAsia" w:ascii="仿宋" w:hAnsi="仿宋" w:eastAsia="仿宋" w:cs="仿宋"/>
          <w:bCs/>
          <w:color w:val="auto"/>
          <w:szCs w:val="21"/>
          <w:highlight w:val="none"/>
        </w:rPr>
        <w:t>上述内容缺项不得分，</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pPr>
        <w:snapToGrid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一、评标方法</w:t>
      </w:r>
    </w:p>
    <w:p>
      <w:pPr>
        <w:adjustRightInd/>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1.本项目采用综合评分法。</w:t>
      </w:r>
      <w:r>
        <w:rPr>
          <w:rFonts w:hint="eastAsia" w:ascii="仿宋" w:hAnsi="仿宋" w:eastAsia="仿宋" w:cs="仿宋"/>
          <w:color w:val="auto"/>
          <w:kern w:val="0"/>
          <w:szCs w:val="21"/>
          <w:highlight w:val="none"/>
        </w:rPr>
        <w:t>综合评分法，是指投标文件满足招标文件全部实质性要求，且按照评审因素的量化指标评审得分最高的投标人为中标候选人的评标方法。</w:t>
      </w:r>
    </w:p>
    <w:p>
      <w:pPr>
        <w:adjustRightInd/>
        <w:spacing w:line="360" w:lineRule="auto"/>
        <w:ind w:firstLine="413" w:firstLineChars="196"/>
        <w:rPr>
          <w:rFonts w:ascii="仿宋" w:hAnsi="仿宋" w:eastAsia="仿宋" w:cs="仿宋"/>
          <w:b/>
          <w:bCs/>
          <w:color w:val="auto"/>
          <w:kern w:val="0"/>
          <w:szCs w:val="21"/>
          <w:highlight w:val="none"/>
          <w:u w:val="single"/>
        </w:rPr>
      </w:pPr>
      <w:r>
        <w:rPr>
          <w:rFonts w:hint="eastAsia" w:ascii="仿宋" w:hAnsi="仿宋" w:eastAsia="仿宋" w:cs="仿宋"/>
          <w:b/>
          <w:bCs/>
          <w:color w:val="auto"/>
          <w:kern w:val="0"/>
          <w:szCs w:val="21"/>
          <w:highlight w:val="none"/>
          <w:u w:val="single"/>
        </w:rPr>
        <w:t>开标顺序按照标项一、标项二的顺序进行，投标人在标项一被推荐为第一中标候选人的，则标项二中不再作为中标候选人推荐。</w:t>
      </w:r>
    </w:p>
    <w:p>
      <w:pPr>
        <w:adjustRightInd/>
        <w:spacing w:line="360" w:lineRule="auto"/>
        <w:rPr>
          <w:rFonts w:ascii="仿宋" w:hAnsi="仿宋" w:eastAsia="仿宋" w:cs="仿宋"/>
          <w:color w:val="auto"/>
          <w:kern w:val="0"/>
          <w:szCs w:val="21"/>
          <w:highlight w:val="none"/>
        </w:rPr>
      </w:pPr>
      <w:r>
        <w:rPr>
          <w:rFonts w:hint="eastAsia" w:ascii="仿宋" w:hAnsi="仿宋" w:eastAsia="仿宋" w:cs="仿宋"/>
          <w:b/>
          <w:color w:val="auto"/>
          <w:szCs w:val="21"/>
          <w:highlight w:val="none"/>
        </w:rPr>
        <w:t>二、评标标准</w:t>
      </w:r>
    </w:p>
    <w:p>
      <w:pPr>
        <w:spacing w:line="360" w:lineRule="auto"/>
        <w:ind w:firstLine="413" w:firstLineChars="196"/>
        <w:rPr>
          <w:rFonts w:ascii="仿宋" w:hAnsi="仿宋" w:eastAsia="仿宋" w:cs="仿宋"/>
          <w:b/>
          <w:color w:val="auto"/>
          <w:szCs w:val="21"/>
          <w:highlight w:val="none"/>
        </w:rPr>
      </w:pPr>
      <w:r>
        <w:rPr>
          <w:rFonts w:hint="eastAsia" w:ascii="仿宋" w:hAnsi="仿宋" w:eastAsia="仿宋" w:cs="仿宋"/>
          <w:b/>
          <w:color w:val="auto"/>
          <w:szCs w:val="21"/>
          <w:highlight w:val="none"/>
        </w:rPr>
        <w:t>2.评标标准：</w:t>
      </w:r>
      <w:r>
        <w:rPr>
          <w:rFonts w:hint="eastAsia" w:ascii="仿宋" w:hAnsi="仿宋" w:eastAsia="仿宋" w:cs="仿宋"/>
          <w:color w:val="auto"/>
          <w:kern w:val="0"/>
          <w:szCs w:val="21"/>
          <w:highlight w:val="none"/>
        </w:rPr>
        <w:t>见评标办法前附表。</w:t>
      </w:r>
    </w:p>
    <w:p>
      <w:pPr>
        <w:spacing w:line="360" w:lineRule="auto"/>
        <w:outlineLvl w:val="0"/>
        <w:rPr>
          <w:rFonts w:ascii="仿宋" w:hAnsi="仿宋" w:eastAsia="仿宋" w:cs="仿宋"/>
          <w:b/>
          <w:color w:val="auto"/>
          <w:szCs w:val="21"/>
          <w:highlight w:val="none"/>
        </w:rPr>
      </w:pPr>
      <w:r>
        <w:rPr>
          <w:rFonts w:hint="eastAsia" w:ascii="仿宋" w:hAnsi="仿宋" w:eastAsia="仿宋" w:cs="仿宋"/>
          <w:b/>
          <w:color w:val="auto"/>
          <w:szCs w:val="21"/>
          <w:highlight w:val="none"/>
        </w:rPr>
        <w:t>三、评标程序</w:t>
      </w:r>
    </w:p>
    <w:p>
      <w:pPr>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3.1符合性审查。</w:t>
      </w:r>
      <w:r>
        <w:rPr>
          <w:rFonts w:hint="eastAsia" w:ascii="仿宋" w:hAnsi="仿宋" w:eastAsia="仿宋" w:cs="仿宋"/>
          <w:color w:val="auto"/>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3.2 比较与评价。</w:t>
      </w:r>
      <w:r>
        <w:rPr>
          <w:rFonts w:hint="eastAsia" w:ascii="仿宋" w:hAnsi="仿宋" w:eastAsia="仿宋" w:cs="仿宋"/>
          <w:color w:val="auto"/>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3.3汇总商务技术得分。</w:t>
      </w:r>
      <w:r>
        <w:rPr>
          <w:rFonts w:hint="eastAsia" w:ascii="仿宋" w:hAnsi="仿宋" w:eastAsia="仿宋" w:cs="仿宋"/>
          <w:color w:val="auto"/>
          <w:kern w:val="0"/>
          <w:szCs w:val="21"/>
          <w:highlight w:val="none"/>
        </w:rPr>
        <w:t>评标委员会各成员应当独立对每个投标人的商务和技术文件进行评价，并汇总商务技术得分情况。</w:t>
      </w:r>
    </w:p>
    <w:p>
      <w:pPr>
        <w:spacing w:line="360" w:lineRule="auto"/>
        <w:ind w:firstLine="413" w:firstLineChars="196"/>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3.4报价评审。</w:t>
      </w:r>
    </w:p>
    <w:p>
      <w:pPr>
        <w:pStyle w:val="131"/>
        <w:spacing w:before="0"/>
        <w:ind w:firstLine="445" w:firstLineChars="21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3.4.1投标文件报价出现前后不一致的，按照下列规定修正：</w:t>
      </w:r>
    </w:p>
    <w:p>
      <w:pPr>
        <w:pStyle w:val="131"/>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3.4.1.1投标文件中开标一览表(报价表)内容与投标文件中相应内容不一致的，以开标一览表(报价表)为准;</w:t>
      </w:r>
    </w:p>
    <w:p>
      <w:pPr>
        <w:pStyle w:val="131"/>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p>
    <w:p>
      <w:pPr>
        <w:pStyle w:val="131"/>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3.4.1.3单价金额小数点或者百分比有明显错位的，以开标一览表的总价为准，并修改单价;</w:t>
      </w:r>
    </w:p>
    <w:p>
      <w:pPr>
        <w:pStyle w:val="131"/>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pPr>
        <w:pStyle w:val="131"/>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3.4.2投标文件出现不是唯一的、有选择性投标报价的，投标无效。</w:t>
      </w:r>
    </w:p>
    <w:p>
      <w:pPr>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3.4.3投标报价超过招标文件中规定的预算金额或者最高限价的，投标无效。</w:t>
      </w:r>
    </w:p>
    <w:p>
      <w:pPr>
        <w:pStyle w:val="131"/>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3.5排序与推荐。</w:t>
      </w:r>
      <w:r>
        <w:rPr>
          <w:rFonts w:hint="eastAsia" w:ascii="仿宋" w:hAnsi="仿宋" w:eastAsia="仿宋" w:cs="仿宋"/>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ascii="仿宋" w:hAnsi="仿宋" w:eastAsia="仿宋" w:cs="仿宋"/>
          <w:b/>
          <w:color w:val="auto"/>
          <w:kern w:val="0"/>
          <w:szCs w:val="21"/>
          <w:highlight w:val="none"/>
        </w:rPr>
      </w:pPr>
      <w:r>
        <w:rPr>
          <w:rFonts w:hint="eastAsia" w:ascii="仿宋" w:hAnsi="仿宋" w:eastAsia="仿宋" w:cs="仿宋"/>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3.6编写评标报告。</w:t>
      </w:r>
      <w:r>
        <w:rPr>
          <w:rFonts w:hint="eastAsia" w:ascii="仿宋" w:hAnsi="仿宋" w:eastAsia="仿宋" w:cs="仿宋"/>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四、评标中的其他事项</w:t>
      </w:r>
    </w:p>
    <w:p>
      <w:pPr>
        <w:pStyle w:val="131"/>
        <w:spacing w:before="0"/>
        <w:ind w:firstLine="413" w:firstLineChars="196"/>
        <w:rPr>
          <w:rFonts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4.1投标人澄清、说明或者补正。</w:t>
      </w: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954" w:leftChars="226" w:hanging="479" w:firstLineChars="0"/>
        <w:rPr>
          <w:rFonts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4.2投标无效。</w:t>
      </w:r>
      <w:r>
        <w:rPr>
          <w:rFonts w:hint="eastAsia" w:ascii="仿宋" w:hAnsi="仿宋" w:eastAsia="仿宋" w:cs="仿宋"/>
          <w:color w:val="auto"/>
          <w:sz w:val="21"/>
          <w:szCs w:val="21"/>
          <w:highlight w:val="none"/>
        </w:rPr>
        <w:t>有下列情况之一的，投标无效：</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4.2.2投标文件未按照招标文件要求签署、盖章的；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4.2.4投标文件含有采购人不能接受的附加条件的；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4.2.5投标文件中承诺的投标有效期少于招标文件中载明的投标有效期的；</w:t>
      </w:r>
    </w:p>
    <w:p>
      <w:pPr>
        <w:snapToGrid w:val="0"/>
        <w:spacing w:line="360" w:lineRule="auto"/>
        <w:ind w:firstLine="105" w:firstLineChars="5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4.2.6投标文件出现不是唯一的、有选择性投标报价的;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4.2.7投标报价超过招标文件中规定的预算金额或者最高限价的;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4.2.9投标人对根据修正原则修正后的报价不确认的；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4.2.10投标人提供虚假材料投标的；</w:t>
      </w:r>
    </w:p>
    <w:p>
      <w:pPr>
        <w:spacing w:line="360" w:lineRule="auto"/>
        <w:ind w:firstLine="210" w:firstLineChars="1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4.2.11投标人有恶意串通、妨碍其他投标人的竞争行为、损害采购人或者其他投标人的合法权益情形的；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4.2.12投标人仅提交备份投标文件，没有在电子交易平台传输递交投标文件的，投标无效；</w:t>
      </w:r>
    </w:p>
    <w:p>
      <w:pPr>
        <w:pStyle w:val="3"/>
        <w:ind w:left="862" w:leftChars="205"/>
        <w:rPr>
          <w:rFonts w:ascii="仿宋" w:eastAsia="仿宋" w:cs="仿宋"/>
          <w:b w:val="0"/>
          <w:bCs w:val="0"/>
          <w:color w:val="auto"/>
          <w:kern w:val="0"/>
          <w:sz w:val="21"/>
          <w:szCs w:val="21"/>
          <w:highlight w:val="none"/>
          <w:lang w:val="en-US"/>
        </w:rPr>
      </w:pPr>
      <w:r>
        <w:rPr>
          <w:rFonts w:hint="eastAsia" w:ascii="仿宋" w:eastAsia="仿宋" w:cs="仿宋"/>
          <w:b w:val="0"/>
          <w:bCs w:val="0"/>
          <w:color w:val="auto"/>
          <w:kern w:val="0"/>
          <w:sz w:val="21"/>
          <w:szCs w:val="21"/>
          <w:highlight w:val="none"/>
          <w:lang w:val="en-US"/>
        </w:rPr>
        <w:t>4.2.13 投标文件不满足招标文件的其它实质性要求的；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4.2.14法律、法规、规章（适用本市的）及省级以上规范性文件（适用本市的）规定的其他无效情形。</w:t>
      </w:r>
    </w:p>
    <w:p>
      <w:pPr>
        <w:pStyle w:val="17"/>
        <w:snapToGrid w:val="0"/>
        <w:spacing w:line="360" w:lineRule="auto"/>
        <w:ind w:firstLine="413" w:firstLineChars="196"/>
        <w:rPr>
          <w:rFonts w:ascii="仿宋" w:hAnsi="仿宋" w:eastAsia="仿宋" w:cs="仿宋"/>
          <w:color w:val="auto"/>
          <w:sz w:val="21"/>
          <w:szCs w:val="21"/>
          <w:highlight w:val="none"/>
        </w:rPr>
      </w:pPr>
      <w:r>
        <w:rPr>
          <w:rFonts w:hint="eastAsia" w:ascii="仿宋" w:hAnsi="仿宋" w:eastAsia="仿宋" w:cs="仿宋"/>
          <w:b/>
          <w:color w:val="auto"/>
          <w:sz w:val="21"/>
          <w:szCs w:val="21"/>
          <w:highlight w:val="none"/>
        </w:rPr>
        <w:t>5.废标。</w:t>
      </w:r>
      <w:r>
        <w:rPr>
          <w:rFonts w:hint="eastAsia" w:ascii="仿宋" w:hAnsi="仿宋" w:eastAsia="仿宋" w:cs="仿宋"/>
          <w:color w:val="auto"/>
          <w:sz w:val="21"/>
          <w:szCs w:val="21"/>
          <w:highlight w:val="none"/>
        </w:rPr>
        <w:t>根据《中华人民共和国政府采购法》第三十六条之规定，在采购中，出现下列情形之一的，应予废标：</w:t>
      </w:r>
    </w:p>
    <w:p>
      <w:pPr>
        <w:pStyle w:val="17"/>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5.1符合专业条件的供应商或者对招标文件作实质响应的供应商不足3家的；</w:t>
      </w:r>
    </w:p>
    <w:p>
      <w:pPr>
        <w:pStyle w:val="17"/>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pPr>
        <w:pStyle w:val="17"/>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5.3投标人的报价均超过了采购预算，采购人不能支付的；</w:t>
      </w:r>
    </w:p>
    <w:p>
      <w:pPr>
        <w:pStyle w:val="17"/>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pPr>
        <w:pStyle w:val="17"/>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废标后，采购机构应当将废标理由通知所有投标人。</w:t>
      </w:r>
    </w:p>
    <w:p>
      <w:pPr>
        <w:pStyle w:val="17"/>
        <w:snapToGrid w:val="0"/>
        <w:spacing w:line="360" w:lineRule="auto"/>
        <w:ind w:firstLine="517" w:firstLineChars="245"/>
        <w:rPr>
          <w:rFonts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6.修改招标文件，重新组织采购活动。</w:t>
      </w:r>
      <w:r>
        <w:rPr>
          <w:rFonts w:hint="eastAsia" w:ascii="仿宋" w:hAnsi="仿宋" w:eastAsia="仿宋" w:cs="仿宋"/>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17" w:firstLineChars="245"/>
        <w:rPr>
          <w:rFonts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7.重新开展采购。</w:t>
      </w:r>
      <w:r>
        <w:rPr>
          <w:rFonts w:hint="eastAsia" w:ascii="仿宋" w:hAnsi="仿宋" w:eastAsia="仿宋" w:cs="仿宋"/>
          <w:color w:val="auto"/>
          <w:sz w:val="21"/>
          <w:szCs w:val="21"/>
          <w:highlight w:val="none"/>
        </w:rPr>
        <w:t>有政府采购法第七十一条、第七十二条规定的违法行为之一，影响或者可能影响中标、成交结果的，依照下列规定处理：</w:t>
      </w:r>
    </w:p>
    <w:p>
      <w:pPr>
        <w:pStyle w:val="17"/>
        <w:snapToGrid w:val="0"/>
        <w:spacing w:line="360" w:lineRule="auto"/>
        <w:ind w:firstLine="525" w:firstLineChars="2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7.1未确定中标或者中标人的，终止本次政府采购活动，重新开展政府采购活动。</w:t>
      </w:r>
    </w:p>
    <w:p>
      <w:pPr>
        <w:pStyle w:val="17"/>
        <w:snapToGrid w:val="0"/>
        <w:spacing w:line="360" w:lineRule="auto"/>
        <w:ind w:firstLine="525" w:firstLineChars="2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525" w:firstLineChars="2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7.4政府采购合同已经履行，给采购人、供应商造成损失的，由责任人承担赔偿责任。</w:t>
      </w:r>
    </w:p>
    <w:p>
      <w:pPr>
        <w:pStyle w:val="17"/>
        <w:snapToGrid w:val="0"/>
        <w:spacing w:line="360" w:lineRule="auto"/>
        <w:ind w:firstLine="420"/>
        <w:rPr>
          <w:rFonts w:ascii="仿宋" w:hAnsi="仿宋" w:eastAsia="仿宋" w:cs="仿宋_GB2312"/>
          <w:color w:val="auto"/>
          <w:highlight w:val="none"/>
        </w:rPr>
      </w:pPr>
      <w:r>
        <w:rPr>
          <w:rFonts w:hint="eastAsia" w:ascii="仿宋" w:hAnsi="仿宋" w:eastAsia="仿宋" w:cs="仿宋"/>
          <w:color w:val="auto"/>
          <w:sz w:val="21"/>
          <w:szCs w:val="21"/>
          <w:highlight w:val="none"/>
        </w:rPr>
        <w:t>7.5政府采购当事人有其他违反政府采购法</w:t>
      </w:r>
      <w:r>
        <w:rPr>
          <w:rFonts w:hint="eastAsia" w:ascii="仿宋" w:hAnsi="仿宋" w:eastAsia="仿宋" w:cs="仿宋"/>
          <w:color w:val="auto"/>
          <w:kern w:val="0"/>
          <w:sz w:val="21"/>
          <w:szCs w:val="21"/>
          <w:highlight w:val="none"/>
        </w:rPr>
        <w:t>或者政府采购法实施条例等法律法规规定</w:t>
      </w:r>
      <w:r>
        <w:rPr>
          <w:rFonts w:hint="eastAsia" w:ascii="仿宋" w:hAnsi="仿宋" w:eastAsia="仿宋" w:cs="仿宋"/>
          <w:color w:val="auto"/>
          <w:sz w:val="21"/>
          <w:szCs w:val="21"/>
          <w:highlight w:val="none"/>
        </w:rPr>
        <w:t>的行为，经改正后仍然影响或者可能影响中标、成交结果或者依法被认定为中标、成交无效的，依照7.1-7.4规定处理。</w:t>
      </w:r>
    </w:p>
    <w:p>
      <w:pPr>
        <w:pStyle w:val="17"/>
        <w:snapToGrid w:val="0"/>
        <w:spacing w:line="360" w:lineRule="auto"/>
        <w:ind w:firstLine="0" w:firstLineChars="0"/>
        <w:rPr>
          <w:rFonts w:ascii="仿宋" w:hAnsi="仿宋" w:eastAsia="仿宋" w:cs="仿宋_GB2312"/>
          <w:color w:val="auto"/>
          <w:highlight w:val="none"/>
        </w:rPr>
      </w:pPr>
    </w:p>
    <w:bookmarkEnd w:id="26"/>
    <w:p>
      <w:pPr>
        <w:spacing w:line="360" w:lineRule="auto"/>
        <w:ind w:left="720" w:leftChars="343" w:firstLine="1084" w:firstLineChars="300"/>
        <w:outlineLvl w:val="0"/>
        <w:rPr>
          <w:rFonts w:ascii="仿宋" w:hAnsi="仿宋" w:eastAsia="仿宋" w:cs="仿宋_GB2312"/>
          <w:b/>
          <w:color w:val="auto"/>
          <w:sz w:val="36"/>
          <w:szCs w:val="36"/>
          <w:highlight w:val="none"/>
        </w:rPr>
      </w:pPr>
      <w:bookmarkStart w:id="400" w:name="第五部分"/>
      <w:bookmarkStart w:id="401" w:name="_Toc86217003"/>
    </w:p>
    <w:p>
      <w:pPr>
        <w:spacing w:line="360" w:lineRule="auto"/>
        <w:ind w:left="720" w:leftChars="343" w:firstLine="1084" w:firstLineChars="300"/>
        <w:outlineLvl w:val="0"/>
        <w:rPr>
          <w:rFonts w:ascii="仿宋" w:hAnsi="仿宋" w:eastAsia="仿宋" w:cs="仿宋_GB2312"/>
          <w:b/>
          <w:color w:val="auto"/>
          <w:sz w:val="36"/>
          <w:szCs w:val="36"/>
          <w:highlight w:val="none"/>
        </w:rPr>
      </w:pPr>
    </w:p>
    <w:p>
      <w:pPr>
        <w:pStyle w:val="3"/>
        <w:rPr>
          <w:rFonts w:ascii="仿宋" w:eastAsia="仿宋" w:cs="仿宋_GB2312"/>
          <w:color w:val="auto"/>
          <w:sz w:val="36"/>
          <w:szCs w:val="36"/>
          <w:highlight w:val="none"/>
        </w:rPr>
      </w:pPr>
    </w:p>
    <w:p>
      <w:pPr>
        <w:rPr>
          <w:rFonts w:ascii="仿宋" w:hAnsi="仿宋" w:eastAsia="仿宋" w:cs="仿宋_GB2312"/>
          <w:b/>
          <w:color w:val="auto"/>
          <w:sz w:val="36"/>
          <w:szCs w:val="36"/>
          <w:highlight w:val="none"/>
        </w:rPr>
      </w:pPr>
    </w:p>
    <w:p>
      <w:pPr>
        <w:pStyle w:val="3"/>
        <w:rPr>
          <w:rFonts w:ascii="仿宋" w:eastAsia="仿宋" w:cs="仿宋_GB2312"/>
          <w:color w:val="auto"/>
          <w:sz w:val="36"/>
          <w:szCs w:val="36"/>
          <w:highlight w:val="none"/>
        </w:rPr>
      </w:pPr>
    </w:p>
    <w:p>
      <w:pPr>
        <w:rPr>
          <w:rFonts w:ascii="仿宋" w:hAnsi="仿宋" w:eastAsia="仿宋" w:cs="仿宋_GB2312"/>
          <w:b/>
          <w:color w:val="auto"/>
          <w:sz w:val="36"/>
          <w:szCs w:val="36"/>
          <w:highlight w:val="none"/>
        </w:rPr>
      </w:pPr>
    </w:p>
    <w:p>
      <w:pPr>
        <w:pStyle w:val="3"/>
        <w:rPr>
          <w:rFonts w:ascii="仿宋" w:eastAsia="仿宋" w:cs="仿宋_GB2312"/>
          <w:color w:val="auto"/>
          <w:sz w:val="36"/>
          <w:szCs w:val="36"/>
          <w:highlight w:val="none"/>
        </w:rPr>
      </w:pPr>
    </w:p>
    <w:p>
      <w:pPr>
        <w:rPr>
          <w:rFonts w:ascii="仿宋" w:hAnsi="仿宋" w:eastAsia="仿宋" w:cs="仿宋_GB2312"/>
          <w:b/>
          <w:color w:val="auto"/>
          <w:sz w:val="36"/>
          <w:szCs w:val="36"/>
          <w:highlight w:val="none"/>
        </w:rPr>
      </w:pPr>
    </w:p>
    <w:p>
      <w:pPr>
        <w:pStyle w:val="3"/>
        <w:rPr>
          <w:rFonts w:ascii="仿宋" w:eastAsia="仿宋" w:cs="仿宋_GB2312"/>
          <w:color w:val="auto"/>
          <w:sz w:val="36"/>
          <w:szCs w:val="36"/>
          <w:highlight w:val="none"/>
        </w:rPr>
      </w:pPr>
    </w:p>
    <w:p>
      <w:pPr>
        <w:pStyle w:val="4"/>
        <w:ind w:left="420" w:firstLine="480"/>
        <w:rPr>
          <w:color w:val="auto"/>
          <w:highlight w:val="none"/>
        </w:rPr>
      </w:pPr>
    </w:p>
    <w:p>
      <w:pPr>
        <w:pStyle w:val="4"/>
        <w:ind w:left="420" w:firstLine="480"/>
        <w:rPr>
          <w:color w:val="auto"/>
          <w:highlight w:val="none"/>
        </w:rPr>
      </w:pPr>
    </w:p>
    <w:p>
      <w:pPr>
        <w:spacing w:line="360" w:lineRule="auto"/>
        <w:ind w:left="720" w:leftChars="343" w:firstLine="1084" w:firstLineChars="300"/>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第五部分拟签订的合同文本</w:t>
      </w:r>
    </w:p>
    <w:p>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pPr>
        <w:spacing w:line="480" w:lineRule="auto"/>
        <w:jc w:val="center"/>
        <w:rPr>
          <w:rFonts w:ascii="仿宋" w:hAnsi="仿宋" w:eastAsia="仿宋"/>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w:t>
      </w:r>
    </w:p>
    <w:p>
      <w:pPr>
        <w:pStyle w:val="701"/>
        <w:rPr>
          <w:rFonts w:ascii="仿宋" w:hAnsi="仿宋" w:eastAsia="仿宋"/>
          <w:color w:val="auto"/>
          <w:szCs w:val="24"/>
          <w:highlight w:val="none"/>
        </w:rPr>
      </w:pPr>
    </w:p>
    <w:p>
      <w:pPr>
        <w:pStyle w:val="701"/>
        <w:rPr>
          <w:rFonts w:ascii="仿宋" w:hAnsi="仿宋" w:eastAsia="仿宋"/>
          <w:color w:val="auto"/>
          <w:szCs w:val="24"/>
          <w:highlight w:val="none"/>
        </w:rPr>
      </w:pPr>
    </w:p>
    <w:p>
      <w:pPr>
        <w:pStyle w:val="701"/>
        <w:rPr>
          <w:rFonts w:ascii="仿宋" w:hAnsi="仿宋" w:eastAsia="仿宋"/>
          <w:color w:val="auto"/>
          <w:szCs w:val="24"/>
          <w:highlight w:val="none"/>
        </w:rPr>
      </w:pPr>
    </w:p>
    <w:p>
      <w:pPr>
        <w:pStyle w:val="701"/>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p>
    <w:p>
      <w:pPr>
        <w:pStyle w:val="598"/>
        <w:spacing w:before="120" w:line="22" w:lineRule="atLeast"/>
        <w:rPr>
          <w:rFonts w:ascii="仿宋" w:hAnsi="仿宋" w:eastAsia="仿宋"/>
          <w:color w:val="auto"/>
          <w:szCs w:val="24"/>
          <w:highlight w:val="none"/>
        </w:rPr>
      </w:pPr>
    </w:p>
    <w:p>
      <w:pPr>
        <w:pStyle w:val="598"/>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签订日期：年月日</w:t>
      </w:r>
    </w:p>
    <w:p>
      <w:pPr>
        <w:widowControl/>
        <w:jc w:val="left"/>
        <w:rPr>
          <w:rFonts w:ascii="仿宋" w:hAnsi="仿宋" w:eastAsia="仿宋"/>
          <w:color w:val="auto"/>
          <w:kern w:val="0"/>
          <w:sz w:val="24"/>
          <w:highlight w:val="none"/>
        </w:rPr>
        <w:sectPr>
          <w:footerReference r:id="rId8" w:type="default"/>
          <w:pgSz w:w="11905" w:h="16838"/>
          <w:pgMar w:top="1474" w:right="1814" w:bottom="1474" w:left="1814" w:header="851" w:footer="850" w:gutter="0"/>
          <w:cols w:space="0" w:num="1"/>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政府采购计划（预算）确认书号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left="1890" w:leftChars="200" w:hanging="1470" w:hangingChars="700"/>
        <w:jc w:val="left"/>
        <w:rPr>
          <w:rFonts w:ascii="仿宋" w:hAnsi="仿宋" w:eastAsia="仿宋" w:cs="仿宋"/>
          <w:color w:val="auto"/>
          <w:szCs w:val="21"/>
          <w:highlight w:val="none"/>
          <w:u w:val="single"/>
        </w:rPr>
      </w:pPr>
      <w:r>
        <w:rPr>
          <w:rFonts w:hint="eastAsia" w:ascii="仿宋" w:hAnsi="仿宋" w:eastAsia="仿宋" w:cs="仿宋"/>
          <w:color w:val="auto"/>
          <w:kern w:val="0"/>
          <w:szCs w:val="21"/>
          <w:highlight w:val="none"/>
        </w:rPr>
        <w:t>根据《中华人民共和国政府采购法》、《民法典》等法律法规的规定，甲乙双方按照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本次采购的是</w:t>
      </w:r>
    </w:p>
    <w:tbl>
      <w:tblPr>
        <w:tblStyle w:val="6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64"/>
        <w:gridCol w:w="1264"/>
        <w:gridCol w:w="836"/>
        <w:gridCol w:w="171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56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项目名称</w:t>
            </w:r>
          </w:p>
        </w:tc>
        <w:tc>
          <w:tcPr>
            <w:tcW w:w="126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83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171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预算金额(元)</w:t>
            </w:r>
          </w:p>
        </w:tc>
        <w:tc>
          <w:tcPr>
            <w:tcW w:w="173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c>
          <w:tcPr>
            <w:tcW w:w="256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c>
          <w:tcPr>
            <w:tcW w:w="8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c>
          <w:tcPr>
            <w:tcW w:w="171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2"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仿宋" w:hAnsi="仿宋" w:eastAsia="仿宋" w:cs="仿宋"/>
                <w:b/>
                <w:color w:val="auto"/>
                <w:szCs w:val="21"/>
                <w:highlight w:val="none"/>
              </w:rPr>
            </w:pPr>
          </w:p>
        </w:tc>
        <w:tc>
          <w:tcPr>
            <w:tcW w:w="3828"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合计</w:t>
            </w:r>
          </w:p>
        </w:tc>
        <w:tc>
          <w:tcPr>
            <w:tcW w:w="8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c>
          <w:tcPr>
            <w:tcW w:w="171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color w:val="auto"/>
                <w:szCs w:val="21"/>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3、本合同付款方式为以下第</w:t>
      </w:r>
      <w:r>
        <w:rPr>
          <w:rFonts w:hint="eastAsia" w:ascii="仿宋" w:hAnsi="仿宋" w:eastAsia="仿宋" w:cs="仿宋"/>
          <w:color w:val="auto"/>
          <w:kern w:val="0"/>
          <w:szCs w:val="21"/>
          <w:highlight w:val="none"/>
          <w:u w:val="single"/>
        </w:rPr>
        <w:t xml:space="preserve">    （2）      </w:t>
      </w:r>
      <w:r>
        <w:rPr>
          <w:rFonts w:hint="eastAsia" w:ascii="仿宋" w:hAnsi="仿宋" w:eastAsia="仿宋" w:cs="仿宋"/>
          <w:color w:val="auto"/>
          <w:kern w:val="0"/>
          <w:szCs w:val="21"/>
          <w:highlight w:val="none"/>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（1）本合同项下的采购资金系甲方自行支付，付款程序为；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color w:val="auto"/>
          <w:kern w:val="0"/>
          <w:szCs w:val="21"/>
          <w:highlight w:val="none"/>
          <w:u w:val="single"/>
        </w:rPr>
      </w:pPr>
      <w:r>
        <w:rPr>
          <w:rFonts w:hint="eastAsia" w:ascii="仿宋" w:hAnsi="仿宋" w:eastAsia="仿宋" w:cs="仿宋"/>
          <w:color w:val="auto"/>
          <w:kern w:val="0"/>
          <w:szCs w:val="21"/>
          <w:highlight w:val="none"/>
        </w:rPr>
        <w:t>（2）本合同项下的采购资金须财政直接支付，付款程序为；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color w:val="auto"/>
          <w:kern w:val="0"/>
          <w:szCs w:val="21"/>
          <w:highlight w:val="none"/>
        </w:rPr>
      </w:pPr>
      <w:r>
        <w:rPr>
          <w:rFonts w:hint="eastAsia" w:ascii="仿宋" w:hAnsi="仿宋" w:eastAsia="仿宋" w:cs="仿宋"/>
          <w:color w:val="auto"/>
          <w:kern w:val="0"/>
          <w:szCs w:val="21"/>
          <w:highlight w:val="none"/>
        </w:rPr>
        <w:t>按以下第项处理：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1、本项目设置履约保证金，乙方应于（时间）向甲方提交履约保证金元（不得高于本合同金额的1%）。履约保证金在（时间）退还乙方。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color w:val="auto"/>
          <w:kern w:val="0"/>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除《政府采购法》第49条、第50条第二款规定的情形外，本合同一经签订，甲乙双方不得擅自终止合同或对合同实质性条款进行变更。确有特殊情况的，须经同级财政部门备案。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color w:val="auto"/>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乙方不得擅自部分或全部转让其应履行的合同义务。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color w:val="auto"/>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1、因履行本合同引起的或与本合同有关的争议，甲、乙双方应首先通过友好协商解决，如果协商不能解决争议，则采取以下第种方式解决争议：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本合同一式五份，甲乙双方各执二份， 一份送招标代理机构存档。</w:t>
      </w:r>
    </w:p>
    <w:p>
      <w:pPr>
        <w:snapToGrid w:val="0"/>
        <w:spacing w:beforeLines="50" w:afterLines="50" w:line="360" w:lineRule="auto"/>
        <w:jc w:val="center"/>
        <w:rPr>
          <w:rFonts w:ascii="仿宋" w:hAnsi="仿宋" w:eastAsia="仿宋" w:cs="仿宋"/>
          <w:b/>
          <w:color w:val="auto"/>
          <w:kern w:val="0"/>
          <w:szCs w:val="21"/>
          <w:highlight w:val="none"/>
        </w:rPr>
      </w:pPr>
    </w:p>
    <w:p>
      <w:pPr>
        <w:snapToGrid w:val="0"/>
        <w:spacing w:beforeLines="50" w:afterLines="50" w:line="360" w:lineRule="auto"/>
        <w:jc w:val="center"/>
        <w:outlineLvl w:val="0"/>
        <w:rPr>
          <w:rFonts w:ascii="仿宋" w:hAnsi="仿宋" w:eastAsia="仿宋" w:cs="仿宋"/>
          <w:b/>
          <w:color w:val="auto"/>
          <w:kern w:val="0"/>
          <w:szCs w:val="21"/>
          <w:highlight w:val="none"/>
        </w:rPr>
      </w:pPr>
      <w:bookmarkStart w:id="402" w:name="_Toc30292"/>
      <w:r>
        <w:rPr>
          <w:rFonts w:hint="eastAsia" w:ascii="仿宋" w:hAnsi="仿宋" w:eastAsia="仿宋" w:cs="仿宋"/>
          <w:b/>
          <w:color w:val="auto"/>
          <w:kern w:val="0"/>
          <w:szCs w:val="21"/>
          <w:highlight w:val="none"/>
        </w:rPr>
        <w:t>二、特殊专用条款部分（双方协商拟定）</w:t>
      </w:r>
      <w:bookmarkEnd w:id="402"/>
    </w:p>
    <w:p>
      <w:pPr>
        <w:pStyle w:val="34"/>
        <w:snapToGrid w:val="0"/>
        <w:spacing w:before="120" w:after="120" w:line="360" w:lineRule="auto"/>
        <w:rPr>
          <w:rFonts w:ascii="仿宋" w:hAnsi="仿宋" w:eastAsia="仿宋" w:cs="仿宋"/>
          <w:color w:val="auto"/>
          <w:highlight w:val="none"/>
        </w:rPr>
      </w:pPr>
      <w:r>
        <w:rPr>
          <w:rFonts w:hint="eastAsia" w:ascii="仿宋" w:hAnsi="仿宋" w:eastAsia="仿宋" w:cs="仿宋"/>
          <w:color w:val="auto"/>
          <w:highlight w:val="none"/>
        </w:rPr>
        <w:t>甲方：乙方：</w:t>
      </w:r>
    </w:p>
    <w:p>
      <w:pPr>
        <w:pStyle w:val="34"/>
        <w:snapToGrid w:val="0"/>
        <w:spacing w:before="120" w:after="120" w:line="360" w:lineRule="auto"/>
        <w:rPr>
          <w:rFonts w:ascii="仿宋" w:hAnsi="仿宋" w:eastAsia="仿宋" w:cs="仿宋"/>
          <w:color w:val="auto"/>
          <w:highlight w:val="none"/>
        </w:rPr>
      </w:pPr>
      <w:r>
        <w:rPr>
          <w:rFonts w:hint="eastAsia" w:ascii="仿宋" w:hAnsi="仿宋" w:eastAsia="仿宋" w:cs="仿宋"/>
          <w:color w:val="auto"/>
          <w:highlight w:val="none"/>
        </w:rPr>
        <w:t>地址：地址：</w:t>
      </w:r>
    </w:p>
    <w:p>
      <w:pPr>
        <w:pStyle w:val="34"/>
        <w:snapToGrid w:val="0"/>
        <w:spacing w:before="120" w:after="120" w:line="360" w:lineRule="auto"/>
        <w:rPr>
          <w:rFonts w:ascii="仿宋" w:hAnsi="仿宋" w:eastAsia="仿宋" w:cs="仿宋"/>
          <w:color w:val="auto"/>
          <w:highlight w:val="none"/>
        </w:rPr>
      </w:pPr>
      <w:r>
        <w:rPr>
          <w:rFonts w:hint="eastAsia" w:ascii="仿宋" w:hAnsi="仿宋" w:eastAsia="仿宋" w:cs="仿宋"/>
          <w:color w:val="auto"/>
          <w:highlight w:val="none"/>
        </w:rPr>
        <w:t>法定代表人或被授权人：法定代表人或被授权人：</w:t>
      </w:r>
    </w:p>
    <w:p>
      <w:pPr>
        <w:pStyle w:val="34"/>
        <w:snapToGrid w:val="0"/>
        <w:spacing w:before="120" w:after="120" w:line="360" w:lineRule="auto"/>
        <w:rPr>
          <w:rFonts w:ascii="仿宋" w:hAnsi="仿宋" w:eastAsia="仿宋" w:cs="仿宋"/>
          <w:color w:val="auto"/>
          <w:highlight w:val="none"/>
        </w:rPr>
      </w:pPr>
      <w:r>
        <w:rPr>
          <w:rFonts w:hint="eastAsia" w:ascii="仿宋" w:hAnsi="仿宋" w:eastAsia="仿宋" w:cs="仿宋"/>
          <w:color w:val="auto"/>
          <w:highlight w:val="none"/>
        </w:rPr>
        <w:t>签订地点：</w:t>
      </w:r>
    </w:p>
    <w:p>
      <w:pPr>
        <w:pStyle w:val="34"/>
        <w:snapToGrid w:val="0"/>
        <w:spacing w:before="120" w:after="120" w:line="360" w:lineRule="auto"/>
        <w:rPr>
          <w:rFonts w:ascii="仿宋" w:hAnsi="仿宋" w:eastAsia="仿宋" w:cs="仿宋"/>
          <w:color w:val="auto"/>
          <w:highlight w:val="none"/>
        </w:rPr>
      </w:pPr>
      <w:r>
        <w:rPr>
          <w:rFonts w:hint="eastAsia" w:ascii="仿宋" w:hAnsi="仿宋" w:eastAsia="仿宋" w:cs="仿宋"/>
          <w:color w:val="auto"/>
          <w:highlight w:val="none"/>
        </w:rPr>
        <w:t>签订日期：年月日</w:t>
      </w:r>
    </w:p>
    <w:p>
      <w:pP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00"/>
      <w:bookmarkEnd w:id="401"/>
      <w:r>
        <w:rPr>
          <w:rFonts w:hint="eastAsia" w:ascii="仿宋" w:hAnsi="仿宋" w:eastAsia="仿宋" w:cs="仿宋_GB2312"/>
          <w:b/>
          <w:color w:val="auto"/>
          <w:sz w:val="36"/>
          <w:szCs w:val="20"/>
          <w:highlight w:val="none"/>
        </w:rPr>
        <w:t xml:space="preserve"> 应提交的有关格式范例</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jc w:val="center"/>
        <w:rPr>
          <w:rFonts w:ascii="仿宋" w:eastAsia="仿宋"/>
          <w:color w:val="auto"/>
          <w:highlight w:val="none"/>
        </w:rPr>
      </w:pPr>
      <w:r>
        <w:rPr>
          <w:rFonts w:ascii="仿宋" w:hAnsi="仿宋" w:eastAsia="仿宋" w:cs="仿宋_GB2312"/>
          <w:color w:val="auto"/>
          <w:kern w:val="0"/>
          <w:sz w:val="24"/>
          <w:highlight w:val="none"/>
        </w:rPr>
        <w:br w:type="page"/>
      </w: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w:t>
      </w:r>
      <w:r>
        <w:rPr>
          <w:rFonts w:ascii="仿宋" w:hAnsi="仿宋" w:eastAsia="仿宋" w:cs="仿宋_GB2312"/>
          <w:b/>
          <w:color w:val="auto"/>
          <w:kern w:val="0"/>
          <w:sz w:val="32"/>
          <w:szCs w:val="32"/>
          <w:highlight w:val="none"/>
        </w:rPr>
        <w:t>、 符合参加政府采购活动应当具备的一般条件的承诺函</w:t>
      </w:r>
    </w:p>
    <w:p>
      <w:pPr>
        <w:snapToGrid w:val="0"/>
        <w:spacing w:line="360" w:lineRule="auto"/>
        <w:rPr>
          <w:rFonts w:ascii="仿宋" w:hAnsi="仿宋" w:eastAsia="仿宋"/>
          <w:b/>
          <w:color w:val="auto"/>
          <w:szCs w:val="21"/>
          <w:highlight w:val="none"/>
          <w:u w:val="single"/>
        </w:rPr>
      </w:pPr>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我方参与</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【招标编号：</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】政府采购活动，郑重承诺：</w:t>
      </w:r>
    </w:p>
    <w:p>
      <w:pPr>
        <w:snapToGrid w:val="0"/>
        <w:spacing w:line="360" w:lineRule="auto"/>
        <w:ind w:firstLine="315"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（一）具备《中华人民共和国政府采购法》第二十二条第一款规定的条件：</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w:t>
      </w:r>
      <w:r>
        <w:rPr>
          <w:rFonts w:ascii="仿宋" w:hAnsi="仿宋" w:eastAsia="仿宋" w:cs="仿宋_GB2312"/>
          <w:color w:val="auto"/>
          <w:szCs w:val="21"/>
          <w:highlight w:val="none"/>
        </w:rPr>
        <w:t>具有独立承担民事责任的能力；</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 xml:space="preserve">具有良好的商业信誉和健全的财务会计制度； </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具有履行合同所必需的设备和专业技术能力；</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有依法缴纳税收和社会保障资金的良好记录；</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w:t>
      </w:r>
      <w:r>
        <w:rPr>
          <w:rFonts w:ascii="仿宋" w:hAnsi="仿宋" w:eastAsia="仿宋"/>
          <w:color w:val="auto"/>
          <w:szCs w:val="21"/>
          <w:highlight w:val="none"/>
        </w:rPr>
        <w:t>参加政府采购活动前三年内，在经营活动中没有重大违法记录；</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w:t>
      </w:r>
      <w:r>
        <w:rPr>
          <w:rFonts w:ascii="仿宋" w:hAnsi="仿宋" w:eastAsia="仿宋"/>
          <w:color w:val="auto"/>
          <w:szCs w:val="21"/>
          <w:highlight w:val="none"/>
        </w:rPr>
        <w:t>具有法律、行政法规规定的其他条件。</w:t>
      </w:r>
    </w:p>
    <w:p>
      <w:pPr>
        <w:wordWrap w:val="0"/>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（二）未被信用中国（</w:t>
      </w:r>
      <w:r>
        <w:rPr>
          <w:rFonts w:ascii="仿宋" w:hAnsi="仿宋" w:eastAsia="仿宋"/>
          <w:color w:val="auto"/>
          <w:szCs w:val="21"/>
          <w:highlight w:val="none"/>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（三）不存在以下情况：</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w:t>
      </w:r>
      <w:r>
        <w:rPr>
          <w:rFonts w:ascii="仿宋" w:hAnsi="仿宋" w:eastAsia="仿宋" w:cs="仿宋_GB2312"/>
          <w:color w:val="auto"/>
          <w:szCs w:val="21"/>
          <w:highlight w:val="none"/>
        </w:rPr>
        <w:t>单位负责人为同一人或者存在直接控股、管理关系的不同供应商参加同一合同项下的政府采购活动的；</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为采购项目提供整体设计、规范编制或者项目管理、监理、检测等服务后再参加该采购项目的其他采购活动的。</w:t>
      </w:r>
    </w:p>
    <w:p>
      <w:pPr>
        <w:snapToGrid w:val="0"/>
        <w:spacing w:line="360" w:lineRule="auto"/>
        <w:ind w:firstLine="4830" w:firstLineChars="2300"/>
        <w:rPr>
          <w:rFonts w:ascii="仿宋" w:hAnsi="仿宋" w:eastAsia="仿宋" w:cs="仿宋_GB2312"/>
          <w:color w:val="auto"/>
          <w:kern w:val="0"/>
          <w:szCs w:val="21"/>
          <w:highlight w:val="none"/>
          <w:lang w:val="zh-CN"/>
        </w:rPr>
      </w:pPr>
    </w:p>
    <w:p>
      <w:pPr>
        <w:snapToGrid w:val="0"/>
        <w:spacing w:line="360" w:lineRule="auto"/>
        <w:ind w:firstLine="4830" w:firstLineChars="2300"/>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投标人名称</w:t>
      </w:r>
      <w:r>
        <w:rPr>
          <w:rFonts w:ascii="仿宋" w:hAnsi="仿宋" w:eastAsia="仿宋" w:cs="仿宋_GB2312"/>
          <w:color w:val="auto"/>
          <w:kern w:val="0"/>
          <w:szCs w:val="21"/>
          <w:highlight w:val="none"/>
          <w:lang w:val="zh-CN"/>
        </w:rPr>
        <w:t>(电子签名)：</w:t>
      </w:r>
    </w:p>
    <w:p>
      <w:pPr>
        <w:snapToGrid w:val="0"/>
        <w:spacing w:line="360" w:lineRule="auto"/>
        <w:jc w:val="right"/>
        <w:rPr>
          <w:rFonts w:ascii="仿宋" w:hAnsi="仿宋" w:eastAsia="仿宋" w:cs="仿宋_GB2312"/>
          <w:color w:val="auto"/>
          <w:kern w:val="0"/>
          <w:sz w:val="24"/>
          <w:highlight w:val="none"/>
        </w:rPr>
      </w:pPr>
      <w:r>
        <w:rPr>
          <w:rFonts w:hint="eastAsia" w:ascii="仿宋" w:hAnsi="仿宋" w:eastAsia="仿宋" w:cs="仿宋_GB2312"/>
          <w:color w:val="auto"/>
          <w:kern w:val="0"/>
          <w:szCs w:val="21"/>
          <w:highlight w:val="none"/>
          <w:lang w:val="zh-CN"/>
        </w:rPr>
        <w:t>日期</w:t>
      </w:r>
      <w:r>
        <w:rPr>
          <w:rFonts w:hint="eastAsia" w:ascii="仿宋" w:hAnsi="仿宋" w:eastAsia="仿宋" w:cs="仿宋_GB2312"/>
          <w:color w:val="auto"/>
          <w:kern w:val="0"/>
          <w:szCs w:val="21"/>
          <w:highlight w:val="none"/>
        </w:rPr>
        <w:t>：</w:t>
      </w:r>
      <w:r>
        <w:rPr>
          <w:rFonts w:ascii="仿宋" w:hAnsi="仿宋" w:eastAsia="仿宋" w:cs="仿宋_GB2312"/>
          <w:color w:val="auto"/>
          <w:kern w:val="0"/>
          <w:szCs w:val="21"/>
          <w:highlight w:val="none"/>
        </w:rPr>
        <w:t xml:space="preserve">  年  </w:t>
      </w:r>
      <w:r>
        <w:rPr>
          <w:rFonts w:hint="eastAsia" w:ascii="仿宋" w:hAnsi="仿宋" w:eastAsia="仿宋" w:cs="仿宋_GB2312"/>
          <w:color w:val="auto"/>
          <w:kern w:val="0"/>
          <w:szCs w:val="21"/>
          <w:highlight w:val="none"/>
          <w:lang w:val="zh-CN"/>
        </w:rPr>
        <w:t>月日</w:t>
      </w:r>
    </w:p>
    <w:p>
      <w:pPr>
        <w:snapToGrid w:val="0"/>
        <w:spacing w:line="360" w:lineRule="auto"/>
        <w:ind w:right="480"/>
        <w:jc w:val="center"/>
        <w:rPr>
          <w:rFonts w:ascii="仿宋" w:hAnsi="仿宋" w:eastAsia="仿宋" w:cs="仿宋_GB2312"/>
          <w:b/>
          <w:color w:val="auto"/>
          <w:kern w:val="0"/>
          <w:sz w:val="32"/>
          <w:szCs w:val="32"/>
          <w:highlight w:val="none"/>
        </w:rPr>
      </w:pPr>
    </w:p>
    <w:p>
      <w:pPr>
        <w:pStyle w:val="3"/>
        <w:rPr>
          <w:rFonts w:ascii="仿宋" w:eastAsia="仿宋" w:cs="仿宋_GB2312"/>
          <w:color w:val="auto"/>
          <w:kern w:val="0"/>
          <w:highlight w:val="none"/>
        </w:rPr>
      </w:pPr>
    </w:p>
    <w:p>
      <w:pPr>
        <w:rPr>
          <w:rFonts w:ascii="仿宋" w:hAnsi="仿宋" w:eastAsia="仿宋" w:cs="仿宋_GB2312"/>
          <w:b/>
          <w:color w:val="auto"/>
          <w:kern w:val="0"/>
          <w:sz w:val="32"/>
          <w:szCs w:val="32"/>
          <w:highlight w:val="none"/>
        </w:rPr>
      </w:pPr>
    </w:p>
    <w:p>
      <w:pPr>
        <w:pStyle w:val="3"/>
        <w:rPr>
          <w:rFonts w:ascii="仿宋" w:eastAsia="仿宋" w:cs="仿宋_GB2312"/>
          <w:color w:val="auto"/>
          <w:kern w:val="0"/>
          <w:highlight w:val="none"/>
        </w:rPr>
      </w:pPr>
    </w:p>
    <w:p>
      <w:pPr>
        <w:rPr>
          <w:rFonts w:ascii="仿宋" w:hAnsi="仿宋" w:eastAsia="仿宋" w:cs="仿宋_GB2312"/>
          <w:b/>
          <w:color w:val="auto"/>
          <w:kern w:val="0"/>
          <w:sz w:val="32"/>
          <w:szCs w:val="32"/>
          <w:highlight w:val="none"/>
        </w:rPr>
      </w:pPr>
    </w:p>
    <w:p>
      <w:pPr>
        <w:pStyle w:val="3"/>
        <w:rPr>
          <w:rFonts w:ascii="仿宋" w:eastAsia="仿宋" w:cs="仿宋_GB2312"/>
          <w:color w:val="auto"/>
          <w:kern w:val="0"/>
          <w:highlight w:val="none"/>
        </w:rPr>
      </w:pPr>
    </w:p>
    <w:p>
      <w:pP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pPr>
        <w:spacing w:line="360" w:lineRule="auto"/>
        <w:rPr>
          <w:rFonts w:ascii="仿宋" w:hAnsi="仿宋" w:eastAsia="仿宋"/>
          <w:color w:val="auto"/>
          <w:szCs w:val="21"/>
          <w:highlight w:val="none"/>
        </w:rPr>
      </w:pPr>
      <w:r>
        <w:rPr>
          <w:rFonts w:hint="eastAsia" w:ascii="仿宋" w:hAnsi="仿宋" w:eastAsia="仿宋" w:cs="仿宋_GB2312"/>
          <w:color w:val="auto"/>
          <w:szCs w:val="21"/>
          <w:highlight w:val="none"/>
        </w:rPr>
        <w:t>（根据招标公告</w:t>
      </w:r>
      <w:r>
        <w:rPr>
          <w:rFonts w:hint="eastAsia" w:ascii="仿宋" w:hAnsi="仿宋" w:eastAsia="仿宋"/>
          <w:color w:val="auto"/>
          <w:szCs w:val="21"/>
          <w:highlight w:val="none"/>
        </w:rPr>
        <w:t>落实政府采购政策需满足的资格要求选择提供相应的材料；未要求的，无需提供</w:t>
      </w:r>
      <w:r>
        <w:rPr>
          <w:rFonts w:hint="eastAsia" w:ascii="仿宋" w:hAnsi="仿宋" w:eastAsia="仿宋" w:cs="仿宋_GB2312"/>
          <w:color w:val="auto"/>
          <w:szCs w:val="21"/>
          <w:highlight w:val="none"/>
        </w:rPr>
        <w:t>）</w:t>
      </w:r>
    </w:p>
    <w:p>
      <w:pPr>
        <w:snapToGrid w:val="0"/>
        <w:spacing w:before="50" w:after="50" w:line="360" w:lineRule="auto"/>
        <w:ind w:firstLine="413" w:firstLineChars="196"/>
        <w:jc w:val="left"/>
        <w:rPr>
          <w:rFonts w:ascii="仿宋" w:hAnsi="仿宋" w:eastAsia="仿宋" w:cs="仿宋_GB2312"/>
          <w:color w:val="auto"/>
          <w:szCs w:val="21"/>
          <w:highlight w:val="none"/>
        </w:rPr>
      </w:pPr>
      <w:r>
        <w:rPr>
          <w:rFonts w:ascii="仿宋" w:hAnsi="仿宋" w:eastAsia="仿宋" w:cs="仿宋_GB2312"/>
          <w:b/>
          <w:color w:val="auto"/>
          <w:szCs w:val="21"/>
          <w:highlight w:val="none"/>
        </w:rPr>
        <w:t>A</w:t>
      </w:r>
      <w:r>
        <w:rPr>
          <w:rFonts w:ascii="仿宋" w:hAnsi="仿宋" w:eastAsia="仿宋" w:cs="仿宋_GB2312"/>
          <w:color w:val="auto"/>
          <w:szCs w:val="21"/>
          <w:highlight w:val="none"/>
        </w:rPr>
        <w:t>.</w:t>
      </w:r>
      <w:r>
        <w:rPr>
          <w:rFonts w:hint="eastAsia" w:ascii="仿宋" w:hAnsi="仿宋" w:eastAsia="仿宋" w:cs="仿宋_GB2312"/>
          <w:color w:val="auto"/>
          <w:szCs w:val="21"/>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w:t>
      </w:r>
    </w:p>
    <w:p>
      <w:pPr>
        <w:widowControl/>
        <w:spacing w:line="360" w:lineRule="auto"/>
        <w:ind w:firstLine="480"/>
        <w:jc w:val="left"/>
        <w:rPr>
          <w:rFonts w:ascii="仿宋" w:hAnsi="仿宋" w:eastAsia="仿宋"/>
          <w:color w:val="auto"/>
          <w:szCs w:val="21"/>
          <w:highlight w:val="none"/>
        </w:rPr>
      </w:pPr>
    </w:p>
    <w:p>
      <w:pPr>
        <w:widowControl/>
        <w:spacing w:line="360" w:lineRule="auto"/>
        <w:ind w:firstLine="413" w:firstLineChars="196"/>
        <w:jc w:val="left"/>
        <w:rPr>
          <w:rFonts w:ascii="仿宋" w:hAnsi="仿宋" w:eastAsia="仿宋" w:cs="仿宋_GB2312"/>
          <w:color w:val="auto"/>
          <w:sz w:val="24"/>
          <w:highlight w:val="none"/>
        </w:rPr>
      </w:pPr>
      <w:r>
        <w:rPr>
          <w:rFonts w:ascii="仿宋" w:hAnsi="仿宋" w:eastAsia="仿宋" w:cs="仿宋_GB2312"/>
          <w:b/>
          <w:color w:val="auto"/>
          <w:szCs w:val="21"/>
          <w:highlight w:val="none"/>
        </w:rPr>
        <w:t>B.</w:t>
      </w:r>
      <w:r>
        <w:rPr>
          <w:rFonts w:hint="eastAsia" w:ascii="仿宋" w:hAnsi="仿宋" w:eastAsia="仿宋" w:cs="仿宋_GB2312"/>
          <w:color w:val="auto"/>
          <w:szCs w:val="21"/>
          <w:highlight w:val="none"/>
        </w:rPr>
        <w:t>要求以联合体形式参加的，提供联合协议和中小企业声明函（附件</w:t>
      </w: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联合协议</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（联合体所有成员名称）</w:t>
      </w:r>
      <w:r>
        <w:rPr>
          <w:rFonts w:hint="eastAsia" w:ascii="仿宋" w:hAnsi="仿宋" w:eastAsia="仿宋" w:cs="仿宋_GB2312"/>
          <w:color w:val="auto"/>
          <w:kern w:val="0"/>
          <w:szCs w:val="21"/>
          <w:highlight w:val="none"/>
        </w:rPr>
        <w:t>自愿</w:t>
      </w:r>
      <w:r>
        <w:rPr>
          <w:rFonts w:hint="eastAsia" w:ascii="仿宋" w:hAnsi="仿宋" w:eastAsia="仿宋" w:cs="仿宋_GB2312"/>
          <w:color w:val="auto"/>
          <w:kern w:val="0"/>
          <w:szCs w:val="21"/>
          <w:highlight w:val="none"/>
          <w:lang w:val="zh-CN"/>
        </w:rPr>
        <w:t>组成一个联合体，以一个投标人的身份</w:t>
      </w:r>
      <w:r>
        <w:rPr>
          <w:rFonts w:hint="eastAsia" w:ascii="仿宋" w:hAnsi="仿宋" w:eastAsia="仿宋" w:cs="仿宋_GB2312"/>
          <w:color w:val="auto"/>
          <w:kern w:val="0"/>
          <w:szCs w:val="21"/>
          <w:highlight w:val="none"/>
        </w:rPr>
        <w:t>参加</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投标。</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一、各方一致决定，</w:t>
      </w:r>
      <w:r>
        <w:rPr>
          <w:rFonts w:hint="eastAsia" w:ascii="仿宋" w:hAnsi="仿宋" w:eastAsia="仿宋" w:cs="仿宋_GB2312"/>
          <w:color w:val="auto"/>
          <w:kern w:val="0"/>
          <w:szCs w:val="21"/>
          <w:highlight w:val="none"/>
          <w:u w:val="single"/>
        </w:rPr>
        <w:t>（某联合体成员名称）</w:t>
      </w:r>
      <w:r>
        <w:rPr>
          <w:rFonts w:hint="eastAsia" w:ascii="仿宋" w:hAnsi="仿宋" w:eastAsia="仿宋" w:cs="仿宋_GB2312"/>
          <w:color w:val="auto"/>
          <w:kern w:val="0"/>
          <w:szCs w:val="21"/>
          <w:highlight w:val="none"/>
        </w:rPr>
        <w:t>为联合体</w:t>
      </w:r>
      <w:r>
        <w:rPr>
          <w:rFonts w:hint="eastAsia" w:ascii="仿宋" w:hAnsi="仿宋" w:eastAsia="仿宋" w:cs="仿宋_GB2312"/>
          <w:color w:val="auto"/>
          <w:kern w:val="0"/>
          <w:szCs w:val="21"/>
          <w:highlight w:val="none"/>
          <w:lang w:val="zh-CN"/>
        </w:rPr>
        <w:t>牵头人</w:t>
      </w:r>
      <w:r>
        <w:rPr>
          <w:rFonts w:hint="eastAsia" w:ascii="仿宋" w:hAnsi="仿宋" w:eastAsia="仿宋" w:cs="Arial"/>
          <w:color w:val="auto"/>
          <w:szCs w:val="21"/>
          <w:highlight w:val="none"/>
        </w:rPr>
        <w:t>，代表所有联合体成员负责投标和合同实施阶段的主办、协调工作</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w:t>
      </w:r>
      <w:r>
        <w:rPr>
          <w:rFonts w:hint="eastAsia" w:ascii="仿宋" w:hAnsi="仿宋" w:eastAsia="仿宋" w:cs="Arial"/>
          <w:color w:val="auto"/>
          <w:szCs w:val="21"/>
          <w:highlight w:val="none"/>
        </w:rPr>
        <w:t>所有联合体成员各方签署授权书，授权书载明的</w:t>
      </w:r>
      <w:r>
        <w:rPr>
          <w:rFonts w:hint="eastAsia" w:ascii="仿宋" w:hAnsi="仿宋" w:eastAsia="仿宋"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三、本次联合投标中，分工如下：</w:t>
      </w:r>
      <w:r>
        <w:rPr>
          <w:rFonts w:hint="eastAsia" w:ascii="仿宋" w:hAnsi="仿宋" w:eastAsia="仿宋" w:cs="仿宋_GB2312"/>
          <w:color w:val="auto"/>
          <w:kern w:val="0"/>
          <w:szCs w:val="21"/>
          <w:highlight w:val="none"/>
          <w:u w:val="single"/>
        </w:rPr>
        <w:t>（联合体其中一方成员名称）</w:t>
      </w:r>
      <w:r>
        <w:rPr>
          <w:rFonts w:hint="eastAsia" w:ascii="仿宋" w:hAnsi="仿宋" w:eastAsia="仿宋" w:cs="仿宋_GB2312"/>
          <w:color w:val="auto"/>
          <w:kern w:val="0"/>
          <w:szCs w:val="21"/>
          <w:highlight w:val="none"/>
          <w:lang w:val="zh-CN"/>
        </w:rPr>
        <w:t>承担的工作和义务为：；</w:t>
      </w:r>
      <w:r>
        <w:rPr>
          <w:rFonts w:hint="eastAsia" w:ascii="仿宋" w:hAnsi="仿宋" w:eastAsia="仿宋" w:cs="仿宋_GB2312"/>
          <w:color w:val="auto"/>
          <w:kern w:val="0"/>
          <w:szCs w:val="21"/>
          <w:highlight w:val="none"/>
          <w:u w:val="single"/>
        </w:rPr>
        <w:t>（联合体其中一方成员名称）</w:t>
      </w:r>
      <w:r>
        <w:rPr>
          <w:rFonts w:hint="eastAsia" w:ascii="仿宋" w:hAnsi="仿宋" w:eastAsia="仿宋" w:cs="仿宋_GB2312"/>
          <w:color w:val="auto"/>
          <w:kern w:val="0"/>
          <w:szCs w:val="21"/>
          <w:highlight w:val="none"/>
          <w:lang w:val="zh-CN"/>
        </w:rPr>
        <w:t>承担的工作和义务为：</w:t>
      </w:r>
      <w:r>
        <w:rPr>
          <w:rFonts w:ascii="仿宋" w:hAnsi="仿宋" w:eastAsia="仿宋" w:cs="仿宋_GB2312"/>
          <w:color w:val="auto"/>
          <w:kern w:val="0"/>
          <w:szCs w:val="21"/>
          <w:highlight w:val="none"/>
          <w:lang w:val="zh-CN"/>
        </w:rPr>
        <w:t xml:space="preserve"> ；……。</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四、</w:t>
      </w:r>
      <w:r>
        <w:rPr>
          <w:rFonts w:hint="eastAsia" w:ascii="仿宋" w:hAnsi="仿宋" w:eastAsia="仿宋"/>
          <w:color w:val="auto"/>
          <w:szCs w:val="21"/>
          <w:highlight w:val="none"/>
        </w:rPr>
        <w:t>中小企业合同金额达到</w:t>
      </w:r>
      <w:r>
        <w:rPr>
          <w:rFonts w:ascii="仿宋" w:hAnsi="仿宋" w:eastAsia="仿宋"/>
          <w:color w:val="auto"/>
          <w:szCs w:val="21"/>
          <w:highlight w:val="none"/>
        </w:rPr>
        <w:t>%，小</w:t>
      </w:r>
      <w:r>
        <w:rPr>
          <w:rFonts w:hint="eastAsia" w:ascii="仿宋" w:hAnsi="仿宋" w:eastAsia="仿宋"/>
          <w:color w:val="auto"/>
          <w:szCs w:val="21"/>
          <w:highlight w:val="none"/>
        </w:rPr>
        <w:t>微企业合同金额达到</w:t>
      </w:r>
      <w:r>
        <w:rPr>
          <w:rFonts w:ascii="仿宋" w:hAnsi="仿宋" w:eastAsia="仿宋"/>
          <w:color w:val="auto"/>
          <w:szCs w:val="21"/>
          <w:highlight w:val="none"/>
        </w:rPr>
        <w:t>%</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五、如果中标，</w:t>
      </w:r>
      <w:r>
        <w:rPr>
          <w:rFonts w:hint="eastAsia" w:ascii="仿宋" w:hAnsi="仿宋" w:eastAsia="仿宋"/>
          <w:color w:val="auto"/>
          <w:szCs w:val="21"/>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六、有关本次联合投标的其他事宜：</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1、联合体各方不再单独参加或者与其</w:t>
      </w:r>
      <w:r>
        <w:rPr>
          <w:rFonts w:hint="eastAsia" w:ascii="仿宋" w:hAnsi="仿宋" w:eastAsia="仿宋" w:cs="仿宋_GB2312"/>
          <w:color w:val="auto"/>
          <w:kern w:val="0"/>
          <w:szCs w:val="21"/>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3、本协议提交采购人、采购机构后，联合体各方不得以任何形式对上述内容进行修改或撤销。</w:t>
      </w: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spacing w:line="360" w:lineRule="auto"/>
        <w:ind w:firstLine="480" w:firstLineChars="200"/>
        <w:rPr>
          <w:rFonts w:ascii="仿宋" w:hAnsi="仿宋" w:eastAsia="仿宋" w:cs="仿宋_GB2312"/>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22" w:firstLineChars="200"/>
        <w:rPr>
          <w:rFonts w:ascii="仿宋" w:hAnsi="仿宋" w:eastAsia="仿宋"/>
          <w:color w:val="auto"/>
          <w:sz w:val="24"/>
          <w:highlight w:val="none"/>
        </w:rPr>
      </w:pPr>
      <w:r>
        <w:rPr>
          <w:rFonts w:ascii="仿宋" w:hAnsi="仿宋" w:eastAsia="仿宋" w:cs="仿宋_GB2312"/>
          <w:b/>
          <w:color w:val="auto"/>
          <w:szCs w:val="21"/>
          <w:highlight w:val="none"/>
        </w:rPr>
        <w:t>C、</w:t>
      </w:r>
      <w:r>
        <w:rPr>
          <w:rFonts w:hint="eastAsia" w:ascii="仿宋" w:hAnsi="仿宋" w:eastAsia="仿宋" w:cs="仿宋_GB2312"/>
          <w:color w:val="auto"/>
          <w:szCs w:val="21"/>
          <w:highlight w:val="none"/>
        </w:rPr>
        <w:t>要求合同分包的，提供分包意向协议和中小企业声明函（附件</w:t>
      </w: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widowControl/>
        <w:spacing w:line="360" w:lineRule="auto"/>
        <w:ind w:firstLine="105" w:firstLineChars="5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hint="eastAsia" w:ascii="仿宋" w:hAnsi="仿宋" w:eastAsia="仿宋"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Cs w:val="21"/>
          <w:highlight w:val="none"/>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lang w:val="zh-CN"/>
        </w:rPr>
        <w:t>若成为</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的中标供应商，将依法采取分包方式履行合同。</w:t>
      </w: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rPr>
        <w:t>与</w:t>
      </w:r>
      <w:r>
        <w:rPr>
          <w:rFonts w:hint="eastAsia" w:ascii="仿宋" w:hAnsi="仿宋" w:eastAsia="仿宋" w:cs="仿宋_GB2312"/>
          <w:color w:val="auto"/>
          <w:kern w:val="0"/>
          <w:szCs w:val="21"/>
          <w:highlight w:val="none"/>
          <w:u w:val="single"/>
        </w:rPr>
        <w:t>（所有分包供应商名称）</w:t>
      </w:r>
      <w:r>
        <w:rPr>
          <w:rFonts w:hint="eastAsia" w:ascii="仿宋" w:hAnsi="仿宋" w:eastAsia="仿宋" w:cs="仿宋_GB2312"/>
          <w:color w:val="auto"/>
          <w:kern w:val="0"/>
          <w:szCs w:val="21"/>
          <w:highlight w:val="none"/>
        </w:rPr>
        <w:t>达成分包意向协议</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一、分包标的及数量</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lang w:val="zh-CN"/>
        </w:rPr>
        <w:t>将</w:t>
      </w:r>
      <w:r>
        <w:rPr>
          <w:rFonts w:ascii="仿宋" w:hAnsi="仿宋" w:eastAsia="仿宋"/>
          <w:color w:val="auto"/>
          <w:szCs w:val="21"/>
          <w:highlight w:val="none"/>
          <w:u w:val="single"/>
        </w:rPr>
        <w:t xml:space="preserve">   XX工作内容   </w:t>
      </w:r>
      <w:r>
        <w:rPr>
          <w:rFonts w:hint="eastAsia" w:ascii="仿宋" w:hAnsi="仿宋" w:eastAsia="仿宋" w:cs="Arial"/>
          <w:color w:val="auto"/>
          <w:szCs w:val="21"/>
          <w:highlight w:val="none"/>
        </w:rPr>
        <w:t>分包给</w:t>
      </w:r>
      <w:r>
        <w:rPr>
          <w:rFonts w:hint="eastAsia" w:ascii="仿宋" w:hAnsi="仿宋" w:eastAsia="仿宋" w:cs="仿宋_GB2312"/>
          <w:color w:val="auto"/>
          <w:kern w:val="0"/>
          <w:szCs w:val="21"/>
          <w:highlight w:val="none"/>
          <w:u w:val="single"/>
        </w:rPr>
        <w:t>（某分包供应商名称）</w:t>
      </w:r>
      <w:r>
        <w:rPr>
          <w:rFonts w:hint="eastAsia" w:ascii="仿宋" w:hAnsi="仿宋" w:eastAsia="仿宋" w:cs="仿宋_GB2312"/>
          <w:color w:val="auto"/>
          <w:kern w:val="0"/>
          <w:szCs w:val="21"/>
          <w:highlight w:val="none"/>
          <w:lang w:val="zh-CN"/>
        </w:rPr>
        <w:t>，</w:t>
      </w:r>
      <w:r>
        <w:rPr>
          <w:rFonts w:hint="eastAsia" w:ascii="仿宋" w:hAnsi="仿宋" w:eastAsia="仿宋" w:cs="仿宋_GB2312"/>
          <w:color w:val="auto"/>
          <w:kern w:val="0"/>
          <w:szCs w:val="21"/>
          <w:highlight w:val="none"/>
          <w:u w:val="single"/>
        </w:rPr>
        <w:t>（某分包供应商名称），</w:t>
      </w:r>
      <w:r>
        <w:rPr>
          <w:rFonts w:hint="eastAsia" w:ascii="仿宋" w:hAnsi="仿宋" w:eastAsia="仿宋" w:cs="仿宋_GB2312"/>
          <w:color w:val="auto"/>
          <w:kern w:val="0"/>
          <w:szCs w:val="21"/>
          <w:highlight w:val="none"/>
          <w:lang w:val="zh-CN"/>
        </w:rPr>
        <w:t>具备承</w:t>
      </w:r>
      <w:r>
        <w:rPr>
          <w:rFonts w:hint="eastAsia" w:ascii="仿宋" w:hAnsi="仿宋" w:eastAsia="仿宋" w:cs="仿宋_GB2312"/>
          <w:color w:val="auto"/>
          <w:kern w:val="0"/>
          <w:szCs w:val="21"/>
          <w:highlight w:val="none"/>
        </w:rPr>
        <w:t>担</w:t>
      </w:r>
      <w:r>
        <w:rPr>
          <w:rFonts w:ascii="仿宋" w:hAnsi="仿宋" w:eastAsia="仿宋" w:cs="仿宋_GB2312"/>
          <w:color w:val="auto"/>
          <w:kern w:val="0"/>
          <w:szCs w:val="21"/>
          <w:highlight w:val="none"/>
          <w:u w:val="single"/>
          <w:lang w:val="zh-CN"/>
        </w:rPr>
        <w:t>XX工作内容</w:t>
      </w:r>
      <w:r>
        <w:rPr>
          <w:rFonts w:hint="eastAsia" w:ascii="仿宋" w:hAnsi="仿宋" w:eastAsia="仿宋" w:cs="仿宋_GB2312"/>
          <w:color w:val="auto"/>
          <w:kern w:val="0"/>
          <w:szCs w:val="21"/>
          <w:highlight w:val="none"/>
          <w:lang w:val="zh-CN"/>
        </w:rPr>
        <w:t>相应资质条件且不得再次分包；</w:t>
      </w:r>
    </w:p>
    <w:p>
      <w:pPr>
        <w:pStyle w:val="3"/>
        <w:ind w:left="664" w:leftChars="316" w:firstLine="200" w:firstLineChars="95"/>
        <w:rPr>
          <w:rFonts w:ascii="仿宋" w:eastAsia="仿宋"/>
          <w:color w:val="auto"/>
          <w:sz w:val="21"/>
          <w:szCs w:val="21"/>
          <w:highlight w:val="none"/>
        </w:rPr>
      </w:pPr>
      <w:r>
        <w:rPr>
          <w:rFonts w:hint="eastAsia" w:ascii="仿宋" w:eastAsia="仿宋" w:cs="仿宋_GB2312"/>
          <w:color w:val="auto"/>
          <w:kern w:val="0"/>
          <w:sz w:val="21"/>
          <w:szCs w:val="21"/>
          <w:highlight w:val="none"/>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二、分包工作履行期限、地点、方式</w:t>
      </w:r>
    </w:p>
    <w:p>
      <w:pPr>
        <w:snapToGrid w:val="0"/>
        <w:spacing w:line="360" w:lineRule="auto"/>
        <w:ind w:firstLine="576"/>
        <w:rPr>
          <w:rFonts w:ascii="仿宋" w:hAnsi="仿宋" w:eastAsia="仿宋"/>
          <w:color w:val="auto"/>
          <w:szCs w:val="21"/>
          <w:highlight w:val="none"/>
          <w:u w:val="single"/>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三、质量</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四、价款或者报酬</w:t>
      </w:r>
    </w:p>
    <w:p>
      <w:pPr>
        <w:snapToGrid w:val="0"/>
        <w:spacing w:line="360" w:lineRule="auto"/>
        <w:ind w:left="573" w:leftChars="273"/>
        <w:rPr>
          <w:rFonts w:ascii="仿宋" w:hAnsi="仿宋" w:eastAsia="仿宋" w:cs="仿宋_GB2312"/>
          <w:color w:val="auto"/>
          <w:kern w:val="0"/>
          <w:szCs w:val="21"/>
          <w:highlight w:val="none"/>
          <w:lang w:val="zh-CN"/>
        </w:rPr>
      </w:pPr>
    </w:p>
    <w:p>
      <w:pPr>
        <w:snapToGrid w:val="0"/>
        <w:spacing w:line="360" w:lineRule="auto"/>
        <w:ind w:left="573" w:leftChars="273"/>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五、违约责任</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六、争议解决的办法</w:t>
      </w:r>
    </w:p>
    <w:p>
      <w:pPr>
        <w:snapToGrid w:val="0"/>
        <w:spacing w:line="360" w:lineRule="auto"/>
        <w:ind w:firstLine="576"/>
        <w:rPr>
          <w:rFonts w:ascii="仿宋" w:hAnsi="仿宋" w:eastAsia="仿宋" w:cs="仿宋_GB2312"/>
          <w:color w:val="auto"/>
          <w:kern w:val="0"/>
          <w:szCs w:val="21"/>
          <w:highlight w:val="none"/>
          <w:lang w:val="zh-CN"/>
        </w:rPr>
      </w:pPr>
    </w:p>
    <w:p>
      <w:pPr>
        <w:wordWrap w:val="0"/>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七、其他</w:t>
      </w:r>
    </w:p>
    <w:p>
      <w:pPr>
        <w:wordWrap w:val="0"/>
        <w:snapToGrid w:val="0"/>
        <w:spacing w:line="360" w:lineRule="auto"/>
        <w:ind w:left="5128" w:leftChars="342" w:hanging="4410" w:hangingChars="2100"/>
        <w:rPr>
          <w:rFonts w:ascii="仿宋" w:hAnsi="仿宋" w:eastAsia="仿宋" w:cs="仿宋_GB2312"/>
          <w:color w:val="auto"/>
          <w:kern w:val="0"/>
          <w:szCs w:val="21"/>
          <w:highlight w:val="none"/>
          <w:lang w:val="zh-CN"/>
        </w:rPr>
      </w:pPr>
      <w:r>
        <w:rPr>
          <w:rFonts w:hint="eastAsia" w:ascii="仿宋" w:hAnsi="仿宋" w:eastAsia="仿宋"/>
          <w:color w:val="auto"/>
          <w:szCs w:val="21"/>
          <w:highlight w:val="none"/>
        </w:rPr>
        <w:t>中小企业合同金额达到</w:t>
      </w:r>
      <w:r>
        <w:rPr>
          <w:rFonts w:ascii="仿宋" w:hAnsi="仿宋" w:eastAsia="仿宋"/>
          <w:color w:val="auto"/>
          <w:szCs w:val="21"/>
          <w:highlight w:val="none"/>
        </w:rPr>
        <w:t>%，小</w:t>
      </w:r>
      <w:r>
        <w:rPr>
          <w:rFonts w:hint="eastAsia" w:ascii="仿宋" w:hAnsi="仿宋" w:eastAsia="仿宋"/>
          <w:color w:val="auto"/>
          <w:szCs w:val="21"/>
          <w:highlight w:val="none"/>
        </w:rPr>
        <w:t>微企业合同金额达到</w:t>
      </w:r>
      <w:r>
        <w:rPr>
          <w:rFonts w:ascii="仿宋" w:hAnsi="仿宋" w:eastAsia="仿宋"/>
          <w:color w:val="auto"/>
          <w:szCs w:val="21"/>
          <w:highlight w:val="none"/>
        </w:rPr>
        <w:t>%</w:t>
      </w:r>
      <w:r>
        <w:rPr>
          <w:rFonts w:ascii="仿宋" w:hAnsi="仿宋" w:eastAsia="仿宋" w:cs="仿宋_GB2312"/>
          <w:color w:val="auto"/>
          <w:kern w:val="0"/>
          <w:szCs w:val="21"/>
          <w:highlight w:val="none"/>
          <w:lang w:val="zh-CN"/>
        </w:rPr>
        <w:t>。                          投标人名称(电子签名)：</w:t>
      </w:r>
    </w:p>
    <w:p>
      <w:pPr>
        <w:snapToGrid w:val="0"/>
        <w:spacing w:line="360" w:lineRule="auto"/>
        <w:ind w:firstLine="5145" w:firstLineChars="245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分包供应商名称：</w:t>
      </w:r>
    </w:p>
    <w:p>
      <w:pPr>
        <w:snapToGrid w:val="0"/>
        <w:spacing w:line="360" w:lineRule="auto"/>
        <w:ind w:firstLine="5250" w:firstLineChars="25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widowControl/>
        <w:spacing w:line="360" w:lineRule="auto"/>
        <w:ind w:left="150"/>
        <w:jc w:val="center"/>
        <w:rPr>
          <w:rFonts w:ascii="仿宋" w:hAnsi="仿宋" w:eastAsia="仿宋" w:cs="仿宋_GB2312"/>
          <w:b/>
          <w:color w:val="auto"/>
          <w:kern w:val="0"/>
          <w:sz w:val="32"/>
          <w:szCs w:val="32"/>
          <w:highlight w:val="none"/>
        </w:rPr>
      </w:pPr>
    </w:p>
    <w:p>
      <w:pPr>
        <w:widowControl/>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pPr>
        <w:spacing w:line="360" w:lineRule="auto"/>
        <w:jc w:val="center"/>
        <w:rPr>
          <w:rFonts w:ascii="仿宋" w:hAnsi="仿宋" w:eastAsia="仿宋"/>
          <w:color w:val="auto"/>
          <w:sz w:val="24"/>
          <w:highlight w:val="none"/>
        </w:rPr>
      </w:pPr>
      <w:r>
        <w:rPr>
          <w:rFonts w:hint="eastAsia" w:ascii="仿宋" w:hAnsi="仿宋" w:eastAsia="仿宋" w:cs="仿宋_GB2312"/>
          <w:color w:val="auto"/>
          <w:szCs w:val="21"/>
          <w:highlight w:val="none"/>
        </w:rPr>
        <w:t>（根据招标公告本项目的特定资格要求</w:t>
      </w:r>
      <w:r>
        <w:rPr>
          <w:rFonts w:hint="eastAsia" w:ascii="仿宋" w:hAnsi="仿宋" w:eastAsia="仿宋"/>
          <w:color w:val="auto"/>
          <w:szCs w:val="21"/>
          <w:highlight w:val="none"/>
        </w:rPr>
        <w:t>提供相应的材料；未要求的，无需提供</w:t>
      </w:r>
      <w:r>
        <w:rPr>
          <w:rFonts w:hint="eastAsia" w:ascii="仿宋" w:hAnsi="仿宋" w:eastAsia="仿宋" w:cs="仿宋_GB2312"/>
          <w:color w:val="auto"/>
          <w:szCs w:val="21"/>
          <w:highlight w:val="none"/>
        </w:rPr>
        <w:t>）</w:t>
      </w: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widowControl/>
        <w:adjustRightInd/>
        <w:jc w:val="center"/>
        <w:rPr>
          <w:rFonts w:ascii="仿宋" w:hAnsi="仿宋" w:eastAsia="仿宋" w:cs="仿宋_GB2312"/>
          <w:b/>
          <w:color w:val="auto"/>
          <w:kern w:val="0"/>
          <w:sz w:val="36"/>
          <w:szCs w:val="36"/>
          <w:highlight w:val="none"/>
        </w:rPr>
      </w:pPr>
      <w:r>
        <w:rPr>
          <w:rFonts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1）投标函</w:t>
      </w:r>
      <w:r>
        <w:rPr>
          <w:rFonts w:hint="eastAsia" w:ascii="仿宋" w:hAnsi="仿宋" w:eastAsia="仿宋" w:cs="仿宋_GB2312"/>
          <w:color w:val="auto"/>
          <w:szCs w:val="21"/>
          <w:highlight w:val="none"/>
        </w:rPr>
        <w:t>…………………………………………………………………………（页码）（</w:t>
      </w:r>
      <w:r>
        <w:rPr>
          <w:rFonts w:ascii="仿宋" w:hAnsi="仿宋" w:eastAsia="仿宋" w:cs="仿宋_GB2312"/>
          <w:color w:val="auto"/>
          <w:szCs w:val="21"/>
          <w:highlight w:val="none"/>
        </w:rPr>
        <w:t>2）授权委托书或法定代表人（单位负责人、自然人本人）身份证明</w:t>
      </w:r>
      <w:r>
        <w:rPr>
          <w:rFonts w:hint="eastAsia" w:ascii="仿宋" w:hAnsi="仿宋" w:eastAsia="仿宋" w:cs="仿宋_GB2312"/>
          <w:color w:val="auto"/>
          <w:szCs w:val="21"/>
          <w:highlight w:val="none"/>
        </w:rPr>
        <w:t>………（页码）</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3）联合协议</w:t>
      </w:r>
      <w:r>
        <w:rPr>
          <w:rFonts w:hint="eastAsia" w:ascii="仿宋" w:hAnsi="仿宋" w:eastAsia="仿宋" w:cs="仿宋_GB2312"/>
          <w:color w:val="auto"/>
          <w:szCs w:val="21"/>
          <w:highlight w:val="none"/>
        </w:rPr>
        <w:t>………………………………………………………………………（页码）</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4）分包意向协议</w:t>
      </w:r>
      <w:r>
        <w:rPr>
          <w:rFonts w:hint="eastAsia" w:ascii="仿宋" w:hAnsi="仿宋" w:eastAsia="仿宋" w:cs="仿宋_GB2312"/>
          <w:color w:val="auto"/>
          <w:szCs w:val="21"/>
          <w:highlight w:val="none"/>
        </w:rPr>
        <w:t>…………………………………………………………………（页码）</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5）符合性审查资料</w:t>
      </w:r>
      <w:r>
        <w:rPr>
          <w:rFonts w:hint="eastAsia" w:ascii="仿宋" w:hAnsi="仿宋" w:eastAsia="仿宋" w:cs="仿宋_GB2312"/>
          <w:color w:val="auto"/>
          <w:szCs w:val="21"/>
          <w:highlight w:val="none"/>
        </w:rPr>
        <w:t>………………………………………………………………（页码）</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6）评标标准相应的商务技术资料</w:t>
      </w:r>
      <w:r>
        <w:rPr>
          <w:rFonts w:hint="eastAsia" w:ascii="仿宋" w:hAnsi="仿宋" w:eastAsia="仿宋" w:cs="仿宋_GB2312"/>
          <w:color w:val="auto"/>
          <w:szCs w:val="21"/>
          <w:highlight w:val="none"/>
        </w:rPr>
        <w:t>…………………………………………………（页码）</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7）商务技术偏离表</w:t>
      </w:r>
      <w:r>
        <w:rPr>
          <w:rFonts w:hint="eastAsia" w:ascii="仿宋" w:hAnsi="仿宋" w:eastAsia="仿宋" w:cs="仿宋_GB2312"/>
          <w:color w:val="auto"/>
          <w:szCs w:val="21"/>
          <w:highlight w:val="none"/>
        </w:rPr>
        <w:t>…………………………………………………………………（页码）</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lang w:val="zh-CN"/>
        </w:rPr>
        <w:t>（</w:t>
      </w:r>
      <w:r>
        <w:rPr>
          <w:rFonts w:ascii="仿宋" w:hAnsi="仿宋" w:eastAsia="仿宋" w:cs="仿宋_GB2312"/>
          <w:color w:val="auto"/>
          <w:szCs w:val="21"/>
          <w:highlight w:val="none"/>
        </w:rPr>
        <w:t>8</w:t>
      </w:r>
      <w:r>
        <w:rPr>
          <w:rFonts w:hint="eastAsia" w:ascii="仿宋" w:hAnsi="仿宋" w:eastAsia="仿宋" w:cs="仿宋_GB2312"/>
          <w:color w:val="auto"/>
          <w:szCs w:val="21"/>
          <w:highlight w:val="none"/>
          <w:lang w:val="zh-CN"/>
        </w:rPr>
        <w:t>）政府采购供应商廉洁自律承诺书</w:t>
      </w:r>
      <w:r>
        <w:rPr>
          <w:rFonts w:hint="eastAsia" w:ascii="仿宋" w:hAnsi="仿宋" w:eastAsia="仿宋" w:cs="仿宋_GB2312"/>
          <w:color w:val="auto"/>
          <w:szCs w:val="21"/>
          <w:highlight w:val="none"/>
        </w:rPr>
        <w:t>………………………………………………（页码）</w:t>
      </w:r>
    </w:p>
    <w:p>
      <w:pPr>
        <w:widowControl/>
        <w:adjustRightInd/>
        <w:jc w:val="left"/>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br w:type="page"/>
      </w: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400" w:lineRule="exact"/>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p>
    <w:p>
      <w:pPr>
        <w:snapToGrid w:val="0"/>
        <w:spacing w:line="400" w:lineRule="exact"/>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【招标编号：</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】招标的有关活动，并对此项目进行投标。为此：</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1、我方承诺投标有效期从提交投标文件的截止之日起</w:t>
      </w:r>
      <w:r>
        <w:rPr>
          <w:rFonts w:ascii="仿宋" w:hAnsi="仿宋" w:eastAsia="仿宋" w:cs="仿宋_GB2312"/>
          <w:color w:val="auto"/>
          <w:szCs w:val="21"/>
          <w:highlight w:val="none"/>
          <w:u w:val="single"/>
        </w:rPr>
        <w:t>90</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rPr>
        <w:t>90天）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本投标文件在投标有效期满之前均具有约束力。</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2、我方的投标文件包括以下内容：</w:t>
      </w:r>
    </w:p>
    <w:p>
      <w:pPr>
        <w:snapToGrid w:val="0"/>
        <w:spacing w:line="400" w:lineRule="exact"/>
        <w:ind w:firstLine="420" w:firstLineChars="200"/>
        <w:rPr>
          <w:rFonts w:ascii="仿宋" w:hAnsi="仿宋" w:eastAsia="仿宋" w:cs="仿宋_GB2312"/>
          <w:b/>
          <w:bCs/>
          <w:color w:val="auto"/>
          <w:szCs w:val="21"/>
          <w:highlight w:val="none"/>
        </w:rPr>
      </w:pPr>
      <w:r>
        <w:rPr>
          <w:rFonts w:ascii="仿宋" w:hAnsi="仿宋" w:eastAsia="仿宋" w:cs="仿宋_GB2312"/>
          <w:color w:val="auto"/>
          <w:szCs w:val="21"/>
          <w:highlight w:val="none"/>
        </w:rPr>
        <w:t>2.1资格文件：</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有效的营业执照副本(或事业法人登记证或其他工商等登记证明材料)复印件；</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w:t>
      </w:r>
      <w:r>
        <w:rPr>
          <w:rFonts w:hint="eastAsia" w:ascii="仿宋" w:hAnsi="仿宋" w:eastAsia="仿宋" w:cs="仿宋_GB2312"/>
          <w:color w:val="auto"/>
          <w:szCs w:val="21"/>
          <w:highlight w:val="none"/>
        </w:rPr>
        <w:t>承诺函；</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2.1.3落实政府采购政策需满足的资格要求</w:t>
      </w:r>
      <w:r>
        <w:rPr>
          <w:rFonts w:hint="eastAsia" w:ascii="仿宋" w:hAnsi="仿宋" w:eastAsia="仿宋" w:cs="仿宋_GB2312"/>
          <w:color w:val="auto"/>
          <w:szCs w:val="21"/>
          <w:highlight w:val="none"/>
        </w:rPr>
        <w:t>（如果有）；</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2.1.4本项目的特定资格要求</w:t>
      </w:r>
      <w:r>
        <w:rPr>
          <w:rFonts w:hint="eastAsia" w:ascii="仿宋" w:hAnsi="仿宋" w:eastAsia="仿宋" w:cs="仿宋_GB2312"/>
          <w:color w:val="auto"/>
          <w:szCs w:val="21"/>
          <w:highlight w:val="none"/>
        </w:rPr>
        <w:t>（如果有）。</w:t>
      </w:r>
    </w:p>
    <w:p>
      <w:pPr>
        <w:snapToGrid w:val="0"/>
        <w:spacing w:line="400" w:lineRule="exact"/>
        <w:ind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2.2.3联合协议</w:t>
      </w:r>
      <w:r>
        <w:rPr>
          <w:rFonts w:hint="eastAsia" w:ascii="仿宋" w:hAnsi="仿宋" w:eastAsia="仿宋" w:cs="仿宋_GB2312"/>
          <w:color w:val="auto"/>
          <w:szCs w:val="21"/>
          <w:highlight w:val="none"/>
        </w:rPr>
        <w:t>（如果有）；</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2.2.4分包意向协议</w:t>
      </w:r>
      <w:r>
        <w:rPr>
          <w:rFonts w:hint="eastAsia" w:ascii="仿宋" w:hAnsi="仿宋" w:eastAsia="仿宋" w:cs="仿宋_GB2312"/>
          <w:color w:val="auto"/>
          <w:szCs w:val="21"/>
          <w:highlight w:val="none"/>
        </w:rPr>
        <w:t>（如果有）；</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2.2.5符合性审查资料；</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2.2.6评标标准相应的商务技术资料；</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2.2.7商务技术偏离表；</w:t>
      </w:r>
    </w:p>
    <w:p>
      <w:pPr>
        <w:snapToGrid w:val="0"/>
        <w:spacing w:line="400" w:lineRule="exact"/>
        <w:ind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8</w:t>
      </w:r>
      <w:r>
        <w:rPr>
          <w:rFonts w:hint="eastAsia" w:ascii="仿宋" w:hAnsi="仿宋" w:eastAsia="仿宋" w:cs="仿宋_GB2312"/>
          <w:color w:val="auto"/>
          <w:szCs w:val="21"/>
          <w:highlight w:val="none"/>
          <w:lang w:val="zh-CN"/>
        </w:rPr>
        <w:t>政府采购供应商廉洁自律承诺书；</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2.3.1开标一览表（报价表）；</w:t>
      </w:r>
    </w:p>
    <w:p>
      <w:pPr>
        <w:snapToGrid w:val="0"/>
        <w:spacing w:line="400" w:lineRule="exact"/>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2.3.2报价明细表；</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w:t>
      </w: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中小企业声明函</w:t>
      </w:r>
      <w:r>
        <w:rPr>
          <w:rFonts w:hint="eastAsia" w:ascii="仿宋" w:hAnsi="仿宋" w:eastAsia="仿宋" w:cs="仿宋_GB2312"/>
          <w:color w:val="auto"/>
          <w:szCs w:val="21"/>
          <w:highlight w:val="none"/>
        </w:rPr>
        <w:t>（如果有）；</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w:t>
      </w:r>
      <w:r>
        <w:rPr>
          <w:rFonts w:hint="eastAsia" w:ascii="仿宋" w:hAnsi="仿宋" w:eastAsia="仿宋" w:cs="仿宋_GB2312"/>
          <w:color w:val="auto"/>
          <w:szCs w:val="21"/>
          <w:highlight w:val="none"/>
        </w:rPr>
        <w:t>4代理服务费支付承诺书。</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3、我方承诺除商务技术偏离表列出的偏离外，我方响应招标文件的全部要求。</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4、如我方中标，我方承诺：</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4.3按照招标文件要求提交履约保证金； </w:t>
      </w:r>
    </w:p>
    <w:p>
      <w:pPr>
        <w:snapToGrid w:val="0"/>
        <w:spacing w:line="400" w:lineRule="exact"/>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4.4在合同约定的期限内完成合同规定的全部义务。 </w:t>
      </w:r>
    </w:p>
    <w:p>
      <w:pPr>
        <w:spacing w:line="400" w:lineRule="exact"/>
        <w:ind w:firstLine="3150" w:firstLineChars="1500"/>
        <w:jc w:val="right"/>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投标人名称（电子签名）：</w:t>
      </w:r>
    </w:p>
    <w:p>
      <w:pPr>
        <w:spacing w:line="400" w:lineRule="exact"/>
        <w:jc w:val="right"/>
        <w:rPr>
          <w:rFonts w:ascii="仿宋" w:hAnsi="仿宋" w:eastAsia="仿宋" w:cs="仿宋_GB2312"/>
          <w:color w:val="auto"/>
          <w:sz w:val="24"/>
          <w:highlight w:val="none"/>
        </w:rPr>
      </w:pPr>
      <w:r>
        <w:rPr>
          <w:rFonts w:ascii="仿宋" w:hAnsi="仿宋" w:eastAsia="仿宋" w:cs="仿宋_GB2312"/>
          <w:color w:val="auto"/>
          <w:szCs w:val="21"/>
          <w:highlight w:val="none"/>
        </w:rPr>
        <w:t xml:space="preserve">     日期：  年   月   日</w:t>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szCs w:val="21"/>
          <w:highlight w:val="none"/>
        </w:rPr>
        <w:t>（采购人）、（采购代理机构）</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现</w:t>
      </w:r>
      <w:r>
        <w:rPr>
          <w:rFonts w:hint="eastAsia" w:ascii="仿宋" w:hAnsi="仿宋" w:eastAsia="仿宋" w:cs="仿宋_GB2312"/>
          <w:color w:val="auto"/>
          <w:kern w:val="0"/>
          <w:szCs w:val="21"/>
          <w:highlight w:val="none"/>
          <w:lang w:val="zh-CN"/>
        </w:rPr>
        <w:t>委托（姓名）为我方代理人（身份证号码：，手机：），以我方名义处理</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政府采购投标的一切事项，其法律后果由我方承担。</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委托期限</w:t>
      </w:r>
      <w:r>
        <w:rPr>
          <w:rFonts w:hint="eastAsia" w:ascii="仿宋" w:hAnsi="仿宋" w:eastAsia="仿宋" w:cs="仿宋_GB2312"/>
          <w:color w:val="auto"/>
          <w:kern w:val="0"/>
          <w:szCs w:val="21"/>
          <w:highlight w:val="none"/>
        </w:rPr>
        <w:t>：</w:t>
      </w:r>
      <w:r>
        <w:rPr>
          <w:rFonts w:hint="eastAsia" w:ascii="仿宋" w:hAnsi="仿宋" w:eastAsia="仿宋" w:cs="仿宋_GB2312"/>
          <w:color w:val="auto"/>
          <w:kern w:val="0"/>
          <w:szCs w:val="21"/>
          <w:highlight w:val="none"/>
          <w:lang w:val="zh-CN"/>
        </w:rPr>
        <w:t>自年月日起至年月日止。</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特此告知。</w:t>
      </w:r>
    </w:p>
    <w:p>
      <w:pPr>
        <w:snapToGrid w:val="0"/>
        <w:spacing w:line="360" w:lineRule="auto"/>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授权委托书（适用于联合体投标）</w:t>
      </w:r>
    </w:p>
    <w:p>
      <w:pPr>
        <w:pStyle w:val="26"/>
        <w:rPr>
          <w:color w:val="auto"/>
          <w:highlight w:val="none"/>
        </w:rPr>
      </w:pP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szCs w:val="21"/>
          <w:highlight w:val="none"/>
        </w:rPr>
        <w:t>（采购人）、（采购代理机构）</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现</w:t>
      </w:r>
      <w:r>
        <w:rPr>
          <w:rFonts w:hint="eastAsia" w:ascii="仿宋" w:hAnsi="仿宋" w:eastAsia="仿宋" w:cs="仿宋_GB2312"/>
          <w:color w:val="auto"/>
          <w:kern w:val="0"/>
          <w:szCs w:val="21"/>
          <w:highlight w:val="none"/>
          <w:lang w:val="zh-CN"/>
        </w:rPr>
        <w:t>委托（姓名）为我方代理人（身份证号码：，手机：），以我方名义处理</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政府采购投标的一切事项，其法律后果由我方承担。</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委托期限</w:t>
      </w:r>
      <w:r>
        <w:rPr>
          <w:rFonts w:hint="eastAsia" w:ascii="仿宋" w:hAnsi="仿宋" w:eastAsia="仿宋" w:cs="仿宋_GB2312"/>
          <w:color w:val="auto"/>
          <w:kern w:val="0"/>
          <w:szCs w:val="21"/>
          <w:highlight w:val="none"/>
        </w:rPr>
        <w:t>：</w:t>
      </w:r>
      <w:r>
        <w:rPr>
          <w:rFonts w:hint="eastAsia" w:ascii="仿宋" w:hAnsi="仿宋" w:eastAsia="仿宋" w:cs="仿宋_GB2312"/>
          <w:color w:val="auto"/>
          <w:kern w:val="0"/>
          <w:szCs w:val="21"/>
          <w:highlight w:val="none"/>
          <w:lang w:val="zh-CN"/>
        </w:rPr>
        <w:t>自年月日起至年月日止。</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特此告知。</w:t>
      </w:r>
    </w:p>
    <w:p>
      <w:pPr>
        <w:jc w:val="center"/>
        <w:rPr>
          <w:rFonts w:ascii="仿宋" w:hAnsi="仿宋" w:eastAsia="仿宋" w:cs="仿宋_GB2312"/>
          <w:b/>
          <w:color w:val="auto"/>
          <w:kern w:val="0"/>
          <w:szCs w:val="21"/>
          <w:highlight w:val="none"/>
        </w:rPr>
      </w:pPr>
    </w:p>
    <w:p>
      <w:pPr>
        <w:jc w:val="center"/>
        <w:rPr>
          <w:rFonts w:ascii="仿宋" w:hAnsi="仿宋" w:eastAsia="仿宋" w:cs="仿宋_GB2312"/>
          <w:b/>
          <w:color w:val="auto"/>
          <w:kern w:val="0"/>
          <w:szCs w:val="21"/>
          <w:highlight w:val="none"/>
        </w:rPr>
      </w:pPr>
    </w:p>
    <w:p>
      <w:pPr>
        <w:jc w:val="center"/>
        <w:rPr>
          <w:rFonts w:ascii="仿宋" w:hAnsi="仿宋" w:eastAsia="仿宋" w:cs="仿宋_GB2312"/>
          <w:b/>
          <w:color w:val="auto"/>
          <w:kern w:val="0"/>
          <w:szCs w:val="21"/>
          <w:highlight w:val="none"/>
        </w:rPr>
      </w:pPr>
    </w:p>
    <w:p>
      <w:pPr>
        <w:rPr>
          <w:rFonts w:ascii="仿宋" w:hAnsi="仿宋" w:eastAsia="仿宋"/>
          <w:color w:val="auto"/>
          <w:szCs w:val="21"/>
          <w:highlight w:val="none"/>
        </w:rPr>
      </w:pP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149"/>
        <w:spacing w:line="360" w:lineRule="auto"/>
        <w:rPr>
          <w:rFonts w:ascii="仿宋" w:hAnsi="仿宋" w:eastAsia="仿宋"/>
          <w:bCs/>
          <w:color w:val="auto"/>
          <w:highlight w:val="none"/>
        </w:rPr>
      </w:pPr>
      <w:r>
        <w:rPr>
          <w:rFonts w:hint="eastAsia" w:ascii="仿宋" w:hAnsi="仿宋" w:eastAsia="仿宋"/>
          <w:bCs/>
          <w:color w:val="auto"/>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bCs/>
                <w:color w:val="auto"/>
                <w:highlight w:val="none"/>
              </w:rPr>
            </w:pPr>
            <w:r>
              <w:rPr>
                <w:rFonts w:hint="eastAsia" w:ascii="仿宋" w:hAnsi="仿宋" w:eastAsia="仿宋"/>
                <w:bCs/>
                <w:color w:val="auto"/>
                <w:highlight w:val="none"/>
              </w:rPr>
              <w:t>正面：反面：</w:t>
            </w:r>
          </w:p>
          <w:p>
            <w:pPr>
              <w:pStyle w:val="149"/>
              <w:adjustRightInd w:val="0"/>
              <w:spacing w:line="360" w:lineRule="auto"/>
              <w:rPr>
                <w:rFonts w:ascii="仿宋" w:hAnsi="仿宋" w:eastAsia="仿宋"/>
                <w:bCs/>
                <w:color w:val="auto"/>
                <w:highlight w:val="none"/>
              </w:rPr>
            </w:pPr>
          </w:p>
        </w:tc>
      </w:tr>
    </w:tbl>
    <w:p>
      <w:pPr>
        <w:snapToGrid w:val="0"/>
        <w:spacing w:line="360" w:lineRule="auto"/>
        <w:ind w:firstLine="576"/>
        <w:jc w:val="center"/>
        <w:rPr>
          <w:rFonts w:ascii="仿宋" w:hAnsi="仿宋" w:eastAsia="仿宋" w:cs="仿宋_GB2312"/>
          <w:color w:val="auto"/>
          <w:kern w:val="0"/>
          <w:szCs w:val="21"/>
          <w:highlight w:val="none"/>
          <w:lang w:val="zh-CN"/>
        </w:rPr>
      </w:pPr>
    </w:p>
    <w:p>
      <w:pPr>
        <w:snapToGrid w:val="0"/>
        <w:spacing w:line="360" w:lineRule="auto"/>
        <w:ind w:firstLine="576"/>
        <w:jc w:val="center"/>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pStyle w:val="26"/>
        <w:rPr>
          <w:color w:val="auto"/>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三、</w:t>
      </w:r>
      <w:r>
        <w:rPr>
          <w:rFonts w:hint="eastAsia" w:ascii="仿宋" w:hAnsi="仿宋" w:eastAsia="仿宋" w:cs="仿宋_GB2312"/>
          <w:b/>
          <w:color w:val="auto"/>
          <w:kern w:val="0"/>
          <w:sz w:val="32"/>
          <w:szCs w:val="32"/>
          <w:highlight w:val="none"/>
          <w:lang w:val="zh-CN"/>
        </w:rPr>
        <w:t>联合协议</w:t>
      </w:r>
    </w:p>
    <w:p>
      <w:pPr>
        <w:pStyle w:val="26"/>
        <w:rPr>
          <w:color w:val="auto"/>
          <w:highlight w:val="none"/>
        </w:rPr>
      </w:pPr>
    </w:p>
    <w:p>
      <w:pPr>
        <w:widowControl/>
        <w:spacing w:line="360" w:lineRule="auto"/>
        <w:ind w:firstLine="422" w:firstLineChars="200"/>
        <w:jc w:val="left"/>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（联合体所有成员名称）</w:t>
      </w:r>
      <w:r>
        <w:rPr>
          <w:rFonts w:hint="eastAsia" w:ascii="仿宋" w:hAnsi="仿宋" w:eastAsia="仿宋" w:cs="仿宋_GB2312"/>
          <w:color w:val="auto"/>
          <w:kern w:val="0"/>
          <w:szCs w:val="21"/>
          <w:highlight w:val="none"/>
        </w:rPr>
        <w:t>自愿</w:t>
      </w:r>
      <w:r>
        <w:rPr>
          <w:rFonts w:hint="eastAsia" w:ascii="仿宋" w:hAnsi="仿宋" w:eastAsia="仿宋" w:cs="仿宋_GB2312"/>
          <w:color w:val="auto"/>
          <w:kern w:val="0"/>
          <w:szCs w:val="21"/>
          <w:highlight w:val="none"/>
          <w:lang w:val="zh-CN"/>
        </w:rPr>
        <w:t>组成一个联合体，以一个投标人的身份</w:t>
      </w:r>
      <w:r>
        <w:rPr>
          <w:rFonts w:hint="eastAsia" w:ascii="仿宋" w:hAnsi="仿宋" w:eastAsia="仿宋" w:cs="仿宋_GB2312"/>
          <w:color w:val="auto"/>
          <w:kern w:val="0"/>
          <w:szCs w:val="21"/>
          <w:highlight w:val="none"/>
        </w:rPr>
        <w:t>参加</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投标。</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一、各方一致决定，</w:t>
      </w:r>
      <w:r>
        <w:rPr>
          <w:rFonts w:hint="eastAsia" w:ascii="仿宋" w:hAnsi="仿宋" w:eastAsia="仿宋" w:cs="仿宋_GB2312"/>
          <w:color w:val="auto"/>
          <w:kern w:val="0"/>
          <w:szCs w:val="21"/>
          <w:highlight w:val="none"/>
          <w:u w:val="single"/>
        </w:rPr>
        <w:t>（某联合体成员名称）</w:t>
      </w:r>
      <w:r>
        <w:rPr>
          <w:rFonts w:hint="eastAsia" w:ascii="仿宋" w:hAnsi="仿宋" w:eastAsia="仿宋" w:cs="仿宋_GB2312"/>
          <w:color w:val="auto"/>
          <w:kern w:val="0"/>
          <w:szCs w:val="21"/>
          <w:highlight w:val="none"/>
        </w:rPr>
        <w:t>为联合体</w:t>
      </w:r>
      <w:r>
        <w:rPr>
          <w:rFonts w:hint="eastAsia" w:ascii="仿宋" w:hAnsi="仿宋" w:eastAsia="仿宋" w:cs="仿宋_GB2312"/>
          <w:color w:val="auto"/>
          <w:kern w:val="0"/>
          <w:szCs w:val="21"/>
          <w:highlight w:val="none"/>
          <w:lang w:val="zh-CN"/>
        </w:rPr>
        <w:t>牵头人</w:t>
      </w:r>
      <w:r>
        <w:rPr>
          <w:rFonts w:hint="eastAsia" w:ascii="仿宋" w:hAnsi="仿宋" w:eastAsia="仿宋" w:cs="Arial"/>
          <w:color w:val="auto"/>
          <w:szCs w:val="21"/>
          <w:highlight w:val="none"/>
        </w:rPr>
        <w:t>，代表所有联合体成员负责投标和合同实施阶段的主办、协调工作</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w:t>
      </w:r>
      <w:r>
        <w:rPr>
          <w:rFonts w:hint="eastAsia" w:ascii="仿宋" w:hAnsi="仿宋" w:eastAsia="仿宋" w:cs="Arial"/>
          <w:color w:val="auto"/>
          <w:szCs w:val="21"/>
          <w:highlight w:val="none"/>
        </w:rPr>
        <w:t>所有联合体成员各方签署授权书，授权书载明的</w:t>
      </w:r>
      <w:r>
        <w:rPr>
          <w:rFonts w:hint="eastAsia" w:ascii="仿宋" w:hAnsi="仿宋" w:eastAsia="仿宋"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三、本次联合投标中，分工如下：</w:t>
      </w:r>
      <w:r>
        <w:rPr>
          <w:rFonts w:hint="eastAsia" w:ascii="仿宋" w:hAnsi="仿宋" w:eastAsia="仿宋" w:cs="仿宋_GB2312"/>
          <w:color w:val="auto"/>
          <w:kern w:val="0"/>
          <w:szCs w:val="21"/>
          <w:highlight w:val="none"/>
          <w:u w:val="single"/>
        </w:rPr>
        <w:t>（联合体其中一方成员名称）</w:t>
      </w:r>
      <w:r>
        <w:rPr>
          <w:rFonts w:hint="eastAsia" w:ascii="仿宋" w:hAnsi="仿宋" w:eastAsia="仿宋" w:cs="仿宋_GB2312"/>
          <w:color w:val="auto"/>
          <w:kern w:val="0"/>
          <w:szCs w:val="21"/>
          <w:highlight w:val="none"/>
          <w:lang w:val="zh-CN"/>
        </w:rPr>
        <w:t>承担的工作和义务为：；</w:t>
      </w:r>
      <w:r>
        <w:rPr>
          <w:rFonts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b/>
          <w:color w:val="auto"/>
          <w:kern w:val="0"/>
          <w:szCs w:val="21"/>
          <w:highlight w:val="none"/>
          <w:lang w:val="zh-CN"/>
        </w:rPr>
      </w:pPr>
      <w:r>
        <w:rPr>
          <w:rFonts w:hint="eastAsia" w:ascii="仿宋" w:hAnsi="仿宋" w:eastAsia="仿宋" w:cs="仿宋_GB2312"/>
          <w:color w:val="auto"/>
          <w:kern w:val="0"/>
          <w:szCs w:val="21"/>
          <w:highlight w:val="none"/>
          <w:lang w:val="zh-CN"/>
        </w:rPr>
        <w:t>四、</w:t>
      </w:r>
      <w:r>
        <w:rPr>
          <w:rFonts w:hint="eastAsia" w:ascii="仿宋" w:hAnsi="仿宋" w:eastAsia="仿宋" w:cs="仿宋_GB2312"/>
          <w:color w:val="auto"/>
          <w:kern w:val="0"/>
          <w:szCs w:val="21"/>
          <w:highlight w:val="none"/>
          <w:u w:val="single"/>
        </w:rPr>
        <w:t>（联合体其中一方成员名称）</w:t>
      </w:r>
      <w:r>
        <w:rPr>
          <w:rFonts w:hint="eastAsia" w:ascii="仿宋" w:hAnsi="仿宋" w:eastAsia="仿宋" w:cs="仿宋_GB2312"/>
          <w:color w:val="auto"/>
          <w:kern w:val="0"/>
          <w:szCs w:val="21"/>
          <w:highlight w:val="none"/>
        </w:rPr>
        <w:t>提供的全部货物由小微企业制造，其合同份额占到合同总金额</w:t>
      </w:r>
      <w:r>
        <w:rPr>
          <w:rFonts w:ascii="仿宋" w:hAnsi="仿宋" w:eastAsia="仿宋" w:cs="仿宋_GB2312"/>
          <w:color w:val="auto"/>
          <w:kern w:val="0"/>
          <w:szCs w:val="21"/>
          <w:highlight w:val="none"/>
        </w:rPr>
        <w:t>%以上；</w:t>
      </w:r>
      <w:r>
        <w:rPr>
          <w:rFonts w:hint="eastAsia" w:ascii="仿宋" w:hAnsi="仿宋" w:eastAsia="仿宋" w:cs="仿宋_GB2312"/>
          <w:color w:val="auto"/>
          <w:kern w:val="0"/>
          <w:szCs w:val="21"/>
          <w:highlight w:val="none"/>
          <w:lang w:val="zh-CN"/>
        </w:rPr>
        <w:t>……。</w:t>
      </w:r>
      <w:r>
        <w:rPr>
          <w:rFonts w:hint="eastAsia" w:ascii="仿宋" w:hAnsi="仿宋" w:eastAsia="仿宋"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auto"/>
          <w:kern w:val="0"/>
          <w:szCs w:val="21"/>
          <w:highlight w:val="none"/>
          <w:lang w:val="zh-CN"/>
        </w:rPr>
        <w:t xml:space="preserve"> 30%以上</w:t>
      </w:r>
      <w:r>
        <w:rPr>
          <w:rFonts w:hint="eastAsia" w:ascii="仿宋" w:hAnsi="仿宋" w:eastAsia="仿宋" w:cs="仿宋_GB2312"/>
          <w:b/>
          <w:color w:val="auto"/>
          <w:kern w:val="0"/>
          <w:szCs w:val="21"/>
          <w:highlight w:val="none"/>
          <w:lang w:val="zh-CN"/>
        </w:rPr>
        <w:t>，对联合体报价给予</w:t>
      </w:r>
      <w:r>
        <w:rPr>
          <w:rFonts w:hint="eastAsia" w:ascii="仿宋" w:hAnsi="仿宋" w:eastAsia="仿宋" w:cs="仿宋_GB2312"/>
          <w:b/>
          <w:color w:val="auto"/>
          <w:kern w:val="0"/>
          <w:szCs w:val="21"/>
          <w:highlight w:val="none"/>
        </w:rPr>
        <w:t>6</w:t>
      </w:r>
      <w:r>
        <w:rPr>
          <w:rFonts w:ascii="仿宋" w:hAnsi="仿宋" w:eastAsia="仿宋" w:cs="仿宋_GB2312"/>
          <w:b/>
          <w:color w:val="auto"/>
          <w:kern w:val="0"/>
          <w:szCs w:val="21"/>
          <w:highlight w:val="none"/>
          <w:lang w:val="zh-CN"/>
        </w:rPr>
        <w:t>%的扣除</w:t>
      </w:r>
      <w:r>
        <w:rPr>
          <w:rFonts w:hint="eastAsia" w:ascii="仿宋" w:hAnsi="仿宋" w:eastAsia="仿宋" w:cs="仿宋_GB2312"/>
          <w:b/>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五、如果中标，</w:t>
      </w:r>
      <w:r>
        <w:rPr>
          <w:rFonts w:hint="eastAsia" w:ascii="仿宋" w:hAnsi="仿宋" w:eastAsia="仿宋"/>
          <w:color w:val="auto"/>
          <w:szCs w:val="21"/>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六、有关本次联合投标的其他事宜：</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1、联合体各方不再单独参加或者与其</w:t>
      </w:r>
      <w:r>
        <w:rPr>
          <w:rFonts w:hint="eastAsia" w:ascii="仿宋" w:hAnsi="仿宋" w:eastAsia="仿宋" w:cs="仿宋_GB2312"/>
          <w:color w:val="auto"/>
          <w:kern w:val="0"/>
          <w:szCs w:val="21"/>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3、本协议提交采购人、采购机构后，联合体各方不得以任何形式对上述内容进行修改或撤销。</w:t>
      </w: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snapToGrid w:val="0"/>
        <w:spacing w:line="360" w:lineRule="auto"/>
        <w:ind w:right="480"/>
        <w:rPr>
          <w:rFonts w:ascii="仿宋" w:hAnsi="仿宋" w:eastAsia="仿宋" w:cs="仿宋_GB2312"/>
          <w:b/>
          <w:color w:val="auto"/>
          <w:kern w:val="0"/>
          <w:sz w:val="32"/>
          <w:szCs w:val="32"/>
          <w:highlight w:val="none"/>
          <w:lang w:val="zh-CN"/>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docGrid w:linePitch="312" w:charSpace="0"/>
        </w:sectPr>
      </w:pP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四、分包意向协议</w:t>
      </w:r>
    </w:p>
    <w:p>
      <w:pPr>
        <w:widowControl/>
        <w:spacing w:line="360" w:lineRule="auto"/>
        <w:ind w:firstLine="105" w:firstLineChars="5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hint="eastAsia" w:ascii="仿宋" w:hAnsi="仿宋" w:eastAsia="仿宋"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Cs w:val="21"/>
          <w:highlight w:val="none"/>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lang w:val="zh-CN"/>
        </w:rPr>
        <w:t>若成为</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的中标供应商，将依法采取分包方式履行合同。</w:t>
      </w: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rPr>
        <w:t>与</w:t>
      </w:r>
      <w:r>
        <w:rPr>
          <w:rFonts w:hint="eastAsia" w:ascii="仿宋" w:hAnsi="仿宋" w:eastAsia="仿宋" w:cs="仿宋_GB2312"/>
          <w:color w:val="auto"/>
          <w:kern w:val="0"/>
          <w:szCs w:val="21"/>
          <w:highlight w:val="none"/>
          <w:u w:val="single"/>
        </w:rPr>
        <w:t>（所有分包供应商名称）</w:t>
      </w:r>
      <w:r>
        <w:rPr>
          <w:rFonts w:hint="eastAsia" w:ascii="仿宋" w:hAnsi="仿宋" w:eastAsia="仿宋" w:cs="仿宋_GB2312"/>
          <w:color w:val="auto"/>
          <w:kern w:val="0"/>
          <w:szCs w:val="21"/>
          <w:highlight w:val="none"/>
        </w:rPr>
        <w:t>达成分包意向协议</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一、分包标的及数量</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lang w:val="zh-CN"/>
        </w:rPr>
        <w:t>将</w:t>
      </w:r>
      <w:r>
        <w:rPr>
          <w:rFonts w:ascii="仿宋" w:hAnsi="仿宋" w:eastAsia="仿宋"/>
          <w:color w:val="auto"/>
          <w:szCs w:val="21"/>
          <w:highlight w:val="none"/>
          <w:u w:val="single"/>
        </w:rPr>
        <w:t xml:space="preserve">   XX工作内容   </w:t>
      </w:r>
      <w:r>
        <w:rPr>
          <w:rFonts w:hint="eastAsia" w:ascii="仿宋" w:hAnsi="仿宋" w:eastAsia="仿宋" w:cs="Arial"/>
          <w:color w:val="auto"/>
          <w:szCs w:val="21"/>
          <w:highlight w:val="none"/>
        </w:rPr>
        <w:t>分包给</w:t>
      </w:r>
      <w:r>
        <w:rPr>
          <w:rFonts w:hint="eastAsia" w:ascii="仿宋" w:hAnsi="仿宋" w:eastAsia="仿宋" w:cs="仿宋_GB2312"/>
          <w:color w:val="auto"/>
          <w:kern w:val="0"/>
          <w:szCs w:val="21"/>
          <w:highlight w:val="none"/>
          <w:u w:val="single"/>
        </w:rPr>
        <w:t>（某分包供应商名称）</w:t>
      </w:r>
      <w:r>
        <w:rPr>
          <w:rFonts w:hint="eastAsia" w:ascii="仿宋" w:hAnsi="仿宋" w:eastAsia="仿宋" w:cs="仿宋_GB2312"/>
          <w:color w:val="auto"/>
          <w:kern w:val="0"/>
          <w:szCs w:val="21"/>
          <w:highlight w:val="none"/>
          <w:lang w:val="zh-CN"/>
        </w:rPr>
        <w:t>，</w:t>
      </w:r>
      <w:r>
        <w:rPr>
          <w:rFonts w:hint="eastAsia" w:ascii="仿宋" w:hAnsi="仿宋" w:eastAsia="仿宋" w:cs="仿宋_GB2312"/>
          <w:color w:val="auto"/>
          <w:kern w:val="0"/>
          <w:szCs w:val="21"/>
          <w:highlight w:val="none"/>
          <w:u w:val="single"/>
        </w:rPr>
        <w:t>（某分包供应商名称），</w:t>
      </w:r>
      <w:r>
        <w:rPr>
          <w:rFonts w:hint="eastAsia" w:ascii="仿宋" w:hAnsi="仿宋" w:eastAsia="仿宋" w:cs="仿宋_GB2312"/>
          <w:color w:val="auto"/>
          <w:kern w:val="0"/>
          <w:szCs w:val="21"/>
          <w:highlight w:val="none"/>
          <w:lang w:val="zh-CN"/>
        </w:rPr>
        <w:t>具备承</w:t>
      </w:r>
      <w:r>
        <w:rPr>
          <w:rFonts w:hint="eastAsia" w:ascii="仿宋" w:hAnsi="仿宋" w:eastAsia="仿宋" w:cs="仿宋_GB2312"/>
          <w:color w:val="auto"/>
          <w:kern w:val="0"/>
          <w:szCs w:val="21"/>
          <w:highlight w:val="none"/>
        </w:rPr>
        <w:t>担</w:t>
      </w:r>
      <w:r>
        <w:rPr>
          <w:rFonts w:ascii="仿宋" w:hAnsi="仿宋" w:eastAsia="仿宋" w:cs="仿宋_GB2312"/>
          <w:color w:val="auto"/>
          <w:kern w:val="0"/>
          <w:szCs w:val="21"/>
          <w:highlight w:val="none"/>
          <w:u w:val="single"/>
          <w:lang w:val="zh-CN"/>
        </w:rPr>
        <w:t>XX工作内容</w:t>
      </w:r>
      <w:r>
        <w:rPr>
          <w:rFonts w:hint="eastAsia" w:ascii="仿宋" w:hAnsi="仿宋" w:eastAsia="仿宋" w:cs="仿宋_GB2312"/>
          <w:color w:val="auto"/>
          <w:kern w:val="0"/>
          <w:szCs w:val="21"/>
          <w:highlight w:val="none"/>
          <w:lang w:val="zh-CN"/>
        </w:rPr>
        <w:t>相应资质条件且不得再次分包；</w:t>
      </w:r>
    </w:p>
    <w:p>
      <w:pPr>
        <w:pStyle w:val="3"/>
        <w:ind w:left="664" w:leftChars="316" w:firstLine="200" w:firstLineChars="95"/>
        <w:rPr>
          <w:rFonts w:ascii="仿宋" w:eastAsia="仿宋"/>
          <w:color w:val="auto"/>
          <w:sz w:val="21"/>
          <w:szCs w:val="21"/>
          <w:highlight w:val="none"/>
        </w:rPr>
      </w:pPr>
      <w:r>
        <w:rPr>
          <w:rFonts w:hint="eastAsia" w:ascii="仿宋" w:eastAsia="仿宋" w:cs="仿宋_GB2312"/>
          <w:color w:val="auto"/>
          <w:kern w:val="0"/>
          <w:sz w:val="21"/>
          <w:szCs w:val="21"/>
          <w:highlight w:val="none"/>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二、分包工作履行期限、地点、方式</w:t>
      </w:r>
    </w:p>
    <w:p>
      <w:pPr>
        <w:snapToGrid w:val="0"/>
        <w:spacing w:line="360" w:lineRule="auto"/>
        <w:ind w:firstLine="576"/>
        <w:rPr>
          <w:rFonts w:ascii="仿宋" w:hAnsi="仿宋" w:eastAsia="仿宋"/>
          <w:color w:val="auto"/>
          <w:szCs w:val="21"/>
          <w:highlight w:val="none"/>
          <w:u w:val="single"/>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三、质量</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四、价款或者报酬</w:t>
      </w:r>
    </w:p>
    <w:p>
      <w:pPr>
        <w:snapToGrid w:val="0"/>
        <w:spacing w:line="360" w:lineRule="auto"/>
        <w:ind w:left="573" w:leftChars="273"/>
        <w:rPr>
          <w:rFonts w:ascii="仿宋" w:hAnsi="仿宋" w:eastAsia="仿宋" w:cs="仿宋_GB2312"/>
          <w:color w:val="auto"/>
          <w:kern w:val="0"/>
          <w:szCs w:val="21"/>
          <w:highlight w:val="none"/>
          <w:lang w:val="zh-CN"/>
        </w:rPr>
      </w:pPr>
    </w:p>
    <w:p>
      <w:pPr>
        <w:snapToGrid w:val="0"/>
        <w:spacing w:line="360" w:lineRule="auto"/>
        <w:ind w:left="573" w:leftChars="273"/>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五、违约责任</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六、争议解决的办法</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七、其他</w:t>
      </w:r>
    </w:p>
    <w:p>
      <w:pPr>
        <w:snapToGrid w:val="0"/>
        <w:spacing w:line="360" w:lineRule="auto"/>
        <w:ind w:firstLine="576"/>
        <w:rPr>
          <w:rFonts w:ascii="仿宋" w:hAnsi="仿宋" w:eastAsia="仿宋" w:cs="仿宋_GB2312"/>
          <w:b/>
          <w:color w:val="auto"/>
          <w:kern w:val="0"/>
          <w:szCs w:val="21"/>
          <w:highlight w:val="none"/>
          <w:lang w:val="zh-CN"/>
        </w:rPr>
      </w:pPr>
      <w:r>
        <w:rPr>
          <w:rFonts w:hint="eastAsia" w:ascii="仿宋" w:hAnsi="仿宋" w:eastAsia="仿宋" w:cs="仿宋_GB2312"/>
          <w:color w:val="auto"/>
          <w:kern w:val="0"/>
          <w:szCs w:val="21"/>
          <w:highlight w:val="none"/>
          <w:u w:val="single"/>
        </w:rPr>
        <w:t>（分包供应商名称）提供的货物全部由小微企业制造，</w:t>
      </w:r>
      <w:r>
        <w:rPr>
          <w:rFonts w:hint="eastAsia" w:ascii="仿宋" w:hAnsi="仿宋" w:eastAsia="仿宋" w:cs="仿宋_GB2312"/>
          <w:color w:val="auto"/>
          <w:kern w:val="0"/>
          <w:szCs w:val="21"/>
          <w:highlight w:val="none"/>
        </w:rPr>
        <w:t>其合同份额占到合同总金额</w:t>
      </w:r>
      <w:r>
        <w:rPr>
          <w:rFonts w:ascii="仿宋" w:hAnsi="仿宋" w:eastAsia="仿宋" w:cs="仿宋_GB2312"/>
          <w:color w:val="auto"/>
          <w:kern w:val="0"/>
          <w:szCs w:val="21"/>
          <w:highlight w:val="none"/>
        </w:rPr>
        <w:t>%以上</w:t>
      </w:r>
      <w:r>
        <w:rPr>
          <w:rFonts w:hint="eastAsia" w:ascii="仿宋" w:hAnsi="仿宋" w:eastAsia="仿宋"/>
          <w:color w:val="auto"/>
          <w:szCs w:val="21"/>
          <w:highlight w:val="none"/>
        </w:rPr>
        <w:t>。</w:t>
      </w:r>
      <w:r>
        <w:rPr>
          <w:rFonts w:hint="eastAsia" w:ascii="仿宋" w:hAnsi="仿宋" w:eastAsia="仿宋"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color w:val="auto"/>
          <w:kern w:val="0"/>
          <w:szCs w:val="21"/>
          <w:highlight w:val="none"/>
          <w:lang w:val="zh-CN"/>
        </w:rPr>
        <w:t xml:space="preserve"> 30%以上</w:t>
      </w:r>
      <w:r>
        <w:rPr>
          <w:rFonts w:hint="eastAsia" w:ascii="仿宋" w:hAnsi="仿宋" w:eastAsia="仿宋" w:cs="仿宋_GB2312"/>
          <w:b/>
          <w:color w:val="auto"/>
          <w:kern w:val="0"/>
          <w:szCs w:val="21"/>
          <w:highlight w:val="none"/>
          <w:lang w:val="zh-CN"/>
        </w:rPr>
        <w:t>的，对大中型企业的报价给予</w:t>
      </w:r>
      <w:r>
        <w:rPr>
          <w:rFonts w:hint="eastAsia" w:ascii="仿宋" w:hAnsi="仿宋" w:eastAsia="仿宋" w:cs="仿宋_GB2312"/>
          <w:b/>
          <w:color w:val="auto"/>
          <w:kern w:val="0"/>
          <w:szCs w:val="21"/>
          <w:highlight w:val="none"/>
        </w:rPr>
        <w:t>6</w:t>
      </w:r>
      <w:r>
        <w:rPr>
          <w:rFonts w:ascii="仿宋" w:hAnsi="仿宋" w:eastAsia="仿宋" w:cs="仿宋_GB2312"/>
          <w:b/>
          <w:color w:val="auto"/>
          <w:kern w:val="0"/>
          <w:szCs w:val="21"/>
          <w:highlight w:val="none"/>
          <w:lang w:val="zh-CN"/>
        </w:rPr>
        <w:t>%的扣除</w:t>
      </w:r>
      <w:r>
        <w:rPr>
          <w:rFonts w:hint="eastAsia" w:ascii="仿宋" w:hAnsi="仿宋" w:eastAsia="仿宋" w:cs="仿宋_GB2312"/>
          <w:b/>
          <w:color w:val="auto"/>
          <w:kern w:val="0"/>
          <w:szCs w:val="21"/>
          <w:highlight w:val="none"/>
          <w:lang w:val="zh-CN"/>
        </w:rPr>
        <w:t>）</w:t>
      </w:r>
    </w:p>
    <w:p>
      <w:pPr>
        <w:snapToGrid w:val="0"/>
        <w:spacing w:line="360" w:lineRule="auto"/>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 xml:space="preserve">                                               投标人名称(电子签名)：</w:t>
      </w:r>
    </w:p>
    <w:p>
      <w:pPr>
        <w:snapToGrid w:val="0"/>
        <w:spacing w:line="360" w:lineRule="auto"/>
        <w:ind w:firstLine="4935" w:firstLineChars="235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分包供应商名称：</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五、符合性审查资料</w:t>
      </w:r>
    </w:p>
    <w:p>
      <w:pPr>
        <w:jc w:val="center"/>
        <w:rPr>
          <w:rFonts w:ascii="仿宋" w:hAnsi="仿宋" w:eastAsia="仿宋" w:cs="仿宋_GB2312"/>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序号</w:t>
            </w:r>
          </w:p>
        </w:tc>
        <w:tc>
          <w:tcPr>
            <w:tcW w:w="4991" w:type="dxa"/>
            <w:vAlign w:val="center"/>
          </w:tcPr>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实质性要求</w:t>
            </w:r>
          </w:p>
        </w:tc>
        <w:tc>
          <w:tcPr>
            <w:tcW w:w="2551" w:type="dxa"/>
            <w:vAlign w:val="center"/>
          </w:tcPr>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投标文件中的</w:t>
            </w:r>
          </w:p>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4991" w:type="dxa"/>
          </w:tcPr>
          <w:p>
            <w:pPr>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投标文件按照招标文件要求签署、盖章。</w:t>
            </w:r>
          </w:p>
        </w:tc>
        <w:tc>
          <w:tcPr>
            <w:tcW w:w="2551" w:type="dxa"/>
            <w:vAlign w:val="center"/>
          </w:tcPr>
          <w:p>
            <w:pPr>
              <w:rPr>
                <w:rFonts w:ascii="仿宋" w:hAnsi="仿宋" w:eastAsia="仿宋"/>
                <w:color w:val="auto"/>
                <w:szCs w:val="21"/>
                <w:highlight w:val="none"/>
              </w:rPr>
            </w:pPr>
            <w:r>
              <w:rPr>
                <w:rFonts w:hint="eastAsia" w:ascii="仿宋" w:hAnsi="仿宋" w:eastAsia="仿宋"/>
                <w:color w:val="auto"/>
                <w:szCs w:val="21"/>
                <w:highlight w:val="none"/>
              </w:rPr>
              <w:t>需要使用电子签名或者签字盖章的投标文件的组成部分</w:t>
            </w:r>
          </w:p>
        </w:tc>
        <w:tc>
          <w:tcPr>
            <w:tcW w:w="1418" w:type="dxa"/>
          </w:tcPr>
          <w:p>
            <w:pPr>
              <w:rPr>
                <w:rFonts w:ascii="仿宋" w:hAnsi="仿宋" w:eastAsia="仿宋" w:cs="仿宋_GB2312"/>
                <w:color w:val="auto"/>
                <w:szCs w:val="21"/>
                <w:highlight w:val="none"/>
              </w:rPr>
            </w:pP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见投标文件</w:t>
            </w:r>
          </w:p>
          <w:p>
            <w:pPr>
              <w:rPr>
                <w:rFonts w:ascii="仿宋" w:hAnsi="仿宋" w:eastAsia="仿宋"/>
                <w:color w:val="auto"/>
                <w:szCs w:val="21"/>
                <w:highlight w:val="none"/>
              </w:rPr>
            </w:pPr>
            <w:r>
              <w:rPr>
                <w:rFonts w:hint="eastAsia" w:ascii="仿宋" w:hAnsi="仿宋" w:eastAsia="仿宋" w:cs="仿宋_GB2312"/>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2</w:t>
            </w:r>
          </w:p>
        </w:tc>
        <w:tc>
          <w:tcPr>
            <w:tcW w:w="4991" w:type="dxa"/>
          </w:tcPr>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Cs w:val="21"/>
                <w:highlight w:val="none"/>
              </w:rPr>
            </w:pPr>
            <w:r>
              <w:rPr>
                <w:rFonts w:hint="eastAsia" w:ascii="仿宋" w:hAnsi="仿宋" w:eastAsia="仿宋" w:cs="仿宋_GB2312"/>
                <w:color w:val="auto"/>
                <w:szCs w:val="21"/>
                <w:highlight w:val="none"/>
              </w:rPr>
              <w:t>节能产品认证证书（本项目</w:t>
            </w:r>
            <w:r>
              <w:rPr>
                <w:rFonts w:hint="eastAsia" w:ascii="仿宋" w:hAnsi="仿宋" w:eastAsia="仿宋"/>
                <w:color w:val="auto"/>
                <w:szCs w:val="21"/>
                <w:highlight w:val="none"/>
              </w:rPr>
              <w:t>拟采购的产品不属于政府强制采购的节能产品品目清单范围的</w:t>
            </w:r>
            <w:r>
              <w:rPr>
                <w:rFonts w:hint="eastAsia" w:ascii="仿宋" w:hAnsi="仿宋" w:eastAsia="仿宋" w:cs="仿宋_GB2312"/>
                <w:color w:val="auto"/>
                <w:szCs w:val="21"/>
                <w:highlight w:val="none"/>
              </w:rPr>
              <w:t>，无需提供）</w:t>
            </w:r>
          </w:p>
        </w:tc>
        <w:tc>
          <w:tcPr>
            <w:tcW w:w="1418" w:type="dxa"/>
          </w:tcPr>
          <w:p>
            <w:pPr>
              <w:rPr>
                <w:rFonts w:ascii="仿宋" w:hAnsi="仿宋" w:eastAsia="仿宋" w:cs="仿宋_GB2312"/>
                <w:color w:val="auto"/>
                <w:szCs w:val="21"/>
                <w:highlight w:val="none"/>
              </w:rPr>
            </w:pPr>
          </w:p>
          <w:p>
            <w:pPr>
              <w:rPr>
                <w:rFonts w:ascii="仿宋" w:hAnsi="仿宋" w:eastAsia="仿宋" w:cs="仿宋_GB2312"/>
                <w:color w:val="auto"/>
                <w:szCs w:val="21"/>
                <w:highlight w:val="none"/>
              </w:rPr>
            </w:pP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见投标文件</w:t>
            </w:r>
          </w:p>
          <w:p>
            <w:pPr>
              <w:pStyle w:val="3"/>
              <w:rPr>
                <w:rFonts w:ascii="仿宋" w:eastAsia="仿宋"/>
                <w:color w:val="auto"/>
                <w:sz w:val="21"/>
                <w:szCs w:val="21"/>
                <w:highlight w:val="none"/>
                <w:lang w:val="en-US"/>
              </w:rPr>
            </w:pPr>
            <w:r>
              <w:rPr>
                <w:rFonts w:hint="eastAsia" w:ascii="仿宋" w:eastAsia="仿宋" w:cs="仿宋_GB2312"/>
                <w:b w:val="0"/>
                <w:bCs w:val="0"/>
                <w:color w:val="auto"/>
                <w:sz w:val="21"/>
                <w:szCs w:val="21"/>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4991" w:type="dxa"/>
          </w:tcPr>
          <w:p>
            <w:pPr>
              <w:spacing w:line="360" w:lineRule="auto"/>
              <w:rPr>
                <w:rFonts w:ascii="仿宋" w:hAnsi="仿宋" w:eastAsia="仿宋" w:cs="仿宋_GB2312"/>
                <w:color w:val="auto"/>
                <w:szCs w:val="21"/>
                <w:highlight w:val="none"/>
              </w:rPr>
            </w:pPr>
            <w:r>
              <w:rPr>
                <w:rFonts w:hint="eastAsia" w:ascii="仿宋" w:hAnsi="仿宋" w:eastAsia="仿宋"/>
                <w:color w:val="auto"/>
                <w:szCs w:val="21"/>
                <w:highlight w:val="none"/>
              </w:rPr>
              <w:t>投标文件中承诺的投标有效期不少于招标文件中载明的投标有效期。</w:t>
            </w:r>
          </w:p>
        </w:tc>
        <w:tc>
          <w:tcPr>
            <w:tcW w:w="2551" w:type="dxa"/>
            <w:vAlign w:val="center"/>
          </w:tcPr>
          <w:p>
            <w:pPr>
              <w:rPr>
                <w:rFonts w:ascii="仿宋" w:hAnsi="仿宋" w:eastAsia="仿宋"/>
                <w:color w:val="auto"/>
                <w:szCs w:val="21"/>
                <w:highlight w:val="none"/>
              </w:rPr>
            </w:pPr>
            <w:r>
              <w:rPr>
                <w:rFonts w:hint="eastAsia" w:ascii="仿宋" w:hAnsi="仿宋" w:eastAsia="仿宋"/>
                <w:color w:val="auto"/>
                <w:szCs w:val="21"/>
                <w:highlight w:val="none"/>
              </w:rPr>
              <w:t>投标函</w:t>
            </w:r>
          </w:p>
        </w:tc>
        <w:tc>
          <w:tcPr>
            <w:tcW w:w="1418" w:type="dxa"/>
          </w:tcPr>
          <w:p>
            <w:pPr>
              <w:rPr>
                <w:rFonts w:ascii="仿宋" w:hAnsi="仿宋" w:eastAsia="仿宋"/>
                <w:color w:val="auto"/>
                <w:szCs w:val="21"/>
                <w:highlight w:val="none"/>
              </w:rPr>
            </w:pPr>
            <w:r>
              <w:rPr>
                <w:rFonts w:hint="eastAsia" w:ascii="仿宋" w:hAnsi="仿宋" w:eastAsia="仿宋" w:cs="仿宋_GB2312"/>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4</w:t>
            </w:r>
          </w:p>
        </w:tc>
        <w:tc>
          <w:tcPr>
            <w:tcW w:w="4991" w:type="dxa"/>
            <w:vAlign w:val="center"/>
          </w:tcPr>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投标文件满足招标文件的其它实质性要求。</w:t>
            </w:r>
          </w:p>
        </w:tc>
        <w:tc>
          <w:tcPr>
            <w:tcW w:w="2551" w:type="dxa"/>
            <w:vAlign w:val="center"/>
          </w:tcPr>
          <w:p>
            <w:pPr>
              <w:rPr>
                <w:rFonts w:ascii="仿宋" w:hAnsi="仿宋" w:eastAsia="仿宋"/>
                <w:color w:val="auto"/>
                <w:szCs w:val="21"/>
                <w:highlight w:val="none"/>
              </w:rPr>
            </w:pPr>
            <w:r>
              <w:rPr>
                <w:rFonts w:hint="eastAsia" w:ascii="仿宋" w:hAnsi="仿宋" w:eastAsia="仿宋" w:cs="仿宋_GB2312"/>
                <w:color w:val="auto"/>
                <w:kern w:val="0"/>
                <w:szCs w:val="21"/>
                <w:highlight w:val="none"/>
              </w:rPr>
              <w:t>招标文件其它实质性要求相应的材料（“▲”系指实质性要求条款，招标文件无其它实质性要求的，无需提供）</w:t>
            </w:r>
          </w:p>
        </w:tc>
        <w:tc>
          <w:tcPr>
            <w:tcW w:w="1418" w:type="dxa"/>
          </w:tcPr>
          <w:p>
            <w:pPr>
              <w:rPr>
                <w:rFonts w:ascii="仿宋" w:hAnsi="仿宋" w:eastAsia="仿宋"/>
                <w:color w:val="auto"/>
                <w:szCs w:val="21"/>
                <w:highlight w:val="none"/>
              </w:rPr>
            </w:pPr>
            <w:r>
              <w:rPr>
                <w:rFonts w:hint="eastAsia" w:ascii="仿宋" w:hAnsi="仿宋" w:eastAsia="仿宋" w:cs="仿宋_GB2312"/>
                <w:color w:val="auto"/>
                <w:szCs w:val="21"/>
                <w:highlight w:val="none"/>
              </w:rPr>
              <w:t>见投标文件第页</w:t>
            </w:r>
          </w:p>
        </w:tc>
      </w:tr>
    </w:tbl>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六、评标标准相应的商务技术资料</w:t>
      </w:r>
    </w:p>
    <w:p>
      <w:pPr>
        <w:pStyle w:val="26"/>
        <w:rPr>
          <w:color w:val="auto"/>
          <w:highlight w:val="none"/>
        </w:rPr>
      </w:pPr>
    </w:p>
    <w:p>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Cs w:val="21"/>
          <w:highlight w:val="none"/>
        </w:rPr>
        <w:t>（按招标文件第四部分评标办法前附表中“投标文件中评标标准相应的商务技术资料目录”提供资料）</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pStyle w:val="34"/>
        <w:spacing w:line="360" w:lineRule="auto"/>
        <w:jc w:val="left"/>
        <w:rPr>
          <w:rFonts w:ascii="仿宋" w:hAnsi="仿宋" w:eastAsia="仿宋" w:cs="Tahoma"/>
          <w:color w:val="auto"/>
          <w:sz w:val="24"/>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widowControl/>
        <w:adjustRightInd/>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七、商务技术偏离表</w:t>
      </w:r>
    </w:p>
    <w:p>
      <w:pPr>
        <w:pStyle w:val="26"/>
        <w:rPr>
          <w:color w:val="auto"/>
          <w:highlight w:val="none"/>
        </w:rPr>
      </w:pP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序号</w:t>
            </w:r>
          </w:p>
        </w:tc>
        <w:tc>
          <w:tcPr>
            <w:tcW w:w="3683" w:type="dxa"/>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招标文件章节及具体内容</w:t>
            </w:r>
          </w:p>
        </w:tc>
        <w:tc>
          <w:tcPr>
            <w:tcW w:w="3546" w:type="dxa"/>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投标文件章节及具体内容</w:t>
            </w:r>
          </w:p>
        </w:tc>
        <w:tc>
          <w:tcPr>
            <w:tcW w:w="1276" w:type="dxa"/>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w:t>
            </w:r>
          </w:p>
        </w:tc>
        <w:tc>
          <w:tcPr>
            <w:tcW w:w="3683" w:type="dxa"/>
          </w:tcPr>
          <w:p>
            <w:pPr>
              <w:jc w:val="center"/>
              <w:rPr>
                <w:rFonts w:ascii="仿宋" w:hAnsi="仿宋" w:eastAsia="仿宋" w:cs="仿宋_GB2312"/>
                <w:b/>
                <w:color w:val="auto"/>
                <w:kern w:val="0"/>
                <w:szCs w:val="21"/>
                <w:highlight w:val="none"/>
              </w:rPr>
            </w:pPr>
          </w:p>
        </w:tc>
        <w:tc>
          <w:tcPr>
            <w:tcW w:w="3546" w:type="dxa"/>
          </w:tcPr>
          <w:p>
            <w:pPr>
              <w:jc w:val="center"/>
              <w:rPr>
                <w:rFonts w:ascii="仿宋" w:hAnsi="仿宋" w:eastAsia="仿宋" w:cs="仿宋_GB2312"/>
                <w:b/>
                <w:color w:val="auto"/>
                <w:kern w:val="0"/>
                <w:szCs w:val="21"/>
                <w:highlight w:val="none"/>
              </w:rPr>
            </w:pPr>
          </w:p>
        </w:tc>
        <w:tc>
          <w:tcPr>
            <w:tcW w:w="1276" w:type="dxa"/>
          </w:tcPr>
          <w:p>
            <w:pPr>
              <w:jc w:val="center"/>
              <w:rPr>
                <w:rFonts w:ascii="仿宋" w:hAnsi="仿宋" w:eastAsia="仿宋" w:cs="仿宋_GB2312"/>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w:t>
            </w:r>
          </w:p>
        </w:tc>
        <w:tc>
          <w:tcPr>
            <w:tcW w:w="3683" w:type="dxa"/>
          </w:tcPr>
          <w:p>
            <w:pPr>
              <w:jc w:val="center"/>
              <w:rPr>
                <w:rFonts w:ascii="仿宋" w:hAnsi="仿宋" w:eastAsia="仿宋" w:cs="仿宋_GB2312"/>
                <w:b/>
                <w:color w:val="auto"/>
                <w:kern w:val="0"/>
                <w:szCs w:val="21"/>
                <w:highlight w:val="none"/>
              </w:rPr>
            </w:pPr>
          </w:p>
        </w:tc>
        <w:tc>
          <w:tcPr>
            <w:tcW w:w="3546" w:type="dxa"/>
          </w:tcPr>
          <w:p>
            <w:pPr>
              <w:jc w:val="center"/>
              <w:rPr>
                <w:rFonts w:ascii="仿宋" w:hAnsi="仿宋" w:eastAsia="仿宋" w:cs="仿宋_GB2312"/>
                <w:b/>
                <w:color w:val="auto"/>
                <w:kern w:val="0"/>
                <w:szCs w:val="21"/>
                <w:highlight w:val="none"/>
              </w:rPr>
            </w:pPr>
          </w:p>
        </w:tc>
        <w:tc>
          <w:tcPr>
            <w:tcW w:w="1276" w:type="dxa"/>
          </w:tcPr>
          <w:p>
            <w:pPr>
              <w:jc w:val="center"/>
              <w:rPr>
                <w:rFonts w:ascii="仿宋" w:hAnsi="仿宋" w:eastAsia="仿宋" w:cs="仿宋_GB2312"/>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w:t>
            </w:r>
          </w:p>
        </w:tc>
        <w:tc>
          <w:tcPr>
            <w:tcW w:w="3683" w:type="dxa"/>
          </w:tcPr>
          <w:p>
            <w:pPr>
              <w:jc w:val="center"/>
              <w:rPr>
                <w:rFonts w:ascii="仿宋" w:hAnsi="仿宋" w:eastAsia="仿宋" w:cs="仿宋_GB2312"/>
                <w:b/>
                <w:color w:val="auto"/>
                <w:kern w:val="0"/>
                <w:szCs w:val="21"/>
                <w:highlight w:val="none"/>
              </w:rPr>
            </w:pPr>
          </w:p>
        </w:tc>
        <w:tc>
          <w:tcPr>
            <w:tcW w:w="3546" w:type="dxa"/>
          </w:tcPr>
          <w:p>
            <w:pPr>
              <w:jc w:val="center"/>
              <w:rPr>
                <w:rFonts w:ascii="仿宋" w:hAnsi="仿宋" w:eastAsia="仿宋" w:cs="仿宋_GB2312"/>
                <w:b/>
                <w:color w:val="auto"/>
                <w:kern w:val="0"/>
                <w:szCs w:val="21"/>
                <w:highlight w:val="none"/>
              </w:rPr>
            </w:pPr>
          </w:p>
        </w:tc>
        <w:tc>
          <w:tcPr>
            <w:tcW w:w="1276" w:type="dxa"/>
          </w:tcPr>
          <w:p>
            <w:pPr>
              <w:jc w:val="center"/>
              <w:rPr>
                <w:rFonts w:ascii="仿宋" w:hAnsi="仿宋" w:eastAsia="仿宋" w:cs="仿宋_GB2312"/>
                <w:b/>
                <w:color w:val="auto"/>
                <w:kern w:val="0"/>
                <w:szCs w:val="21"/>
                <w:highlight w:val="none"/>
              </w:rPr>
            </w:pPr>
          </w:p>
        </w:tc>
      </w:tr>
    </w:tbl>
    <w:p>
      <w:pPr>
        <w:jc w:val="left"/>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投标人保证：除商务技术偏离表列出的偏离外，投标人响应招标文件的全部要求</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widowControl/>
        <w:adjustRightInd/>
        <w:jc w:val="left"/>
        <w:rPr>
          <w:rFonts w:ascii="仿宋" w:hAnsi="仿宋" w:eastAsia="仿宋" w:cs="仿宋_GB2312"/>
          <w:b/>
          <w:color w:val="auto"/>
          <w:kern w:val="0"/>
          <w:sz w:val="32"/>
          <w:szCs w:val="32"/>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八、</w:t>
      </w:r>
      <w:r>
        <w:rPr>
          <w:rFonts w:hint="eastAsia" w:ascii="仿宋" w:hAnsi="仿宋" w:eastAsia="仿宋" w:cs="仿宋_GB2312"/>
          <w:b/>
          <w:color w:val="auto"/>
          <w:kern w:val="0"/>
          <w:sz w:val="32"/>
          <w:szCs w:val="32"/>
          <w:highlight w:val="none"/>
          <w:lang w:val="zh-CN"/>
        </w:rPr>
        <w:t>政府采购供应商廉洁自律承诺书</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我单位响应你</w:t>
      </w:r>
      <w:r>
        <w:rPr>
          <w:rFonts w:hint="eastAsia" w:ascii="仿宋" w:hAnsi="仿宋" w:eastAsia="仿宋" w:cs="仿宋_GB2312"/>
          <w:color w:val="auto"/>
          <w:szCs w:val="21"/>
          <w:highlight w:val="none"/>
        </w:rPr>
        <w:t>单位</w:t>
      </w:r>
      <w:r>
        <w:rPr>
          <w:rFonts w:hint="eastAsia" w:ascii="仿宋" w:hAnsi="仿宋" w:eastAsia="仿宋" w:cs="仿宋_GB2312"/>
          <w:color w:val="auto"/>
          <w:kern w:val="0"/>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好处；</w:t>
      </w:r>
    </w:p>
    <w:p>
      <w:pPr>
        <w:numPr>
          <w:ilvl w:val="0"/>
          <w:numId w:val="2"/>
        </w:numPr>
        <w:autoSpaceDE w:val="0"/>
        <w:autoSpaceDN w:val="0"/>
        <w:spacing w:line="360" w:lineRule="auto"/>
        <w:ind w:left="481" w:leftChars="229"/>
        <w:jc w:val="left"/>
        <w:rPr>
          <w:rFonts w:ascii="仿宋" w:hAnsi="仿宋" w:eastAsia="仿宋"/>
          <w:color w:val="auto"/>
          <w:szCs w:val="21"/>
          <w:highlight w:val="none"/>
          <w:lang w:val="zh-CN"/>
        </w:rPr>
      </w:pPr>
      <w:r>
        <w:rPr>
          <w:rFonts w:hint="eastAsia" w:ascii="仿宋" w:hAnsi="仿宋" w:eastAsia="仿宋" w:cs="仿宋_GB2312"/>
          <w:color w:val="auto"/>
          <w:kern w:val="0"/>
          <w:szCs w:val="21"/>
          <w:highlight w:val="none"/>
          <w:lang w:val="zh-CN"/>
        </w:rPr>
        <w:t>严格遵守《</w:t>
      </w:r>
      <w:r>
        <w:rPr>
          <w:rFonts w:hint="eastAsia" w:ascii="仿宋" w:hAnsi="仿宋" w:eastAsia="仿宋"/>
          <w:color w:val="auto"/>
          <w:szCs w:val="21"/>
          <w:highlight w:val="none"/>
          <w:lang w:val="zh-CN"/>
        </w:rPr>
        <w:t>中华人民共和国</w:t>
      </w:r>
      <w:r>
        <w:rPr>
          <w:rFonts w:hint="eastAsia" w:ascii="仿宋" w:hAnsi="仿宋" w:eastAsia="仿宋" w:cs="仿宋_GB2312"/>
          <w:color w:val="auto"/>
          <w:kern w:val="0"/>
          <w:szCs w:val="21"/>
          <w:highlight w:val="none"/>
          <w:lang w:val="zh-CN"/>
        </w:rPr>
        <w:t>政府采购法》《</w:t>
      </w:r>
      <w:r>
        <w:rPr>
          <w:rFonts w:hint="eastAsia" w:ascii="仿宋" w:hAnsi="仿宋" w:eastAsia="仿宋"/>
          <w:color w:val="auto"/>
          <w:szCs w:val="21"/>
          <w:highlight w:val="none"/>
          <w:lang w:val="zh-CN"/>
        </w:rPr>
        <w:t>中华人民共和国</w:t>
      </w:r>
      <w:r>
        <w:rPr>
          <w:rFonts w:hint="eastAsia" w:ascii="仿宋" w:hAnsi="仿宋" w:eastAsia="仿宋" w:cs="仿宋_GB2312"/>
          <w:color w:val="auto"/>
          <w:kern w:val="0"/>
          <w:szCs w:val="21"/>
          <w:highlight w:val="none"/>
          <w:lang w:val="zh-CN"/>
        </w:rPr>
        <w:t>招标投标法》</w:t>
      </w:r>
      <w:r>
        <w:rPr>
          <w:rFonts w:hint="eastAsia" w:ascii="仿宋" w:hAnsi="仿宋" w:eastAsia="仿宋"/>
          <w:color w:val="auto"/>
          <w:szCs w:val="21"/>
          <w:highlight w:val="none"/>
          <w:lang w:val="zh-CN"/>
        </w:rPr>
        <w:t>《中</w:t>
      </w:r>
    </w:p>
    <w:p>
      <w:pPr>
        <w:autoSpaceDE w:val="0"/>
        <w:autoSpaceDN w:val="0"/>
        <w:spacing w:line="360" w:lineRule="auto"/>
        <w:jc w:val="left"/>
        <w:rPr>
          <w:rFonts w:ascii="仿宋" w:hAnsi="仿宋" w:eastAsia="仿宋" w:cs="仿宋_GB2312"/>
          <w:color w:val="auto"/>
          <w:kern w:val="0"/>
          <w:szCs w:val="21"/>
          <w:highlight w:val="none"/>
          <w:lang w:val="zh-CN"/>
        </w:rPr>
      </w:pPr>
      <w:r>
        <w:rPr>
          <w:rFonts w:hint="eastAsia" w:ascii="仿宋" w:hAnsi="仿宋" w:eastAsia="仿宋"/>
          <w:color w:val="auto"/>
          <w:szCs w:val="21"/>
          <w:highlight w:val="none"/>
          <w:lang w:val="zh-CN"/>
        </w:rPr>
        <w:t>华人民共和国民法典》</w:t>
      </w:r>
      <w:r>
        <w:rPr>
          <w:rFonts w:hint="eastAsia" w:ascii="仿宋" w:hAnsi="仿宋" w:eastAsia="仿宋" w:cs="仿宋_GB2312"/>
          <w:color w:val="auto"/>
          <w:kern w:val="0"/>
          <w:szCs w:val="21"/>
          <w:highlight w:val="none"/>
          <w:lang w:val="zh-CN"/>
        </w:rPr>
        <w:t>等法律法规，诚实守信，合法经营，坚决抵制各种违法违纪行为。</w:t>
      </w:r>
    </w:p>
    <w:p>
      <w:pPr>
        <w:autoSpaceDE w:val="0"/>
        <w:autoSpaceDN w:val="0"/>
        <w:spacing w:line="360" w:lineRule="auto"/>
        <w:ind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如违反上述承诺，你</w:t>
      </w:r>
      <w:r>
        <w:rPr>
          <w:rFonts w:hint="eastAsia" w:ascii="仿宋" w:hAnsi="仿宋" w:eastAsia="仿宋" w:cs="仿宋_GB2312"/>
          <w:color w:val="auto"/>
          <w:szCs w:val="21"/>
          <w:highlight w:val="none"/>
        </w:rPr>
        <w:t>单位</w:t>
      </w:r>
      <w:r>
        <w:rPr>
          <w:rFonts w:hint="eastAsia" w:ascii="仿宋" w:hAnsi="仿宋" w:eastAsia="仿宋" w:cs="仿宋_GB2312"/>
          <w:color w:val="auto"/>
          <w:kern w:val="0"/>
          <w:szCs w:val="21"/>
          <w:highlight w:val="none"/>
          <w:lang w:val="zh-CN"/>
        </w:rPr>
        <w:t>有权立即取消我单位投标、中标或在建项目的建设资格，有权拒绝我单位在一定时期内进入你</w:t>
      </w:r>
      <w:r>
        <w:rPr>
          <w:rFonts w:hint="eastAsia" w:ascii="仿宋" w:hAnsi="仿宋" w:eastAsia="仿宋" w:cs="仿宋_GB2312"/>
          <w:color w:val="auto"/>
          <w:szCs w:val="21"/>
          <w:highlight w:val="none"/>
        </w:rPr>
        <w:t>单位</w:t>
      </w:r>
      <w:r>
        <w:rPr>
          <w:rFonts w:hint="eastAsia" w:ascii="仿宋" w:hAnsi="仿宋" w:eastAsia="仿宋" w:cs="仿宋_GB2312"/>
          <w:color w:val="auto"/>
          <w:kern w:val="0"/>
          <w:szCs w:val="21"/>
          <w:highlight w:val="none"/>
          <w:lang w:val="zh-CN"/>
        </w:rPr>
        <w:t>进行项目建设或其他经营活动，并通报市财政局。由此引起的相应损失均由我单位承担。</w:t>
      </w:r>
    </w:p>
    <w:p>
      <w:pPr>
        <w:autoSpaceDE w:val="0"/>
        <w:autoSpaceDN w:val="0"/>
        <w:spacing w:line="360" w:lineRule="auto"/>
        <w:jc w:val="left"/>
        <w:rPr>
          <w:rFonts w:ascii="仿宋" w:hAnsi="仿宋" w:eastAsia="仿宋" w:cs="仿宋_GB2312"/>
          <w:color w:val="auto"/>
          <w:kern w:val="0"/>
          <w:szCs w:val="21"/>
          <w:highlight w:val="none"/>
          <w:lang w:val="zh-CN"/>
        </w:rPr>
      </w:pPr>
    </w:p>
    <w:p>
      <w:pPr>
        <w:autoSpaceDE w:val="0"/>
        <w:autoSpaceDN w:val="0"/>
        <w:spacing w:line="360" w:lineRule="auto"/>
        <w:ind w:left="2" w:leftChars="1" w:right="1120" w:firstLine="3990" w:firstLineChars="19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投标人名称（</w:t>
      </w:r>
      <w:r>
        <w:rPr>
          <w:rFonts w:hint="eastAsia" w:ascii="仿宋" w:hAnsi="仿宋" w:eastAsia="仿宋" w:cs="仿宋_GB2312"/>
          <w:color w:val="auto"/>
          <w:szCs w:val="21"/>
          <w:highlight w:val="none"/>
        </w:rPr>
        <w:t>电子签名</w:t>
      </w:r>
      <w:r>
        <w:rPr>
          <w:rFonts w:hint="eastAsia" w:ascii="仿宋" w:hAnsi="仿宋" w:eastAsia="仿宋" w:cs="仿宋_GB2312"/>
          <w:color w:val="auto"/>
          <w:kern w:val="0"/>
          <w:szCs w:val="21"/>
          <w:highlight w:val="none"/>
          <w:lang w:val="zh-CN"/>
        </w:rPr>
        <w:t>）：</w:t>
      </w:r>
    </w:p>
    <w:p>
      <w:pPr>
        <w:spacing w:line="360" w:lineRule="auto"/>
        <w:ind w:left="4620" w:leftChars="2200"/>
        <w:rPr>
          <w:rFonts w:ascii="仿宋" w:hAnsi="仿宋" w:eastAsia="仿宋"/>
          <w:color w:val="auto"/>
          <w:sz w:val="24"/>
          <w:highlight w:val="none"/>
        </w:rPr>
      </w:pPr>
      <w:r>
        <w:rPr>
          <w:rFonts w:hint="eastAsia" w:ascii="仿宋" w:hAnsi="仿宋" w:eastAsia="仿宋" w:cs="仿宋_GB2312"/>
          <w:color w:val="auto"/>
          <w:kern w:val="0"/>
          <w:szCs w:val="21"/>
          <w:highlight w:val="none"/>
          <w:lang w:val="zh-CN"/>
        </w:rPr>
        <w:t>日期</w:t>
      </w:r>
      <w:r>
        <w:rPr>
          <w:rFonts w:hint="eastAsia" w:ascii="仿宋" w:hAnsi="仿宋" w:eastAsia="仿宋" w:cs="仿宋_GB2312"/>
          <w:color w:val="auto"/>
          <w:kern w:val="0"/>
          <w:szCs w:val="21"/>
          <w:highlight w:val="none"/>
        </w:rPr>
        <w:t>：</w:t>
      </w:r>
      <w:r>
        <w:rPr>
          <w:rFonts w:ascii="仿宋" w:hAnsi="仿宋" w:eastAsia="仿宋" w:cs="仿宋_GB2312"/>
          <w:color w:val="auto"/>
          <w:kern w:val="0"/>
          <w:szCs w:val="21"/>
          <w:highlight w:val="none"/>
          <w:lang w:val="zh-CN"/>
        </w:rPr>
        <w:t xml:space="preserve">   年   月   日</w:t>
      </w:r>
    </w:p>
    <w:p>
      <w:pPr>
        <w:spacing w:line="360" w:lineRule="auto"/>
        <w:jc w:val="center"/>
        <w:rPr>
          <w:rFonts w:ascii="仿宋" w:hAnsi="仿宋" w:eastAsia="仿宋" w:cs="仿宋_GB2312"/>
          <w:b/>
          <w:bCs/>
          <w:color w:val="auto"/>
          <w:sz w:val="24"/>
          <w:highlight w:val="none"/>
        </w:rPr>
      </w:pPr>
    </w:p>
    <w:p>
      <w:pPr>
        <w:spacing w:line="360" w:lineRule="auto"/>
        <w:jc w:val="center"/>
        <w:rPr>
          <w:rFonts w:ascii="仿宋" w:hAnsi="仿宋" w:eastAsia="仿宋" w:cs="仿宋_GB2312"/>
          <w:b/>
          <w:bCs/>
          <w:color w:val="auto"/>
          <w:sz w:val="24"/>
          <w:highlight w:val="none"/>
        </w:rPr>
        <w:sectPr>
          <w:headerReference r:id="rId14" w:type="first"/>
          <w:footerReference r:id="rId16" w:type="first"/>
          <w:headerReference r:id="rId13" w:type="default"/>
          <w:footerReference r:id="rId15" w:type="default"/>
          <w:pgSz w:w="11905" w:h="16838"/>
          <w:pgMar w:top="1474" w:right="1814" w:bottom="1474" w:left="1814" w:header="851" w:footer="850" w:gutter="0"/>
          <w:cols w:space="0" w:num="1"/>
          <w:docGrid w:linePitch="312" w:charSpace="0"/>
        </w:sect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1）开标一览表（报价表）……</w:t>
      </w:r>
      <w:r>
        <w:rPr>
          <w:rFonts w:hint="eastAsia" w:ascii="仿宋" w:hAnsi="仿宋" w:eastAsia="仿宋" w:cs="仿宋_GB2312"/>
          <w:color w:val="auto"/>
          <w:szCs w:val="21"/>
          <w:highlight w:val="none"/>
        </w:rPr>
        <w:t>…………………………………………………（页码）</w:t>
      </w:r>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（2）报价明细表（格式自拟）……………………………………………………（页码）</w:t>
      </w:r>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）中小企业声明函……</w:t>
      </w:r>
      <w:r>
        <w:rPr>
          <w:rFonts w:hint="eastAsia" w:ascii="仿宋" w:hAnsi="仿宋" w:eastAsia="仿宋" w:cs="仿宋_GB2312"/>
          <w:color w:val="auto"/>
          <w:szCs w:val="21"/>
          <w:highlight w:val="none"/>
        </w:rPr>
        <w:t>…………………………………………………………（页码）</w:t>
      </w:r>
    </w:p>
    <w:p>
      <w:pPr>
        <w:snapToGrid w:val="0"/>
        <w:spacing w:line="360" w:lineRule="auto"/>
        <w:rPr>
          <w:rFonts w:ascii="仿宋" w:hAnsi="仿宋" w:eastAsia="仿宋" w:cs="仿宋_GB2312"/>
          <w:color w:val="auto"/>
          <w:szCs w:val="21"/>
          <w:highlight w:val="none"/>
        </w:rPr>
        <w:sectPr>
          <w:headerReference r:id="rId18" w:type="first"/>
          <w:footerReference r:id="rId20" w:type="first"/>
          <w:headerReference r:id="rId17" w:type="default"/>
          <w:footerReference r:id="rId19" w:type="default"/>
          <w:pgSz w:w="11905" w:h="16838"/>
          <w:pgMar w:top="1474" w:right="1814" w:bottom="1474" w:left="1814" w:header="851" w:footer="850" w:gutter="0"/>
          <w:cols w:space="0" w:num="1"/>
          <w:docGrid w:linePitch="312" w:charSpace="0"/>
        </w:sectPr>
      </w:pP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w:t>
      </w:r>
      <w:r>
        <w:rPr>
          <w:rFonts w:hint="eastAsia" w:ascii="仿宋" w:hAnsi="仿宋" w:eastAsia="仿宋" w:cs="仿宋_GB2312"/>
          <w:color w:val="auto"/>
          <w:szCs w:val="21"/>
          <w:highlight w:val="none"/>
        </w:rPr>
        <w:t>代理服务费支付承诺书………………………………………………………（页码）</w:t>
      </w:r>
    </w:p>
    <w:p>
      <w:pPr>
        <w:pStyle w:val="692"/>
        <w:keepNext w:val="0"/>
        <w:pageBreakBefore w:val="0"/>
        <w:tabs>
          <w:tab w:val="clear" w:pos="720"/>
        </w:tabs>
        <w:snapToGrid w:val="0"/>
        <w:spacing w:before="120" w:after="120"/>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ind w:firstLine="482"/>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Cs w:val="21"/>
          <w:highlight w:val="none"/>
        </w:rPr>
        <w:t>（项目名称）</w:t>
      </w:r>
      <w:r>
        <w:rPr>
          <w:rFonts w:hint="eastAsia" w:ascii="仿宋" w:hAnsi="仿宋" w:eastAsia="仿宋" w:cs="仿宋_GB2312"/>
          <w:color w:val="auto"/>
          <w:kern w:val="0"/>
          <w:szCs w:val="21"/>
          <w:highlight w:val="none"/>
          <w:lang w:val="zh-CN"/>
        </w:rPr>
        <w:t>【招标编号：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】的实施</w:t>
      </w:r>
      <w:r>
        <w:rPr>
          <w:rFonts w:hint="eastAsia" w:ascii="仿宋" w:hAnsi="仿宋" w:eastAsia="仿宋" w:cs="仿宋_GB2312"/>
          <w:color w:val="auto"/>
          <w:kern w:val="0"/>
          <w:szCs w:val="21"/>
          <w:highlight w:val="none"/>
          <w:lang w:val="zh-CN"/>
        </w:rPr>
        <w:t>。</w:t>
      </w:r>
    </w:p>
    <w:p>
      <w:pPr>
        <w:spacing w:line="360" w:lineRule="auto"/>
        <w:jc w:val="center"/>
        <w:rPr>
          <w:rFonts w:ascii="仿宋" w:hAnsi="仿宋" w:eastAsia="仿宋" w:cs="仿宋_GB2312"/>
          <w:b/>
          <w:color w:val="auto"/>
          <w:kern w:val="0"/>
          <w:szCs w:val="21"/>
          <w:highlight w:val="none"/>
          <w:lang w:val="zh-CN"/>
        </w:rPr>
      </w:pPr>
      <w:r>
        <w:rPr>
          <w:rFonts w:hint="eastAsia" w:ascii="仿宋" w:hAnsi="仿宋" w:eastAsia="仿宋" w:cs="仿宋_GB2312"/>
          <w:b/>
          <w:color w:val="auto"/>
          <w:kern w:val="0"/>
          <w:szCs w:val="21"/>
          <w:highlight w:val="none"/>
          <w:lang w:val="zh-CN"/>
        </w:rPr>
        <w:t>开标一览表（报价表）</w:t>
      </w:r>
      <w:r>
        <w:rPr>
          <w:rFonts w:ascii="仿宋" w:hAnsi="仿宋" w:eastAsia="仿宋" w:cs="仿宋_GB2312"/>
          <w:b/>
          <w:color w:val="auto"/>
          <w:kern w:val="0"/>
          <w:szCs w:val="21"/>
          <w:highlight w:val="none"/>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17"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1843" w:type="dxa"/>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品牌（如果有）</w:t>
            </w:r>
          </w:p>
        </w:tc>
        <w:tc>
          <w:tcPr>
            <w:tcW w:w="3118"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规格型号（或具体服务）</w:t>
            </w:r>
          </w:p>
        </w:tc>
        <w:tc>
          <w:tcPr>
            <w:tcW w:w="993"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59"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119" w:type="dxa"/>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服务要求（年限）</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1843" w:type="dxa"/>
            <w:vAlign w:val="center"/>
          </w:tcPr>
          <w:p>
            <w:pPr>
              <w:snapToGrid w:val="0"/>
              <w:spacing w:line="360" w:lineRule="auto"/>
              <w:jc w:val="center"/>
              <w:rPr>
                <w:rFonts w:ascii="仿宋" w:hAnsi="仿宋" w:eastAsia="仿宋" w:cs="仿宋_GB2312"/>
                <w:color w:val="auto"/>
                <w:sz w:val="24"/>
                <w:highlight w:val="none"/>
              </w:rPr>
            </w:pPr>
          </w:p>
        </w:tc>
        <w:tc>
          <w:tcPr>
            <w:tcW w:w="311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1843" w:type="dxa"/>
            <w:vAlign w:val="center"/>
          </w:tcPr>
          <w:p>
            <w:pPr>
              <w:snapToGrid w:val="0"/>
              <w:spacing w:line="360" w:lineRule="auto"/>
              <w:jc w:val="center"/>
              <w:rPr>
                <w:rFonts w:ascii="仿宋" w:hAnsi="仿宋" w:eastAsia="仿宋" w:cs="仿宋_GB2312"/>
                <w:color w:val="auto"/>
                <w:sz w:val="24"/>
                <w:highlight w:val="none"/>
              </w:rPr>
            </w:pPr>
          </w:p>
        </w:tc>
        <w:tc>
          <w:tcPr>
            <w:tcW w:w="311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1843" w:type="dxa"/>
            <w:vAlign w:val="center"/>
          </w:tcPr>
          <w:p>
            <w:pPr>
              <w:snapToGrid w:val="0"/>
              <w:spacing w:line="360" w:lineRule="auto"/>
              <w:jc w:val="center"/>
              <w:rPr>
                <w:rFonts w:ascii="仿宋" w:hAnsi="仿宋" w:eastAsia="仿宋" w:cs="仿宋_GB2312"/>
                <w:color w:val="auto"/>
                <w:sz w:val="24"/>
                <w:highlight w:val="none"/>
              </w:rPr>
            </w:pPr>
          </w:p>
        </w:tc>
        <w:tc>
          <w:tcPr>
            <w:tcW w:w="311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1843" w:type="dxa"/>
            <w:vAlign w:val="center"/>
          </w:tcPr>
          <w:p>
            <w:pPr>
              <w:snapToGrid w:val="0"/>
              <w:spacing w:line="360" w:lineRule="auto"/>
              <w:jc w:val="center"/>
              <w:rPr>
                <w:rFonts w:ascii="仿宋" w:hAnsi="仿宋" w:eastAsia="仿宋" w:cs="仿宋_GB2312"/>
                <w:color w:val="auto"/>
                <w:sz w:val="24"/>
                <w:highlight w:val="none"/>
              </w:rPr>
            </w:pPr>
          </w:p>
        </w:tc>
        <w:tc>
          <w:tcPr>
            <w:tcW w:w="311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1843" w:type="dxa"/>
            <w:vAlign w:val="center"/>
          </w:tcPr>
          <w:p>
            <w:pPr>
              <w:snapToGrid w:val="0"/>
              <w:spacing w:line="360" w:lineRule="auto"/>
              <w:jc w:val="center"/>
              <w:rPr>
                <w:rFonts w:ascii="仿宋" w:hAnsi="仿宋" w:eastAsia="仿宋" w:cs="仿宋_GB2312"/>
                <w:color w:val="auto"/>
                <w:sz w:val="24"/>
                <w:highlight w:val="none"/>
              </w:rPr>
            </w:pPr>
          </w:p>
        </w:tc>
        <w:tc>
          <w:tcPr>
            <w:tcW w:w="311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7655" w:type="dxa"/>
            <w:gridSpan w:val="4"/>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7655" w:type="dxa"/>
            <w:gridSpan w:val="4"/>
            <w:vAlign w:val="center"/>
          </w:tcPr>
          <w:p>
            <w:pPr>
              <w:spacing w:line="360" w:lineRule="auto"/>
              <w:jc w:val="center"/>
              <w:rPr>
                <w:rFonts w:ascii="仿宋" w:hAnsi="仿宋" w:eastAsia="仿宋" w:cs="仿宋_GB2312"/>
                <w:color w:val="auto"/>
                <w:sz w:val="24"/>
                <w:highlight w:val="none"/>
              </w:rPr>
            </w:pPr>
          </w:p>
        </w:tc>
      </w:tr>
    </w:tbl>
    <w:p>
      <w:pPr>
        <w:snapToGrid w:val="0"/>
        <w:spacing w:line="360" w:lineRule="auto"/>
        <w:ind w:left="480"/>
        <w:rPr>
          <w:rFonts w:ascii="仿宋" w:hAnsi="仿宋" w:eastAsia="仿宋" w:cs="仿宋_GB2312"/>
          <w:b/>
          <w:color w:val="auto"/>
          <w:kern w:val="0"/>
          <w:szCs w:val="21"/>
          <w:highlight w:val="none"/>
          <w:lang w:val="zh-CN"/>
        </w:rPr>
      </w:pPr>
      <w:r>
        <w:rPr>
          <w:rFonts w:hint="eastAsia" w:ascii="仿宋" w:hAnsi="仿宋" w:eastAsia="仿宋" w:cs="仿宋_GB2312"/>
          <w:b/>
          <w:color w:val="auto"/>
          <w:kern w:val="0"/>
          <w:szCs w:val="21"/>
          <w:highlight w:val="none"/>
          <w:lang w:val="zh-CN"/>
        </w:rPr>
        <w:t>注：</w:t>
      </w:r>
    </w:p>
    <w:p>
      <w:pPr>
        <w:spacing w:line="360" w:lineRule="auto"/>
        <w:ind w:left="-2" w:leftChars="-1" w:firstLine="420" w:firstLineChars="200"/>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1、投标人需按本表格式填写，不得自行更改。</w:t>
      </w:r>
    </w:p>
    <w:p>
      <w:pPr>
        <w:spacing w:line="360" w:lineRule="auto"/>
        <w:ind w:firstLine="420" w:firstLineChars="200"/>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2、有关本项目实施所涉及的一切费用均计入报价。</w:t>
      </w:r>
      <w:r>
        <w:rPr>
          <w:rFonts w:hint="eastAsia" w:ascii="仿宋" w:hAnsi="仿宋" w:eastAsia="仿宋" w:cs="仿宋_GB2312"/>
          <w:b/>
          <w:color w:val="auto"/>
          <w:kern w:val="0"/>
          <w:szCs w:val="21"/>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Cs w:val="21"/>
          <w:highlight w:val="none"/>
          <w:lang w:val="zh-CN"/>
        </w:rPr>
        <w:t>，</w:t>
      </w:r>
      <w:r>
        <w:rPr>
          <w:rFonts w:hint="eastAsia" w:ascii="仿宋" w:hAnsi="仿宋" w:eastAsia="仿宋" w:cs="仿宋_GB2312"/>
          <w:b/>
          <w:color w:val="auto"/>
          <w:kern w:val="0"/>
          <w:szCs w:val="21"/>
          <w:highlight w:val="none"/>
          <w:lang w:val="zh-CN"/>
        </w:rPr>
        <w:t>不得出现“</w:t>
      </w:r>
      <w:r>
        <w:rPr>
          <w:rFonts w:ascii="仿宋" w:hAnsi="仿宋" w:eastAsia="仿宋" w:cs="仿宋_GB2312"/>
          <w:b/>
          <w:color w:val="auto"/>
          <w:kern w:val="0"/>
          <w:szCs w:val="21"/>
          <w:highlight w:val="none"/>
          <w:lang w:val="zh-CN"/>
        </w:rPr>
        <w:t>0元”“免费赠送”等形式的无偿报价</w:t>
      </w:r>
      <w:r>
        <w:rPr>
          <w:rFonts w:hint="eastAsia" w:ascii="仿宋" w:hAnsi="仿宋" w:eastAsia="仿宋" w:cs="仿宋_GB2312"/>
          <w:b/>
          <w:color w:val="auto"/>
          <w:kern w:val="0"/>
          <w:szCs w:val="21"/>
          <w:highlight w:val="none"/>
          <w:lang w:val="zh-CN"/>
        </w:rPr>
        <w:t>，</w:t>
      </w:r>
      <w:r>
        <w:rPr>
          <w:rFonts w:hint="eastAsia" w:ascii="仿宋" w:hAnsi="仿宋" w:eastAsia="仿宋" w:cs="仿宋_GB2312"/>
          <w:b/>
          <w:color w:val="auto"/>
          <w:kern w:val="0"/>
          <w:szCs w:val="21"/>
          <w:highlight w:val="none"/>
        </w:rPr>
        <w:t>否则视为</w:t>
      </w:r>
      <w:r>
        <w:rPr>
          <w:rFonts w:hint="eastAsia" w:ascii="仿宋" w:hAnsi="仿宋" w:eastAsia="仿宋"/>
          <w:b/>
          <w:color w:val="auto"/>
          <w:szCs w:val="21"/>
          <w:highlight w:val="none"/>
        </w:rPr>
        <w:t>投标文件含有采购人不能接受的附加条件的，投标无效</w:t>
      </w:r>
      <w:r>
        <w:rPr>
          <w:rFonts w:hint="eastAsia" w:ascii="仿宋" w:hAnsi="仿宋" w:eastAsia="仿宋" w:cs="仿宋_GB2312"/>
          <w:b/>
          <w:color w:val="auto"/>
          <w:kern w:val="0"/>
          <w:szCs w:val="21"/>
          <w:highlight w:val="none"/>
          <w:lang w:val="zh-CN"/>
        </w:rPr>
        <w:t>。</w:t>
      </w:r>
    </w:p>
    <w:p>
      <w:pPr>
        <w:snapToGrid w:val="0"/>
        <w:spacing w:line="360" w:lineRule="auto"/>
        <w:ind w:firstLine="420" w:firstLineChars="200"/>
        <w:jc w:val="left"/>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3、以上表格要求细分项目及报价，在“规格型号（或具体服务）”一栏中，货物类项目填写规格型号，服务类项目填写具体服务。</w:t>
      </w:r>
    </w:p>
    <w:p>
      <w:pPr>
        <w:snapToGrid w:val="0"/>
        <w:spacing w:line="360" w:lineRule="auto"/>
        <w:ind w:firstLine="420" w:firstLineChars="200"/>
        <w:jc w:val="left"/>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4、特别提示：采购机构将对项目名称和项目编号，中标供应商名称、地址和中标金额，主要中标标的</w:t>
      </w:r>
      <w:r>
        <w:rPr>
          <w:rFonts w:hint="eastAsia" w:ascii="仿宋" w:hAnsi="仿宋" w:eastAsia="仿宋" w:cs="仿宋_GB2312"/>
          <w:color w:val="auto"/>
          <w:kern w:val="0"/>
          <w:szCs w:val="21"/>
          <w:highlight w:val="none"/>
          <w:lang w:val="zh-CN"/>
        </w:rPr>
        <w:t>的名称、规格型号、数量、单价、服务要求等予以公示。</w:t>
      </w:r>
    </w:p>
    <w:p>
      <w:pPr>
        <w:snapToGrid w:val="0"/>
        <w:spacing w:line="360" w:lineRule="auto"/>
        <w:ind w:firstLine="420" w:firstLineChars="200"/>
        <w:jc w:val="left"/>
        <w:rPr>
          <w:rFonts w:ascii="仿宋" w:hAnsi="仿宋" w:eastAsia="仿宋" w:cs="仿宋_GB2312"/>
          <w:color w:val="auto"/>
          <w:kern w:val="0"/>
          <w:szCs w:val="21"/>
          <w:highlight w:val="none"/>
          <w:lang w:val="zh-CN"/>
        </w:rPr>
        <w:sectPr>
          <w:pgSz w:w="16838" w:h="11905" w:orient="landscape"/>
          <w:pgMar w:top="1814" w:right="1474" w:bottom="1814" w:left="1474" w:header="851" w:footer="850" w:gutter="0"/>
          <w:cols w:space="0" w:num="1"/>
          <w:docGrid w:linePitch="312" w:charSpace="0"/>
        </w:sectPr>
      </w:pPr>
      <w:r>
        <w:rPr>
          <w:rFonts w:ascii="仿宋" w:hAnsi="仿宋" w:eastAsia="仿宋" w:cs="仿宋_GB2312"/>
          <w:color w:val="auto"/>
          <w:kern w:val="0"/>
          <w:szCs w:val="21"/>
          <w:highlight w:val="none"/>
          <w:lang w:val="zh-CN"/>
        </w:rPr>
        <w:t>5、</w:t>
      </w:r>
      <w:r>
        <w:rPr>
          <w:rFonts w:hint="eastAsia" w:ascii="仿宋" w:hAnsi="仿宋" w:eastAsia="仿宋" w:cs="仿宋_GB2312"/>
          <w:color w:val="auto"/>
          <w:kern w:val="0"/>
          <w:szCs w:val="21"/>
          <w:highlight w:val="none"/>
          <w:lang w:val="zh-CN"/>
        </w:rPr>
        <w:t>符合招标文件中列明的可享受中小企业扶持政策的投标人，请填写中小企业声明函。注：投标人</w:t>
      </w:r>
      <w:r>
        <w:rPr>
          <w:rFonts w:ascii="仿宋" w:hAnsi="仿宋" w:eastAsia="仿宋" w:cs="仿宋_GB2312"/>
          <w:color w:val="auto"/>
          <w:kern w:val="0"/>
          <w:szCs w:val="21"/>
          <w:highlight w:val="none"/>
          <w:lang w:val="zh-CN"/>
        </w:rPr>
        <w:t>提供</w:t>
      </w:r>
      <w:r>
        <w:rPr>
          <w:rFonts w:hint="eastAsia" w:ascii="仿宋" w:hAnsi="仿宋" w:eastAsia="仿宋" w:cs="仿宋_GB2312"/>
          <w:color w:val="auto"/>
          <w:kern w:val="0"/>
          <w:szCs w:val="21"/>
          <w:highlight w:val="none"/>
          <w:lang w:val="zh-CN"/>
        </w:rPr>
        <w:t>的中小企业</w:t>
      </w:r>
      <w:r>
        <w:rPr>
          <w:rFonts w:ascii="仿宋" w:hAnsi="仿宋" w:eastAsia="仿宋" w:cs="仿宋_GB2312"/>
          <w:color w:val="auto"/>
          <w:kern w:val="0"/>
          <w:szCs w:val="21"/>
          <w:highlight w:val="none"/>
          <w:lang w:val="zh-CN"/>
        </w:rPr>
        <w:t>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二、报价明细表</w:t>
      </w:r>
    </w:p>
    <w:p>
      <w:pPr>
        <w:spacing w:line="360" w:lineRule="auto"/>
        <w:contextualSpacing/>
        <w:rPr>
          <w:rFonts w:ascii="仿宋" w:hAnsi="仿宋" w:eastAsia="仿宋"/>
          <w:b/>
          <w:bCs/>
          <w:color w:val="auto"/>
          <w:szCs w:val="21"/>
          <w:highlight w:val="none"/>
        </w:rPr>
      </w:pPr>
      <w:r>
        <w:rPr>
          <w:rFonts w:hint="eastAsia" w:ascii="仿宋" w:hAnsi="仿宋" w:eastAsia="仿宋"/>
          <w:b/>
          <w:bCs/>
          <w:color w:val="auto"/>
          <w:szCs w:val="21"/>
          <w:highlight w:val="none"/>
        </w:rPr>
        <w:t>标项一：2023年新城街道区域保洁服务项目（南片）</w:t>
      </w:r>
    </w:p>
    <w:tbl>
      <w:tblPr>
        <w:tblStyle w:val="64"/>
        <w:tblW w:w="8627" w:type="dxa"/>
        <w:jc w:val="center"/>
        <w:tblLayout w:type="fixed"/>
        <w:tblCellMar>
          <w:top w:w="0" w:type="dxa"/>
          <w:left w:w="108" w:type="dxa"/>
          <w:bottom w:w="0" w:type="dxa"/>
          <w:right w:w="108" w:type="dxa"/>
        </w:tblCellMar>
      </w:tblPr>
      <w:tblGrid>
        <w:gridCol w:w="673"/>
        <w:gridCol w:w="3873"/>
        <w:gridCol w:w="873"/>
        <w:gridCol w:w="934"/>
        <w:gridCol w:w="1235"/>
        <w:gridCol w:w="1039"/>
      </w:tblGrid>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项目</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工程量</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单位</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单价（元）</w:t>
            </w: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合价（元）</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7954"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道路区域保洁</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1.1</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一级</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684354</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1.2</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二级</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128227</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2</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default" w:ascii="仿宋" w:hAnsi="仿宋" w:eastAsia="仿宋" w:cs="仿宋"/>
                <w:color w:val="auto"/>
                <w:kern w:val="0"/>
                <w:sz w:val="18"/>
                <w:szCs w:val="18"/>
                <w:highlight w:val="none"/>
                <w:lang w:val="en-US" w:eastAsia="zh-CN"/>
              </w:rPr>
              <w:t>沿街商铺保洁</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14340</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3</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default" w:ascii="仿宋" w:hAnsi="仿宋" w:eastAsia="仿宋" w:cs="仿宋"/>
                <w:color w:val="auto"/>
                <w:kern w:val="0"/>
                <w:sz w:val="18"/>
                <w:szCs w:val="18"/>
                <w:highlight w:val="none"/>
                <w:lang w:val="en-US" w:eastAsia="zh-CN"/>
              </w:rPr>
              <w:t>其它公共区域保洁</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82940</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4</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河道保洁</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133321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w:t>
            </w:r>
          </w:p>
        </w:tc>
        <w:tc>
          <w:tcPr>
            <w:tcW w:w="7954"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0"/>
                <w:sz w:val="18"/>
                <w:szCs w:val="18"/>
                <w:highlight w:val="none"/>
                <w:lang w:val="en-US" w:eastAsia="zh-CN"/>
              </w:rPr>
              <w:t>“席地可坐”城市客厅</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5.1</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sz w:val="18"/>
                <w:szCs w:val="18"/>
                <w:highlight w:val="none"/>
              </w:rPr>
              <w:t>江南摩尔广场</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45000</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5.2</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sz w:val="18"/>
                <w:szCs w:val="18"/>
                <w:highlight w:val="none"/>
              </w:rPr>
              <w:t>秀洲区政府广场</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45000</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w:t>
            </w:r>
          </w:p>
        </w:tc>
        <w:tc>
          <w:tcPr>
            <w:tcW w:w="7954" w:type="dxa"/>
            <w:gridSpan w:val="5"/>
            <w:tcBorders>
              <w:top w:val="single" w:color="auto" w:sz="4" w:space="0"/>
              <w:left w:val="single" w:color="auto" w:sz="4" w:space="0"/>
              <w:bottom w:val="single" w:color="auto" w:sz="4" w:space="0"/>
              <w:right w:val="single" w:color="auto" w:sz="4" w:space="0"/>
            </w:tcBorders>
            <w:noWrap/>
            <w:vAlign w:val="center"/>
          </w:tcPr>
          <w:p>
            <w:pPr>
              <w:widowControl/>
              <w:jc w:val="both"/>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0"/>
                <w:sz w:val="18"/>
                <w:szCs w:val="18"/>
                <w:highlight w:val="none"/>
                <w:lang w:val="en-US" w:eastAsia="zh-CN"/>
              </w:rPr>
              <w:t>其他保洁</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6.1</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迎检突击清运（应急处理专职队伍）</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项</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100000</w:t>
            </w: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6.2</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公交车站内及城市家具保洁（每天清洗一次）</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项</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6.3</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公厕日常维护保洁(含消杀)              (两座三星、七座二星管养标准)</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9</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座</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6.4</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沿街店面（商铺）垃圾分类上门收集</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项</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6.5</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其他为完成本街道范围内道路保洁所需的内容</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项</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7</w:t>
            </w:r>
          </w:p>
        </w:tc>
        <w:tc>
          <w:tcPr>
            <w:tcW w:w="56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合计</w:t>
            </w:r>
          </w:p>
        </w:tc>
        <w:tc>
          <w:tcPr>
            <w:tcW w:w="22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bl>
    <w:p>
      <w:pPr>
        <w:pStyle w:val="3"/>
        <w:spacing w:line="240" w:lineRule="auto"/>
        <w:ind w:left="0" w:firstLine="0"/>
        <w:rPr>
          <w:rFonts w:ascii="仿宋" w:eastAsia="仿宋"/>
          <w:color w:val="auto"/>
          <w:sz w:val="21"/>
          <w:szCs w:val="21"/>
          <w:highlight w:val="none"/>
          <w:lang w:val="en-US"/>
        </w:rPr>
      </w:pPr>
    </w:p>
    <w:p>
      <w:pPr>
        <w:pStyle w:val="4"/>
        <w:ind w:left="0" w:leftChars="0" w:firstLine="0" w:firstLineChars="0"/>
        <w:rPr>
          <w:rFonts w:hint="default"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注：本表合计金额与开标一览表投标报价一致。</w:t>
      </w:r>
    </w:p>
    <w:p>
      <w:pPr>
        <w:pStyle w:val="3"/>
        <w:spacing w:line="240" w:lineRule="auto"/>
        <w:ind w:left="0" w:firstLine="0"/>
        <w:rPr>
          <w:rFonts w:ascii="仿宋" w:eastAsia="仿宋"/>
          <w:color w:val="auto"/>
          <w:sz w:val="21"/>
          <w:szCs w:val="21"/>
          <w:highlight w:val="none"/>
          <w:lang w:val="en-US"/>
        </w:rPr>
      </w:pPr>
    </w:p>
    <w:p>
      <w:pPr>
        <w:pStyle w:val="4"/>
        <w:rPr>
          <w:rFonts w:ascii="仿宋" w:eastAsia="仿宋"/>
          <w:color w:val="auto"/>
          <w:sz w:val="21"/>
          <w:szCs w:val="21"/>
          <w:highlight w:val="none"/>
          <w:lang w:val="en-US"/>
        </w:rPr>
      </w:pPr>
    </w:p>
    <w:p>
      <w:pPr>
        <w:pStyle w:val="4"/>
        <w:rPr>
          <w:rFonts w:ascii="仿宋" w:eastAsia="仿宋"/>
          <w:color w:val="auto"/>
          <w:sz w:val="21"/>
          <w:szCs w:val="21"/>
          <w:highlight w:val="none"/>
          <w:lang w:val="en-US"/>
        </w:rPr>
      </w:pPr>
    </w:p>
    <w:p>
      <w:pPr>
        <w:pStyle w:val="4"/>
        <w:rPr>
          <w:rFonts w:ascii="仿宋" w:eastAsia="仿宋"/>
          <w:color w:val="auto"/>
          <w:sz w:val="21"/>
          <w:szCs w:val="21"/>
          <w:highlight w:val="none"/>
          <w:lang w:val="en-US"/>
        </w:rPr>
      </w:pPr>
    </w:p>
    <w:p>
      <w:pPr>
        <w:spacing w:line="360" w:lineRule="auto"/>
        <w:contextualSpacing/>
        <w:rPr>
          <w:rFonts w:hint="eastAsia" w:ascii="仿宋" w:hAnsi="仿宋" w:eastAsia="仿宋"/>
          <w:b/>
          <w:bCs/>
          <w:color w:val="auto"/>
          <w:szCs w:val="21"/>
          <w:highlight w:val="none"/>
        </w:rPr>
      </w:pPr>
    </w:p>
    <w:p>
      <w:pPr>
        <w:spacing w:line="360" w:lineRule="auto"/>
        <w:contextualSpacing/>
        <w:rPr>
          <w:rFonts w:hint="eastAsia" w:ascii="仿宋" w:hAnsi="仿宋" w:eastAsia="仿宋"/>
          <w:b/>
          <w:bCs/>
          <w:color w:val="auto"/>
          <w:szCs w:val="21"/>
          <w:highlight w:val="none"/>
        </w:rPr>
      </w:pPr>
    </w:p>
    <w:p>
      <w:pPr>
        <w:spacing w:line="360" w:lineRule="auto"/>
        <w:contextualSpacing/>
        <w:rPr>
          <w:rFonts w:ascii="仿宋" w:hAnsi="仿宋" w:eastAsia="仿宋"/>
          <w:b/>
          <w:bCs/>
          <w:color w:val="auto"/>
          <w:szCs w:val="21"/>
          <w:highlight w:val="none"/>
        </w:rPr>
      </w:pPr>
      <w:r>
        <w:rPr>
          <w:rFonts w:hint="eastAsia" w:ascii="仿宋" w:hAnsi="仿宋" w:eastAsia="仿宋"/>
          <w:b/>
          <w:bCs/>
          <w:color w:val="auto"/>
          <w:szCs w:val="21"/>
          <w:highlight w:val="none"/>
        </w:rPr>
        <w:t>标项</w:t>
      </w:r>
      <w:r>
        <w:rPr>
          <w:rFonts w:hint="eastAsia" w:ascii="仿宋" w:hAnsi="仿宋" w:eastAsia="仿宋"/>
          <w:b/>
          <w:bCs/>
          <w:color w:val="auto"/>
          <w:szCs w:val="21"/>
          <w:highlight w:val="none"/>
          <w:lang w:val="en-US" w:eastAsia="zh-CN"/>
        </w:rPr>
        <w:t>二</w:t>
      </w:r>
      <w:r>
        <w:rPr>
          <w:rFonts w:hint="eastAsia" w:ascii="仿宋" w:hAnsi="仿宋" w:eastAsia="仿宋"/>
          <w:b/>
          <w:bCs/>
          <w:color w:val="auto"/>
          <w:szCs w:val="21"/>
          <w:highlight w:val="none"/>
        </w:rPr>
        <w:t>：2023年新城街道区域保洁服务项目（</w:t>
      </w:r>
      <w:r>
        <w:rPr>
          <w:rFonts w:hint="eastAsia" w:ascii="仿宋" w:hAnsi="仿宋" w:eastAsia="仿宋"/>
          <w:b/>
          <w:bCs/>
          <w:color w:val="auto"/>
          <w:szCs w:val="21"/>
          <w:highlight w:val="none"/>
          <w:lang w:val="en-US" w:eastAsia="zh-CN"/>
        </w:rPr>
        <w:t>北</w:t>
      </w:r>
      <w:r>
        <w:rPr>
          <w:rFonts w:hint="eastAsia" w:ascii="仿宋" w:hAnsi="仿宋" w:eastAsia="仿宋"/>
          <w:b/>
          <w:bCs/>
          <w:color w:val="auto"/>
          <w:szCs w:val="21"/>
          <w:highlight w:val="none"/>
        </w:rPr>
        <w:t>片）</w:t>
      </w:r>
    </w:p>
    <w:tbl>
      <w:tblPr>
        <w:tblStyle w:val="64"/>
        <w:tblW w:w="8627" w:type="dxa"/>
        <w:jc w:val="center"/>
        <w:tblLayout w:type="fixed"/>
        <w:tblCellMar>
          <w:top w:w="0" w:type="dxa"/>
          <w:left w:w="108" w:type="dxa"/>
          <w:bottom w:w="0" w:type="dxa"/>
          <w:right w:w="108" w:type="dxa"/>
        </w:tblCellMar>
      </w:tblPr>
      <w:tblGrid>
        <w:gridCol w:w="673"/>
        <w:gridCol w:w="3873"/>
        <w:gridCol w:w="873"/>
        <w:gridCol w:w="934"/>
        <w:gridCol w:w="1235"/>
        <w:gridCol w:w="1039"/>
      </w:tblGrid>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项目</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工程量</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单位</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单价（元）</w:t>
            </w: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合价（元）</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7954"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道路区域保洁</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1.1</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一级</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421074</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1.2</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二级</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103492</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1.3</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三级</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79248</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2</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default" w:ascii="仿宋" w:hAnsi="仿宋" w:eastAsia="仿宋" w:cs="仿宋"/>
                <w:color w:val="auto"/>
                <w:kern w:val="0"/>
                <w:sz w:val="18"/>
                <w:szCs w:val="18"/>
                <w:highlight w:val="none"/>
                <w:lang w:val="en-US" w:eastAsia="zh-CN"/>
              </w:rPr>
              <w:t>沿街商铺保洁</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74130</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3</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default" w:ascii="仿宋" w:hAnsi="仿宋" w:eastAsia="仿宋" w:cs="仿宋"/>
                <w:color w:val="auto"/>
                <w:kern w:val="0"/>
                <w:sz w:val="18"/>
                <w:szCs w:val="18"/>
                <w:highlight w:val="none"/>
                <w:lang w:val="en-US" w:eastAsia="zh-CN"/>
              </w:rPr>
              <w:t>其它公共区域保洁</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93620</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4</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河道保洁</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387850</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m</w:t>
            </w:r>
            <w:r>
              <w:rPr>
                <w:rFonts w:hint="eastAsia" w:ascii="仿宋" w:hAnsi="仿宋" w:eastAsia="仿宋" w:cs="仿宋"/>
                <w:color w:val="auto"/>
                <w:kern w:val="0"/>
                <w:sz w:val="18"/>
                <w:szCs w:val="18"/>
                <w:highlight w:val="none"/>
                <w:vertAlign w:val="superscript"/>
                <w:lang w:val="en-US" w:eastAsia="zh-CN"/>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w:t>
            </w:r>
          </w:p>
        </w:tc>
        <w:tc>
          <w:tcPr>
            <w:tcW w:w="7954" w:type="dxa"/>
            <w:gridSpan w:val="5"/>
            <w:tcBorders>
              <w:top w:val="single" w:color="auto" w:sz="4" w:space="0"/>
              <w:left w:val="single" w:color="auto" w:sz="4" w:space="0"/>
              <w:bottom w:val="single" w:color="auto" w:sz="4" w:space="0"/>
              <w:right w:val="single" w:color="auto" w:sz="4" w:space="0"/>
            </w:tcBorders>
            <w:noWrap/>
            <w:vAlign w:val="center"/>
          </w:tcPr>
          <w:p>
            <w:pPr>
              <w:widowControl/>
              <w:jc w:val="both"/>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0"/>
                <w:sz w:val="18"/>
                <w:szCs w:val="18"/>
                <w:highlight w:val="none"/>
                <w:lang w:val="en-US" w:eastAsia="zh-CN"/>
              </w:rPr>
              <w:t>其他保洁</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5.1</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迎检突击清运（应急处理专职队伍）</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项</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200000</w:t>
            </w: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200000</w:t>
            </w: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5.2</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公交车站内及城市家具保洁（每天清洗一次）</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项</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5.3</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公厕日常维护保洁(含消杀)              (两座二星管养标准)</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座</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5.4</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沿街店面（商铺）垃圾分类上门收集</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项</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5.5</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其他为完成本街道范围内道路保洁所需的内容</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项</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w:t>
            </w:r>
          </w:p>
        </w:tc>
        <w:tc>
          <w:tcPr>
            <w:tcW w:w="56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合计</w:t>
            </w:r>
          </w:p>
        </w:tc>
        <w:tc>
          <w:tcPr>
            <w:tcW w:w="22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18"/>
                <w:szCs w:val="18"/>
                <w:highlight w:val="none"/>
                <w:lang w:val="en-US" w:eastAsia="zh-CN"/>
              </w:rPr>
            </w:pPr>
          </w:p>
        </w:tc>
      </w:tr>
    </w:tbl>
    <w:p>
      <w:pPr>
        <w:pStyle w:val="3"/>
        <w:spacing w:line="240" w:lineRule="auto"/>
        <w:ind w:left="0" w:firstLine="0"/>
        <w:rPr>
          <w:rFonts w:ascii="仿宋" w:eastAsia="仿宋"/>
          <w:color w:val="auto"/>
          <w:sz w:val="21"/>
          <w:szCs w:val="21"/>
          <w:highlight w:val="none"/>
          <w:lang w:val="en-US"/>
        </w:rPr>
      </w:pPr>
    </w:p>
    <w:p>
      <w:pPr>
        <w:pStyle w:val="3"/>
        <w:spacing w:line="240" w:lineRule="auto"/>
        <w:ind w:left="0" w:firstLine="0"/>
        <w:rPr>
          <w:rFonts w:hint="eastAsia" w:ascii="仿宋" w:eastAsia="仿宋"/>
          <w:color w:val="auto"/>
          <w:sz w:val="21"/>
          <w:szCs w:val="21"/>
          <w:highlight w:val="none"/>
          <w:lang w:val="en-US"/>
        </w:rPr>
      </w:pPr>
      <w:r>
        <w:rPr>
          <w:rFonts w:hint="eastAsia" w:ascii="仿宋" w:hAnsi="仿宋" w:eastAsia="仿宋" w:cs="仿宋"/>
          <w:color w:val="auto"/>
          <w:kern w:val="0"/>
          <w:sz w:val="18"/>
          <w:szCs w:val="18"/>
          <w:highlight w:val="none"/>
          <w:lang w:val="en-US" w:eastAsia="zh-CN" w:bidi="ar-SA"/>
        </w:rPr>
        <w:t>注：本表合计金额与开标一览表投标报价一致。</w:t>
      </w:r>
    </w:p>
    <w:p>
      <w:pPr>
        <w:pStyle w:val="3"/>
        <w:spacing w:line="240" w:lineRule="auto"/>
        <w:ind w:left="0" w:firstLine="0"/>
        <w:rPr>
          <w:rFonts w:hint="eastAsia" w:ascii="仿宋" w:eastAsia="仿宋"/>
          <w:color w:val="auto"/>
          <w:sz w:val="21"/>
          <w:szCs w:val="21"/>
          <w:highlight w:val="none"/>
          <w:lang w:val="en-US"/>
        </w:rPr>
      </w:pPr>
    </w:p>
    <w:p>
      <w:pPr>
        <w:pStyle w:val="692"/>
        <w:keepNext w:val="0"/>
        <w:pageBreakBefore w:val="0"/>
        <w:tabs>
          <w:tab w:val="clear" w:pos="720"/>
        </w:tabs>
        <w:snapToGrid w:val="0"/>
        <w:spacing w:before="120" w:after="120"/>
        <w:jc w:val="both"/>
        <w:outlineLvl w:val="9"/>
        <w:rPr>
          <w:rFonts w:ascii="仿宋" w:hAnsi="仿宋" w:eastAsia="仿宋" w:cs="仿宋_GB2312"/>
          <w:color w:val="auto"/>
          <w:kern w:val="2"/>
          <w:sz w:val="21"/>
          <w:szCs w:val="21"/>
          <w:highlight w:val="none"/>
        </w:rPr>
      </w:pPr>
    </w:p>
    <w:p>
      <w:pPr>
        <w:pStyle w:val="692"/>
        <w:keepNext w:val="0"/>
        <w:pageBreakBefore w:val="0"/>
        <w:tabs>
          <w:tab w:val="clear" w:pos="720"/>
        </w:tabs>
        <w:snapToGrid w:val="0"/>
        <w:spacing w:before="120" w:after="120"/>
        <w:jc w:val="both"/>
        <w:outlineLvl w:val="9"/>
        <w:rPr>
          <w:rFonts w:ascii="仿宋" w:hAnsi="仿宋" w:eastAsia="仿宋" w:cs="仿宋_GB2312"/>
          <w:color w:val="auto"/>
          <w:kern w:val="2"/>
          <w:sz w:val="21"/>
          <w:szCs w:val="21"/>
          <w:highlight w:val="none"/>
        </w:rPr>
      </w:pPr>
    </w:p>
    <w:p>
      <w:pPr>
        <w:pStyle w:val="692"/>
        <w:keepNext w:val="0"/>
        <w:pageBreakBefore w:val="0"/>
        <w:tabs>
          <w:tab w:val="clear" w:pos="720"/>
        </w:tabs>
        <w:snapToGrid w:val="0"/>
        <w:spacing w:before="120" w:after="120"/>
        <w:jc w:val="both"/>
        <w:outlineLvl w:val="9"/>
        <w:rPr>
          <w:rFonts w:ascii="仿宋" w:hAnsi="仿宋" w:eastAsia="仿宋" w:cs="仿宋_GB2312"/>
          <w:color w:val="auto"/>
          <w:kern w:val="2"/>
          <w:sz w:val="21"/>
          <w:szCs w:val="21"/>
          <w:highlight w:val="none"/>
        </w:rPr>
      </w:pPr>
    </w:p>
    <w:p>
      <w:pPr>
        <w:pStyle w:val="692"/>
        <w:keepNext w:val="0"/>
        <w:pageBreakBefore w:val="0"/>
        <w:tabs>
          <w:tab w:val="clear" w:pos="720"/>
        </w:tabs>
        <w:snapToGrid w:val="0"/>
        <w:spacing w:before="120" w:after="120"/>
        <w:jc w:val="both"/>
        <w:outlineLvl w:val="9"/>
        <w:rPr>
          <w:rFonts w:ascii="仿宋" w:hAnsi="仿宋" w:eastAsia="仿宋" w:cs="仿宋_GB2312"/>
          <w:color w:val="auto"/>
          <w:kern w:val="2"/>
          <w:sz w:val="21"/>
          <w:szCs w:val="21"/>
          <w:highlight w:val="none"/>
        </w:rPr>
      </w:pPr>
    </w:p>
    <w:p>
      <w:pPr>
        <w:pStyle w:val="692"/>
        <w:keepNext w:val="0"/>
        <w:pageBreakBefore w:val="0"/>
        <w:tabs>
          <w:tab w:val="clear" w:pos="720"/>
        </w:tabs>
        <w:snapToGrid w:val="0"/>
        <w:spacing w:before="120" w:after="120"/>
        <w:jc w:val="both"/>
        <w:outlineLvl w:val="9"/>
        <w:rPr>
          <w:rFonts w:ascii="仿宋" w:hAnsi="仿宋" w:eastAsia="仿宋" w:cs="仿宋_GB2312"/>
          <w:color w:val="auto"/>
          <w:kern w:val="2"/>
          <w:sz w:val="21"/>
          <w:szCs w:val="21"/>
          <w:highlight w:val="none"/>
        </w:rPr>
      </w:pPr>
    </w:p>
    <w:p>
      <w:pPr>
        <w:pStyle w:val="692"/>
        <w:keepNext w:val="0"/>
        <w:pageBreakBefore w:val="0"/>
        <w:tabs>
          <w:tab w:val="clear" w:pos="720"/>
        </w:tabs>
        <w:snapToGrid w:val="0"/>
        <w:spacing w:before="120" w:after="120"/>
        <w:jc w:val="both"/>
        <w:outlineLvl w:val="9"/>
        <w:rPr>
          <w:rFonts w:ascii="仿宋" w:hAnsi="仿宋" w:eastAsia="仿宋" w:cs="仿宋_GB2312"/>
          <w:color w:val="auto"/>
          <w:kern w:val="2"/>
          <w:sz w:val="21"/>
          <w:szCs w:val="21"/>
          <w:highlight w:val="none"/>
        </w:rPr>
      </w:pPr>
    </w:p>
    <w:p>
      <w:pPr>
        <w:pStyle w:val="692"/>
        <w:keepNext w:val="0"/>
        <w:pageBreakBefore w:val="0"/>
        <w:tabs>
          <w:tab w:val="clear" w:pos="720"/>
        </w:tabs>
        <w:snapToGrid w:val="0"/>
        <w:spacing w:before="120" w:after="120"/>
        <w:jc w:val="both"/>
        <w:outlineLvl w:val="9"/>
        <w:rPr>
          <w:rFonts w:ascii="仿宋" w:hAnsi="仿宋" w:eastAsia="仿宋" w:cs="仿宋_GB2312"/>
          <w:color w:val="auto"/>
          <w:kern w:val="2"/>
          <w:sz w:val="21"/>
          <w:szCs w:val="21"/>
          <w:highlight w:val="none"/>
        </w:rPr>
      </w:pPr>
    </w:p>
    <w:p>
      <w:pPr>
        <w:pStyle w:val="692"/>
        <w:keepNext w:val="0"/>
        <w:pageBreakBefore w:val="0"/>
        <w:tabs>
          <w:tab w:val="clear" w:pos="720"/>
        </w:tabs>
        <w:snapToGrid w:val="0"/>
        <w:spacing w:before="120" w:after="120"/>
        <w:jc w:val="both"/>
        <w:outlineLvl w:val="9"/>
        <w:rPr>
          <w:rFonts w:ascii="仿宋" w:hAnsi="仿宋" w:eastAsia="仿宋" w:cs="仿宋_GB2312"/>
          <w:color w:val="auto"/>
          <w:kern w:val="2"/>
          <w:sz w:val="21"/>
          <w:szCs w:val="21"/>
          <w:highlight w:val="none"/>
        </w:rPr>
      </w:pPr>
    </w:p>
    <w:p>
      <w:pPr>
        <w:pStyle w:val="692"/>
        <w:keepNext w:val="0"/>
        <w:pageBreakBefore w:val="0"/>
        <w:tabs>
          <w:tab w:val="clear" w:pos="720"/>
        </w:tabs>
        <w:snapToGrid w:val="0"/>
        <w:spacing w:before="120" w:after="120"/>
        <w:outlineLvl w:val="9"/>
        <w:rPr>
          <w:rFonts w:ascii="仿宋" w:hAnsi="仿宋" w:eastAsia="仿宋"/>
          <w:color w:val="auto"/>
          <w:sz w:val="32"/>
          <w:szCs w:val="32"/>
          <w:highlight w:val="none"/>
        </w:rPr>
      </w:pPr>
      <w:r>
        <w:rPr>
          <w:rFonts w:hint="eastAsia" w:ascii="仿宋" w:hAnsi="仿宋" w:eastAsia="仿宋" w:cs="仿宋_GB2312"/>
          <w:color w:val="auto"/>
          <w:kern w:val="2"/>
          <w:sz w:val="32"/>
          <w:szCs w:val="32"/>
          <w:highlight w:val="none"/>
        </w:rPr>
        <w:t>三、</w:t>
      </w:r>
      <w:r>
        <w:rPr>
          <w:rFonts w:hint="eastAsia" w:ascii="仿宋" w:hAnsi="仿宋" w:eastAsia="仿宋"/>
          <w:color w:val="auto"/>
          <w:sz w:val="32"/>
          <w:szCs w:val="32"/>
          <w:highlight w:val="none"/>
        </w:rPr>
        <w:t>中小企业声明函</w:t>
      </w:r>
    </w:p>
    <w:p>
      <w:pPr>
        <w:widowControl/>
        <w:spacing w:line="360" w:lineRule="auto"/>
        <w:ind w:firstLine="105" w:firstLineChars="50"/>
        <w:jc w:val="left"/>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color w:val="auto"/>
          <w:szCs w:val="21"/>
          <w:highlight w:val="none"/>
          <w:lang w:val="en-US" w:eastAsia="zh-CN"/>
        </w:rPr>
        <w:t>4</w:t>
      </w:r>
      <w:r>
        <w:rPr>
          <w:rFonts w:ascii="仿宋" w:hAnsi="仿宋" w:eastAsia="仿宋" w:cs="仿宋_GB2312"/>
          <w:b/>
          <w:color w:val="auto"/>
          <w:szCs w:val="21"/>
          <w:highlight w:val="none"/>
        </w:rPr>
        <w:t>）。</w:t>
      </w:r>
      <w:r>
        <w:rPr>
          <w:rFonts w:hint="eastAsia" w:ascii="仿宋" w:hAnsi="仿宋" w:eastAsia="仿宋" w:cs="仿宋_GB2312"/>
          <w:b/>
          <w:color w:val="auto"/>
          <w:szCs w:val="21"/>
          <w:highlight w:val="none"/>
        </w:rPr>
        <w:t>]</w:t>
      </w:r>
    </w:p>
    <w:p>
      <w:pPr>
        <w:pStyle w:val="3"/>
        <w:rPr>
          <w:rFonts w:ascii="仿宋" w:eastAsia="仿宋"/>
          <w:color w:val="auto"/>
          <w:highlight w:val="none"/>
        </w:rPr>
      </w:pPr>
      <w:r>
        <w:rPr>
          <w:rFonts w:ascii="仿宋" w:eastAsia="仿宋"/>
          <w:color w:val="auto"/>
          <w:highlight w:val="none"/>
        </w:rPr>
        <w:br w:type="page"/>
      </w:r>
    </w:p>
    <w:p>
      <w:pPr>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四、代理服务费支付承诺书</w:t>
      </w:r>
    </w:p>
    <w:p>
      <w:pPr>
        <w:snapToGrid w:val="0"/>
        <w:spacing w:before="50" w:after="50"/>
        <w:rPr>
          <w:rFonts w:ascii="仿宋" w:hAnsi="仿宋" w:eastAsia="仿宋"/>
          <w:color w:val="auto"/>
          <w:spacing w:val="20"/>
          <w:sz w:val="24"/>
          <w:highlight w:val="none"/>
          <w:u w:val="single"/>
        </w:rPr>
      </w:pPr>
    </w:p>
    <w:p>
      <w:pPr>
        <w:spacing w:line="360" w:lineRule="auto"/>
        <w:contextualSpacing/>
        <w:rPr>
          <w:rFonts w:ascii="仿宋" w:hAnsi="仿宋" w:eastAsia="仿宋"/>
          <w:color w:val="auto"/>
          <w:spacing w:val="20"/>
          <w:szCs w:val="21"/>
          <w:highlight w:val="none"/>
        </w:rPr>
      </w:pPr>
      <w:r>
        <w:rPr>
          <w:rFonts w:hint="eastAsia" w:ascii="仿宋" w:hAnsi="仿宋" w:eastAsia="仿宋"/>
          <w:color w:val="auto"/>
          <w:spacing w:val="20"/>
          <w:szCs w:val="21"/>
          <w:highlight w:val="none"/>
        </w:rPr>
        <w:t>致：</w:t>
      </w:r>
    </w:p>
    <w:p>
      <w:pPr>
        <w:spacing w:line="360" w:lineRule="auto"/>
        <w:contextualSpacing/>
        <w:rPr>
          <w:rFonts w:ascii="仿宋" w:hAnsi="仿宋" w:eastAsia="仿宋"/>
          <w:color w:val="auto"/>
          <w:spacing w:val="20"/>
          <w:szCs w:val="21"/>
          <w:highlight w:val="none"/>
        </w:rPr>
      </w:pPr>
    </w:p>
    <w:p>
      <w:pPr>
        <w:spacing w:line="360" w:lineRule="auto"/>
        <w:ind w:firstLine="630"/>
        <w:contextualSpacing/>
        <w:rPr>
          <w:rFonts w:ascii="仿宋" w:hAnsi="仿宋" w:eastAsia="仿宋"/>
          <w:color w:val="auto"/>
          <w:spacing w:val="20"/>
          <w:szCs w:val="21"/>
          <w:highlight w:val="none"/>
        </w:rPr>
      </w:pPr>
      <w:r>
        <w:rPr>
          <w:rFonts w:hint="eastAsia" w:ascii="仿宋" w:hAnsi="仿宋" w:eastAsia="仿宋"/>
          <w:color w:val="auto"/>
          <w:spacing w:val="20"/>
          <w:szCs w:val="21"/>
          <w:highlight w:val="none"/>
        </w:rPr>
        <w:t>我公司已认真阅读了招标文件（</w:t>
      </w:r>
      <w:r>
        <w:rPr>
          <w:rFonts w:ascii="仿宋" w:hAnsi="仿宋" w:eastAsia="仿宋"/>
          <w:color w:val="auto"/>
          <w:spacing w:val="20"/>
          <w:szCs w:val="21"/>
          <w:highlight w:val="none"/>
        </w:rPr>
        <w:t>招标编号</w:t>
      </w:r>
      <w:r>
        <w:rPr>
          <w:rFonts w:hint="eastAsia" w:ascii="仿宋" w:hAnsi="仿宋" w:eastAsia="仿宋"/>
          <w:color w:val="auto"/>
          <w:spacing w:val="20"/>
          <w:szCs w:val="21"/>
          <w:highlight w:val="none"/>
        </w:rPr>
        <w:t>：          ）并在此承诺：</w:t>
      </w:r>
    </w:p>
    <w:p>
      <w:pPr>
        <w:spacing w:line="360" w:lineRule="auto"/>
        <w:ind w:firstLine="630"/>
        <w:contextualSpacing/>
        <w:rPr>
          <w:rFonts w:ascii="仿宋" w:hAnsi="仿宋" w:eastAsia="仿宋"/>
          <w:color w:val="auto"/>
          <w:szCs w:val="21"/>
          <w:highlight w:val="none"/>
        </w:rPr>
      </w:pPr>
      <w:r>
        <w:rPr>
          <w:rFonts w:hint="eastAsia" w:ascii="仿宋" w:hAnsi="仿宋" w:eastAsia="仿宋"/>
          <w:color w:val="auto"/>
          <w:szCs w:val="21"/>
          <w:highlight w:val="none"/>
        </w:rPr>
        <w:t>如中标，我公司将自中标公告发布之日起5个工作日内按招标文件规定的标准（详见</w:t>
      </w:r>
      <w:r>
        <w:rPr>
          <w:rFonts w:ascii="仿宋" w:hAnsi="仿宋" w:eastAsia="仿宋"/>
          <w:color w:val="auto"/>
          <w:szCs w:val="21"/>
          <w:highlight w:val="none"/>
        </w:rPr>
        <w:t>第</w:t>
      </w:r>
      <w:r>
        <w:rPr>
          <w:rFonts w:hint="eastAsia" w:ascii="仿宋" w:hAnsi="仿宋" w:eastAsia="仿宋"/>
          <w:color w:val="auto"/>
          <w:szCs w:val="21"/>
          <w:highlight w:val="none"/>
        </w:rPr>
        <w:t>二部分 投标人须知 前附表）一次性向采购代理机构支付代理服务费。</w:t>
      </w:r>
    </w:p>
    <w:p>
      <w:pPr>
        <w:spacing w:line="360" w:lineRule="auto"/>
        <w:ind w:firstLine="630"/>
        <w:contextualSpacing/>
        <w:rPr>
          <w:rFonts w:ascii="仿宋" w:hAnsi="仿宋" w:eastAsia="仿宋"/>
          <w:color w:val="auto"/>
          <w:szCs w:val="21"/>
          <w:highlight w:val="none"/>
        </w:rPr>
      </w:pPr>
    </w:p>
    <w:p>
      <w:pPr>
        <w:spacing w:line="360" w:lineRule="auto"/>
        <w:ind w:firstLine="630"/>
        <w:contextualSpacing/>
        <w:rPr>
          <w:rFonts w:ascii="仿宋" w:hAnsi="仿宋" w:eastAsia="仿宋"/>
          <w:color w:val="auto"/>
          <w:szCs w:val="21"/>
          <w:highlight w:val="none"/>
        </w:rPr>
      </w:pPr>
    </w:p>
    <w:p>
      <w:pPr>
        <w:spacing w:line="360" w:lineRule="auto"/>
        <w:ind w:firstLine="630"/>
        <w:contextualSpacing/>
        <w:rPr>
          <w:rFonts w:ascii="仿宋" w:hAnsi="仿宋" w:eastAsia="仿宋"/>
          <w:color w:val="auto"/>
          <w:szCs w:val="21"/>
          <w:highlight w:val="none"/>
        </w:rPr>
      </w:pPr>
    </w:p>
    <w:p>
      <w:pPr>
        <w:spacing w:line="360" w:lineRule="auto"/>
        <w:ind w:firstLine="630"/>
        <w:contextualSpacing/>
        <w:rPr>
          <w:rFonts w:ascii="仿宋" w:hAnsi="仿宋" w:eastAsia="仿宋"/>
          <w:color w:val="auto"/>
          <w:szCs w:val="21"/>
          <w:highlight w:val="none"/>
        </w:rPr>
      </w:pPr>
    </w:p>
    <w:p>
      <w:pPr>
        <w:spacing w:line="360" w:lineRule="auto"/>
        <w:contextualSpacing/>
        <w:rPr>
          <w:rFonts w:ascii="仿宋" w:hAnsi="仿宋" w:eastAsia="仿宋"/>
          <w:color w:val="auto"/>
          <w:szCs w:val="21"/>
          <w:highlight w:val="none"/>
        </w:rPr>
      </w:pPr>
      <w:r>
        <w:rPr>
          <w:rFonts w:hint="eastAsia" w:ascii="仿宋" w:hAnsi="仿宋" w:eastAsia="仿宋"/>
          <w:color w:val="auto"/>
          <w:szCs w:val="21"/>
          <w:highlight w:val="none"/>
        </w:rPr>
        <w:t>承诺方（投标人）名称</w:t>
      </w:r>
      <w:r>
        <w:rPr>
          <w:rFonts w:ascii="仿宋" w:hAnsi="仿宋" w:eastAsia="仿宋"/>
          <w:color w:val="auto"/>
          <w:spacing w:val="20"/>
          <w:szCs w:val="21"/>
          <w:highlight w:val="none"/>
        </w:rPr>
        <w:t>（公章）</w:t>
      </w:r>
      <w:r>
        <w:rPr>
          <w:rFonts w:ascii="仿宋" w:hAnsi="仿宋" w:eastAsia="仿宋"/>
          <w:color w:val="auto"/>
          <w:szCs w:val="21"/>
          <w:highlight w:val="none"/>
        </w:rPr>
        <w:t>:___________________</w:t>
      </w:r>
    </w:p>
    <w:p>
      <w:pPr>
        <w:spacing w:line="360" w:lineRule="auto"/>
        <w:contextualSpacing/>
        <w:rPr>
          <w:rFonts w:ascii="仿宋" w:hAnsi="仿宋" w:eastAsia="仿宋"/>
          <w:color w:val="auto"/>
          <w:szCs w:val="21"/>
          <w:highlight w:val="none"/>
        </w:rPr>
      </w:pPr>
      <w:r>
        <w:rPr>
          <w:rFonts w:ascii="仿宋" w:hAnsi="仿宋" w:eastAsia="仿宋"/>
          <w:color w:val="auto"/>
          <w:spacing w:val="20"/>
          <w:szCs w:val="21"/>
          <w:highlight w:val="none"/>
        </w:rPr>
        <w:t>法定代表人或</w:t>
      </w:r>
      <w:r>
        <w:rPr>
          <w:rFonts w:hint="eastAsia" w:ascii="仿宋" w:hAnsi="仿宋" w:eastAsia="仿宋"/>
          <w:color w:val="auto"/>
          <w:szCs w:val="21"/>
          <w:highlight w:val="none"/>
        </w:rPr>
        <w:t>授权代表</w:t>
      </w:r>
      <w:r>
        <w:rPr>
          <w:rFonts w:ascii="仿宋" w:hAnsi="仿宋" w:eastAsia="仿宋"/>
          <w:color w:val="auto"/>
          <w:spacing w:val="20"/>
          <w:szCs w:val="21"/>
          <w:highlight w:val="none"/>
        </w:rPr>
        <w:t>（签字）</w:t>
      </w:r>
      <w:r>
        <w:rPr>
          <w:rFonts w:ascii="仿宋" w:hAnsi="仿宋" w:eastAsia="仿宋"/>
          <w:color w:val="auto"/>
          <w:szCs w:val="21"/>
          <w:highlight w:val="none"/>
        </w:rPr>
        <w:t>:___________</w:t>
      </w:r>
    </w:p>
    <w:p>
      <w:pPr>
        <w:spacing w:line="360" w:lineRule="auto"/>
        <w:contextualSpacing/>
        <w:rPr>
          <w:rFonts w:ascii="仿宋" w:hAnsi="仿宋" w:eastAsia="仿宋"/>
          <w:color w:val="auto"/>
          <w:szCs w:val="21"/>
          <w:highlight w:val="none"/>
        </w:rPr>
      </w:pPr>
      <w:r>
        <w:rPr>
          <w:rFonts w:hint="eastAsia" w:ascii="仿宋" w:hAnsi="仿宋" w:eastAsia="仿宋"/>
          <w:color w:val="auto"/>
          <w:szCs w:val="21"/>
          <w:highlight w:val="none"/>
        </w:rPr>
        <w:t>承诺方（投标人）地址</w:t>
      </w:r>
      <w:r>
        <w:rPr>
          <w:rFonts w:ascii="仿宋" w:hAnsi="仿宋" w:eastAsia="仿宋"/>
          <w:color w:val="auto"/>
          <w:szCs w:val="21"/>
          <w:highlight w:val="none"/>
        </w:rPr>
        <w:t xml:space="preserve">:_______________ </w:t>
      </w:r>
    </w:p>
    <w:p>
      <w:pPr>
        <w:spacing w:line="360" w:lineRule="auto"/>
        <w:contextualSpacing/>
        <w:rPr>
          <w:rFonts w:ascii="仿宋" w:hAnsi="仿宋" w:eastAsia="仿宋"/>
          <w:color w:val="auto"/>
          <w:szCs w:val="21"/>
          <w:highlight w:val="none"/>
          <w:u w:val="single"/>
        </w:rPr>
      </w:pPr>
      <w:r>
        <w:rPr>
          <w:rFonts w:hint="eastAsia" w:ascii="仿宋" w:hAnsi="仿宋" w:eastAsia="仿宋"/>
          <w:color w:val="auto"/>
          <w:szCs w:val="21"/>
          <w:highlight w:val="none"/>
        </w:rPr>
        <w:t>联系电话：    联系传真：</w:t>
      </w:r>
    </w:p>
    <w:p>
      <w:pPr>
        <w:widowControl/>
        <w:spacing w:line="360" w:lineRule="auto"/>
        <w:contextualSpacing/>
        <w:jc w:val="left"/>
        <w:rPr>
          <w:rFonts w:ascii="仿宋" w:hAnsi="仿宋" w:eastAsia="仿宋" w:cs="仿宋_GB2312"/>
          <w:b/>
          <w:color w:val="auto"/>
          <w:sz w:val="24"/>
          <w:highlight w:val="none"/>
        </w:rPr>
      </w:pPr>
      <w:r>
        <w:rPr>
          <w:rFonts w:hint="eastAsia" w:ascii="仿宋" w:hAnsi="仿宋" w:eastAsia="仿宋"/>
          <w:color w:val="auto"/>
          <w:szCs w:val="21"/>
          <w:highlight w:val="none"/>
        </w:rPr>
        <w:t>承诺日期</w:t>
      </w:r>
      <w:r>
        <w:rPr>
          <w:rFonts w:ascii="仿宋" w:hAnsi="仿宋" w:eastAsia="仿宋"/>
          <w:color w:val="auto"/>
          <w:szCs w:val="21"/>
          <w:highlight w:val="none"/>
        </w:rPr>
        <w:t>:_____</w:t>
      </w:r>
      <w:r>
        <w:rPr>
          <w:rFonts w:hint="eastAsia" w:ascii="仿宋" w:hAnsi="仿宋" w:eastAsia="仿宋"/>
          <w:color w:val="auto"/>
          <w:szCs w:val="21"/>
          <w:highlight w:val="none"/>
        </w:rPr>
        <w:t>年</w:t>
      </w:r>
      <w:r>
        <w:rPr>
          <w:rFonts w:ascii="仿宋" w:hAnsi="仿宋" w:eastAsia="仿宋"/>
          <w:color w:val="auto"/>
          <w:szCs w:val="21"/>
          <w:highlight w:val="none"/>
        </w:rPr>
        <w:t>___</w:t>
      </w:r>
      <w:r>
        <w:rPr>
          <w:rFonts w:hint="eastAsia" w:ascii="仿宋" w:hAnsi="仿宋" w:eastAsia="仿宋"/>
          <w:color w:val="auto"/>
          <w:szCs w:val="21"/>
          <w:highlight w:val="none"/>
        </w:rPr>
        <w:t>月</w:t>
      </w:r>
      <w:r>
        <w:rPr>
          <w:rFonts w:ascii="仿宋" w:hAnsi="仿宋" w:eastAsia="仿宋"/>
          <w:color w:val="auto"/>
          <w:szCs w:val="21"/>
          <w:highlight w:val="none"/>
        </w:rPr>
        <w:t>___</w:t>
      </w:r>
      <w:r>
        <w:rPr>
          <w:rFonts w:hint="eastAsia" w:ascii="仿宋" w:hAnsi="仿宋" w:eastAsia="仿宋"/>
          <w:color w:val="auto"/>
          <w:szCs w:val="21"/>
          <w:highlight w:val="none"/>
        </w:rPr>
        <w:t>日</w:t>
      </w:r>
    </w:p>
    <w:p>
      <w:pPr>
        <w:pStyle w:val="692"/>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widowControl/>
        <w:adjustRightInd/>
        <w:jc w:val="left"/>
        <w:rPr>
          <w:rFonts w:ascii="仿宋" w:hAnsi="仿宋" w:eastAsia="仿宋" w:cs="仿宋_GB2312"/>
          <w:b/>
          <w:color w:val="auto"/>
          <w:sz w:val="32"/>
          <w:szCs w:val="32"/>
          <w:highlight w:val="none"/>
        </w:rPr>
      </w:pPr>
    </w:p>
    <w:p>
      <w:pPr>
        <w:widowControl/>
        <w:adjustRightInd/>
        <w:jc w:val="left"/>
        <w:rPr>
          <w:rFonts w:ascii="仿宋" w:hAnsi="仿宋" w:eastAsia="仿宋" w:cs="仿宋_GB2312"/>
          <w:b/>
          <w:color w:val="auto"/>
          <w:sz w:val="32"/>
          <w:szCs w:val="32"/>
          <w:highlight w:val="none"/>
        </w:rPr>
      </w:pPr>
      <w:r>
        <w:rPr>
          <w:rFonts w:ascii="仿宋" w:hAnsi="仿宋" w:eastAsia="仿宋" w:cs="仿宋_GB2312"/>
          <w:b/>
          <w:color w:val="auto"/>
          <w:sz w:val="32"/>
          <w:szCs w:val="32"/>
          <w:highlight w:val="none"/>
        </w:rPr>
        <w:br w:type="page"/>
      </w:r>
    </w:p>
    <w:p>
      <w:pPr>
        <w:pStyle w:val="2"/>
        <w:keepNext w:val="0"/>
        <w:keepLines w:val="0"/>
        <w:pageBreakBefore/>
        <w:widowControl/>
        <w:spacing w:before="100" w:beforeAutospacing="1" w:after="100" w:afterAutospacing="1" w:line="360" w:lineRule="auto"/>
        <w:ind w:left="0" w:firstLine="0"/>
        <w:jc w:val="center"/>
        <w:rPr>
          <w:rFonts w:ascii="仿宋" w:hAnsi="仿宋" w:eastAsia="仿宋"/>
          <w:color w:val="auto"/>
          <w:highlight w:val="none"/>
        </w:rPr>
      </w:pPr>
      <w:bookmarkStart w:id="403" w:name="_Toc465665161"/>
      <w:r>
        <w:rPr>
          <w:rFonts w:hint="eastAsia" w:ascii="仿宋" w:hAnsi="仿宋" w:eastAsia="仿宋"/>
          <w:color w:val="auto"/>
          <w:highlight w:val="none"/>
        </w:rPr>
        <w:t>附件</w:t>
      </w:r>
      <w:bookmarkEnd w:id="403"/>
    </w:p>
    <w:p>
      <w:pPr>
        <w:spacing w:line="360" w:lineRule="auto"/>
        <w:rPr>
          <w:rFonts w:ascii="仿宋" w:hAnsi="仿宋" w:eastAsia="仿宋"/>
          <w:b/>
          <w:color w:val="auto"/>
          <w:spacing w:val="6"/>
          <w:szCs w:val="21"/>
          <w:highlight w:val="none"/>
        </w:rPr>
      </w:pPr>
      <w:r>
        <w:rPr>
          <w:rFonts w:hint="eastAsia" w:ascii="仿宋" w:hAnsi="仿宋" w:eastAsia="仿宋"/>
          <w:b/>
          <w:color w:val="auto"/>
          <w:spacing w:val="6"/>
          <w:szCs w:val="21"/>
          <w:highlight w:val="none"/>
        </w:rPr>
        <w:t>附件</w:t>
      </w:r>
      <w:r>
        <w:rPr>
          <w:rFonts w:ascii="仿宋" w:hAnsi="仿宋" w:eastAsia="仿宋"/>
          <w:b/>
          <w:color w:val="auto"/>
          <w:spacing w:val="6"/>
          <w:szCs w:val="21"/>
          <w:highlight w:val="none"/>
        </w:rPr>
        <w:t>1：</w:t>
      </w:r>
    </w:p>
    <w:p>
      <w:pPr>
        <w:spacing w:line="360" w:lineRule="auto"/>
        <w:jc w:val="center"/>
        <w:rPr>
          <w:rFonts w:ascii="仿宋" w:hAnsi="仿宋" w:eastAsia="仿宋"/>
          <w:b/>
          <w:color w:val="auto"/>
          <w:spacing w:val="6"/>
          <w:szCs w:val="21"/>
          <w:highlight w:val="none"/>
        </w:rPr>
      </w:pPr>
      <w:bookmarkStart w:id="404" w:name="OLE_LINK13"/>
      <w:bookmarkStart w:id="405" w:name="OLE_LINK14"/>
      <w:r>
        <w:rPr>
          <w:rFonts w:hint="eastAsia" w:ascii="仿宋" w:hAnsi="仿宋" w:eastAsia="仿宋"/>
          <w:b/>
          <w:color w:val="auto"/>
          <w:spacing w:val="6"/>
          <w:szCs w:val="21"/>
          <w:highlight w:val="none"/>
        </w:rPr>
        <w:t>残疾人福利性单位声明函</w:t>
      </w:r>
    </w:p>
    <w:bookmarkEnd w:id="404"/>
    <w:bookmarkEnd w:id="405"/>
    <w:p>
      <w:pPr>
        <w:spacing w:line="360" w:lineRule="auto"/>
        <w:rPr>
          <w:rFonts w:ascii="仿宋" w:hAnsi="仿宋" w:eastAsia="仿宋"/>
          <w:b/>
          <w:color w:val="auto"/>
          <w:spacing w:val="6"/>
          <w:szCs w:val="21"/>
          <w:highlight w:val="none"/>
        </w:rPr>
      </w:pP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本单位郑重声明，根据《财政部民政部中国残疾人联合会关于促进残疾人就业政府采购政策的通知》（财库〔</w:t>
      </w:r>
      <w:r>
        <w:rPr>
          <w:rFonts w:ascii="仿宋" w:hAnsi="仿宋" w:eastAsia="仿宋" w:cs="仿宋_GB2312"/>
          <w:color w:val="auto"/>
          <w:szCs w:val="21"/>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本单位对上述声明的真实性负责。如有虚假，将依法承担相应责任。</w:t>
      </w:r>
    </w:p>
    <w:p>
      <w:pPr>
        <w:spacing w:line="360" w:lineRule="auto"/>
        <w:ind w:firstLine="420" w:firstLineChars="200"/>
        <w:rPr>
          <w:rFonts w:ascii="仿宋" w:hAnsi="仿宋" w:eastAsia="仿宋" w:cs="仿宋_GB2312"/>
          <w:color w:val="auto"/>
          <w:szCs w:val="21"/>
          <w:highlight w:val="none"/>
        </w:rPr>
      </w:pPr>
    </w:p>
    <w:p>
      <w:pPr>
        <w:spacing w:line="360" w:lineRule="auto"/>
        <w:ind w:firstLine="420" w:firstLineChars="200"/>
        <w:rPr>
          <w:rFonts w:ascii="仿宋" w:hAnsi="仿宋" w:eastAsia="仿宋" w:cs="仿宋_GB2312"/>
          <w:color w:val="auto"/>
          <w:szCs w:val="21"/>
          <w:highlight w:val="none"/>
        </w:rPr>
      </w:pPr>
    </w:p>
    <w:p>
      <w:pPr>
        <w:tabs>
          <w:tab w:val="left" w:pos="4860"/>
        </w:tabs>
        <w:spacing w:line="360" w:lineRule="auto"/>
        <w:ind w:right="1560" w:firstLine="420" w:firstLineChars="200"/>
        <w:jc w:val="center"/>
        <w:rPr>
          <w:rFonts w:ascii="仿宋" w:hAnsi="仿宋" w:eastAsia="仿宋" w:cs="仿宋_GB2312"/>
          <w:color w:val="auto"/>
          <w:szCs w:val="21"/>
          <w:highlight w:val="none"/>
        </w:rPr>
      </w:pPr>
      <w:r>
        <w:rPr>
          <w:rFonts w:hint="eastAsia" w:ascii="仿宋" w:hAnsi="仿宋" w:eastAsia="仿宋" w:cs="仿宋_GB2312"/>
          <w:color w:val="auto"/>
          <w:kern w:val="0"/>
          <w:szCs w:val="21"/>
          <w:highlight w:val="none"/>
          <w:lang w:val="zh-CN"/>
        </w:rPr>
        <w:t>投标人名称（电子签名）</w:t>
      </w:r>
      <w:r>
        <w:rPr>
          <w:rFonts w:hint="eastAsia" w:ascii="仿宋" w:hAnsi="仿宋" w:eastAsia="仿宋" w:cs="仿宋_GB2312"/>
          <w:color w:val="auto"/>
          <w:szCs w:val="21"/>
          <w:highlight w:val="none"/>
        </w:rPr>
        <w:t>：</w:t>
      </w:r>
    </w:p>
    <w:p>
      <w:pPr>
        <w:tabs>
          <w:tab w:val="left" w:pos="4860"/>
        </w:tabs>
        <w:spacing w:line="360" w:lineRule="auto"/>
        <w:ind w:right="1560" w:firstLine="420" w:firstLineChars="200"/>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pStyle w:val="3"/>
        <w:rPr>
          <w:rFonts w:ascii="仿宋" w:eastAsia="仿宋" w:cs="仿宋_GB2312"/>
          <w:color w:val="auto"/>
          <w:sz w:val="24"/>
          <w:highlight w:val="none"/>
        </w:rPr>
      </w:pPr>
    </w:p>
    <w:p>
      <w:pPr>
        <w:rPr>
          <w:rFonts w:ascii="仿宋" w:hAnsi="仿宋" w:eastAsia="仿宋" w:cs="仿宋_GB2312"/>
          <w:b/>
          <w:color w:val="auto"/>
          <w:sz w:val="24"/>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投诉人于年月日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pPr>
        <w:spacing w:line="360" w:lineRule="auto"/>
        <w:rPr>
          <w:rFonts w:ascii="仿宋" w:hAnsi="仿宋" w:eastAsia="仿宋"/>
          <w:color w:val="auto"/>
          <w:sz w:val="24"/>
          <w:highlight w:val="none"/>
          <w:u w:val="dotted"/>
        </w:rPr>
      </w:pP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于年月日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pPr>
        <w:spacing w:line="360" w:lineRule="auto"/>
        <w:rPr>
          <w:rFonts w:ascii="仿宋" w:hAnsi="仿宋" w:eastAsia="仿宋"/>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4</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中小企业声明函（货物）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hint="eastAsia" w:ascii="仿宋" w:hAnsi="仿宋" w:eastAsia="仿宋" w:cs="宋体"/>
          <w:color w:val="auto"/>
          <w:sz w:val="24"/>
          <w:highlight w:val="none"/>
        </w:rPr>
        <w:t>﹝</w:t>
      </w:r>
      <w:r>
        <w:rPr>
          <w:rFonts w:ascii="仿宋" w:hAnsi="仿宋" w:eastAsia="仿宋"/>
          <w:color w:val="auto"/>
          <w:sz w:val="24"/>
          <w:highlight w:val="none"/>
        </w:rPr>
        <w:t>2020</w:t>
      </w:r>
      <w:r>
        <w:rPr>
          <w:rFonts w:hint="eastAsia" w:ascii="仿宋" w:hAnsi="仿宋" w:eastAsia="仿宋" w:cs="宋体"/>
          <w:color w:val="auto"/>
          <w:sz w:val="24"/>
          <w:highlight w:val="none"/>
        </w:rPr>
        <w:t>﹞</w:t>
      </w:r>
      <w:r>
        <w:rPr>
          <w:rFonts w:ascii="仿宋" w:hAnsi="仿宋" w:eastAsia="仿宋"/>
          <w:color w:val="auto"/>
          <w:sz w:val="24"/>
          <w:highlight w:val="none"/>
        </w:rPr>
        <w:t xml:space="preserve">46 </w:t>
      </w:r>
      <w:r>
        <w:rPr>
          <w:rFonts w:hint="eastAsia" w:ascii="仿宋" w:hAnsi="仿宋" w:eastAsia="仿宋"/>
          <w:color w:val="auto"/>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注：符合《关于促进残疾人就业政府采购政策的通知》（财库〔</w:t>
      </w:r>
      <w:r>
        <w:rPr>
          <w:rFonts w:ascii="仿宋" w:hAnsi="仿宋" w:eastAsia="仿宋"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color w:val="auto"/>
          <w:sz w:val="24"/>
          <w:highlight w:val="none"/>
        </w:rPr>
      </w:pPr>
    </w:p>
    <w:p>
      <w:pPr>
        <w:spacing w:line="360" w:lineRule="auto"/>
        <w:ind w:right="420"/>
        <w:rPr>
          <w:rFonts w:ascii="仿宋" w:eastAsia="仿宋"/>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olor w:val="auto"/>
          <w:highlight w:val="none"/>
        </w:rPr>
      </w:pPr>
    </w:p>
    <w:p>
      <w:pPr>
        <w:spacing w:line="360" w:lineRule="auto"/>
        <w:rPr>
          <w:rFonts w:ascii="仿宋" w:hAnsi="仿宋" w:eastAsia="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36110187"/>
    <w:bookmarkStart w:id="407" w:name="_Toc164085800"/>
    <w:bookmarkStart w:id="408" w:name="_Toc91899912"/>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w:pict>
        <v:shape id="文本框 1" o:spid="_x0000_s1026" o:spt="202" type="#_x0000_t202" style="position:absolute;left:0pt;margin-left:291.15pt;margin-top:781.2pt;height:12pt;width:13.1pt;mso-position-horizontal-relative:page;mso-position-vertical-relative:page;z-index:-251657216;mso-width-relative:page;mso-height-relative:page;" filled="f" stroked="f" coordsize="21600,21600" o:gfxdata="UEsDBAoAAAAAAIdO4kAAAAAAAAAAAAAAAAAEAAAAZHJzL1BLAwQUAAAACACHTuJA6fJ/GdsAAAAN AQAADwAAAGRycy9kb3ducmV2LnhtbE2Py07DMBBF90j8gzVI7Kjd0EQhxKkQghVS1TQsWDrxNLEa j0PsPvh73BUsZ+7RnTPl+mJHdsLZG0cSlgsBDKlz2lAv4bN5f8iB+aBIq9ERSvhBD+vq9qZUhXZn qvG0Cz2LJeQLJWEIYSo4992AVvmFm5BitnezVSGOc8/1rM6x3I48ESLjVhmKFwY14euA3WF3tBJe vqh+M9+bdlvva9M0T4I+soOU93dL8Qws4CX8wXDVj+pQRafWHUl7NkpI8+QxojFIs2QFLCKZyFNg 7XWVZyvgVcn/f1H9AlBLAwQUAAAACACHTuJAzkBm4LoBAABxAwAADgAAAGRycy9lMm9Eb2MueG1s rVNLbtswEN0XyB0I7mvKTusGguUAhZGgQNEWSHIAmiItAvxhSFvyBdobdNVN9z2Xz9EhbTltsski G2o4M3x87w21uB6sITsJUXvX0OmkokQ64VvtNg19uL95e0VJTNy13HgnG7qXkV4vL94s+lDLme+8 aSUQBHGx7kNDu5RCzVgUnbQ8TnyQDovKg+UJt7BhLfAe0a1hs6qas95DG8ALGSNmV8ciPSHCSwC9 UlrIlRdbK106ooI0PKGk2OkQ6bKwVUqK9FWpKBMxDUWlqax4CcbrvLLlgtcb4KHT4kSBv4TCE02W a4eXnqFWPHGyBf0MymoBPnqVJsJbdhRSHEEV0+qJN3cdD7JoQatjOJseXw9WfNl9A6Lbhl5S4rjF gR9+/jj8+nP4/Z1Msz19iDV23QXsS8NHP+CjGfMRk1n1oMDmL+ohWEdz92dz5ZCIyIfm88sPWBFY mr6fvauK+ezxcICYbqW3JAcNBZxdsZTvPseERLB1bMl3OX+jjSnzM+6/BDbmDMvMjwxzlIb1cJKz 9u0e1ZhPDp3Mr2IMYAzWY7ANoDcd0imaCyROopA5vZo86n/35eLHP2X5F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C4EAABbQ29udGVudF9UeXBl c10ueG1sUEsBAhQACgAAAAAAh07iQAAAAAAAAAAAAAAAAAYAAAAAAAAAAAAQAAAAEAMAAF9yZWxz L1BLAQIUABQAAAAIAIdO4kCKFGY80QAAAJQBAAALAAAAAAAAAAEAIAAAADQDAABfcmVscy8ucmVs c1BLAQIUAAoAAAAAAIdO4kAAAAAAAAAAAAAAAAAEAAAAAAAAAAAAEAAAAAAAAABkcnMvUEsBAhQA FAAAAAgAh07iQOnyfxnbAAAADQEAAA8AAAAAAAAAAQAgAAAAIgAAAGRycy9kb3ducmV2LnhtbFBL AQIUABQAAAAIAIdO4kDOQGbgugEAAHEDAAAOAAAAAAAAAAEAIAAAACoBAABkcnMvZTJvRG9jLnht bFBLBQYAAAAABgAGAFkBAABWBQAAAAA= ">
          <v:path/>
          <v:fill on="f" focussize="0,0"/>
          <v:stroke on="f" joinstyle="miter"/>
          <v:imagedata o:title=""/>
          <o:lock v:ext="edit"/>
          <v:textbox inset="0mm,0mm,0mm,0mm">
            <w:txbxContent>
              <w:p>
                <w:pPr>
                  <w:spacing w:before="12"/>
                  <w:ind w:left="40"/>
                  <w:jc w:val="left"/>
                  <w:rPr>
                    <w:sz w:val="18"/>
                  </w:rPr>
                </w:pPr>
                <w:r>
                  <w:fldChar w:fldCharType="begin"/>
                </w:r>
                <w:r>
                  <w:rPr>
                    <w:sz w:val="18"/>
                  </w:rPr>
                  <w:instrText xml:space="preserve"> PAGE </w:instrText>
                </w:r>
                <w:r>
                  <w:fldChar w:fldCharType="separate"/>
                </w:r>
                <w:r>
                  <w:rPr>
                    <w:sz w:val="18"/>
                  </w:rPr>
                  <w:t>52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22CAB"/>
    <w:multiLevelType w:val="singleLevel"/>
    <w:tmpl w:val="37322CAB"/>
    <w:lvl w:ilvl="0" w:tentative="0">
      <w:start w:val="6"/>
      <w:numFmt w:val="chineseCounting"/>
      <w:suff w:val="nothing"/>
      <w:lvlText w:val="%1、"/>
      <w:lvlJc w:val="left"/>
      <w:rPr>
        <w:rFonts w:hint="eastAsia"/>
      </w:rPr>
    </w:lvl>
  </w:abstractNum>
  <w:abstractNum w:abstractNumId="1">
    <w:nsid w:val="68641F08"/>
    <w:multiLevelType w:val="multilevel"/>
    <w:tmpl w:val="68641F08"/>
    <w:lvl w:ilvl="0" w:tentative="0">
      <w:start w:val="5"/>
      <w:numFmt w:val="decimal"/>
      <w:lvlText w:val="%1"/>
      <w:lvlJc w:val="left"/>
      <w:pPr>
        <w:ind w:left="724" w:hanging="526"/>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788" w:hanging="735"/>
      </w:pPr>
      <w:rPr>
        <w:rFonts w:hint="default"/>
        <w:lang w:val="zh-CN" w:eastAsia="zh-CN" w:bidi="zh-CN"/>
      </w:rPr>
    </w:lvl>
    <w:lvl w:ilvl="4" w:tentative="0">
      <w:start w:val="0"/>
      <w:numFmt w:val="bullet"/>
      <w:lvlText w:val="•"/>
      <w:lvlJc w:val="left"/>
      <w:pPr>
        <w:ind w:left="3822" w:hanging="735"/>
      </w:pPr>
      <w:rPr>
        <w:rFonts w:hint="default"/>
        <w:lang w:val="zh-CN" w:eastAsia="zh-CN" w:bidi="zh-CN"/>
      </w:rPr>
    </w:lvl>
    <w:lvl w:ilvl="5" w:tentative="0">
      <w:start w:val="0"/>
      <w:numFmt w:val="bullet"/>
      <w:lvlText w:val="•"/>
      <w:lvlJc w:val="left"/>
      <w:pPr>
        <w:ind w:left="4856" w:hanging="735"/>
      </w:pPr>
      <w:rPr>
        <w:rFonts w:hint="default"/>
        <w:lang w:val="zh-CN" w:eastAsia="zh-CN" w:bidi="zh-CN"/>
      </w:rPr>
    </w:lvl>
    <w:lvl w:ilvl="6" w:tentative="0">
      <w:start w:val="0"/>
      <w:numFmt w:val="bullet"/>
      <w:lvlText w:val="•"/>
      <w:lvlJc w:val="left"/>
      <w:pPr>
        <w:ind w:left="5890" w:hanging="735"/>
      </w:pPr>
      <w:rPr>
        <w:rFonts w:hint="default"/>
        <w:lang w:val="zh-CN" w:eastAsia="zh-CN" w:bidi="zh-CN"/>
      </w:rPr>
    </w:lvl>
    <w:lvl w:ilvl="7" w:tentative="0">
      <w:start w:val="0"/>
      <w:numFmt w:val="bullet"/>
      <w:lvlText w:val="•"/>
      <w:lvlJc w:val="left"/>
      <w:pPr>
        <w:ind w:left="6924" w:hanging="735"/>
      </w:pPr>
      <w:rPr>
        <w:rFonts w:hint="default"/>
        <w:lang w:val="zh-CN" w:eastAsia="zh-CN" w:bidi="zh-CN"/>
      </w:rPr>
    </w:lvl>
    <w:lvl w:ilvl="8" w:tentative="0">
      <w:start w:val="0"/>
      <w:numFmt w:val="bullet"/>
      <w:lvlText w:val="•"/>
      <w:lvlJc w:val="left"/>
      <w:pPr>
        <w:ind w:left="7958" w:hanging="735"/>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4N2ZkNjVlYmExYzdkZWMwZTFkNmYxY2JiOTYyZ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85A"/>
    <w:rsid w:val="00162956"/>
    <w:rsid w:val="00162BAA"/>
    <w:rsid w:val="00162DD5"/>
    <w:rsid w:val="00163C40"/>
    <w:rsid w:val="00163FAC"/>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763"/>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558"/>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F6D"/>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6DE"/>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965"/>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3B78"/>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54E"/>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C6D"/>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69C"/>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AA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537"/>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0AC"/>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218A"/>
    <w:rsid w:val="0093386D"/>
    <w:rsid w:val="009343B6"/>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B7D89"/>
    <w:rsid w:val="009C0020"/>
    <w:rsid w:val="009C01F2"/>
    <w:rsid w:val="009C03F7"/>
    <w:rsid w:val="009C0CAD"/>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2B7E"/>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D51"/>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E86"/>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0ED"/>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2EBB"/>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B9C"/>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71A"/>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3B5"/>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3A"/>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2F44A6"/>
    <w:rsid w:val="035703C5"/>
    <w:rsid w:val="036634D2"/>
    <w:rsid w:val="03697FDD"/>
    <w:rsid w:val="03DD35E4"/>
    <w:rsid w:val="04076900"/>
    <w:rsid w:val="041A5A3B"/>
    <w:rsid w:val="042311BA"/>
    <w:rsid w:val="042B157A"/>
    <w:rsid w:val="048F763B"/>
    <w:rsid w:val="04961F05"/>
    <w:rsid w:val="049F330E"/>
    <w:rsid w:val="04AA775C"/>
    <w:rsid w:val="04AF1889"/>
    <w:rsid w:val="04F66F48"/>
    <w:rsid w:val="04FF037E"/>
    <w:rsid w:val="05251E14"/>
    <w:rsid w:val="059D3B8A"/>
    <w:rsid w:val="05A16594"/>
    <w:rsid w:val="05A7762D"/>
    <w:rsid w:val="060E5941"/>
    <w:rsid w:val="06110FAF"/>
    <w:rsid w:val="061E2360"/>
    <w:rsid w:val="06493CA7"/>
    <w:rsid w:val="065A6178"/>
    <w:rsid w:val="066F1CF3"/>
    <w:rsid w:val="06925398"/>
    <w:rsid w:val="06930BB8"/>
    <w:rsid w:val="07245D42"/>
    <w:rsid w:val="07264C62"/>
    <w:rsid w:val="0779354C"/>
    <w:rsid w:val="08061376"/>
    <w:rsid w:val="083E53FD"/>
    <w:rsid w:val="08452D77"/>
    <w:rsid w:val="086401F8"/>
    <w:rsid w:val="08751CAA"/>
    <w:rsid w:val="087E4C40"/>
    <w:rsid w:val="08D66AD6"/>
    <w:rsid w:val="08DA33A3"/>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D90B56"/>
    <w:rsid w:val="09E04166"/>
    <w:rsid w:val="09F75AC8"/>
    <w:rsid w:val="0A1C0718"/>
    <w:rsid w:val="0A3E7710"/>
    <w:rsid w:val="0A5B7E63"/>
    <w:rsid w:val="0AA374A5"/>
    <w:rsid w:val="0AAB7649"/>
    <w:rsid w:val="0ABC5606"/>
    <w:rsid w:val="0B30404E"/>
    <w:rsid w:val="0B4C6C14"/>
    <w:rsid w:val="0B631A88"/>
    <w:rsid w:val="0B683D45"/>
    <w:rsid w:val="0B7F3F11"/>
    <w:rsid w:val="0B884417"/>
    <w:rsid w:val="0BEE5CFC"/>
    <w:rsid w:val="0BF6188C"/>
    <w:rsid w:val="0BF73C91"/>
    <w:rsid w:val="0C170175"/>
    <w:rsid w:val="0C571A41"/>
    <w:rsid w:val="0C5C1171"/>
    <w:rsid w:val="0C5E1CBC"/>
    <w:rsid w:val="0C615B50"/>
    <w:rsid w:val="0C7F7D0C"/>
    <w:rsid w:val="0C8445DA"/>
    <w:rsid w:val="0C87121B"/>
    <w:rsid w:val="0CC007F7"/>
    <w:rsid w:val="0CFE707A"/>
    <w:rsid w:val="0D063BDA"/>
    <w:rsid w:val="0D08375F"/>
    <w:rsid w:val="0D184CFB"/>
    <w:rsid w:val="0D4A7419"/>
    <w:rsid w:val="0D6E4C78"/>
    <w:rsid w:val="0D827401"/>
    <w:rsid w:val="0D84094E"/>
    <w:rsid w:val="0D8A00E9"/>
    <w:rsid w:val="0D8D589E"/>
    <w:rsid w:val="0DA01C73"/>
    <w:rsid w:val="0DD63300"/>
    <w:rsid w:val="0DF50604"/>
    <w:rsid w:val="0DF702FE"/>
    <w:rsid w:val="0E060E51"/>
    <w:rsid w:val="0E5604B2"/>
    <w:rsid w:val="0E6D5D79"/>
    <w:rsid w:val="0E7E5333"/>
    <w:rsid w:val="0E9C6C43"/>
    <w:rsid w:val="0E9D0089"/>
    <w:rsid w:val="0EB803EE"/>
    <w:rsid w:val="0EC10C62"/>
    <w:rsid w:val="0EF94D4B"/>
    <w:rsid w:val="0F02772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90898"/>
    <w:rsid w:val="127723A9"/>
    <w:rsid w:val="12862074"/>
    <w:rsid w:val="12883966"/>
    <w:rsid w:val="129E45B4"/>
    <w:rsid w:val="12A03688"/>
    <w:rsid w:val="12B855CF"/>
    <w:rsid w:val="12D53340"/>
    <w:rsid w:val="12D81596"/>
    <w:rsid w:val="13072A44"/>
    <w:rsid w:val="135F4BE2"/>
    <w:rsid w:val="13603DF0"/>
    <w:rsid w:val="139B1A0A"/>
    <w:rsid w:val="139D25C7"/>
    <w:rsid w:val="13BF329B"/>
    <w:rsid w:val="13BF3CE4"/>
    <w:rsid w:val="13DF72EE"/>
    <w:rsid w:val="141008D8"/>
    <w:rsid w:val="14125FE6"/>
    <w:rsid w:val="146D271E"/>
    <w:rsid w:val="148A7781"/>
    <w:rsid w:val="14982588"/>
    <w:rsid w:val="149A5AD9"/>
    <w:rsid w:val="14A7619D"/>
    <w:rsid w:val="14D70121"/>
    <w:rsid w:val="150536C3"/>
    <w:rsid w:val="150C1963"/>
    <w:rsid w:val="151447A0"/>
    <w:rsid w:val="154A6454"/>
    <w:rsid w:val="15762120"/>
    <w:rsid w:val="15882339"/>
    <w:rsid w:val="15FB5702"/>
    <w:rsid w:val="16155B22"/>
    <w:rsid w:val="16A8729C"/>
    <w:rsid w:val="16B33777"/>
    <w:rsid w:val="16BC70A7"/>
    <w:rsid w:val="16C6339E"/>
    <w:rsid w:val="16FC6A01"/>
    <w:rsid w:val="1705609A"/>
    <w:rsid w:val="170A26C4"/>
    <w:rsid w:val="172E00FB"/>
    <w:rsid w:val="172F2D79"/>
    <w:rsid w:val="17557BEF"/>
    <w:rsid w:val="17D349C1"/>
    <w:rsid w:val="1830729E"/>
    <w:rsid w:val="1870062C"/>
    <w:rsid w:val="18817102"/>
    <w:rsid w:val="18830A15"/>
    <w:rsid w:val="18852B28"/>
    <w:rsid w:val="188B5321"/>
    <w:rsid w:val="19932372"/>
    <w:rsid w:val="199B6B23"/>
    <w:rsid w:val="19A20DD5"/>
    <w:rsid w:val="19AE03F1"/>
    <w:rsid w:val="1A071A03"/>
    <w:rsid w:val="1A1F16AE"/>
    <w:rsid w:val="1A3B5C77"/>
    <w:rsid w:val="1A984BAD"/>
    <w:rsid w:val="1A9C233C"/>
    <w:rsid w:val="1AB8220E"/>
    <w:rsid w:val="1AE4166C"/>
    <w:rsid w:val="1AF01DAC"/>
    <w:rsid w:val="1AF06CFB"/>
    <w:rsid w:val="1AF11B8D"/>
    <w:rsid w:val="1B11359C"/>
    <w:rsid w:val="1B2A271F"/>
    <w:rsid w:val="1B530544"/>
    <w:rsid w:val="1B713184"/>
    <w:rsid w:val="1BA209CF"/>
    <w:rsid w:val="1BB4777D"/>
    <w:rsid w:val="1BD75AB8"/>
    <w:rsid w:val="1C0459C2"/>
    <w:rsid w:val="1C1B3B4A"/>
    <w:rsid w:val="1C584FBD"/>
    <w:rsid w:val="1C88086E"/>
    <w:rsid w:val="1CFA30ED"/>
    <w:rsid w:val="1D266CE1"/>
    <w:rsid w:val="1D3963AF"/>
    <w:rsid w:val="1D6A673C"/>
    <w:rsid w:val="1D6E74F2"/>
    <w:rsid w:val="1D9247AE"/>
    <w:rsid w:val="1DB567EC"/>
    <w:rsid w:val="1DF51A98"/>
    <w:rsid w:val="1E3D060F"/>
    <w:rsid w:val="1E3F7D2E"/>
    <w:rsid w:val="1E4134E4"/>
    <w:rsid w:val="1E483A68"/>
    <w:rsid w:val="1E5062B3"/>
    <w:rsid w:val="1E523514"/>
    <w:rsid w:val="1E714A66"/>
    <w:rsid w:val="1E802593"/>
    <w:rsid w:val="1EA703CC"/>
    <w:rsid w:val="1EB7330C"/>
    <w:rsid w:val="1EEB42B2"/>
    <w:rsid w:val="1F0A0FF3"/>
    <w:rsid w:val="1F2C1918"/>
    <w:rsid w:val="1F5771FF"/>
    <w:rsid w:val="1F617814"/>
    <w:rsid w:val="1FB055A7"/>
    <w:rsid w:val="1FE868A9"/>
    <w:rsid w:val="20034907"/>
    <w:rsid w:val="20173E4B"/>
    <w:rsid w:val="202253CE"/>
    <w:rsid w:val="202F26AB"/>
    <w:rsid w:val="204E48BC"/>
    <w:rsid w:val="208921B3"/>
    <w:rsid w:val="20973DEB"/>
    <w:rsid w:val="20994D8B"/>
    <w:rsid w:val="20B26522"/>
    <w:rsid w:val="20B44310"/>
    <w:rsid w:val="21085087"/>
    <w:rsid w:val="211116EB"/>
    <w:rsid w:val="21475938"/>
    <w:rsid w:val="216133FC"/>
    <w:rsid w:val="21D56769"/>
    <w:rsid w:val="21E52EF3"/>
    <w:rsid w:val="21FB5D7B"/>
    <w:rsid w:val="220B1C3D"/>
    <w:rsid w:val="221D1D20"/>
    <w:rsid w:val="221D25B7"/>
    <w:rsid w:val="221F78FD"/>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32109"/>
    <w:rsid w:val="24CF5825"/>
    <w:rsid w:val="24D663E6"/>
    <w:rsid w:val="24D77F2B"/>
    <w:rsid w:val="24EC7B7F"/>
    <w:rsid w:val="258B00E2"/>
    <w:rsid w:val="258F38D1"/>
    <w:rsid w:val="25A917A6"/>
    <w:rsid w:val="25BE27CC"/>
    <w:rsid w:val="25F74A5C"/>
    <w:rsid w:val="2628662C"/>
    <w:rsid w:val="262D45DE"/>
    <w:rsid w:val="2644547D"/>
    <w:rsid w:val="2658095B"/>
    <w:rsid w:val="26A53EF9"/>
    <w:rsid w:val="26A94201"/>
    <w:rsid w:val="26AC274F"/>
    <w:rsid w:val="27044A29"/>
    <w:rsid w:val="271550A9"/>
    <w:rsid w:val="271D34C8"/>
    <w:rsid w:val="274943CE"/>
    <w:rsid w:val="276142BF"/>
    <w:rsid w:val="27783712"/>
    <w:rsid w:val="27907362"/>
    <w:rsid w:val="27912C60"/>
    <w:rsid w:val="28333E1D"/>
    <w:rsid w:val="28454BD6"/>
    <w:rsid w:val="28455253"/>
    <w:rsid w:val="28551971"/>
    <w:rsid w:val="285B1C53"/>
    <w:rsid w:val="289F7086"/>
    <w:rsid w:val="28C32028"/>
    <w:rsid w:val="28CC490F"/>
    <w:rsid w:val="28CD4BF3"/>
    <w:rsid w:val="28DE40AA"/>
    <w:rsid w:val="29345E77"/>
    <w:rsid w:val="294C65AD"/>
    <w:rsid w:val="29806583"/>
    <w:rsid w:val="298B3C4C"/>
    <w:rsid w:val="29AD07D9"/>
    <w:rsid w:val="29F26D24"/>
    <w:rsid w:val="2A15033F"/>
    <w:rsid w:val="2A1662C1"/>
    <w:rsid w:val="2A1C7367"/>
    <w:rsid w:val="2A2815FA"/>
    <w:rsid w:val="2A6D6092"/>
    <w:rsid w:val="2A7D76B4"/>
    <w:rsid w:val="2ACB6A10"/>
    <w:rsid w:val="2B431325"/>
    <w:rsid w:val="2B437463"/>
    <w:rsid w:val="2B487D7C"/>
    <w:rsid w:val="2B581C97"/>
    <w:rsid w:val="2B7807EE"/>
    <w:rsid w:val="2B863BB4"/>
    <w:rsid w:val="2BBE2C91"/>
    <w:rsid w:val="2BBF00EC"/>
    <w:rsid w:val="2BC37CFD"/>
    <w:rsid w:val="2BD5237F"/>
    <w:rsid w:val="2BE536CE"/>
    <w:rsid w:val="2BE758D9"/>
    <w:rsid w:val="2C09049E"/>
    <w:rsid w:val="2C0A653C"/>
    <w:rsid w:val="2C191F85"/>
    <w:rsid w:val="2C371765"/>
    <w:rsid w:val="2C574D97"/>
    <w:rsid w:val="2CCD46A4"/>
    <w:rsid w:val="2CE82D6F"/>
    <w:rsid w:val="2D343236"/>
    <w:rsid w:val="2D473820"/>
    <w:rsid w:val="2D8A5593"/>
    <w:rsid w:val="2DD15014"/>
    <w:rsid w:val="2DF72DE4"/>
    <w:rsid w:val="2E0220AF"/>
    <w:rsid w:val="2E2D690F"/>
    <w:rsid w:val="2E4B082A"/>
    <w:rsid w:val="2E5D4E86"/>
    <w:rsid w:val="2E5D790B"/>
    <w:rsid w:val="2E9A3C18"/>
    <w:rsid w:val="2EB12883"/>
    <w:rsid w:val="2EBB0FEE"/>
    <w:rsid w:val="2EC63002"/>
    <w:rsid w:val="2F0A6B38"/>
    <w:rsid w:val="2F3709DC"/>
    <w:rsid w:val="2F946CCB"/>
    <w:rsid w:val="2FD25781"/>
    <w:rsid w:val="2FD739A8"/>
    <w:rsid w:val="2FFD7934"/>
    <w:rsid w:val="304229F7"/>
    <w:rsid w:val="30430AAC"/>
    <w:rsid w:val="30733ACD"/>
    <w:rsid w:val="308C3862"/>
    <w:rsid w:val="309379D8"/>
    <w:rsid w:val="309B3976"/>
    <w:rsid w:val="30A270F7"/>
    <w:rsid w:val="30DF1478"/>
    <w:rsid w:val="30EC586F"/>
    <w:rsid w:val="319C6071"/>
    <w:rsid w:val="31AC537E"/>
    <w:rsid w:val="31B32035"/>
    <w:rsid w:val="31E3679B"/>
    <w:rsid w:val="31E732FD"/>
    <w:rsid w:val="32392B49"/>
    <w:rsid w:val="32517576"/>
    <w:rsid w:val="32BE5C2C"/>
    <w:rsid w:val="32FB6478"/>
    <w:rsid w:val="33026E1D"/>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C07CA1"/>
    <w:rsid w:val="363A3B40"/>
    <w:rsid w:val="365302AE"/>
    <w:rsid w:val="36607A0A"/>
    <w:rsid w:val="366E227C"/>
    <w:rsid w:val="366F2E0D"/>
    <w:rsid w:val="367B6A5C"/>
    <w:rsid w:val="36A74ADA"/>
    <w:rsid w:val="36AD60D5"/>
    <w:rsid w:val="36B224F9"/>
    <w:rsid w:val="36EC0CC9"/>
    <w:rsid w:val="372E4A2B"/>
    <w:rsid w:val="373F410B"/>
    <w:rsid w:val="375D2779"/>
    <w:rsid w:val="37EE7094"/>
    <w:rsid w:val="38296C89"/>
    <w:rsid w:val="383002EB"/>
    <w:rsid w:val="38586797"/>
    <w:rsid w:val="385C6928"/>
    <w:rsid w:val="38BC0149"/>
    <w:rsid w:val="38D87D1C"/>
    <w:rsid w:val="38E044AD"/>
    <w:rsid w:val="39636459"/>
    <w:rsid w:val="396B7F6C"/>
    <w:rsid w:val="39B417A9"/>
    <w:rsid w:val="39FC5695"/>
    <w:rsid w:val="39FD3BC7"/>
    <w:rsid w:val="3A006D8E"/>
    <w:rsid w:val="3A012DA1"/>
    <w:rsid w:val="3A3651E5"/>
    <w:rsid w:val="3A744481"/>
    <w:rsid w:val="3A8C7BEF"/>
    <w:rsid w:val="3A906246"/>
    <w:rsid w:val="3B2349B7"/>
    <w:rsid w:val="3B4A1D46"/>
    <w:rsid w:val="3B616CFF"/>
    <w:rsid w:val="3B6259F6"/>
    <w:rsid w:val="3B683CCA"/>
    <w:rsid w:val="3B976654"/>
    <w:rsid w:val="3BC01EFC"/>
    <w:rsid w:val="3BCA786A"/>
    <w:rsid w:val="3BD31E2F"/>
    <w:rsid w:val="3BD90C92"/>
    <w:rsid w:val="3BDE3756"/>
    <w:rsid w:val="3BF15831"/>
    <w:rsid w:val="3C105946"/>
    <w:rsid w:val="3C471448"/>
    <w:rsid w:val="3C5F759A"/>
    <w:rsid w:val="3C6A5406"/>
    <w:rsid w:val="3C6C525A"/>
    <w:rsid w:val="3CCE23CB"/>
    <w:rsid w:val="3CD17D17"/>
    <w:rsid w:val="3D3C7F39"/>
    <w:rsid w:val="3D440F09"/>
    <w:rsid w:val="3D4504A0"/>
    <w:rsid w:val="3D730D91"/>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EF747C4"/>
    <w:rsid w:val="3F060E16"/>
    <w:rsid w:val="3F1D1096"/>
    <w:rsid w:val="3F2E6D77"/>
    <w:rsid w:val="3F2F0234"/>
    <w:rsid w:val="3F6363FE"/>
    <w:rsid w:val="3F756B8F"/>
    <w:rsid w:val="3F95482B"/>
    <w:rsid w:val="4019356B"/>
    <w:rsid w:val="40592157"/>
    <w:rsid w:val="406E1CAE"/>
    <w:rsid w:val="40A0133A"/>
    <w:rsid w:val="40B64990"/>
    <w:rsid w:val="40C31A53"/>
    <w:rsid w:val="40FF545D"/>
    <w:rsid w:val="410067C8"/>
    <w:rsid w:val="416009D6"/>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B587D"/>
    <w:rsid w:val="44002FAD"/>
    <w:rsid w:val="440546DC"/>
    <w:rsid w:val="441529A7"/>
    <w:rsid w:val="449101DD"/>
    <w:rsid w:val="44DE1391"/>
    <w:rsid w:val="44F02264"/>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DA5DBD"/>
    <w:rsid w:val="48E37AAB"/>
    <w:rsid w:val="48FD4B4C"/>
    <w:rsid w:val="490A68E0"/>
    <w:rsid w:val="491055FE"/>
    <w:rsid w:val="495F5B3E"/>
    <w:rsid w:val="496F77D7"/>
    <w:rsid w:val="497654FD"/>
    <w:rsid w:val="49B64211"/>
    <w:rsid w:val="49F6167F"/>
    <w:rsid w:val="4A064FA0"/>
    <w:rsid w:val="4A16615C"/>
    <w:rsid w:val="4A3069B1"/>
    <w:rsid w:val="4A4424D7"/>
    <w:rsid w:val="4A4F4DFE"/>
    <w:rsid w:val="4A792E07"/>
    <w:rsid w:val="4AB82D0F"/>
    <w:rsid w:val="4AEB7664"/>
    <w:rsid w:val="4AFD7C19"/>
    <w:rsid w:val="4B0567D1"/>
    <w:rsid w:val="4B236AAE"/>
    <w:rsid w:val="4B707271"/>
    <w:rsid w:val="4B9739F7"/>
    <w:rsid w:val="4BEE2503"/>
    <w:rsid w:val="4C245A30"/>
    <w:rsid w:val="4C7E1874"/>
    <w:rsid w:val="4CB6685F"/>
    <w:rsid w:val="4CC367FE"/>
    <w:rsid w:val="4CD81D7A"/>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E625E0"/>
    <w:rsid w:val="5021480F"/>
    <w:rsid w:val="50962ECB"/>
    <w:rsid w:val="50A42E38"/>
    <w:rsid w:val="50A4577F"/>
    <w:rsid w:val="50B73D1F"/>
    <w:rsid w:val="50BD5BC9"/>
    <w:rsid w:val="50C11EEE"/>
    <w:rsid w:val="50E97CFC"/>
    <w:rsid w:val="50F96842"/>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7C730F"/>
    <w:rsid w:val="538D6A24"/>
    <w:rsid w:val="5397158E"/>
    <w:rsid w:val="54013861"/>
    <w:rsid w:val="54487265"/>
    <w:rsid w:val="544D6070"/>
    <w:rsid w:val="54605E1E"/>
    <w:rsid w:val="546A0AE5"/>
    <w:rsid w:val="54B3506A"/>
    <w:rsid w:val="54CA0D16"/>
    <w:rsid w:val="54DD4057"/>
    <w:rsid w:val="54E7490F"/>
    <w:rsid w:val="54F7464C"/>
    <w:rsid w:val="550764A4"/>
    <w:rsid w:val="550B2BF6"/>
    <w:rsid w:val="55214EB5"/>
    <w:rsid w:val="55364EFD"/>
    <w:rsid w:val="554F18ED"/>
    <w:rsid w:val="555D4828"/>
    <w:rsid w:val="556D5714"/>
    <w:rsid w:val="557A4C8B"/>
    <w:rsid w:val="558931E1"/>
    <w:rsid w:val="55923347"/>
    <w:rsid w:val="55925180"/>
    <w:rsid w:val="55983B1B"/>
    <w:rsid w:val="55A8376B"/>
    <w:rsid w:val="55DC29B6"/>
    <w:rsid w:val="55DD4241"/>
    <w:rsid w:val="565E3D40"/>
    <w:rsid w:val="566B6D1E"/>
    <w:rsid w:val="57032A2C"/>
    <w:rsid w:val="570F5219"/>
    <w:rsid w:val="573718F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A1F54"/>
    <w:rsid w:val="58917D2F"/>
    <w:rsid w:val="5894085C"/>
    <w:rsid w:val="58AE4F0C"/>
    <w:rsid w:val="58B85899"/>
    <w:rsid w:val="58E363A9"/>
    <w:rsid w:val="592A7413"/>
    <w:rsid w:val="59440D88"/>
    <w:rsid w:val="595E1678"/>
    <w:rsid w:val="596D5BD4"/>
    <w:rsid w:val="597E3DD8"/>
    <w:rsid w:val="59DD74BB"/>
    <w:rsid w:val="59F80043"/>
    <w:rsid w:val="5A09252F"/>
    <w:rsid w:val="5A0B2778"/>
    <w:rsid w:val="5A2A7C7B"/>
    <w:rsid w:val="5A3E2560"/>
    <w:rsid w:val="5A4F343E"/>
    <w:rsid w:val="5A5D3B6E"/>
    <w:rsid w:val="5A637A76"/>
    <w:rsid w:val="5A6D33BA"/>
    <w:rsid w:val="5A6D674D"/>
    <w:rsid w:val="5A792B1F"/>
    <w:rsid w:val="5A874767"/>
    <w:rsid w:val="5AAD6F28"/>
    <w:rsid w:val="5AD63A24"/>
    <w:rsid w:val="5B2E1A1D"/>
    <w:rsid w:val="5B843A1C"/>
    <w:rsid w:val="5B873E3F"/>
    <w:rsid w:val="5C02690E"/>
    <w:rsid w:val="5C162664"/>
    <w:rsid w:val="5C196DA7"/>
    <w:rsid w:val="5C2A048C"/>
    <w:rsid w:val="5C80234E"/>
    <w:rsid w:val="5C8962E6"/>
    <w:rsid w:val="5C8A680C"/>
    <w:rsid w:val="5CC07433"/>
    <w:rsid w:val="5D0C4701"/>
    <w:rsid w:val="5D0F0395"/>
    <w:rsid w:val="5D221076"/>
    <w:rsid w:val="5D397964"/>
    <w:rsid w:val="5D5A391C"/>
    <w:rsid w:val="5D5F10C0"/>
    <w:rsid w:val="5D891B7B"/>
    <w:rsid w:val="5D9D6633"/>
    <w:rsid w:val="5DAD38EE"/>
    <w:rsid w:val="5E006862"/>
    <w:rsid w:val="5E0207B9"/>
    <w:rsid w:val="5E1834A1"/>
    <w:rsid w:val="5E261785"/>
    <w:rsid w:val="5E4A7017"/>
    <w:rsid w:val="5E552BBA"/>
    <w:rsid w:val="5E611C10"/>
    <w:rsid w:val="5EC43857"/>
    <w:rsid w:val="5EFC7377"/>
    <w:rsid w:val="5F06174D"/>
    <w:rsid w:val="5F3A3602"/>
    <w:rsid w:val="5F6277C6"/>
    <w:rsid w:val="5F6447F3"/>
    <w:rsid w:val="5F6D0B1D"/>
    <w:rsid w:val="5F8D0B82"/>
    <w:rsid w:val="5FBC05C4"/>
    <w:rsid w:val="5FCC5339"/>
    <w:rsid w:val="5FD20D94"/>
    <w:rsid w:val="5FE34A5B"/>
    <w:rsid w:val="5FFE1E36"/>
    <w:rsid w:val="60232584"/>
    <w:rsid w:val="607330CE"/>
    <w:rsid w:val="6079466D"/>
    <w:rsid w:val="60825176"/>
    <w:rsid w:val="609F2AC4"/>
    <w:rsid w:val="60A508C8"/>
    <w:rsid w:val="60FA2EE8"/>
    <w:rsid w:val="61054A27"/>
    <w:rsid w:val="610A52BC"/>
    <w:rsid w:val="611D2366"/>
    <w:rsid w:val="611E4310"/>
    <w:rsid w:val="61421856"/>
    <w:rsid w:val="615227C4"/>
    <w:rsid w:val="61654E3F"/>
    <w:rsid w:val="6182292A"/>
    <w:rsid w:val="619F7F92"/>
    <w:rsid w:val="61F94C26"/>
    <w:rsid w:val="62000E56"/>
    <w:rsid w:val="624F14E1"/>
    <w:rsid w:val="624F3E49"/>
    <w:rsid w:val="62632286"/>
    <w:rsid w:val="62885958"/>
    <w:rsid w:val="62CB43FE"/>
    <w:rsid w:val="62EB0497"/>
    <w:rsid w:val="62F40B65"/>
    <w:rsid w:val="62FC2CFE"/>
    <w:rsid w:val="63024505"/>
    <w:rsid w:val="630D57FA"/>
    <w:rsid w:val="631B0930"/>
    <w:rsid w:val="634D3620"/>
    <w:rsid w:val="635B1DB5"/>
    <w:rsid w:val="63711FED"/>
    <w:rsid w:val="63880DDC"/>
    <w:rsid w:val="638D750D"/>
    <w:rsid w:val="63AC6CC0"/>
    <w:rsid w:val="63CE4319"/>
    <w:rsid w:val="64055776"/>
    <w:rsid w:val="64240056"/>
    <w:rsid w:val="643E143A"/>
    <w:rsid w:val="648B6EEF"/>
    <w:rsid w:val="64C158BF"/>
    <w:rsid w:val="64CE2EAA"/>
    <w:rsid w:val="64E82B37"/>
    <w:rsid w:val="653C3090"/>
    <w:rsid w:val="656355E1"/>
    <w:rsid w:val="65854376"/>
    <w:rsid w:val="658767BE"/>
    <w:rsid w:val="65892531"/>
    <w:rsid w:val="659336FC"/>
    <w:rsid w:val="65BF251F"/>
    <w:rsid w:val="65F91851"/>
    <w:rsid w:val="66195831"/>
    <w:rsid w:val="662E75B1"/>
    <w:rsid w:val="66342C2E"/>
    <w:rsid w:val="663E784C"/>
    <w:rsid w:val="668B6A45"/>
    <w:rsid w:val="66AD0F8F"/>
    <w:rsid w:val="672757F0"/>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52689"/>
    <w:rsid w:val="6A2406C8"/>
    <w:rsid w:val="6A28012C"/>
    <w:rsid w:val="6A496022"/>
    <w:rsid w:val="6ADE0BD1"/>
    <w:rsid w:val="6AE96859"/>
    <w:rsid w:val="6B147746"/>
    <w:rsid w:val="6B24787C"/>
    <w:rsid w:val="6B573233"/>
    <w:rsid w:val="6B5B6274"/>
    <w:rsid w:val="6B935D53"/>
    <w:rsid w:val="6C196F71"/>
    <w:rsid w:val="6C226FCB"/>
    <w:rsid w:val="6C31226F"/>
    <w:rsid w:val="6C552F0B"/>
    <w:rsid w:val="6C8C67B7"/>
    <w:rsid w:val="6C9D744C"/>
    <w:rsid w:val="6D0536E7"/>
    <w:rsid w:val="6D1539E8"/>
    <w:rsid w:val="6D167928"/>
    <w:rsid w:val="6D26299B"/>
    <w:rsid w:val="6D4772EC"/>
    <w:rsid w:val="6D9078AF"/>
    <w:rsid w:val="6DAA3FEF"/>
    <w:rsid w:val="6DC0172B"/>
    <w:rsid w:val="6DCB690C"/>
    <w:rsid w:val="6DD41A5B"/>
    <w:rsid w:val="6DF43C2E"/>
    <w:rsid w:val="6DF51CA3"/>
    <w:rsid w:val="6E5F7DAF"/>
    <w:rsid w:val="6E8335BD"/>
    <w:rsid w:val="6E8E12EF"/>
    <w:rsid w:val="6E972936"/>
    <w:rsid w:val="6EBF27B4"/>
    <w:rsid w:val="6ED446C5"/>
    <w:rsid w:val="6F2A7D94"/>
    <w:rsid w:val="6F536A0C"/>
    <w:rsid w:val="6F8331F1"/>
    <w:rsid w:val="6FAE1A09"/>
    <w:rsid w:val="6FD75BF8"/>
    <w:rsid w:val="70467E0C"/>
    <w:rsid w:val="707723D0"/>
    <w:rsid w:val="70A66A90"/>
    <w:rsid w:val="70CD52C1"/>
    <w:rsid w:val="70F5661B"/>
    <w:rsid w:val="70FC3672"/>
    <w:rsid w:val="71184396"/>
    <w:rsid w:val="71360107"/>
    <w:rsid w:val="713B688E"/>
    <w:rsid w:val="71794832"/>
    <w:rsid w:val="71D43752"/>
    <w:rsid w:val="71F1796A"/>
    <w:rsid w:val="72154626"/>
    <w:rsid w:val="72262B5D"/>
    <w:rsid w:val="72283FF7"/>
    <w:rsid w:val="722E7212"/>
    <w:rsid w:val="723A0474"/>
    <w:rsid w:val="725923E4"/>
    <w:rsid w:val="726A16B0"/>
    <w:rsid w:val="72864BF7"/>
    <w:rsid w:val="729023FC"/>
    <w:rsid w:val="73C0646E"/>
    <w:rsid w:val="73C66DBA"/>
    <w:rsid w:val="742222F5"/>
    <w:rsid w:val="74476126"/>
    <w:rsid w:val="74706664"/>
    <w:rsid w:val="747F3682"/>
    <w:rsid w:val="748A46C2"/>
    <w:rsid w:val="749C4185"/>
    <w:rsid w:val="74A41CD6"/>
    <w:rsid w:val="74DF47F0"/>
    <w:rsid w:val="75067759"/>
    <w:rsid w:val="752E6DCD"/>
    <w:rsid w:val="753A6D0A"/>
    <w:rsid w:val="7551380D"/>
    <w:rsid w:val="75531475"/>
    <w:rsid w:val="75600BE5"/>
    <w:rsid w:val="7564475C"/>
    <w:rsid w:val="7583797F"/>
    <w:rsid w:val="75D20F1D"/>
    <w:rsid w:val="75DA2C18"/>
    <w:rsid w:val="75DB5550"/>
    <w:rsid w:val="75F54412"/>
    <w:rsid w:val="761D08E0"/>
    <w:rsid w:val="764B7247"/>
    <w:rsid w:val="765D347C"/>
    <w:rsid w:val="76826699"/>
    <w:rsid w:val="768D65B8"/>
    <w:rsid w:val="76A31123"/>
    <w:rsid w:val="76C87133"/>
    <w:rsid w:val="76CD08D5"/>
    <w:rsid w:val="76DB4B92"/>
    <w:rsid w:val="77052AA4"/>
    <w:rsid w:val="77136511"/>
    <w:rsid w:val="77340A39"/>
    <w:rsid w:val="77351FD0"/>
    <w:rsid w:val="77472422"/>
    <w:rsid w:val="777F31F2"/>
    <w:rsid w:val="77D1700D"/>
    <w:rsid w:val="77DE068C"/>
    <w:rsid w:val="77EC04CC"/>
    <w:rsid w:val="78775729"/>
    <w:rsid w:val="788438A2"/>
    <w:rsid w:val="78A42DB0"/>
    <w:rsid w:val="78A656AB"/>
    <w:rsid w:val="78B2245C"/>
    <w:rsid w:val="78E172CC"/>
    <w:rsid w:val="78EA1D1F"/>
    <w:rsid w:val="7904172F"/>
    <w:rsid w:val="790F7E27"/>
    <w:rsid w:val="792A231A"/>
    <w:rsid w:val="79316829"/>
    <w:rsid w:val="797E66A9"/>
    <w:rsid w:val="79A97383"/>
    <w:rsid w:val="79E27E8B"/>
    <w:rsid w:val="79EB4D7F"/>
    <w:rsid w:val="79F850CE"/>
    <w:rsid w:val="79FD443C"/>
    <w:rsid w:val="7A1D1975"/>
    <w:rsid w:val="7A3E5150"/>
    <w:rsid w:val="7A4670D6"/>
    <w:rsid w:val="7A534B63"/>
    <w:rsid w:val="7A615382"/>
    <w:rsid w:val="7A67303B"/>
    <w:rsid w:val="7AAB1D04"/>
    <w:rsid w:val="7ABA4368"/>
    <w:rsid w:val="7AD05746"/>
    <w:rsid w:val="7B257FFD"/>
    <w:rsid w:val="7B343476"/>
    <w:rsid w:val="7B4F7651"/>
    <w:rsid w:val="7B5A2978"/>
    <w:rsid w:val="7B5A7E4C"/>
    <w:rsid w:val="7B667AF9"/>
    <w:rsid w:val="7B7468F8"/>
    <w:rsid w:val="7BE113EF"/>
    <w:rsid w:val="7BEE0103"/>
    <w:rsid w:val="7C0A0FE4"/>
    <w:rsid w:val="7C254906"/>
    <w:rsid w:val="7C590818"/>
    <w:rsid w:val="7C7C10F6"/>
    <w:rsid w:val="7C853BEA"/>
    <w:rsid w:val="7C881368"/>
    <w:rsid w:val="7CD20AAC"/>
    <w:rsid w:val="7CE27788"/>
    <w:rsid w:val="7D054F38"/>
    <w:rsid w:val="7D0C32F1"/>
    <w:rsid w:val="7D0F408D"/>
    <w:rsid w:val="7D491C6C"/>
    <w:rsid w:val="7D5429C0"/>
    <w:rsid w:val="7D6E6D43"/>
    <w:rsid w:val="7DB57A34"/>
    <w:rsid w:val="7DE60973"/>
    <w:rsid w:val="7DEF0916"/>
    <w:rsid w:val="7E1E5218"/>
    <w:rsid w:val="7E7A7AF8"/>
    <w:rsid w:val="7E9A4E1F"/>
    <w:rsid w:val="7EA64803"/>
    <w:rsid w:val="7EA7723A"/>
    <w:rsid w:val="7EF56FBB"/>
    <w:rsid w:val="7F0768EB"/>
    <w:rsid w:val="7F143BEC"/>
    <w:rsid w:val="7F584861"/>
    <w:rsid w:val="7F715AF2"/>
    <w:rsid w:val="7F886E69"/>
    <w:rsid w:val="7FCA521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tabs>
        <w:tab w:val="left" w:pos="780"/>
      </w:tabs>
      <w:adjustRightInd/>
      <w:spacing w:line="360" w:lineRule="auto"/>
      <w:ind w:left="200" w:leftChars="200" w:firstLine="200" w:firstLine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65"/>
    <w:qFormat/>
    <w:uiPriority w:val="0"/>
    <w:pPr>
      <w:spacing w:line="480" w:lineRule="exact"/>
      <w:ind w:firstLine="480" w:firstLineChars="200"/>
    </w:pPr>
    <w:rPr>
      <w:rFonts w:ascii="宋体" w:hAnsi="宋体"/>
      <w:sz w:val="24"/>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2"/>
    <w:basedOn w:val="17"/>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99"/>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search_content1"/>
    <w:qFormat/>
    <w:uiPriority w:val="0"/>
    <w:rPr>
      <w:sz w:val="20"/>
      <w:szCs w:val="20"/>
    </w:rPr>
  </w:style>
  <w:style w:type="paragraph" w:customStyle="1" w:styleId="963">
    <w:name w:val="防指正文"/>
    <w:basedOn w:val="1"/>
    <w:qFormat/>
    <w:uiPriority w:val="0"/>
    <w:pPr>
      <w:tabs>
        <w:tab w:val="left" w:pos="540"/>
      </w:tabs>
      <w:snapToGrid w:val="0"/>
      <w:spacing w:line="360" w:lineRule="auto"/>
    </w:pPr>
    <w:rPr>
      <w:rFonts w:ascii="宋体" w:hAnsi="宋体"/>
      <w:bCs/>
      <w:sz w:val="24"/>
    </w:rPr>
  </w:style>
  <w:style w:type="character" w:customStyle="1" w:styleId="964">
    <w:name w:val="未处理的提及2"/>
    <w:basedOn w:val="71"/>
    <w:semiHidden/>
    <w:unhideWhenUsed/>
    <w:qFormat/>
    <w:uiPriority w:val="99"/>
    <w:rPr>
      <w:color w:val="605E5C"/>
      <w:shd w:val="clear" w:color="auto" w:fill="E1DFDD"/>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纯文本 字符2"/>
    <w:qFormat/>
    <w:uiPriority w:val="0"/>
    <w:rPr>
      <w:rFonts w:ascii="宋体" w:hAnsi="Courier New" w:eastAsia="宋体"/>
      <w:kern w:val="2"/>
      <w:sz w:val="21"/>
      <w:lang w:val="en-US" w:eastAsia="zh-CN" w:bidi="ar-SA"/>
    </w:rPr>
  </w:style>
  <w:style w:type="paragraph" w:customStyle="1" w:styleId="967">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71"/>
    <w:qFormat/>
    <w:uiPriority w:val="0"/>
  </w:style>
  <w:style w:type="paragraph" w:customStyle="1" w:styleId="969">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970">
    <w:name w:val="其他"/>
    <w:basedOn w:val="1"/>
    <w:qFormat/>
    <w:uiPriority w:val="0"/>
    <w:pPr>
      <w:shd w:val="clear" w:color="auto" w:fill="FFFFFF"/>
      <w:spacing w:after="70" w:line="324" w:lineRule="auto"/>
    </w:pPr>
    <w:rPr>
      <w:rFonts w:ascii="黑体" w:hAnsi="黑体" w:eastAsia="黑体" w:cs="黑体"/>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header9.xml" Type="http://schemas.openxmlformats.org/officeDocument/2006/relationships/header"/><Relationship Id="rId22" Target="header10.xml" Type="http://schemas.openxmlformats.org/officeDocument/2006/relationships/header"/><Relationship Id="rId23" Target="footer11.xml" Type="http://schemas.openxmlformats.org/officeDocument/2006/relationships/footer"/><Relationship Id="rId24" Target="footer12.xml" Type="http://schemas.openxmlformats.org/officeDocument/2006/relationships/footer"/><Relationship Id="rId25" Target="footer13.xml" Type="http://schemas.openxmlformats.org/officeDocument/2006/relationships/footer"/><Relationship Id="rId26" Target="theme/theme1.xml" Type="http://schemas.openxmlformats.org/officeDocument/2006/relationships/theme"/><Relationship Id="rId27" Target="../customXml/item1.xml" Type="http://schemas.openxmlformats.org/officeDocument/2006/relationships/customXml"/><Relationship Id="rId28" Target="numbering.xml" Type="http://schemas.openxmlformats.org/officeDocument/2006/relationships/numbering"/><Relationship Id="rId29" Target="../customXml/item2.xml" Type="http://schemas.openxmlformats.org/officeDocument/2006/relationships/customXml"/><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F3920-4840-42E1-82B4-4F0498537B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99</Pages>
  <Words>56147</Words>
  <Characters>60492</Characters>
  <Lines>456</Lines>
  <Paragraphs>128</Paragraphs>
  <TotalTime>134</TotalTime>
  <ScaleCrop>false</ScaleCrop>
  <LinksUpToDate>false</LinksUpToDate>
  <CharactersWithSpaces>61551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user</dc:creator>
  <cp:lastModifiedBy>浙江展图工程咨询有限公司</cp:lastModifiedBy>
  <cp:lastPrinted>2022-11-21T04:50:00Z</cp:lastPrinted>
  <dcterms:modified xsi:type="dcterms:W3CDTF">2022-12-01T06:51:40Z</dcterms:modified>
  <cp:revision>14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175DB2836EAF483688816E1DF19EBC81</vt:lpwstr>
  </property>
</Properties>
</file>