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黑体" w:hAnsi="宋体" w:eastAsia="黑体"/>
          <w:color w:val="auto"/>
          <w:sz w:val="28"/>
          <w:szCs w:val="28"/>
          <w:highlight w:val="none"/>
        </w:rPr>
      </w:pPr>
    </w:p>
    <w:p>
      <w:pPr>
        <w:adjustRightInd w:val="0"/>
        <w:snapToGrid w:val="0"/>
        <w:ind w:left="-210" w:leftChars="-100" w:right="-210" w:rightChars="-100"/>
        <w:jc w:val="center"/>
        <w:rPr>
          <w:rFonts w:ascii="黑体" w:hAnsi="黑体" w:eastAsia="黑体" w:cs="黑体"/>
          <w:b/>
          <w:color w:val="auto"/>
          <w:spacing w:val="-6"/>
          <w:sz w:val="44"/>
          <w:szCs w:val="44"/>
          <w:highlight w:val="none"/>
        </w:rPr>
      </w:pPr>
    </w:p>
    <w:p>
      <w:pPr>
        <w:adjustRightInd w:val="0"/>
        <w:snapToGrid w:val="0"/>
        <w:ind w:left="-210" w:leftChars="-100" w:right="-210" w:rightChars="-100"/>
        <w:jc w:val="center"/>
        <w:rPr>
          <w:rFonts w:hint="eastAsia" w:asciiTheme="minorEastAsia" w:hAnsiTheme="minorEastAsia" w:eastAsiaTheme="minorEastAsia" w:cstheme="minorEastAsia"/>
          <w:b/>
          <w:color w:val="auto"/>
          <w:spacing w:val="-6"/>
          <w:sz w:val="44"/>
          <w:szCs w:val="44"/>
          <w:highlight w:val="none"/>
        </w:rPr>
      </w:pPr>
      <w:r>
        <w:rPr>
          <w:rFonts w:hint="eastAsia" w:asciiTheme="minorEastAsia" w:hAnsiTheme="minorEastAsia" w:eastAsiaTheme="minorEastAsia" w:cstheme="minorEastAsia"/>
          <w:b/>
          <w:color w:val="auto"/>
          <w:spacing w:val="-6"/>
          <w:sz w:val="44"/>
          <w:szCs w:val="44"/>
          <w:highlight w:val="none"/>
        </w:rPr>
        <w:t>开化县华埠镇城区环卫作业一体化服务采购项目</w:t>
      </w:r>
    </w:p>
    <w:p>
      <w:pPr>
        <w:adjustRightInd w:val="0"/>
        <w:snapToGrid w:val="0"/>
        <w:spacing w:line="500" w:lineRule="exact"/>
        <w:jc w:val="center"/>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项目编号：</w:t>
      </w:r>
      <w:r>
        <w:rPr>
          <w:rFonts w:hint="eastAsia" w:ascii="黑体" w:hAnsi="黑体" w:eastAsia="黑体" w:cs="黑体"/>
          <w:color w:val="auto"/>
          <w:sz w:val="28"/>
          <w:szCs w:val="28"/>
          <w:highlight w:val="none"/>
          <w:lang w:eastAsia="zh-CN"/>
        </w:rPr>
        <w:t>QQZXFSCG-2022-03</w:t>
      </w:r>
    </w:p>
    <w:p>
      <w:pPr>
        <w:adjustRightInd w:val="0"/>
        <w:snapToGrid w:val="0"/>
        <w:jc w:val="center"/>
        <w:rPr>
          <w:rFonts w:ascii="黑体" w:hAnsi="黑体" w:eastAsia="黑体" w:cs="黑体"/>
          <w:b/>
          <w:color w:val="auto"/>
          <w:sz w:val="72"/>
          <w:szCs w:val="72"/>
          <w:highlight w:val="none"/>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公</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s="楷体"/>
          <w:b/>
          <w:color w:val="auto"/>
          <w:sz w:val="72"/>
          <w:szCs w:val="72"/>
          <w:highlight w:val="none"/>
          <w:lang w:eastAsia="zh-CN"/>
          <w14:shadow w14:blurRad="50800" w14:dist="38100" w14:dir="2700000" w14:sx="100000" w14:sy="100000" w14:kx="0" w14:ky="0" w14:algn="tl">
            <w14:srgbClr w14:val="000000">
              <w14:alpha w14:val="60000"/>
            </w14:srgbClr>
          </w14:shadow>
        </w:rPr>
        <w:t>件</w:t>
      </w:r>
    </w:p>
    <w:p>
      <w:pPr>
        <w:pStyle w:val="16"/>
        <w:rPr>
          <w:rFonts w:ascii="新宋体" w:hAnsi="新宋体" w:eastAsia="新宋体"/>
          <w:b/>
          <w:bCs/>
          <w:color w:val="auto"/>
          <w:sz w:val="28"/>
          <w:szCs w:val="28"/>
          <w:highlight w:val="none"/>
        </w:rPr>
      </w:pPr>
    </w:p>
    <w:p>
      <w:pPr>
        <w:pStyle w:val="38"/>
        <w:rPr>
          <w:color w:val="auto"/>
          <w:highlight w:val="none"/>
        </w:rPr>
      </w:pPr>
    </w:p>
    <w:p>
      <w:pPr>
        <w:spacing w:line="360" w:lineRule="auto"/>
        <w:jc w:val="center"/>
        <w:rPr>
          <w:rFonts w:hint="eastAsia" w:ascii="黑体" w:hAnsi="新宋体" w:eastAsia="黑体"/>
          <w:bCs/>
          <w:color w:val="auto"/>
          <w:sz w:val="28"/>
          <w:szCs w:val="28"/>
          <w:highlight w:val="none"/>
          <w:lang w:eastAsia="zh-CN"/>
        </w:rPr>
      </w:pPr>
      <w:r>
        <w:rPr>
          <w:rFonts w:hint="eastAsia" w:ascii="黑体" w:hAnsi="新宋体" w:eastAsia="黑体"/>
          <w:bCs/>
          <w:color w:val="auto"/>
          <w:sz w:val="28"/>
          <w:szCs w:val="28"/>
          <w:highlight w:val="none"/>
        </w:rPr>
        <w:t>采购人：</w:t>
      </w:r>
      <w:r>
        <w:rPr>
          <w:rFonts w:hint="eastAsia" w:ascii="黑体" w:hAnsi="新宋体" w:eastAsia="黑体"/>
          <w:bCs/>
          <w:color w:val="auto"/>
          <w:sz w:val="28"/>
          <w:szCs w:val="28"/>
          <w:highlight w:val="none"/>
          <w:lang w:eastAsia="zh-CN"/>
        </w:rPr>
        <w:t>开化县华埠镇人民政府</w:t>
      </w:r>
    </w:p>
    <w:p>
      <w:pPr>
        <w:spacing w:line="360" w:lineRule="auto"/>
        <w:jc w:val="center"/>
        <w:rPr>
          <w:rFonts w:ascii="黑体" w:hAnsi="宋体" w:eastAsia="黑体"/>
          <w:color w:val="auto"/>
          <w:sz w:val="28"/>
          <w:szCs w:val="28"/>
          <w:highlight w:val="none"/>
        </w:rPr>
      </w:pPr>
      <w:r>
        <w:rPr>
          <w:rFonts w:hint="eastAsia" w:ascii="黑体" w:hAnsi="新宋体" w:eastAsia="黑体"/>
          <w:bCs/>
          <w:color w:val="auto"/>
          <w:sz w:val="28"/>
          <w:szCs w:val="28"/>
          <w:highlight w:val="none"/>
        </w:rPr>
        <w:t>采购代理机构：</w:t>
      </w:r>
      <w:r>
        <w:rPr>
          <w:rFonts w:hint="eastAsia" w:ascii="黑体" w:hAnsi="宋体" w:eastAsia="黑体"/>
          <w:bCs/>
          <w:color w:val="auto"/>
          <w:sz w:val="28"/>
          <w:szCs w:val="28"/>
          <w:highlight w:val="none"/>
        </w:rPr>
        <w:t>嘉兴市千秋工程咨询有限公司</w:t>
      </w:r>
    </w:p>
    <w:p>
      <w:pPr>
        <w:spacing w:line="360" w:lineRule="auto"/>
        <w:jc w:val="center"/>
        <w:rPr>
          <w:rFonts w:ascii="黑体" w:hAnsi="宋体" w:eastAsia="黑体"/>
          <w:color w:val="auto"/>
          <w:sz w:val="28"/>
          <w:szCs w:val="28"/>
          <w:highlight w:val="none"/>
        </w:rPr>
      </w:pPr>
      <w:r>
        <w:rPr>
          <w:rFonts w:hint="eastAsia" w:ascii="黑体" w:hAnsi="宋体" w:eastAsia="黑体"/>
          <w:bCs/>
          <w:color w:val="auto"/>
          <w:sz w:val="28"/>
          <w:szCs w:val="28"/>
          <w:highlight w:val="none"/>
        </w:rPr>
        <w:t>二O二</w:t>
      </w:r>
      <w:r>
        <w:rPr>
          <w:rFonts w:hint="eastAsia" w:ascii="黑体" w:hAnsi="宋体" w:eastAsia="黑体"/>
          <w:bCs/>
          <w:color w:val="auto"/>
          <w:sz w:val="28"/>
          <w:szCs w:val="28"/>
          <w:highlight w:val="none"/>
          <w:lang w:eastAsia="zh-CN"/>
        </w:rPr>
        <w:t>二</w:t>
      </w:r>
      <w:r>
        <w:rPr>
          <w:rFonts w:hint="eastAsia" w:ascii="黑体" w:hAnsi="宋体" w:eastAsia="黑体"/>
          <w:bCs/>
          <w:color w:val="auto"/>
          <w:sz w:val="28"/>
          <w:szCs w:val="28"/>
          <w:highlight w:val="none"/>
        </w:rPr>
        <w:t>年</w:t>
      </w:r>
      <w:r>
        <w:rPr>
          <w:rFonts w:hint="eastAsia" w:ascii="黑体" w:hAnsi="宋体" w:eastAsia="黑体"/>
          <w:bCs/>
          <w:color w:val="auto"/>
          <w:sz w:val="28"/>
          <w:szCs w:val="28"/>
          <w:highlight w:val="none"/>
          <w:lang w:eastAsia="zh-CN"/>
        </w:rPr>
        <w:t>二</w:t>
      </w:r>
      <w:r>
        <w:rPr>
          <w:rFonts w:hint="eastAsia" w:ascii="黑体" w:hAnsi="宋体" w:eastAsia="黑体"/>
          <w:bCs/>
          <w:color w:val="auto"/>
          <w:sz w:val="28"/>
          <w:szCs w:val="28"/>
          <w:highlight w:val="none"/>
        </w:rPr>
        <w:t>月</w:t>
      </w:r>
    </w:p>
    <w:p>
      <w:pPr>
        <w:pStyle w:val="61"/>
        <w:snapToGrid w:val="0"/>
        <w:spacing w:after="0" w:line="440" w:lineRule="exact"/>
        <w:ind w:firstLine="0"/>
        <w:rPr>
          <w:rFonts w:ascii="黑体" w:hAnsi="宋体" w:eastAsia="黑体"/>
          <w:color w:val="auto"/>
          <w:sz w:val="28"/>
          <w:szCs w:val="28"/>
          <w:highlight w:val="none"/>
        </w:rPr>
      </w:pPr>
    </w:p>
    <w:p>
      <w:pPr>
        <w:pStyle w:val="61"/>
        <w:snapToGrid w:val="0"/>
        <w:spacing w:after="0" w:line="600" w:lineRule="auto"/>
        <w:ind w:firstLine="0"/>
        <w:jc w:val="both"/>
        <w:rPr>
          <w:rFonts w:hint="eastAsia" w:ascii="黑体" w:hAnsi="宋体" w:eastAsia="黑体"/>
          <w:color w:val="auto"/>
          <w:sz w:val="44"/>
          <w:szCs w:val="44"/>
          <w:highlight w:val="none"/>
        </w:rPr>
      </w:pPr>
    </w:p>
    <w:p>
      <w:pPr>
        <w:pStyle w:val="61"/>
        <w:snapToGrid w:val="0"/>
        <w:spacing w:after="0" w:line="600" w:lineRule="auto"/>
        <w:ind w:firstLine="0"/>
        <w:jc w:val="both"/>
        <w:rPr>
          <w:rFonts w:hint="eastAsia" w:ascii="黑体" w:hAnsi="宋体" w:eastAsia="黑体"/>
          <w:color w:val="auto"/>
          <w:sz w:val="44"/>
          <w:szCs w:val="44"/>
          <w:highlight w:val="none"/>
        </w:rPr>
      </w:pPr>
    </w:p>
    <w:p>
      <w:pPr>
        <w:pStyle w:val="61"/>
        <w:snapToGrid w:val="0"/>
        <w:spacing w:after="0" w:line="600" w:lineRule="auto"/>
        <w:ind w:firstLine="0"/>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目    录</w:t>
      </w:r>
    </w:p>
    <w:p>
      <w:pPr>
        <w:pStyle w:val="28"/>
        <w:tabs>
          <w:tab w:val="right" w:leader="dot" w:pos="9061"/>
        </w:tabs>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第一章  招标公告</w:t>
      </w:r>
      <w:r>
        <w:rPr>
          <w:color w:val="auto"/>
          <w:highlight w:val="none"/>
        </w:rPr>
        <w:fldChar w:fldCharType="begin"/>
      </w:r>
      <w:r>
        <w:rPr>
          <w:color w:val="auto"/>
          <w:highlight w:val="none"/>
        </w:rPr>
        <w:instrText xml:space="preserve"> HYPERLINK \l "_Toc13033" </w:instrText>
      </w:r>
      <w:r>
        <w:rPr>
          <w:color w:val="auto"/>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3</w:t>
      </w:r>
    </w:p>
    <w:p>
      <w:pPr>
        <w:pStyle w:val="28"/>
        <w:tabs>
          <w:tab w:val="right" w:leader="dot" w:pos="9061"/>
        </w:tabs>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第二章  投标人须知及前附表</w:t>
      </w:r>
      <w:r>
        <w:rPr>
          <w:color w:val="auto"/>
          <w:highlight w:val="none"/>
        </w:rPr>
        <w:fldChar w:fldCharType="begin"/>
      </w:r>
      <w:r>
        <w:rPr>
          <w:color w:val="auto"/>
          <w:highlight w:val="none"/>
        </w:rPr>
        <w:instrText xml:space="preserve"> HYPERLINK \l "_Toc13033" </w:instrText>
      </w:r>
      <w:r>
        <w:rPr>
          <w:color w:val="auto"/>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8</w:t>
      </w:r>
    </w:p>
    <w:p>
      <w:pPr>
        <w:pStyle w:val="28"/>
        <w:tabs>
          <w:tab w:val="right" w:leader="dot" w:pos="9061"/>
        </w:tabs>
        <w:spacing w:line="500" w:lineRule="exact"/>
        <w:ind w:firstLine="1120" w:firstLineChars="4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A、投标人须知前附表</w:t>
      </w:r>
      <w:r>
        <w:rPr>
          <w:color w:val="auto"/>
          <w:highlight w:val="none"/>
        </w:rPr>
        <w:fldChar w:fldCharType="begin"/>
      </w:r>
      <w:r>
        <w:rPr>
          <w:color w:val="auto"/>
          <w:highlight w:val="none"/>
        </w:rPr>
        <w:instrText xml:space="preserve"> HYPERLINK \l "_Toc13033" </w:instrText>
      </w:r>
      <w:r>
        <w:rPr>
          <w:color w:val="auto"/>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8</w:t>
      </w:r>
    </w:p>
    <w:p>
      <w:pPr>
        <w:pStyle w:val="28"/>
        <w:tabs>
          <w:tab w:val="right" w:leader="dot" w:pos="9061"/>
        </w:tabs>
        <w:spacing w:line="500" w:lineRule="exact"/>
        <w:ind w:firstLine="1120" w:firstLineChars="4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B、投标人须知</w:t>
      </w:r>
      <w:r>
        <w:rPr>
          <w:color w:val="auto"/>
          <w:highlight w:val="none"/>
        </w:rPr>
        <w:fldChar w:fldCharType="begin"/>
      </w:r>
      <w:r>
        <w:rPr>
          <w:color w:val="auto"/>
          <w:highlight w:val="none"/>
        </w:rPr>
        <w:instrText xml:space="preserve"> HYPERLINK \l "_Toc13033" </w:instrText>
      </w:r>
      <w:r>
        <w:rPr>
          <w:color w:val="auto"/>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12</w:t>
      </w:r>
      <w:bookmarkStart w:id="311" w:name="_GoBack"/>
      <w:bookmarkEnd w:id="311"/>
    </w:p>
    <w:p>
      <w:pPr>
        <w:pStyle w:val="28"/>
        <w:tabs>
          <w:tab w:val="right" w:leader="dot" w:pos="9061"/>
        </w:tabs>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第三章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合同主要条款</w:t>
      </w:r>
      <w:r>
        <w:rPr>
          <w:color w:val="auto"/>
          <w:highlight w:val="none"/>
        </w:rPr>
        <w:fldChar w:fldCharType="begin"/>
      </w:r>
      <w:r>
        <w:rPr>
          <w:color w:val="auto"/>
          <w:highlight w:val="none"/>
        </w:rPr>
        <w:instrText xml:space="preserve"> HYPERLINK \l "_Toc13033" </w:instrText>
      </w:r>
      <w:r>
        <w:rPr>
          <w:color w:val="auto"/>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31</w:t>
      </w:r>
    </w:p>
    <w:p>
      <w:pPr>
        <w:pStyle w:val="28"/>
        <w:tabs>
          <w:tab w:val="right" w:leader="dot" w:pos="9061"/>
        </w:tabs>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采购需求</w:t>
      </w:r>
      <w:r>
        <w:rPr>
          <w:color w:val="auto"/>
          <w:highlight w:val="none"/>
        </w:rPr>
        <w:fldChar w:fldCharType="begin"/>
      </w:r>
      <w:r>
        <w:rPr>
          <w:color w:val="auto"/>
          <w:highlight w:val="none"/>
        </w:rPr>
        <w:instrText xml:space="preserve"> HYPERLINK \l "_Toc13033" </w:instrText>
      </w:r>
      <w:r>
        <w:rPr>
          <w:color w:val="auto"/>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39</w:t>
      </w:r>
    </w:p>
    <w:p>
      <w:pPr>
        <w:pStyle w:val="28"/>
        <w:tabs>
          <w:tab w:val="right" w:leader="dot" w:pos="9061"/>
        </w:tabs>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第五章  投标文件格式</w:t>
      </w:r>
      <w:r>
        <w:rPr>
          <w:color w:val="auto"/>
          <w:highlight w:val="none"/>
        </w:rPr>
        <w:fldChar w:fldCharType="begin"/>
      </w:r>
      <w:r>
        <w:rPr>
          <w:color w:val="auto"/>
          <w:highlight w:val="none"/>
        </w:rPr>
        <w:instrText xml:space="preserve"> HYPERLINK \l "_Toc13033" </w:instrText>
      </w:r>
      <w:r>
        <w:rPr>
          <w:color w:val="auto"/>
          <w:highlight w:val="none"/>
        </w:rPr>
        <w:fldChar w:fldCharType="separate"/>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79</w:t>
      </w:r>
    </w:p>
    <w:p>
      <w:pPr>
        <w:pStyle w:val="28"/>
        <w:tabs>
          <w:tab w:val="right" w:leader="dot" w:pos="9061"/>
        </w:tabs>
        <w:spacing w:line="500" w:lineRule="exact"/>
        <w:ind w:firstLine="560" w:firstLineChars="200"/>
        <w:rPr>
          <w:rFonts w:ascii="仿宋" w:hAnsi="仿宋" w:eastAsia="仿宋" w:cs="仿宋"/>
          <w:color w:val="auto"/>
          <w:sz w:val="28"/>
          <w:szCs w:val="28"/>
          <w:highlight w:val="none"/>
        </w:rPr>
      </w:pPr>
    </w:p>
    <w:p>
      <w:pPr>
        <w:pStyle w:val="28"/>
        <w:tabs>
          <w:tab w:val="right" w:leader="dot" w:pos="9061"/>
        </w:tabs>
        <w:spacing w:line="500" w:lineRule="exact"/>
        <w:ind w:firstLine="560" w:firstLineChars="200"/>
        <w:rPr>
          <w:color w:val="auto"/>
          <w:sz w:val="28"/>
          <w:szCs w:val="28"/>
          <w:highlight w:val="none"/>
        </w:rPr>
      </w:pPr>
    </w:p>
    <w:p>
      <w:pPr>
        <w:rPr>
          <w:color w:val="auto"/>
          <w:sz w:val="28"/>
          <w:szCs w:val="28"/>
          <w:highlight w:val="none"/>
        </w:rPr>
      </w:pPr>
    </w:p>
    <w:p>
      <w:pPr>
        <w:pStyle w:val="24"/>
        <w:spacing w:before="162" w:after="162"/>
        <w:ind w:firstLine="560"/>
        <w:rPr>
          <w:color w:val="auto"/>
          <w:sz w:val="28"/>
          <w:szCs w:val="28"/>
          <w:highlight w:val="none"/>
        </w:rPr>
      </w:pPr>
    </w:p>
    <w:p>
      <w:pPr>
        <w:pStyle w:val="24"/>
        <w:spacing w:before="162" w:after="162"/>
        <w:ind w:firstLine="560"/>
        <w:rPr>
          <w:color w:val="auto"/>
          <w:sz w:val="28"/>
          <w:szCs w:val="28"/>
          <w:highlight w:val="none"/>
        </w:rPr>
      </w:pPr>
    </w:p>
    <w:p>
      <w:pPr>
        <w:pStyle w:val="24"/>
        <w:spacing w:before="162" w:after="162"/>
        <w:ind w:firstLine="560"/>
        <w:rPr>
          <w:color w:val="auto"/>
          <w:sz w:val="28"/>
          <w:szCs w:val="28"/>
          <w:highlight w:val="none"/>
        </w:rPr>
      </w:pPr>
    </w:p>
    <w:p>
      <w:pPr>
        <w:pStyle w:val="24"/>
        <w:spacing w:before="162" w:after="162"/>
        <w:ind w:firstLine="560"/>
        <w:rPr>
          <w:color w:val="auto"/>
          <w:sz w:val="28"/>
          <w:szCs w:val="28"/>
          <w:highlight w:val="none"/>
        </w:rPr>
      </w:pPr>
    </w:p>
    <w:p>
      <w:pPr>
        <w:pStyle w:val="24"/>
        <w:spacing w:before="162" w:after="162"/>
        <w:ind w:firstLine="560"/>
        <w:rPr>
          <w:color w:val="auto"/>
          <w:sz w:val="28"/>
          <w:szCs w:val="28"/>
          <w:highlight w:val="none"/>
        </w:rPr>
      </w:pPr>
    </w:p>
    <w:p>
      <w:pPr>
        <w:pStyle w:val="24"/>
        <w:spacing w:before="162" w:after="162"/>
        <w:ind w:firstLine="560"/>
        <w:rPr>
          <w:color w:val="auto"/>
          <w:sz w:val="28"/>
          <w:szCs w:val="28"/>
          <w:highlight w:val="none"/>
        </w:rPr>
      </w:pPr>
    </w:p>
    <w:p>
      <w:pPr>
        <w:pStyle w:val="24"/>
        <w:spacing w:before="162" w:after="162"/>
        <w:ind w:firstLine="560"/>
        <w:rPr>
          <w:color w:val="auto"/>
          <w:sz w:val="28"/>
          <w:szCs w:val="28"/>
          <w:highlight w:val="none"/>
        </w:rPr>
      </w:pPr>
    </w:p>
    <w:p>
      <w:pPr>
        <w:pStyle w:val="28"/>
        <w:tabs>
          <w:tab w:val="right" w:leader="dot" w:pos="9061"/>
        </w:tabs>
        <w:spacing w:line="500" w:lineRule="exact"/>
        <w:jc w:val="center"/>
        <w:rPr>
          <w:rFonts w:hint="eastAsia" w:ascii="仿宋" w:hAnsi="仿宋" w:eastAsia="仿宋" w:cs="仿宋"/>
          <w:b/>
          <w:bCs/>
          <w:color w:val="auto"/>
          <w:sz w:val="28"/>
          <w:szCs w:val="28"/>
          <w:highlight w:val="none"/>
          <w:lang w:eastAsia="zh-CN"/>
        </w:rPr>
      </w:pPr>
      <w:r>
        <w:rPr>
          <w:rFonts w:hint="eastAsia" w:ascii="黑体" w:hAnsi="宋体" w:eastAsia="黑体"/>
          <w:bCs/>
          <w:color w:val="auto"/>
          <w:sz w:val="36"/>
          <w:szCs w:val="36"/>
          <w:highlight w:val="none"/>
        </w:rPr>
        <w:t>第一章  招标公告</w:t>
      </w:r>
      <w:bookmarkStart w:id="0" w:name="_Toc333842542"/>
      <w:bookmarkStart w:id="1" w:name="_Toc393201705"/>
      <w:bookmarkStart w:id="2" w:name="_Toc12486"/>
      <w:bookmarkStart w:id="3" w:name="_Toc358384686"/>
      <w:bookmarkStart w:id="4" w:name="_Toc326937528"/>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6" w:type="dxa"/>
            <w:noWrap w:val="0"/>
            <w:vAlign w:val="top"/>
          </w:tcPr>
          <w:p>
            <w:pPr>
              <w:pStyle w:val="4"/>
              <w:keepLines w:val="0"/>
              <w:pageBreakBefore w:val="0"/>
              <w:widowControl/>
              <w:kinsoku/>
              <w:overflowPunct/>
              <w:topLinePunct w:val="0"/>
              <w:autoSpaceDE/>
              <w:autoSpaceDN/>
              <w:bidi w:val="0"/>
              <w:spacing w:before="0" w:beforeAutospacing="0" w:after="0" w:afterAutospacing="0" w:line="580" w:lineRule="exact"/>
              <w:textAlignment w:val="auto"/>
              <w:rPr>
                <w:rFonts w:hint="eastAsia" w:ascii="仿宋" w:hAnsi="仿宋" w:eastAsia="仿宋" w:cs="仿宋"/>
                <w:b/>
                <w:bCs w:val="0"/>
                <w:i w:val="0"/>
                <w:iCs w:val="0"/>
                <w:color w:val="auto"/>
                <w:sz w:val="28"/>
                <w:szCs w:val="28"/>
                <w:highlight w:val="none"/>
              </w:rPr>
            </w:pPr>
            <w:bookmarkStart w:id="5" w:name="_Toc28359079"/>
            <w:bookmarkStart w:id="6" w:name="_Toc35393621"/>
            <w:bookmarkStart w:id="7" w:name="_Toc28359002"/>
            <w:bookmarkStart w:id="8" w:name="_Toc35393790"/>
            <w:bookmarkStart w:id="9" w:name="_Hlk24379207"/>
            <w:r>
              <w:rPr>
                <w:rFonts w:hint="eastAsia" w:ascii="仿宋" w:hAnsi="仿宋" w:eastAsia="仿宋" w:cs="仿宋"/>
                <w:b/>
                <w:bCs w:val="0"/>
                <w:i w:val="0"/>
                <w:iCs w:val="0"/>
                <w:color w:val="auto"/>
                <w:sz w:val="28"/>
                <w:szCs w:val="28"/>
                <w:highlight w:val="none"/>
              </w:rPr>
              <w:t>项目概况</w:t>
            </w:r>
          </w:p>
          <w:p>
            <w:pPr>
              <w:pStyle w:val="4"/>
              <w:keepLines w:val="0"/>
              <w:pageBreakBefore w:val="0"/>
              <w:widowControl/>
              <w:kinsoku/>
              <w:overflowPunct/>
              <w:topLinePunct w:val="0"/>
              <w:autoSpaceDE/>
              <w:autoSpaceDN/>
              <w:bidi w:val="0"/>
              <w:spacing w:before="0" w:beforeAutospacing="0" w:after="0" w:afterAutospacing="0" w:line="580" w:lineRule="exact"/>
              <w:ind w:firstLine="560" w:firstLineChars="200"/>
              <w:textAlignment w:val="auto"/>
              <w:rPr>
                <w:rFonts w:hint="eastAsia" w:ascii="仿宋" w:hAnsi="仿宋" w:eastAsia="仿宋" w:cs="仿宋"/>
                <w:b/>
                <w:bCs w:val="0"/>
                <w:i w:val="0"/>
                <w:iCs w:val="0"/>
                <w:color w:val="auto"/>
                <w:sz w:val="28"/>
                <w:szCs w:val="28"/>
                <w:highlight w:val="none"/>
                <w:vertAlign w:val="baseline"/>
              </w:rPr>
            </w:pPr>
            <w:r>
              <w:rPr>
                <w:rFonts w:hint="eastAsia" w:ascii="仿宋" w:hAnsi="仿宋" w:eastAsia="仿宋" w:cs="仿宋"/>
                <w:b w:val="0"/>
                <w:bCs/>
                <w:i w:val="0"/>
                <w:iCs w:val="0"/>
                <w:color w:val="auto"/>
                <w:sz w:val="28"/>
                <w:szCs w:val="28"/>
                <w:highlight w:val="none"/>
                <w:lang w:eastAsia="zh-CN"/>
              </w:rPr>
              <w:t>开化县华埠镇城区环卫作业一体化服务采购项目</w:t>
            </w:r>
            <w:r>
              <w:rPr>
                <w:rFonts w:hint="eastAsia" w:ascii="仿宋" w:hAnsi="仿宋" w:eastAsia="仿宋" w:cs="仿宋"/>
                <w:b w:val="0"/>
                <w:bCs/>
                <w:i w:val="0"/>
                <w:iCs w:val="0"/>
                <w:color w:val="auto"/>
                <w:sz w:val="28"/>
                <w:szCs w:val="28"/>
                <w:highlight w:val="none"/>
              </w:rPr>
              <w:t>的潜在投标人应在浙江政府采购网（http://zfcg.czt.zj.gov.cn/）或开化县人民政府网（www.kaihua.gov.cn/）获取招标文件，并于</w:t>
            </w:r>
            <w:r>
              <w:rPr>
                <w:rFonts w:hint="eastAsia" w:ascii="仿宋" w:hAnsi="仿宋" w:eastAsia="仿宋" w:cs="仿宋"/>
                <w:b/>
                <w:bCs/>
                <w:i w:val="0"/>
                <w:iCs w:val="0"/>
                <w:color w:val="auto"/>
                <w:kern w:val="2"/>
                <w:sz w:val="28"/>
                <w:szCs w:val="28"/>
                <w:highlight w:val="none"/>
                <w:u w:val="single"/>
              </w:rPr>
              <w:t>202</w:t>
            </w:r>
            <w:r>
              <w:rPr>
                <w:rFonts w:hint="eastAsia" w:ascii="仿宋" w:hAnsi="仿宋" w:eastAsia="仿宋" w:cs="仿宋"/>
                <w:b/>
                <w:bCs/>
                <w:i w:val="0"/>
                <w:iCs w:val="0"/>
                <w:color w:val="auto"/>
                <w:kern w:val="2"/>
                <w:sz w:val="28"/>
                <w:szCs w:val="28"/>
                <w:highlight w:val="none"/>
                <w:u w:val="single"/>
                <w:lang w:val="en-US" w:eastAsia="zh-CN"/>
              </w:rPr>
              <w:t>2</w:t>
            </w:r>
            <w:r>
              <w:rPr>
                <w:rFonts w:hint="eastAsia" w:ascii="仿宋" w:hAnsi="仿宋" w:eastAsia="仿宋" w:cs="仿宋"/>
                <w:b/>
                <w:bCs/>
                <w:i w:val="0"/>
                <w:iCs w:val="0"/>
                <w:color w:val="auto"/>
                <w:kern w:val="2"/>
                <w:sz w:val="28"/>
                <w:szCs w:val="28"/>
                <w:highlight w:val="none"/>
                <w:u w:val="none"/>
              </w:rPr>
              <w:t>年</w:t>
            </w:r>
            <w:r>
              <w:rPr>
                <w:rFonts w:hint="eastAsia" w:ascii="仿宋" w:hAnsi="仿宋" w:eastAsia="仿宋" w:cs="仿宋"/>
                <w:b/>
                <w:bCs/>
                <w:i w:val="0"/>
                <w:iCs w:val="0"/>
                <w:color w:val="auto"/>
                <w:kern w:val="2"/>
                <w:sz w:val="28"/>
                <w:szCs w:val="28"/>
                <w:highlight w:val="none"/>
                <w:u w:val="single"/>
                <w:lang w:val="en-US" w:eastAsia="zh-CN"/>
              </w:rPr>
              <w:t xml:space="preserve"> 3 </w:t>
            </w:r>
            <w:r>
              <w:rPr>
                <w:rFonts w:hint="eastAsia" w:ascii="仿宋" w:hAnsi="仿宋" w:eastAsia="仿宋" w:cs="仿宋"/>
                <w:b/>
                <w:bCs/>
                <w:i w:val="0"/>
                <w:iCs w:val="0"/>
                <w:color w:val="auto"/>
                <w:kern w:val="2"/>
                <w:sz w:val="28"/>
                <w:szCs w:val="28"/>
                <w:highlight w:val="none"/>
                <w:u w:val="none"/>
              </w:rPr>
              <w:t>月</w:t>
            </w:r>
            <w:r>
              <w:rPr>
                <w:rFonts w:hint="eastAsia" w:ascii="仿宋" w:hAnsi="仿宋" w:eastAsia="仿宋" w:cs="仿宋"/>
                <w:b/>
                <w:bCs/>
                <w:i w:val="0"/>
                <w:iCs w:val="0"/>
                <w:color w:val="auto"/>
                <w:kern w:val="2"/>
                <w:sz w:val="28"/>
                <w:szCs w:val="28"/>
                <w:highlight w:val="none"/>
                <w:u w:val="single"/>
                <w:lang w:val="en-US" w:eastAsia="zh-CN"/>
              </w:rPr>
              <w:t xml:space="preserve"> 15 </w:t>
            </w:r>
            <w:r>
              <w:rPr>
                <w:rFonts w:hint="eastAsia" w:ascii="仿宋" w:hAnsi="仿宋" w:eastAsia="仿宋" w:cs="仿宋"/>
                <w:b/>
                <w:bCs/>
                <w:i w:val="0"/>
                <w:iCs w:val="0"/>
                <w:color w:val="auto"/>
                <w:kern w:val="2"/>
                <w:sz w:val="28"/>
                <w:szCs w:val="28"/>
                <w:highlight w:val="none"/>
                <w:u w:val="none"/>
              </w:rPr>
              <w:t>日</w:t>
            </w:r>
            <w:r>
              <w:rPr>
                <w:rFonts w:hint="eastAsia" w:ascii="仿宋" w:hAnsi="仿宋" w:eastAsia="仿宋" w:cs="仿宋"/>
                <w:b/>
                <w:bCs/>
                <w:i w:val="0"/>
                <w:iCs w:val="0"/>
                <w:color w:val="auto"/>
                <w:sz w:val="28"/>
                <w:szCs w:val="28"/>
                <w:highlight w:val="none"/>
                <w:lang w:val="en-US" w:eastAsia="zh-CN"/>
              </w:rPr>
              <w:t>09</w:t>
            </w:r>
            <w:r>
              <w:rPr>
                <w:rFonts w:hint="eastAsia" w:ascii="仿宋" w:hAnsi="仿宋" w:eastAsia="仿宋" w:cs="仿宋"/>
                <w:b/>
                <w:bCs/>
                <w:i w:val="0"/>
                <w:iCs w:val="0"/>
                <w:color w:val="auto"/>
                <w:sz w:val="28"/>
                <w:szCs w:val="28"/>
                <w:highlight w:val="none"/>
              </w:rPr>
              <w:t>:</w:t>
            </w:r>
            <w:r>
              <w:rPr>
                <w:rFonts w:hint="eastAsia" w:ascii="仿宋" w:hAnsi="仿宋" w:eastAsia="仿宋" w:cs="仿宋"/>
                <w:b/>
                <w:bCs/>
                <w:i w:val="0"/>
                <w:iCs w:val="0"/>
                <w:color w:val="auto"/>
                <w:sz w:val="28"/>
                <w:szCs w:val="28"/>
                <w:highlight w:val="none"/>
                <w:lang w:val="en-US" w:eastAsia="zh-CN"/>
              </w:rPr>
              <w:t>3</w:t>
            </w:r>
            <w:r>
              <w:rPr>
                <w:rFonts w:hint="eastAsia" w:ascii="仿宋" w:hAnsi="仿宋" w:eastAsia="仿宋" w:cs="仿宋"/>
                <w:b/>
                <w:bCs/>
                <w:i w:val="0"/>
                <w:iCs w:val="0"/>
                <w:color w:val="auto"/>
                <w:sz w:val="28"/>
                <w:szCs w:val="28"/>
                <w:highlight w:val="none"/>
              </w:rPr>
              <w:t>0时</w:t>
            </w:r>
            <w:r>
              <w:rPr>
                <w:rFonts w:hint="eastAsia" w:ascii="仿宋" w:hAnsi="仿宋" w:eastAsia="仿宋" w:cs="仿宋"/>
                <w:b w:val="0"/>
                <w:bCs/>
                <w:i w:val="0"/>
                <w:iCs w:val="0"/>
                <w:color w:val="auto"/>
                <w:sz w:val="28"/>
                <w:szCs w:val="28"/>
                <w:highlight w:val="none"/>
              </w:rPr>
              <w:t>（北京时间）前递交</w:t>
            </w:r>
            <w:r>
              <w:rPr>
                <w:rFonts w:hint="eastAsia" w:ascii="仿宋" w:hAnsi="仿宋" w:eastAsia="仿宋" w:cs="仿宋"/>
                <w:b w:val="0"/>
                <w:bCs/>
                <w:i w:val="0"/>
                <w:iCs w:val="0"/>
                <w:color w:val="auto"/>
                <w:sz w:val="28"/>
                <w:szCs w:val="28"/>
                <w:highlight w:val="none"/>
                <w:lang w:eastAsia="zh-CN"/>
              </w:rPr>
              <w:t>（上传）</w:t>
            </w:r>
            <w:r>
              <w:rPr>
                <w:rFonts w:hint="eastAsia" w:ascii="仿宋" w:hAnsi="仿宋" w:eastAsia="仿宋" w:cs="仿宋"/>
                <w:b w:val="0"/>
                <w:bCs/>
                <w:i w:val="0"/>
                <w:iCs w:val="0"/>
                <w:color w:val="auto"/>
                <w:sz w:val="28"/>
                <w:szCs w:val="28"/>
                <w:highlight w:val="none"/>
              </w:rPr>
              <w:t>投标文件。</w:t>
            </w:r>
          </w:p>
        </w:tc>
      </w:tr>
    </w:tbl>
    <w:p>
      <w:pPr>
        <w:pStyle w:val="4"/>
        <w:keepLines w:val="0"/>
        <w:pageBreakBefore w:val="0"/>
        <w:widowControl/>
        <w:kinsoku/>
        <w:overflowPunct/>
        <w:topLinePunct w:val="0"/>
        <w:autoSpaceDE/>
        <w:autoSpaceDN/>
        <w:bidi w:val="0"/>
        <w:spacing w:before="0" w:beforeAutospacing="0" w:after="0" w:afterAutospacing="0" w:line="580" w:lineRule="exact"/>
        <w:textAlignment w:val="auto"/>
        <w:rPr>
          <w:rFonts w:hint="eastAsia" w:ascii="仿宋" w:hAnsi="仿宋" w:eastAsia="仿宋" w:cs="仿宋"/>
          <w:b/>
          <w:bCs w:val="0"/>
          <w:i w:val="0"/>
          <w:iCs w:val="0"/>
          <w:color w:val="auto"/>
          <w:sz w:val="28"/>
          <w:szCs w:val="28"/>
          <w:highlight w:val="none"/>
        </w:rPr>
      </w:pPr>
      <w:r>
        <w:rPr>
          <w:rFonts w:hint="eastAsia" w:ascii="仿宋" w:hAnsi="仿宋" w:eastAsia="仿宋" w:cs="仿宋"/>
          <w:b/>
          <w:bCs w:val="0"/>
          <w:i w:val="0"/>
          <w:iCs w:val="0"/>
          <w:color w:val="auto"/>
          <w:sz w:val="28"/>
          <w:szCs w:val="28"/>
          <w:highlight w:val="none"/>
        </w:rPr>
        <w:t>一、项目基本情况</w:t>
      </w:r>
      <w:bookmarkEnd w:id="5"/>
      <w:bookmarkEnd w:id="6"/>
      <w:bookmarkEnd w:id="7"/>
      <w:bookmarkEnd w:id="8"/>
    </w:p>
    <w:p>
      <w:pPr>
        <w:keepLines w:val="0"/>
        <w:pageBreakBefore w:val="0"/>
        <w:widowControl/>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shd w:val="clear" w:color="auto" w:fill="FFFFFF"/>
          <w:lang w:eastAsia="zh-CN"/>
        </w:rPr>
        <w:t>QQZXFSCG-2022-03</w:t>
      </w:r>
    </w:p>
    <w:p>
      <w:pPr>
        <w:keepLines w:val="0"/>
        <w:pageBreakBefore w:val="0"/>
        <w:widowControl/>
        <w:kinsoku/>
        <w:overflowPunct/>
        <w:topLinePunct w:val="0"/>
        <w:autoSpaceDE/>
        <w:autoSpaceDN/>
        <w:bidi w:val="0"/>
        <w:spacing w:beforeAutospacing="0" w:afterAutospacing="0" w:line="580" w:lineRule="exact"/>
        <w:ind w:firstLine="537" w:firstLineChars="19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开化县华埠镇城区环卫作业一体化服务采购项目</w:t>
      </w:r>
    </w:p>
    <w:bookmarkEnd w:id="9"/>
    <w:p>
      <w:pPr>
        <w:keepLines w:val="0"/>
        <w:pageBreakBefore w:val="0"/>
        <w:widowControl/>
        <w:kinsoku/>
        <w:overflowPunct/>
        <w:topLinePunct w:val="0"/>
        <w:autoSpaceDE/>
        <w:autoSpaceDN/>
        <w:bidi w:val="0"/>
        <w:spacing w:beforeAutospacing="0" w:afterAutospacing="0" w:line="580" w:lineRule="exact"/>
        <w:ind w:firstLine="537" w:firstLineChars="19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Style w:val="108"/>
          <w:rFonts w:hint="eastAsia" w:ascii="仿宋" w:hAnsi="仿宋" w:eastAsia="仿宋" w:cs="仿宋"/>
          <w:color w:val="auto"/>
          <w:sz w:val="28"/>
          <w:szCs w:val="28"/>
          <w:highlight w:val="none"/>
          <w:lang w:eastAsia="zh-CN"/>
        </w:rPr>
        <w:t>采购预算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u w:val="single"/>
          <w:lang w:val="en-US" w:eastAsia="zh-CN" w:bidi="ar-SA"/>
        </w:rPr>
        <w:t xml:space="preserve">554.6759 </w:t>
      </w:r>
      <w:r>
        <w:rPr>
          <w:rFonts w:hint="eastAsia" w:ascii="仿宋" w:hAnsi="仿宋" w:eastAsia="仿宋" w:cs="仿宋"/>
          <w:color w:val="auto"/>
          <w:sz w:val="28"/>
          <w:szCs w:val="28"/>
          <w:highlight w:val="none"/>
          <w:lang w:val="en-US" w:eastAsia="zh-CN"/>
        </w:rPr>
        <w:t>万元。</w:t>
      </w:r>
    </w:p>
    <w:p>
      <w:pPr>
        <w:keepLines w:val="0"/>
        <w:pageBreakBefore w:val="0"/>
        <w:widowControl/>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采购需求：</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35"/>
        <w:gridCol w:w="3135"/>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标项内容</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简要技术要求、用途</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5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color w:val="auto"/>
                <w:kern w:val="0"/>
                <w:sz w:val="24"/>
                <w:szCs w:val="24"/>
                <w:highlight w:val="none"/>
                <w:lang w:val="en-US" w:eastAsia="zh-CN" w:bidi="ar-SA"/>
              </w:rPr>
            </w:pPr>
            <w:bookmarkStart w:id="10" w:name="B10_序号"/>
            <w:r>
              <w:rPr>
                <w:rFonts w:hint="eastAsia" w:ascii="仿宋" w:hAnsi="仿宋" w:eastAsia="仿宋" w:cs="仿宋"/>
                <w:color w:val="auto"/>
                <w:kern w:val="0"/>
                <w:sz w:val="24"/>
                <w:szCs w:val="24"/>
                <w:highlight w:val="none"/>
                <w:lang w:val="en-US" w:eastAsia="zh-CN" w:bidi="ar-SA"/>
              </w:rPr>
              <w:t>1</w:t>
            </w:r>
            <w:bookmarkEnd w:id="10"/>
          </w:p>
        </w:tc>
        <w:tc>
          <w:tcPr>
            <w:tcW w:w="203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开化县华埠镇城区环卫作业一体化服务采购项目</w:t>
            </w:r>
          </w:p>
        </w:tc>
        <w:tc>
          <w:tcPr>
            <w:tcW w:w="313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详见第四章《采购需求》，每年采购预算为</w:t>
            </w:r>
            <w:r>
              <w:rPr>
                <w:rFonts w:hint="eastAsia" w:ascii="仿宋" w:hAnsi="仿宋" w:eastAsia="仿宋" w:cs="仿宋"/>
                <w:color w:val="auto"/>
                <w:kern w:val="0"/>
                <w:sz w:val="24"/>
                <w:szCs w:val="24"/>
                <w:highlight w:val="none"/>
                <w:u w:val="single"/>
                <w:lang w:val="en-US" w:eastAsia="zh-CN" w:bidi="ar-SA"/>
              </w:rPr>
              <w:t xml:space="preserve"> 554.6759 </w:t>
            </w:r>
            <w:r>
              <w:rPr>
                <w:rFonts w:hint="eastAsia" w:ascii="仿宋" w:hAnsi="仿宋" w:eastAsia="仿宋" w:cs="仿宋"/>
                <w:color w:val="auto"/>
                <w:kern w:val="0"/>
                <w:sz w:val="24"/>
                <w:szCs w:val="24"/>
                <w:highlight w:val="none"/>
                <w:lang w:val="en-US" w:eastAsia="zh-CN" w:bidi="ar-SA"/>
              </w:rPr>
              <w:t>万元，两年采购总预算为</w:t>
            </w:r>
            <w:r>
              <w:rPr>
                <w:rFonts w:hint="eastAsia" w:ascii="仿宋" w:hAnsi="仿宋" w:eastAsia="仿宋" w:cs="仿宋"/>
                <w:color w:val="auto"/>
                <w:kern w:val="0"/>
                <w:sz w:val="24"/>
                <w:szCs w:val="24"/>
                <w:highlight w:val="none"/>
                <w:u w:val="single"/>
                <w:lang w:val="en-US" w:eastAsia="zh-CN" w:bidi="ar-SA"/>
              </w:rPr>
              <w:t xml:space="preserve">1109.3518 </w:t>
            </w:r>
            <w:r>
              <w:rPr>
                <w:rFonts w:hint="eastAsia" w:ascii="仿宋" w:hAnsi="仿宋" w:eastAsia="仿宋" w:cs="仿宋"/>
                <w:color w:val="auto"/>
                <w:kern w:val="0"/>
                <w:sz w:val="24"/>
                <w:szCs w:val="24"/>
                <w:highlight w:val="none"/>
                <w:lang w:val="en-US" w:eastAsia="zh-CN" w:bidi="ar-SA"/>
              </w:rPr>
              <w:t>万元。</w:t>
            </w:r>
          </w:p>
        </w:tc>
        <w:tc>
          <w:tcPr>
            <w:tcW w:w="30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color w:val="auto"/>
                <w:kern w:val="0"/>
                <w:sz w:val="24"/>
                <w:szCs w:val="24"/>
                <w:highlight w:val="none"/>
                <w:lang w:val="en-US" w:eastAsia="zh-CN" w:bidi="ar-SA"/>
              </w:rPr>
            </w:pPr>
            <w:bookmarkStart w:id="11" w:name="B15_备注"/>
            <w:bookmarkEnd w:id="11"/>
            <w:r>
              <w:rPr>
                <w:rFonts w:hint="eastAsia" w:ascii="仿宋" w:hAnsi="仿宋" w:eastAsia="仿宋" w:cs="仿宋"/>
                <w:color w:val="auto"/>
                <w:kern w:val="0"/>
                <w:sz w:val="24"/>
                <w:szCs w:val="24"/>
                <w:highlight w:val="none"/>
                <w:lang w:val="en-US" w:eastAsia="zh-CN" w:bidi="ar-SA"/>
              </w:rPr>
              <w:t>服务期限为自合同签订之日起两年，合同一年一签，采购人根据中标人在上年度合同履约、考核情况等决定是否续签。</w:t>
            </w:r>
          </w:p>
        </w:tc>
      </w:tr>
    </w:tbl>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本项目</w:t>
      </w:r>
      <w:r>
        <w:rPr>
          <w:rFonts w:hint="eastAsia" w:ascii="仿宋" w:hAnsi="仿宋" w:eastAsia="仿宋" w:cs="仿宋"/>
          <w:b/>
          <w:bCs/>
          <w:color w:val="auto"/>
          <w:sz w:val="28"/>
          <w:szCs w:val="28"/>
          <w:highlight w:val="none"/>
          <w:lang w:eastAsia="zh-CN"/>
        </w:rPr>
        <w:t>不</w:t>
      </w:r>
      <w:r>
        <w:rPr>
          <w:rFonts w:hint="eastAsia" w:ascii="仿宋" w:hAnsi="仿宋" w:eastAsia="仿宋" w:cs="仿宋"/>
          <w:b/>
          <w:bCs/>
          <w:color w:val="auto"/>
          <w:sz w:val="28"/>
          <w:szCs w:val="28"/>
          <w:highlight w:val="none"/>
        </w:rPr>
        <w:t>接受联合体投标</w:t>
      </w:r>
      <w:r>
        <w:rPr>
          <w:rFonts w:hint="eastAsia" w:ascii="仿宋" w:hAnsi="仿宋" w:eastAsia="仿宋" w:cs="仿宋"/>
          <w:b w:val="0"/>
          <w:bCs w:val="0"/>
          <w:color w:val="auto"/>
          <w:sz w:val="28"/>
          <w:szCs w:val="28"/>
          <w:highlight w:val="none"/>
        </w:rPr>
        <w:t>。</w:t>
      </w:r>
    </w:p>
    <w:p>
      <w:pPr>
        <w:pStyle w:val="4"/>
        <w:keepLines w:val="0"/>
        <w:pageBreakBefore w:val="0"/>
        <w:widowControl/>
        <w:kinsoku/>
        <w:overflowPunct/>
        <w:topLinePunct w:val="0"/>
        <w:autoSpaceDE/>
        <w:autoSpaceDN/>
        <w:bidi w:val="0"/>
        <w:spacing w:before="0" w:beforeAutospacing="0" w:after="0" w:afterAutospacing="0" w:line="580" w:lineRule="exact"/>
        <w:textAlignment w:val="auto"/>
        <w:rPr>
          <w:rFonts w:hint="eastAsia" w:ascii="仿宋" w:hAnsi="仿宋" w:eastAsia="仿宋" w:cs="仿宋"/>
          <w:b/>
          <w:bCs w:val="0"/>
          <w:i w:val="0"/>
          <w:iCs w:val="0"/>
          <w:color w:val="auto"/>
          <w:sz w:val="28"/>
          <w:szCs w:val="28"/>
          <w:highlight w:val="none"/>
        </w:rPr>
      </w:pPr>
      <w:bookmarkStart w:id="12" w:name="_Toc28359003"/>
      <w:bookmarkStart w:id="13" w:name="_Toc35393622"/>
      <w:bookmarkStart w:id="14" w:name="_Toc28359080"/>
      <w:bookmarkStart w:id="15" w:name="_Toc35393791"/>
      <w:r>
        <w:rPr>
          <w:rFonts w:hint="eastAsia" w:ascii="仿宋" w:hAnsi="仿宋" w:eastAsia="仿宋" w:cs="仿宋"/>
          <w:b/>
          <w:bCs w:val="0"/>
          <w:i w:val="0"/>
          <w:iCs w:val="0"/>
          <w:color w:val="auto"/>
          <w:sz w:val="28"/>
          <w:szCs w:val="28"/>
          <w:highlight w:val="none"/>
        </w:rPr>
        <w:t>二、申请人的资格要求：</w:t>
      </w:r>
      <w:bookmarkEnd w:id="12"/>
      <w:bookmarkEnd w:id="13"/>
      <w:bookmarkEnd w:id="14"/>
      <w:bookmarkEnd w:id="15"/>
    </w:p>
    <w:p>
      <w:pPr>
        <w:keepLines w:val="0"/>
        <w:pageBreakBefore w:val="0"/>
        <w:widowControl/>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i w:val="0"/>
          <w:caps w:val="0"/>
          <w:color w:val="auto"/>
          <w:spacing w:val="0"/>
          <w:kern w:val="2"/>
          <w:sz w:val="28"/>
          <w:szCs w:val="28"/>
          <w:highlight w:val="none"/>
          <w:shd w:val="clear" w:color="auto" w:fill="FFFFFF"/>
          <w:lang w:val="en-US" w:eastAsia="zh-CN" w:bidi="ar-SA"/>
        </w:rPr>
      </w:pPr>
      <w:r>
        <w:rPr>
          <w:rFonts w:hint="eastAsia" w:ascii="仿宋" w:hAnsi="仿宋" w:eastAsia="仿宋" w:cs="仿宋"/>
          <w:i w:val="0"/>
          <w:caps w:val="0"/>
          <w:color w:val="auto"/>
          <w:spacing w:val="0"/>
          <w:kern w:val="2"/>
          <w:sz w:val="28"/>
          <w:szCs w:val="28"/>
          <w:highlight w:val="none"/>
          <w:shd w:val="clear" w:color="auto" w:fill="FFFFFF"/>
          <w:lang w:val="en-US" w:eastAsia="zh-CN" w:bidi="ar-SA"/>
        </w:rPr>
        <w:t>1.满足《中华人民共和国政府采购法》第二十二条规定；</w:t>
      </w:r>
    </w:p>
    <w:p>
      <w:pPr>
        <w:keepLines w:val="0"/>
        <w:pageBreakBefore w:val="0"/>
        <w:widowControl/>
        <w:kinsoku/>
        <w:overflowPunct/>
        <w:topLinePunct w:val="0"/>
        <w:autoSpaceDE/>
        <w:autoSpaceDN/>
        <w:bidi w:val="0"/>
        <w:spacing w:line="580" w:lineRule="exact"/>
        <w:ind w:firstLine="560" w:firstLineChars="200"/>
        <w:textAlignment w:val="auto"/>
        <w:rPr>
          <w:rFonts w:hint="eastAsia" w:ascii="仿宋" w:hAnsi="仿宋" w:eastAsia="仿宋" w:cs="仿宋"/>
          <w:i w:val="0"/>
          <w:caps w:val="0"/>
          <w:color w:val="auto"/>
          <w:spacing w:val="0"/>
          <w:kern w:val="2"/>
          <w:sz w:val="28"/>
          <w:szCs w:val="28"/>
          <w:highlight w:val="none"/>
          <w:shd w:val="clear" w:color="auto" w:fill="FFFFFF"/>
          <w:lang w:val="en-US" w:eastAsia="zh-CN" w:bidi="ar-SA"/>
        </w:rPr>
      </w:pPr>
      <w:bookmarkStart w:id="16" w:name="_Toc28359081"/>
      <w:bookmarkStart w:id="17" w:name="_Toc28359004"/>
      <w:r>
        <w:rPr>
          <w:rFonts w:hint="eastAsia" w:ascii="仿宋" w:hAnsi="仿宋" w:eastAsia="仿宋" w:cs="仿宋"/>
          <w:i w:val="0"/>
          <w:caps w:val="0"/>
          <w:color w:val="auto"/>
          <w:spacing w:val="0"/>
          <w:kern w:val="2"/>
          <w:sz w:val="28"/>
          <w:szCs w:val="28"/>
          <w:highlight w:val="none"/>
          <w:shd w:val="clear" w:color="auto" w:fill="FFFFFF"/>
          <w:lang w:val="en-US" w:eastAsia="zh-CN" w:bidi="ar-SA"/>
        </w:rPr>
        <w:t>2.必须为未被列入“信用中国”网站(www.creditchina.gov.cn)、中国政府采购网(www.ccgp.gov.cn)渠道信用记录失信被执行人、重大税收违法案件当事人名单、政府采购严重违法失信行为记录名单的投标人。</w:t>
      </w:r>
    </w:p>
    <w:p>
      <w:pPr>
        <w:keepLines w:val="0"/>
        <w:pageBreakBefore w:val="0"/>
        <w:widowControl/>
        <w:kinsoku/>
        <w:overflowPunct/>
        <w:topLinePunct w:val="0"/>
        <w:autoSpaceDE/>
        <w:autoSpaceDN/>
        <w:bidi w:val="0"/>
        <w:spacing w:line="580" w:lineRule="exact"/>
        <w:ind w:firstLine="560" w:firstLineChars="200"/>
        <w:textAlignment w:val="auto"/>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3.落实政府采购政策需满足的资格要求：</w:t>
      </w:r>
      <w:r>
        <w:rPr>
          <w:rFonts w:hint="eastAsia" w:ascii="仿宋" w:hAnsi="仿宋" w:eastAsia="仿宋" w:cs="仿宋"/>
          <w:color w:val="auto"/>
          <w:sz w:val="28"/>
          <w:szCs w:val="28"/>
          <w:highlight w:val="none"/>
          <w:u w:val="single"/>
          <w:lang w:eastAsia="zh-CN"/>
        </w:rPr>
        <w:t>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p>
    <w:p>
      <w:pPr>
        <w:keepLines w:val="0"/>
        <w:pageBreakBefore w:val="0"/>
        <w:widowControl/>
        <w:kinsoku/>
        <w:overflowPunct/>
        <w:topLinePunct w:val="0"/>
        <w:autoSpaceDE/>
        <w:autoSpaceDN/>
        <w:bidi w:val="0"/>
        <w:spacing w:line="580" w:lineRule="exact"/>
        <w:ind w:firstLine="560" w:firstLineChars="200"/>
        <w:textAlignment w:val="auto"/>
        <w:rPr>
          <w:rFonts w:hint="eastAsia" w:ascii="仿宋" w:hAnsi="仿宋" w:eastAsia="仿宋" w:cs="仿宋"/>
          <w:color w:val="auto"/>
          <w:kern w:val="0"/>
          <w:sz w:val="28"/>
          <w:szCs w:val="28"/>
          <w:highlight w:val="none"/>
          <w:u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.本项目的特定资格要求：</w:t>
      </w:r>
      <w:r>
        <w:rPr>
          <w:rFonts w:hint="eastAsia" w:ascii="仿宋" w:hAnsi="仿宋" w:eastAsia="仿宋" w:cs="仿宋"/>
          <w:color w:val="auto"/>
          <w:kern w:val="0"/>
          <w:sz w:val="28"/>
          <w:szCs w:val="28"/>
          <w:highlight w:val="none"/>
          <w:u w:val="single"/>
          <w:shd w:val="clear" w:color="auto" w:fill="FFFFFF"/>
        </w:rPr>
        <w:t>无</w:t>
      </w:r>
      <w:r>
        <w:rPr>
          <w:rFonts w:hint="eastAsia" w:ascii="仿宋" w:hAnsi="仿宋" w:eastAsia="仿宋" w:cs="仿宋"/>
          <w:color w:val="auto"/>
          <w:kern w:val="0"/>
          <w:sz w:val="28"/>
          <w:szCs w:val="28"/>
          <w:highlight w:val="none"/>
          <w:u w:val="none"/>
          <w:shd w:val="clear" w:color="auto" w:fill="FFFFFF"/>
          <w:lang w:eastAsia="zh-CN"/>
        </w:rPr>
        <w:t>。</w:t>
      </w:r>
    </w:p>
    <w:p>
      <w:pPr>
        <w:pStyle w:val="4"/>
        <w:keepLines w:val="0"/>
        <w:pageBreakBefore w:val="0"/>
        <w:widowControl/>
        <w:kinsoku/>
        <w:overflowPunct/>
        <w:topLinePunct w:val="0"/>
        <w:autoSpaceDE/>
        <w:autoSpaceDN/>
        <w:bidi w:val="0"/>
        <w:spacing w:before="0" w:beforeAutospacing="0" w:after="0" w:afterAutospacing="0" w:line="580" w:lineRule="exact"/>
        <w:textAlignment w:val="auto"/>
        <w:rPr>
          <w:rFonts w:hint="eastAsia" w:ascii="仿宋" w:hAnsi="仿宋" w:eastAsia="仿宋" w:cs="仿宋"/>
          <w:b/>
          <w:bCs w:val="0"/>
          <w:i w:val="0"/>
          <w:iCs w:val="0"/>
          <w:color w:val="auto"/>
          <w:sz w:val="28"/>
          <w:szCs w:val="28"/>
          <w:highlight w:val="none"/>
        </w:rPr>
      </w:pPr>
      <w:bookmarkStart w:id="18" w:name="_Toc35393792"/>
      <w:bookmarkStart w:id="19" w:name="_Toc35393623"/>
      <w:r>
        <w:rPr>
          <w:rFonts w:hint="eastAsia" w:ascii="仿宋" w:hAnsi="仿宋" w:eastAsia="仿宋" w:cs="仿宋"/>
          <w:b/>
          <w:bCs w:val="0"/>
          <w:i w:val="0"/>
          <w:iCs w:val="0"/>
          <w:color w:val="auto"/>
          <w:sz w:val="28"/>
          <w:szCs w:val="28"/>
          <w:highlight w:val="none"/>
        </w:rPr>
        <w:t>三、获取招标文件</w:t>
      </w:r>
      <w:bookmarkEnd w:id="16"/>
      <w:bookmarkEnd w:id="17"/>
      <w:bookmarkEnd w:id="18"/>
      <w:bookmarkEnd w:id="19"/>
    </w:p>
    <w:p>
      <w:pPr>
        <w:keepLines w:val="0"/>
        <w:pageBreakBefore w:val="0"/>
        <w:widowControl/>
        <w:kinsoku/>
        <w:overflowPunct/>
        <w:topLinePunct w:val="0"/>
        <w:autoSpaceDE/>
        <w:autoSpaceDN/>
        <w:bidi w:val="0"/>
        <w:spacing w:beforeAutospacing="0" w:afterAutospacing="0" w:line="580" w:lineRule="exact"/>
        <w:ind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eastAsia="zh-CN"/>
        </w:rPr>
        <w:t>至</w:t>
      </w:r>
      <w:r>
        <w:rPr>
          <w:rFonts w:hint="eastAsia" w:ascii="仿宋" w:hAnsi="仿宋" w:eastAsia="仿宋" w:cs="仿宋"/>
          <w:b w:val="0"/>
          <w:bCs w:val="0"/>
          <w:i w:val="0"/>
          <w:iCs w:val="0"/>
          <w:color w:val="auto"/>
          <w:kern w:val="2"/>
          <w:sz w:val="28"/>
          <w:szCs w:val="28"/>
          <w:highlight w:val="none"/>
          <w:u w:val="single"/>
        </w:rPr>
        <w:t>202</w:t>
      </w:r>
      <w:r>
        <w:rPr>
          <w:rFonts w:hint="eastAsia" w:ascii="仿宋" w:hAnsi="仿宋" w:eastAsia="仿宋" w:cs="仿宋"/>
          <w:b w:val="0"/>
          <w:bCs w:val="0"/>
          <w:i w:val="0"/>
          <w:iCs w:val="0"/>
          <w:color w:val="auto"/>
          <w:kern w:val="2"/>
          <w:sz w:val="28"/>
          <w:szCs w:val="28"/>
          <w:highlight w:val="none"/>
          <w:u w:val="single"/>
          <w:lang w:val="en-US" w:eastAsia="zh-CN"/>
        </w:rPr>
        <w:t>2</w:t>
      </w:r>
      <w:r>
        <w:rPr>
          <w:rFonts w:hint="eastAsia" w:ascii="仿宋" w:hAnsi="仿宋" w:eastAsia="仿宋" w:cs="仿宋"/>
          <w:b w:val="0"/>
          <w:bCs w:val="0"/>
          <w:i w:val="0"/>
          <w:iCs w:val="0"/>
          <w:color w:val="auto"/>
          <w:kern w:val="2"/>
          <w:sz w:val="28"/>
          <w:szCs w:val="28"/>
          <w:highlight w:val="none"/>
          <w:u w:val="none"/>
        </w:rPr>
        <w:t>年</w:t>
      </w:r>
      <w:r>
        <w:rPr>
          <w:rFonts w:hint="eastAsia" w:ascii="仿宋" w:hAnsi="仿宋" w:eastAsia="仿宋" w:cs="仿宋"/>
          <w:b w:val="0"/>
          <w:bCs w:val="0"/>
          <w:i w:val="0"/>
          <w:iCs w:val="0"/>
          <w:color w:val="auto"/>
          <w:kern w:val="2"/>
          <w:sz w:val="28"/>
          <w:szCs w:val="28"/>
          <w:highlight w:val="none"/>
          <w:u w:val="single"/>
          <w:lang w:val="en-US" w:eastAsia="zh-CN"/>
        </w:rPr>
        <w:t xml:space="preserve"> 3 </w:t>
      </w:r>
      <w:r>
        <w:rPr>
          <w:rFonts w:hint="eastAsia" w:ascii="仿宋" w:hAnsi="仿宋" w:eastAsia="仿宋" w:cs="仿宋"/>
          <w:b w:val="0"/>
          <w:bCs w:val="0"/>
          <w:i w:val="0"/>
          <w:iCs w:val="0"/>
          <w:color w:val="auto"/>
          <w:kern w:val="2"/>
          <w:sz w:val="28"/>
          <w:szCs w:val="28"/>
          <w:highlight w:val="none"/>
          <w:u w:val="none"/>
        </w:rPr>
        <w:t>月</w:t>
      </w:r>
      <w:r>
        <w:rPr>
          <w:rFonts w:hint="eastAsia" w:ascii="仿宋" w:hAnsi="仿宋" w:eastAsia="仿宋" w:cs="仿宋"/>
          <w:b w:val="0"/>
          <w:bCs w:val="0"/>
          <w:i w:val="0"/>
          <w:iCs w:val="0"/>
          <w:color w:val="auto"/>
          <w:kern w:val="2"/>
          <w:sz w:val="28"/>
          <w:szCs w:val="28"/>
          <w:highlight w:val="none"/>
          <w:u w:val="single"/>
          <w:lang w:val="en-US" w:eastAsia="zh-CN"/>
        </w:rPr>
        <w:t xml:space="preserve"> 15 </w:t>
      </w:r>
      <w:r>
        <w:rPr>
          <w:rFonts w:hint="eastAsia" w:ascii="仿宋" w:hAnsi="仿宋" w:eastAsia="仿宋" w:cs="仿宋"/>
          <w:b w:val="0"/>
          <w:bCs w:val="0"/>
          <w:i w:val="0"/>
          <w:iCs w:val="0"/>
          <w:color w:val="auto"/>
          <w:kern w:val="2"/>
          <w:sz w:val="28"/>
          <w:szCs w:val="28"/>
          <w:highlight w:val="none"/>
          <w:u w:val="none"/>
        </w:rPr>
        <w:t>日</w:t>
      </w:r>
      <w:r>
        <w:rPr>
          <w:rFonts w:hint="eastAsia" w:ascii="仿宋" w:hAnsi="仿宋" w:eastAsia="仿宋" w:cs="仿宋"/>
          <w:b w:val="0"/>
          <w:bCs w:val="0"/>
          <w:i w:val="0"/>
          <w:iCs w:val="0"/>
          <w:color w:val="auto"/>
          <w:sz w:val="28"/>
          <w:szCs w:val="28"/>
          <w:highlight w:val="none"/>
          <w:lang w:val="en-US" w:eastAsia="zh-CN"/>
        </w:rPr>
        <w:t>09</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0时</w:t>
      </w:r>
      <w:r>
        <w:rPr>
          <w:rFonts w:hint="eastAsia" w:ascii="仿宋" w:hAnsi="仿宋" w:eastAsia="仿宋" w:cs="仿宋"/>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val="en-US" w:eastAsia="en-US" w:bidi="en-US"/>
        </w:rPr>
        <w:t>地点：政采云平台（网址：</w:t>
      </w:r>
      <w:r>
        <w:rPr>
          <w:rFonts w:hint="eastAsia" w:ascii="仿宋" w:hAnsi="仿宋" w:eastAsia="仿宋" w:cs="仿宋"/>
          <w:color w:val="auto"/>
          <w:kern w:val="0"/>
          <w:sz w:val="28"/>
          <w:szCs w:val="28"/>
          <w:highlight w:val="none"/>
          <w:lang w:val="en-US" w:eastAsia="en-US" w:bidi="en-US"/>
        </w:rPr>
        <w:fldChar w:fldCharType="begin"/>
      </w:r>
      <w:r>
        <w:rPr>
          <w:rFonts w:hint="eastAsia" w:ascii="仿宋" w:hAnsi="仿宋" w:eastAsia="仿宋" w:cs="仿宋"/>
          <w:color w:val="auto"/>
          <w:kern w:val="0"/>
          <w:sz w:val="28"/>
          <w:szCs w:val="28"/>
          <w:highlight w:val="none"/>
          <w:lang w:val="en-US" w:eastAsia="en-US" w:bidi="en-US"/>
        </w:rPr>
        <w:instrText xml:space="preserve"> HYPERLINK "https://login.zcygov.cn/login" </w:instrText>
      </w:r>
      <w:r>
        <w:rPr>
          <w:rFonts w:hint="eastAsia" w:ascii="仿宋" w:hAnsi="仿宋" w:eastAsia="仿宋" w:cs="仿宋"/>
          <w:color w:val="auto"/>
          <w:kern w:val="0"/>
          <w:sz w:val="28"/>
          <w:szCs w:val="28"/>
          <w:highlight w:val="none"/>
          <w:lang w:val="en-US" w:eastAsia="en-US" w:bidi="en-US"/>
        </w:rPr>
        <w:fldChar w:fldCharType="separate"/>
      </w:r>
      <w:r>
        <w:rPr>
          <w:rFonts w:hint="eastAsia" w:ascii="仿宋" w:hAnsi="仿宋" w:eastAsia="仿宋" w:cs="仿宋"/>
          <w:color w:val="auto"/>
          <w:kern w:val="0"/>
          <w:sz w:val="28"/>
          <w:szCs w:val="28"/>
          <w:highlight w:val="none"/>
          <w:lang w:val="en-US" w:eastAsia="en-US" w:bidi="en-US"/>
        </w:rPr>
        <w:t>https://login.zcygov.cn/login</w:t>
      </w:r>
      <w:r>
        <w:rPr>
          <w:rFonts w:hint="eastAsia" w:ascii="仿宋" w:hAnsi="仿宋" w:eastAsia="仿宋" w:cs="仿宋"/>
          <w:color w:val="auto"/>
          <w:kern w:val="0"/>
          <w:sz w:val="28"/>
          <w:szCs w:val="28"/>
          <w:highlight w:val="none"/>
          <w:lang w:val="en-US" w:eastAsia="en-US" w:bidi="en-US"/>
        </w:rPr>
        <w:fldChar w:fldCharType="end"/>
      </w:r>
      <w:r>
        <w:rPr>
          <w:rFonts w:hint="eastAsia" w:ascii="仿宋" w:hAnsi="仿宋" w:eastAsia="仿宋" w:cs="仿宋"/>
          <w:color w:val="auto"/>
          <w:kern w:val="0"/>
          <w:sz w:val="28"/>
          <w:szCs w:val="28"/>
          <w:highlight w:val="none"/>
          <w:lang w:val="en-US" w:eastAsia="en-US" w:bidi="en-US"/>
        </w:rPr>
        <w:t>）</w:t>
      </w:r>
      <w:r>
        <w:rPr>
          <w:rFonts w:hint="eastAsia" w:ascii="仿宋" w:hAnsi="仿宋" w:eastAsia="仿宋" w:cs="仿宋"/>
          <w:color w:val="auto"/>
          <w:kern w:val="0"/>
          <w:sz w:val="28"/>
          <w:szCs w:val="28"/>
          <w:highlight w:val="none"/>
          <w:lang w:val="en-US" w:eastAsia="zh-CN" w:bidi="en-US"/>
        </w:rPr>
        <w:t>、浙江政府采购网（http://zfcg.czt.zj.gov.cn/）或开化县人民政府网（www.kaihua.gov.cn/）</w:t>
      </w:r>
      <w:r>
        <w:rPr>
          <w:rFonts w:hint="eastAsia" w:ascii="仿宋" w:hAnsi="仿宋" w:eastAsia="仿宋" w:cs="仿宋"/>
          <w:color w:val="auto"/>
          <w:kern w:val="0"/>
          <w:sz w:val="28"/>
          <w:szCs w:val="28"/>
          <w:highlight w:val="none"/>
          <w:lang w:val="en-US" w:eastAsia="en-US" w:bidi="en-US"/>
        </w:rPr>
        <w:t>免费下载</w:t>
      </w:r>
      <w:r>
        <w:rPr>
          <w:rFonts w:hint="eastAsia" w:ascii="仿宋" w:hAnsi="仿宋" w:eastAsia="仿宋" w:cs="仿宋"/>
          <w:color w:val="auto"/>
          <w:kern w:val="0"/>
          <w:sz w:val="28"/>
          <w:szCs w:val="28"/>
          <w:highlight w:val="none"/>
          <w:lang w:val="en-US" w:eastAsia="zh-CN" w:bidi="en-US"/>
        </w:rPr>
        <w:t>。</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方式：已在浙江省政府采购网注册的供应商可登录政采云平台（网址：</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"https://login.zcygov.cn/login）获取采购文件（(不是正式供应商不能获取采购文件)）。"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https://login.zcygov.cn/login）进入政采云系统“项目采购”模块“获取采购文件”菜单依法获取采购文件；</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未在浙江省政府采购网注册的供应商可在浙江政府采购网（</w:t>
      </w:r>
      <w:r>
        <w:rPr>
          <w:rStyle w:val="48"/>
          <w:rFonts w:hint="eastAsia" w:ascii="仿宋" w:hAnsi="仿宋" w:eastAsia="仿宋" w:cs="仿宋"/>
          <w:color w:val="auto"/>
          <w:sz w:val="28"/>
          <w:szCs w:val="28"/>
          <w:highlight w:val="none"/>
          <w:u w:val="none"/>
        </w:rPr>
        <w:t>http://zfcg.czt.zj.gov.cn/</w:t>
      </w:r>
      <w:r>
        <w:rPr>
          <w:rFonts w:hint="eastAsia" w:ascii="仿宋" w:hAnsi="仿宋" w:eastAsia="仿宋" w:cs="仿宋"/>
          <w:color w:val="auto"/>
          <w:sz w:val="28"/>
          <w:szCs w:val="28"/>
          <w:highlight w:val="none"/>
        </w:rPr>
        <w:t>）选择“潜在供应商”获取采购文件或“游客”浏览采购文件，也可在开化县人民政府网（www.kaihua.gov.cn/）公告中下载获取采购文件。</w:t>
      </w:r>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售价：0</w:t>
      </w:r>
      <w:r>
        <w:rPr>
          <w:rFonts w:hint="eastAsia" w:ascii="仿宋" w:hAnsi="仿宋" w:eastAsia="仿宋" w:cs="仿宋"/>
          <w:color w:val="auto"/>
          <w:sz w:val="28"/>
          <w:szCs w:val="28"/>
          <w:highlight w:val="none"/>
          <w:lang w:eastAsia="zh-CN"/>
        </w:rPr>
        <w:t>元。</w:t>
      </w:r>
    </w:p>
    <w:p>
      <w:pPr>
        <w:pStyle w:val="35"/>
        <w:keepLines w:val="0"/>
        <w:pageBreakBefore w:val="0"/>
        <w:widowControl/>
        <w:shd w:val="clear" w:color="auto" w:fill="FFFFFF"/>
        <w:kinsoku/>
        <w:overflowPunct/>
        <w:topLinePunct w:val="0"/>
        <w:autoSpaceDE/>
        <w:autoSpaceDN/>
        <w:bidi w:val="0"/>
        <w:spacing w:beforeAutospacing="0" w:afterAutospacing="0" w:line="580" w:lineRule="exact"/>
        <w:jc w:val="both"/>
        <w:textAlignment w:val="auto"/>
        <w:rPr>
          <w:rFonts w:hint="eastAsia" w:ascii="仿宋" w:hAnsi="仿宋" w:eastAsia="仿宋" w:cs="仿宋"/>
          <w:b/>
          <w:bCs/>
          <w:i w:val="0"/>
          <w:iCs w:val="0"/>
          <w:color w:val="auto"/>
          <w:kern w:val="2"/>
          <w:sz w:val="28"/>
          <w:szCs w:val="28"/>
          <w:highlight w:val="none"/>
          <w:lang w:val="en-US" w:eastAsia="zh-CN"/>
        </w:rPr>
      </w:pPr>
      <w:bookmarkStart w:id="20" w:name="_Toc28359082"/>
      <w:bookmarkStart w:id="21" w:name="_Toc28359005"/>
      <w:bookmarkStart w:id="22" w:name="_Toc35393624"/>
      <w:bookmarkStart w:id="23" w:name="_Toc35393793"/>
      <w:r>
        <w:rPr>
          <w:rFonts w:hint="eastAsia" w:ascii="仿宋" w:hAnsi="仿宋" w:eastAsia="仿宋" w:cs="仿宋"/>
          <w:b/>
          <w:bCs/>
          <w:i w:val="0"/>
          <w:iCs w:val="0"/>
          <w:color w:val="auto"/>
          <w:kern w:val="0"/>
          <w:sz w:val="28"/>
          <w:szCs w:val="28"/>
          <w:highlight w:val="none"/>
          <w:lang w:val="en-US" w:eastAsia="zh-CN" w:bidi="ar-SA"/>
        </w:rPr>
        <w:t>四、提交投标文件</w:t>
      </w:r>
      <w:bookmarkEnd w:id="20"/>
      <w:bookmarkEnd w:id="21"/>
      <w:r>
        <w:rPr>
          <w:rFonts w:hint="eastAsia" w:ascii="仿宋" w:hAnsi="仿宋" w:eastAsia="仿宋" w:cs="仿宋"/>
          <w:b/>
          <w:bCs/>
          <w:i w:val="0"/>
          <w:iCs w:val="0"/>
          <w:color w:val="auto"/>
          <w:kern w:val="0"/>
          <w:sz w:val="28"/>
          <w:szCs w:val="28"/>
          <w:highlight w:val="none"/>
          <w:lang w:val="en-US" w:eastAsia="zh-CN" w:bidi="ar-SA"/>
        </w:rPr>
        <w:t>截止时间</w:t>
      </w:r>
      <w:r>
        <w:rPr>
          <w:rFonts w:hint="eastAsia" w:ascii="仿宋" w:hAnsi="仿宋" w:eastAsia="仿宋" w:cs="仿宋"/>
          <w:b/>
          <w:bCs/>
          <w:i w:val="0"/>
          <w:iCs w:val="0"/>
          <w:color w:val="auto"/>
          <w:kern w:val="2"/>
          <w:sz w:val="28"/>
          <w:szCs w:val="28"/>
          <w:highlight w:val="none"/>
          <w:lang w:val="en-US" w:eastAsia="zh-CN"/>
        </w:rPr>
        <w:t>、开标时间和地点</w:t>
      </w:r>
      <w:bookmarkEnd w:id="22"/>
      <w:bookmarkEnd w:id="23"/>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1.提交投标文件截止时间及</w:t>
      </w:r>
      <w:r>
        <w:rPr>
          <w:rFonts w:hint="eastAsia" w:ascii="仿宋" w:hAnsi="仿宋" w:eastAsia="仿宋" w:cs="仿宋"/>
          <w:i w:val="0"/>
          <w:caps w:val="0"/>
          <w:color w:val="auto"/>
          <w:spacing w:val="0"/>
          <w:sz w:val="28"/>
          <w:szCs w:val="28"/>
          <w:highlight w:val="none"/>
          <w:shd w:val="clear" w:color="auto" w:fill="FFFFFF"/>
        </w:rPr>
        <w:t>开标时间</w:t>
      </w:r>
      <w:r>
        <w:rPr>
          <w:rFonts w:hint="eastAsia" w:ascii="仿宋" w:hAnsi="仿宋" w:eastAsia="仿宋" w:cs="仿宋"/>
          <w:color w:val="auto"/>
          <w:kern w:val="2"/>
          <w:sz w:val="28"/>
          <w:szCs w:val="28"/>
          <w:highlight w:val="none"/>
          <w:lang w:val="en-US" w:eastAsia="zh-CN"/>
        </w:rPr>
        <w:t>：</w:t>
      </w:r>
      <w:r>
        <w:rPr>
          <w:rFonts w:hint="eastAsia" w:ascii="仿宋" w:hAnsi="仿宋" w:eastAsia="仿宋" w:cs="仿宋"/>
          <w:b w:val="0"/>
          <w:bCs w:val="0"/>
          <w:i w:val="0"/>
          <w:iCs w:val="0"/>
          <w:color w:val="auto"/>
          <w:kern w:val="2"/>
          <w:sz w:val="28"/>
          <w:szCs w:val="28"/>
          <w:highlight w:val="none"/>
          <w:u w:val="single"/>
        </w:rPr>
        <w:t>202</w:t>
      </w:r>
      <w:r>
        <w:rPr>
          <w:rFonts w:hint="eastAsia" w:ascii="仿宋" w:hAnsi="仿宋" w:eastAsia="仿宋" w:cs="仿宋"/>
          <w:b w:val="0"/>
          <w:bCs w:val="0"/>
          <w:i w:val="0"/>
          <w:iCs w:val="0"/>
          <w:color w:val="auto"/>
          <w:kern w:val="2"/>
          <w:sz w:val="28"/>
          <w:szCs w:val="28"/>
          <w:highlight w:val="none"/>
          <w:u w:val="single"/>
          <w:lang w:val="en-US" w:eastAsia="zh-CN"/>
        </w:rPr>
        <w:t>2</w:t>
      </w:r>
      <w:r>
        <w:rPr>
          <w:rFonts w:hint="eastAsia" w:ascii="仿宋" w:hAnsi="仿宋" w:eastAsia="仿宋" w:cs="仿宋"/>
          <w:b w:val="0"/>
          <w:bCs w:val="0"/>
          <w:i w:val="0"/>
          <w:iCs w:val="0"/>
          <w:color w:val="auto"/>
          <w:kern w:val="2"/>
          <w:sz w:val="28"/>
          <w:szCs w:val="28"/>
          <w:highlight w:val="none"/>
          <w:u w:val="none"/>
        </w:rPr>
        <w:t>年</w:t>
      </w:r>
      <w:r>
        <w:rPr>
          <w:rFonts w:hint="eastAsia" w:ascii="仿宋" w:hAnsi="仿宋" w:eastAsia="仿宋" w:cs="仿宋"/>
          <w:b w:val="0"/>
          <w:bCs w:val="0"/>
          <w:i w:val="0"/>
          <w:iCs w:val="0"/>
          <w:color w:val="auto"/>
          <w:kern w:val="2"/>
          <w:sz w:val="28"/>
          <w:szCs w:val="28"/>
          <w:highlight w:val="none"/>
          <w:u w:val="single"/>
          <w:lang w:val="en-US" w:eastAsia="zh-CN"/>
        </w:rPr>
        <w:t xml:space="preserve"> 3 </w:t>
      </w:r>
      <w:r>
        <w:rPr>
          <w:rFonts w:hint="eastAsia" w:ascii="仿宋" w:hAnsi="仿宋" w:eastAsia="仿宋" w:cs="仿宋"/>
          <w:b w:val="0"/>
          <w:bCs w:val="0"/>
          <w:i w:val="0"/>
          <w:iCs w:val="0"/>
          <w:color w:val="auto"/>
          <w:kern w:val="2"/>
          <w:sz w:val="28"/>
          <w:szCs w:val="28"/>
          <w:highlight w:val="none"/>
          <w:u w:val="none"/>
        </w:rPr>
        <w:t>月</w:t>
      </w:r>
      <w:r>
        <w:rPr>
          <w:rFonts w:hint="eastAsia" w:ascii="仿宋" w:hAnsi="仿宋" w:eastAsia="仿宋" w:cs="仿宋"/>
          <w:b w:val="0"/>
          <w:bCs w:val="0"/>
          <w:i w:val="0"/>
          <w:iCs w:val="0"/>
          <w:color w:val="auto"/>
          <w:kern w:val="2"/>
          <w:sz w:val="28"/>
          <w:szCs w:val="28"/>
          <w:highlight w:val="none"/>
          <w:u w:val="single"/>
          <w:lang w:val="en-US" w:eastAsia="zh-CN"/>
        </w:rPr>
        <w:t xml:space="preserve"> 15 </w:t>
      </w:r>
      <w:r>
        <w:rPr>
          <w:rFonts w:hint="eastAsia" w:ascii="仿宋" w:hAnsi="仿宋" w:eastAsia="仿宋" w:cs="仿宋"/>
          <w:b w:val="0"/>
          <w:bCs w:val="0"/>
          <w:i w:val="0"/>
          <w:iCs w:val="0"/>
          <w:color w:val="auto"/>
          <w:kern w:val="2"/>
          <w:sz w:val="28"/>
          <w:szCs w:val="28"/>
          <w:highlight w:val="none"/>
          <w:u w:val="none"/>
        </w:rPr>
        <w:t>日</w:t>
      </w:r>
      <w:r>
        <w:rPr>
          <w:rFonts w:hint="eastAsia" w:ascii="仿宋" w:hAnsi="仿宋" w:eastAsia="仿宋" w:cs="仿宋"/>
          <w:b w:val="0"/>
          <w:bCs w:val="0"/>
          <w:i w:val="0"/>
          <w:iCs w:val="0"/>
          <w:color w:val="auto"/>
          <w:sz w:val="28"/>
          <w:szCs w:val="28"/>
          <w:highlight w:val="none"/>
          <w:lang w:val="en-US" w:eastAsia="zh-CN"/>
        </w:rPr>
        <w:t>09</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0时</w:t>
      </w:r>
      <w:r>
        <w:rPr>
          <w:rFonts w:hint="eastAsia" w:ascii="仿宋" w:hAnsi="仿宋" w:eastAsia="仿宋" w:cs="仿宋"/>
          <w:color w:val="auto"/>
          <w:kern w:val="2"/>
          <w:sz w:val="28"/>
          <w:szCs w:val="28"/>
          <w:highlight w:val="none"/>
        </w:rPr>
        <w:t>（北京时间）</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2.开标地点（网址）：通过政府采购云平台（https://login.zcygov.cn）在线开标。</w:t>
      </w:r>
    </w:p>
    <w:p>
      <w:pPr>
        <w:pStyle w:val="4"/>
        <w:keepLines w:val="0"/>
        <w:pageBreakBefore w:val="0"/>
        <w:widowControl/>
        <w:kinsoku/>
        <w:overflowPunct/>
        <w:topLinePunct w:val="0"/>
        <w:autoSpaceDE/>
        <w:autoSpaceDN/>
        <w:bidi w:val="0"/>
        <w:spacing w:before="0" w:beforeAutospacing="0" w:after="0" w:afterAutospacing="0" w:line="580" w:lineRule="exact"/>
        <w:textAlignment w:val="auto"/>
        <w:rPr>
          <w:rFonts w:hint="eastAsia" w:ascii="仿宋" w:hAnsi="仿宋" w:eastAsia="仿宋" w:cs="仿宋"/>
          <w:b/>
          <w:bCs w:val="0"/>
          <w:i w:val="0"/>
          <w:iCs w:val="0"/>
          <w:color w:val="auto"/>
          <w:sz w:val="28"/>
          <w:szCs w:val="28"/>
          <w:highlight w:val="none"/>
        </w:rPr>
      </w:pPr>
      <w:bookmarkStart w:id="24" w:name="_Toc28359084"/>
      <w:bookmarkStart w:id="25" w:name="_Toc28359007"/>
      <w:bookmarkStart w:id="26" w:name="_Toc35393794"/>
      <w:bookmarkStart w:id="27" w:name="_Toc35393625"/>
      <w:r>
        <w:rPr>
          <w:rFonts w:hint="eastAsia" w:ascii="仿宋" w:hAnsi="仿宋" w:eastAsia="仿宋" w:cs="仿宋"/>
          <w:b/>
          <w:bCs w:val="0"/>
          <w:i w:val="0"/>
          <w:iCs w:val="0"/>
          <w:color w:val="auto"/>
          <w:sz w:val="28"/>
          <w:szCs w:val="28"/>
          <w:highlight w:val="none"/>
        </w:rPr>
        <w:t>五、公告期限</w:t>
      </w:r>
      <w:bookmarkEnd w:id="24"/>
      <w:bookmarkEnd w:id="25"/>
      <w:bookmarkEnd w:id="26"/>
      <w:bookmarkEnd w:id="27"/>
    </w:p>
    <w:p>
      <w:pPr>
        <w:pStyle w:val="35"/>
        <w:keepLines w:val="0"/>
        <w:pageBreakBefore w:val="0"/>
        <w:widowControl/>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pPr>
        <w:pStyle w:val="4"/>
        <w:keepLines w:val="0"/>
        <w:pageBreakBefore w:val="0"/>
        <w:widowControl/>
        <w:kinsoku/>
        <w:overflowPunct/>
        <w:topLinePunct w:val="0"/>
        <w:autoSpaceDE/>
        <w:autoSpaceDN/>
        <w:bidi w:val="0"/>
        <w:spacing w:before="0" w:beforeAutospacing="0" w:after="0" w:afterAutospacing="0" w:line="580" w:lineRule="exact"/>
        <w:textAlignment w:val="auto"/>
        <w:rPr>
          <w:rFonts w:hint="eastAsia" w:ascii="仿宋" w:hAnsi="仿宋" w:eastAsia="仿宋" w:cs="仿宋"/>
          <w:b/>
          <w:bCs w:val="0"/>
          <w:i w:val="0"/>
          <w:iCs w:val="0"/>
          <w:color w:val="auto"/>
          <w:sz w:val="28"/>
          <w:szCs w:val="28"/>
          <w:highlight w:val="none"/>
        </w:rPr>
      </w:pPr>
      <w:bookmarkStart w:id="28" w:name="_Toc35393626"/>
      <w:bookmarkStart w:id="29" w:name="_Toc35393795"/>
      <w:r>
        <w:rPr>
          <w:rFonts w:hint="eastAsia" w:ascii="仿宋" w:hAnsi="仿宋" w:eastAsia="仿宋" w:cs="仿宋"/>
          <w:b/>
          <w:bCs w:val="0"/>
          <w:i w:val="0"/>
          <w:iCs w:val="0"/>
          <w:color w:val="auto"/>
          <w:sz w:val="28"/>
          <w:szCs w:val="28"/>
          <w:highlight w:val="none"/>
        </w:rPr>
        <w:t>六、其他补充事宜</w:t>
      </w:r>
      <w:bookmarkEnd w:id="28"/>
      <w:bookmarkEnd w:id="29"/>
    </w:p>
    <w:p>
      <w:pPr>
        <w:pStyle w:val="35"/>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firstLine="562" w:firstLineChars="200"/>
        <w:textAlignment w:val="auto"/>
        <w:rPr>
          <w:rFonts w:hint="eastAsia" w:ascii="仿宋" w:hAnsi="仿宋" w:eastAsia="仿宋" w:cs="仿宋"/>
          <w:b/>
          <w:bCs/>
          <w:color w:val="auto"/>
          <w:kern w:val="2"/>
          <w:sz w:val="28"/>
          <w:szCs w:val="28"/>
          <w:highlight w:val="none"/>
          <w:lang w:val="en-US" w:eastAsia="zh-CN" w:bidi="ar-SA"/>
        </w:rPr>
      </w:pPr>
      <w:bookmarkStart w:id="30" w:name="_Toc35393796"/>
      <w:bookmarkStart w:id="31" w:name="_Toc28359085"/>
      <w:bookmarkStart w:id="32" w:name="_Toc28359008"/>
      <w:bookmarkStart w:id="33" w:name="_Toc35393627"/>
      <w:r>
        <w:rPr>
          <w:rFonts w:hint="eastAsia" w:ascii="仿宋" w:hAnsi="仿宋" w:eastAsia="仿宋" w:cs="仿宋"/>
          <w:b/>
          <w:bCs/>
          <w:color w:val="auto"/>
          <w:kern w:val="2"/>
          <w:sz w:val="28"/>
          <w:szCs w:val="28"/>
          <w:highlight w:val="none"/>
          <w:lang w:val="en-US" w:eastAsia="zh-CN" w:bidi="ar-SA"/>
        </w:rPr>
        <w:t>1.质疑和投诉相关规定详见《政府采购质疑和投诉办法》（财政部令94令）。</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2.投标说明</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（1）本项目实行电子投标，应按照本项目招标文件和政采云平台的要求编制、加密并递交投标文件。</w:t>
      </w:r>
    </w:p>
    <w:p>
      <w:pPr>
        <w:pStyle w:val="22"/>
        <w:keepNext w:val="0"/>
        <w:keepLines w:val="0"/>
        <w:pageBreakBefore w:val="0"/>
        <w:kinsoku/>
        <w:wordWrap w:val="0"/>
        <w:overflowPunct/>
        <w:topLinePunct w:val="0"/>
        <w:autoSpaceDE/>
        <w:autoSpaceDN/>
        <w:bidi w:val="0"/>
        <w:adjustRightInd w:val="0"/>
        <w:snapToGrid w:val="0"/>
        <w:spacing w:line="5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kern w:val="2"/>
          <w:sz w:val="28"/>
          <w:szCs w:val="28"/>
          <w:highlight w:val="none"/>
          <w:lang w:val="en-US" w:eastAsia="zh-CN" w:bidi="ar-SA"/>
        </w:rPr>
        <w:t>(2)</w:t>
      </w:r>
      <w:r>
        <w:rPr>
          <w:rFonts w:hint="eastAsia" w:ascii="仿宋" w:hAnsi="仿宋" w:eastAsia="仿宋" w:cs="仿宋"/>
          <w:b/>
          <w:color w:val="auto"/>
          <w:sz w:val="28"/>
          <w:szCs w:val="28"/>
          <w:highlight w:val="none"/>
        </w:rPr>
        <w:t>投标人应在开标前完成CA数字证书办理。（办理流程详见</w:t>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HYPERLINK "http://zfcg.czt.zj.gov.cn/bidClientTemplate/2019-05-27/12945.html"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http://zfcg.czt.zj.gov.cn/bidClientTemplate/2019-05-27/12945.html</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）。完成CA数字证书办理预计一周左右，建议各投标人抓紧时间办理。</w:t>
      </w:r>
    </w:p>
    <w:p>
      <w:pPr>
        <w:keepNext w:val="0"/>
        <w:keepLines w:val="0"/>
        <w:pageBreakBefore w:val="0"/>
        <w:kinsoku/>
        <w:wordWrap w:val="0"/>
        <w:overflowPunct/>
        <w:topLinePunct w:val="0"/>
        <w:autoSpaceDE/>
        <w:autoSpaceDN/>
        <w:bidi w:val="0"/>
        <w:snapToGrid w:val="0"/>
        <w:spacing w:line="5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投标人通过政采云平台电子投标工具制作投标文件，电子投标工具请供应商自行前往浙江省政府采购网下载并安装，（下载网址：http://zfcg.czt.zj.gov.cn/bidClientTemplate/2019-09-24/12975.html）。</w:t>
      </w:r>
    </w:p>
    <w:p>
      <w:pPr>
        <w:keepNext w:val="0"/>
        <w:keepLines w:val="0"/>
        <w:pageBreakBefore w:val="0"/>
        <w:widowControl w:val="0"/>
        <w:kinsoku/>
        <w:wordWrap w:val="0"/>
        <w:overflowPunct/>
        <w:topLinePunct w:val="0"/>
        <w:autoSpaceDE/>
        <w:autoSpaceDN/>
        <w:bidi w:val="0"/>
        <w:snapToGrid w:val="0"/>
        <w:spacing w:line="58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4</w:t>
      </w:r>
      <w:r>
        <w:rPr>
          <w:rFonts w:hint="eastAsia" w:ascii="仿宋" w:hAnsi="仿宋" w:eastAsia="仿宋" w:cs="仿宋"/>
          <w:b/>
          <w:bCs w:val="0"/>
          <w:color w:val="auto"/>
          <w:sz w:val="28"/>
          <w:szCs w:val="28"/>
          <w:highlight w:val="none"/>
          <w:lang w:eastAsia="zh-CN"/>
        </w:rPr>
        <w:t>）投标人</w:t>
      </w:r>
      <w:r>
        <w:rPr>
          <w:rFonts w:hint="eastAsia" w:ascii="仿宋" w:hAnsi="仿宋" w:eastAsia="仿宋" w:cs="仿宋"/>
          <w:b/>
          <w:bCs w:val="0"/>
          <w:color w:val="auto"/>
          <w:sz w:val="28"/>
          <w:szCs w:val="28"/>
          <w:highlight w:val="none"/>
        </w:rPr>
        <w:t>应当在投标截止时间前完成</w:t>
      </w:r>
      <w:r>
        <w:rPr>
          <w:rFonts w:hint="eastAsia" w:ascii="仿宋" w:hAnsi="仿宋" w:eastAsia="仿宋" w:cs="仿宋"/>
          <w:b/>
          <w:bCs w:val="0"/>
          <w:color w:val="auto"/>
          <w:sz w:val="28"/>
          <w:szCs w:val="28"/>
          <w:highlight w:val="none"/>
          <w:lang w:eastAsia="zh-CN"/>
        </w:rPr>
        <w:t>投标文件</w:t>
      </w:r>
      <w:r>
        <w:rPr>
          <w:rFonts w:hint="eastAsia" w:ascii="仿宋" w:hAnsi="仿宋" w:eastAsia="仿宋" w:cs="仿宋"/>
          <w:b/>
          <w:bCs w:val="0"/>
          <w:color w:val="auto"/>
          <w:sz w:val="28"/>
          <w:szCs w:val="28"/>
          <w:highlight w:val="none"/>
        </w:rPr>
        <w:t>的传输递交，投标截止时间前可以补充、修改或者撤回</w:t>
      </w:r>
      <w:r>
        <w:rPr>
          <w:rFonts w:hint="eastAsia" w:ascii="仿宋" w:hAnsi="仿宋" w:eastAsia="仿宋" w:cs="仿宋"/>
          <w:b/>
          <w:bCs w:val="0"/>
          <w:color w:val="auto"/>
          <w:sz w:val="28"/>
          <w:szCs w:val="28"/>
          <w:highlight w:val="none"/>
          <w:lang w:eastAsia="zh-CN"/>
        </w:rPr>
        <w:t>投标文件</w:t>
      </w:r>
      <w:r>
        <w:rPr>
          <w:rFonts w:hint="eastAsia" w:ascii="仿宋" w:hAnsi="仿宋" w:eastAsia="仿宋" w:cs="仿宋"/>
          <w:b/>
          <w:bCs w:val="0"/>
          <w:color w:val="auto"/>
          <w:sz w:val="28"/>
          <w:szCs w:val="28"/>
          <w:highlight w:val="none"/>
        </w:rPr>
        <w:t>。补充或者修改</w:t>
      </w:r>
      <w:r>
        <w:rPr>
          <w:rFonts w:hint="eastAsia" w:ascii="仿宋" w:hAnsi="仿宋" w:eastAsia="仿宋" w:cs="仿宋"/>
          <w:b/>
          <w:bCs w:val="0"/>
          <w:color w:val="auto"/>
          <w:sz w:val="28"/>
          <w:szCs w:val="28"/>
          <w:highlight w:val="none"/>
          <w:lang w:eastAsia="zh-CN"/>
        </w:rPr>
        <w:t>投标文件</w:t>
      </w:r>
      <w:r>
        <w:rPr>
          <w:rFonts w:hint="eastAsia" w:ascii="仿宋" w:hAnsi="仿宋" w:eastAsia="仿宋" w:cs="仿宋"/>
          <w:b/>
          <w:bCs w:val="0"/>
          <w:color w:val="auto"/>
          <w:sz w:val="28"/>
          <w:szCs w:val="28"/>
          <w:highlight w:val="none"/>
        </w:rPr>
        <w:t>的，应当先行撤回原文件，补充、修改后重新传输递交。投标截止时间前未完成传输的，视为未提供</w:t>
      </w:r>
      <w:r>
        <w:rPr>
          <w:rFonts w:hint="eastAsia" w:ascii="仿宋" w:hAnsi="仿宋" w:eastAsia="仿宋" w:cs="仿宋"/>
          <w:b/>
          <w:bCs w:val="0"/>
          <w:color w:val="auto"/>
          <w:sz w:val="28"/>
          <w:szCs w:val="28"/>
          <w:highlight w:val="none"/>
          <w:lang w:eastAsia="zh-CN"/>
        </w:rPr>
        <w:t>投标文件</w:t>
      </w:r>
      <w:r>
        <w:rPr>
          <w:rFonts w:hint="eastAsia" w:ascii="仿宋" w:hAnsi="仿宋" w:eastAsia="仿宋" w:cs="仿宋"/>
          <w:b/>
          <w:bCs w:val="0"/>
          <w:color w:val="auto"/>
          <w:sz w:val="28"/>
          <w:szCs w:val="28"/>
          <w:highlight w:val="none"/>
        </w:rPr>
        <w:t>，投标无效。投标截止时间后递交的</w:t>
      </w:r>
      <w:r>
        <w:rPr>
          <w:rFonts w:hint="eastAsia" w:ascii="仿宋" w:hAnsi="仿宋" w:eastAsia="仿宋" w:cs="仿宋"/>
          <w:b/>
          <w:bCs w:val="0"/>
          <w:color w:val="auto"/>
          <w:sz w:val="28"/>
          <w:szCs w:val="28"/>
          <w:highlight w:val="none"/>
          <w:lang w:eastAsia="zh-CN"/>
        </w:rPr>
        <w:t>投标文件</w:t>
      </w:r>
      <w:r>
        <w:rPr>
          <w:rFonts w:hint="eastAsia" w:ascii="仿宋" w:hAnsi="仿宋" w:eastAsia="仿宋" w:cs="仿宋"/>
          <w:b/>
          <w:bCs w:val="0"/>
          <w:color w:val="auto"/>
          <w:sz w:val="28"/>
          <w:szCs w:val="28"/>
          <w:highlight w:val="none"/>
        </w:rPr>
        <w:t>，将被政采云平台拒收。</w:t>
      </w:r>
    </w:p>
    <w:p>
      <w:pPr>
        <w:keepNext w:val="0"/>
        <w:keepLines w:val="0"/>
        <w:pageBreakBefore w:val="0"/>
        <w:widowControl w:val="0"/>
        <w:kinsoku/>
        <w:wordWrap w:val="0"/>
        <w:overflowPunct/>
        <w:topLinePunct w:val="0"/>
        <w:autoSpaceDE/>
        <w:autoSpaceDN/>
        <w:bidi w:val="0"/>
        <w:snapToGrid w:val="0"/>
        <w:spacing w:line="5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bCs w:val="0"/>
          <w:color w:val="auto"/>
          <w:sz w:val="28"/>
          <w:szCs w:val="28"/>
          <w:highlight w:val="none"/>
          <w:lang w:val="en-US" w:eastAsia="zh-CN"/>
        </w:rPr>
        <w:t>3.</w:t>
      </w:r>
      <w:r>
        <w:rPr>
          <w:rFonts w:hint="eastAsia" w:ascii="仿宋" w:hAnsi="仿宋" w:eastAsia="仿宋" w:cs="仿宋"/>
          <w:b/>
          <w:color w:val="auto"/>
          <w:sz w:val="28"/>
          <w:szCs w:val="28"/>
          <w:highlight w:val="none"/>
        </w:rPr>
        <w:t>企业信用融资及电子保函</w:t>
      </w:r>
    </w:p>
    <w:p>
      <w:pPr>
        <w:keepNext w:val="0"/>
        <w:keepLines w:val="0"/>
        <w:pageBreakBefore w:val="0"/>
        <w:widowControl w:val="0"/>
        <w:kinsoku/>
        <w:wordWrap w:val="0"/>
        <w:overflowPunct/>
        <w:topLinePunct w:val="0"/>
        <w:autoSpaceDE/>
        <w:autoSpaceDN/>
        <w:bidi w:val="0"/>
        <w:snapToGrid w:val="0"/>
        <w:spacing w:line="580" w:lineRule="exact"/>
        <w:ind w:firstLine="562" w:firstLineChars="200"/>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lang w:val="en-US" w:eastAsia="zh-CN"/>
        </w:rPr>
        <w:t>投标人若有办理信用融资及电子保函意向的可登陆浙江政府采购网“浙江政采贷”（网址：</w:t>
      </w: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HYPERLINK "https://jinrong.zcygov.cn"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https://jinrong.zcygov.cn</w:t>
      </w:r>
      <w:r>
        <w:rPr>
          <w:rFonts w:hint="eastAsia" w:ascii="仿宋" w:hAnsi="仿宋" w:eastAsia="仿宋" w:cs="仿宋"/>
          <w:b/>
          <w:bCs w:val="0"/>
          <w:color w:val="auto"/>
          <w:sz w:val="28"/>
          <w:szCs w:val="28"/>
          <w:highlight w:val="none"/>
          <w:lang w:val="en-US" w:eastAsia="zh-CN"/>
        </w:rPr>
        <w:fldChar w:fldCharType="end"/>
      </w:r>
      <w:r>
        <w:rPr>
          <w:rFonts w:hint="eastAsia" w:ascii="仿宋" w:hAnsi="仿宋" w:eastAsia="仿宋" w:cs="仿宋"/>
          <w:b/>
          <w:bCs w:val="0"/>
          <w:color w:val="auto"/>
          <w:sz w:val="28"/>
          <w:szCs w:val="28"/>
          <w:highlight w:val="none"/>
          <w:lang w:val="en-US" w:eastAsia="zh-CN"/>
        </w:rPr>
        <w:t>，政府采购云平台金融服务中心）查看相关政策和服务方案。</w:t>
      </w:r>
    </w:p>
    <w:p>
      <w:pPr>
        <w:pStyle w:val="4"/>
        <w:keepLines w:val="0"/>
        <w:pageBreakBefore w:val="0"/>
        <w:widowControl/>
        <w:kinsoku/>
        <w:overflowPunct/>
        <w:topLinePunct w:val="0"/>
        <w:autoSpaceDE/>
        <w:autoSpaceDN/>
        <w:bidi w:val="0"/>
        <w:spacing w:before="0" w:beforeAutospacing="0" w:after="0" w:afterAutospacing="0" w:line="580" w:lineRule="exact"/>
        <w:textAlignment w:val="auto"/>
        <w:rPr>
          <w:rFonts w:hint="eastAsia" w:ascii="仿宋" w:hAnsi="仿宋" w:eastAsia="仿宋" w:cs="仿宋"/>
          <w:b/>
          <w:bCs w:val="0"/>
          <w:i w:val="0"/>
          <w:iCs w:val="0"/>
          <w:color w:val="auto"/>
          <w:sz w:val="28"/>
          <w:szCs w:val="28"/>
          <w:highlight w:val="none"/>
        </w:rPr>
      </w:pPr>
      <w:r>
        <w:rPr>
          <w:rFonts w:hint="eastAsia" w:ascii="仿宋" w:hAnsi="仿宋" w:eastAsia="仿宋" w:cs="仿宋"/>
          <w:b/>
          <w:bCs w:val="0"/>
          <w:i w:val="0"/>
          <w:iCs w:val="0"/>
          <w:color w:val="auto"/>
          <w:sz w:val="28"/>
          <w:szCs w:val="28"/>
          <w:highlight w:val="none"/>
        </w:rPr>
        <w:t>七、对本次招标提出询问，请按以下方式联系</w:t>
      </w:r>
      <w:bookmarkEnd w:id="30"/>
      <w:bookmarkEnd w:id="31"/>
      <w:bookmarkEnd w:id="32"/>
      <w:bookmarkEnd w:id="33"/>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1.采购人信息</w:t>
      </w:r>
    </w:p>
    <w:p>
      <w:pPr>
        <w:keepNext w:val="0"/>
        <w:keepLines w:val="0"/>
        <w:pageBreakBefore w:val="0"/>
        <w:widowControl/>
        <w:kinsoku/>
        <w:wordWrap/>
        <w:overflowPunct/>
        <w:topLinePunct w:val="0"/>
        <w:autoSpaceDE/>
        <w:autoSpaceDN/>
        <w:bidi w:val="0"/>
        <w:spacing w:line="580" w:lineRule="exact"/>
        <w:ind w:firstLine="560" w:firstLineChars="200"/>
        <w:jc w:val="left"/>
        <w:textAlignment w:val="auto"/>
        <w:rPr>
          <w:rFonts w:hint="eastAsia" w:ascii="仿宋" w:hAnsi="仿宋" w:eastAsia="仿宋" w:cs="仿宋"/>
          <w:color w:val="auto"/>
          <w:kern w:val="0"/>
          <w:sz w:val="28"/>
          <w:szCs w:val="28"/>
          <w:highlight w:val="none"/>
          <w:lang w:val="en-US" w:eastAsia="zh-CN" w:bidi="en-US"/>
        </w:rPr>
      </w:pPr>
      <w:bookmarkStart w:id="34" w:name="_Toc28359086"/>
      <w:bookmarkStart w:id="35" w:name="_Toc28359009"/>
      <w:r>
        <w:rPr>
          <w:rFonts w:hint="eastAsia" w:ascii="仿宋" w:hAnsi="仿宋" w:eastAsia="仿宋" w:cs="仿宋"/>
          <w:color w:val="auto"/>
          <w:kern w:val="0"/>
          <w:sz w:val="28"/>
          <w:szCs w:val="28"/>
          <w:highlight w:val="none"/>
          <w:lang w:val="en-US" w:eastAsia="zh-CN" w:bidi="en-US"/>
        </w:rPr>
        <w:t xml:space="preserve">单位名称：开化县华埠镇人民政府      </w:t>
      </w:r>
    </w:p>
    <w:p>
      <w:pPr>
        <w:keepNext w:val="0"/>
        <w:keepLines w:val="0"/>
        <w:pageBreakBefore w:val="0"/>
        <w:widowControl/>
        <w:kinsoku/>
        <w:wordWrap/>
        <w:overflowPunct/>
        <w:topLinePunct w:val="0"/>
        <w:autoSpaceDE/>
        <w:autoSpaceDN/>
        <w:bidi w:val="0"/>
        <w:spacing w:line="580" w:lineRule="exact"/>
        <w:ind w:firstLine="560" w:firstLineChars="200"/>
        <w:jc w:val="left"/>
        <w:textAlignment w:val="auto"/>
        <w:rPr>
          <w:rFonts w:hint="eastAsia" w:ascii="仿宋" w:hAnsi="仿宋" w:eastAsia="仿宋" w:cs="仿宋"/>
          <w:color w:val="auto"/>
          <w:kern w:val="0"/>
          <w:sz w:val="28"/>
          <w:szCs w:val="28"/>
          <w:highlight w:val="none"/>
          <w:lang w:val="en-US" w:eastAsia="zh-CN" w:bidi="en-US"/>
        </w:rPr>
      </w:pPr>
      <w:r>
        <w:rPr>
          <w:rFonts w:hint="eastAsia" w:ascii="仿宋" w:hAnsi="仿宋" w:eastAsia="仿宋" w:cs="仿宋"/>
          <w:color w:val="auto"/>
          <w:kern w:val="0"/>
          <w:sz w:val="28"/>
          <w:szCs w:val="28"/>
          <w:highlight w:val="none"/>
          <w:lang w:val="en-US" w:eastAsia="zh-CN" w:bidi="en-US"/>
        </w:rPr>
        <w:t>单位地址：开化县华埠镇江东新区华康路86号</w:t>
      </w:r>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项目联系人（询问）：叶小刚</w:t>
      </w:r>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项目联系方式（询问）：13819011765</w:t>
      </w:r>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质疑联系人：余德</w:t>
      </w:r>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质疑联系方式：13750899848</w:t>
      </w:r>
    </w:p>
    <w:p>
      <w:pPr>
        <w:pStyle w:val="35"/>
        <w:keepLines w:val="0"/>
        <w:pageBreakBefore w:val="0"/>
        <w:widowControl/>
        <w:shd w:val="clear" w:color="auto" w:fill="FFFFFF"/>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2.采购代理机构信息</w:t>
      </w:r>
      <w:bookmarkEnd w:id="34"/>
      <w:bookmarkEnd w:id="35"/>
    </w:p>
    <w:p>
      <w:pPr>
        <w:pStyle w:val="35"/>
        <w:keepLines w:val="0"/>
        <w:pageBreakBefore w:val="0"/>
        <w:widowControl/>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bookmarkStart w:id="36" w:name="_Toc28359010"/>
      <w:bookmarkStart w:id="37" w:name="_Toc28359087"/>
      <w:r>
        <w:rPr>
          <w:rFonts w:hint="eastAsia" w:ascii="仿宋" w:hAnsi="仿宋" w:eastAsia="仿宋" w:cs="仿宋"/>
          <w:color w:val="auto"/>
          <w:kern w:val="0"/>
          <w:sz w:val="28"/>
          <w:szCs w:val="28"/>
          <w:highlight w:val="none"/>
          <w:lang w:val="en-US" w:eastAsia="zh-CN" w:bidi="ar-SA"/>
        </w:rPr>
        <w:t>代理机构：嘉兴市千秋工程咨询有限公司</w:t>
      </w:r>
    </w:p>
    <w:p>
      <w:pPr>
        <w:pStyle w:val="35"/>
        <w:keepLines w:val="0"/>
        <w:pageBreakBefore w:val="0"/>
        <w:widowControl/>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单位地址： 开化县华埠镇得阳大厦A座6楼</w:t>
      </w:r>
    </w:p>
    <w:bookmarkEnd w:id="36"/>
    <w:bookmarkEnd w:id="37"/>
    <w:p>
      <w:pPr>
        <w:pStyle w:val="35"/>
        <w:keepLines w:val="0"/>
        <w:pageBreakBefore w:val="0"/>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项目联系人（询问）：</w:t>
      </w:r>
      <w:r>
        <w:rPr>
          <w:rFonts w:hint="eastAsia" w:ascii="仿宋" w:hAnsi="仿宋" w:eastAsia="仿宋" w:cs="仿宋"/>
          <w:bCs/>
          <w:color w:val="auto"/>
          <w:kern w:val="2"/>
          <w:sz w:val="28"/>
          <w:szCs w:val="28"/>
          <w:highlight w:val="none"/>
          <w:lang w:eastAsia="zh-CN"/>
        </w:rPr>
        <w:t>周婷</w:t>
      </w:r>
      <w:r>
        <w:rPr>
          <w:rFonts w:hint="eastAsia" w:ascii="仿宋" w:hAnsi="仿宋" w:eastAsia="仿宋" w:cs="仿宋"/>
          <w:bCs/>
          <w:color w:val="auto"/>
          <w:kern w:val="2"/>
          <w:sz w:val="28"/>
          <w:szCs w:val="28"/>
          <w:highlight w:val="none"/>
        </w:rPr>
        <w:t xml:space="preserve">        </w:t>
      </w:r>
    </w:p>
    <w:p>
      <w:pPr>
        <w:pStyle w:val="35"/>
        <w:keepLines w:val="0"/>
        <w:pageBreakBefore w:val="0"/>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21"/>
          <w:sz w:val="28"/>
          <w:szCs w:val="28"/>
          <w:highlight w:val="none"/>
          <w:u w:val="single"/>
        </w:rPr>
      </w:pPr>
      <w:r>
        <w:rPr>
          <w:rFonts w:hint="eastAsia" w:ascii="仿宋" w:hAnsi="仿宋" w:eastAsia="仿宋" w:cs="仿宋"/>
          <w:bCs/>
          <w:color w:val="auto"/>
          <w:kern w:val="2"/>
          <w:sz w:val="28"/>
          <w:szCs w:val="28"/>
          <w:highlight w:val="none"/>
        </w:rPr>
        <w:t>项目联系方式（询问）：</w:t>
      </w:r>
      <w:r>
        <w:rPr>
          <w:rFonts w:hint="eastAsia" w:ascii="仿宋" w:hAnsi="仿宋" w:eastAsia="仿宋" w:cs="仿宋"/>
          <w:color w:val="auto"/>
          <w:sz w:val="28"/>
          <w:szCs w:val="28"/>
          <w:highlight w:val="none"/>
          <w:lang w:eastAsia="zh-CN"/>
        </w:rPr>
        <w:t>18367029520</w:t>
      </w:r>
    </w:p>
    <w:p>
      <w:pPr>
        <w:pStyle w:val="35"/>
        <w:keepLines w:val="0"/>
        <w:pageBreakBefore w:val="0"/>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质疑联系人：</w:t>
      </w:r>
      <w:r>
        <w:rPr>
          <w:rFonts w:hint="eastAsia" w:ascii="仿宋" w:hAnsi="仿宋" w:eastAsia="仿宋" w:cs="仿宋"/>
          <w:bCs/>
          <w:color w:val="auto"/>
          <w:kern w:val="2"/>
          <w:sz w:val="28"/>
          <w:szCs w:val="28"/>
          <w:highlight w:val="none"/>
          <w:lang w:eastAsia="zh-CN"/>
        </w:rPr>
        <w:t>陈佳丽</w:t>
      </w:r>
      <w:r>
        <w:rPr>
          <w:rFonts w:hint="eastAsia" w:ascii="仿宋" w:hAnsi="仿宋" w:eastAsia="仿宋" w:cs="仿宋"/>
          <w:bCs/>
          <w:color w:val="auto"/>
          <w:kern w:val="2"/>
          <w:sz w:val="28"/>
          <w:szCs w:val="28"/>
          <w:highlight w:val="none"/>
        </w:rPr>
        <w:t>     </w:t>
      </w:r>
    </w:p>
    <w:p>
      <w:pPr>
        <w:pStyle w:val="35"/>
        <w:keepLines w:val="0"/>
        <w:pageBreakBefore w:val="0"/>
        <w:kinsoku/>
        <w:overflowPunct/>
        <w:topLinePunct w:val="0"/>
        <w:autoSpaceDE/>
        <w:autoSpaceDN/>
        <w:bidi w:val="0"/>
        <w:spacing w:beforeAutospacing="0" w:afterAutospacing="0" w:line="58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bCs/>
          <w:color w:val="auto"/>
          <w:kern w:val="2"/>
          <w:sz w:val="28"/>
          <w:szCs w:val="28"/>
          <w:highlight w:val="none"/>
        </w:rPr>
        <w:t>质疑联系方式：</w:t>
      </w:r>
      <w:r>
        <w:rPr>
          <w:rFonts w:hint="eastAsia" w:ascii="仿宋" w:hAnsi="仿宋" w:eastAsia="仿宋" w:cs="仿宋"/>
          <w:bCs/>
          <w:color w:val="auto"/>
          <w:kern w:val="2"/>
          <w:sz w:val="28"/>
          <w:szCs w:val="28"/>
          <w:highlight w:val="none"/>
          <w:lang w:val="en-US" w:eastAsia="zh-CN"/>
        </w:rPr>
        <w:t>13735082787</w:t>
      </w:r>
    </w:p>
    <w:p>
      <w:pPr>
        <w:pStyle w:val="35"/>
        <w:keepNext w:val="0"/>
        <w:keepLines w:val="0"/>
        <w:pageBreakBefore w:val="0"/>
        <w:widowControl/>
        <w:suppressLineNumbers w:val="0"/>
        <w:shd w:val="clear" w:color="auto" w:fill="FFFFFF"/>
        <w:kinsoku/>
        <w:overflowPunct/>
        <w:topLinePunct w:val="0"/>
        <w:autoSpaceDE/>
        <w:autoSpaceDN/>
        <w:bidi w:val="0"/>
        <w:spacing w:beforeAutospacing="0" w:afterAutospacing="0" w:line="580" w:lineRule="exact"/>
        <w:ind w:left="0" w:right="0" w:firstLine="420"/>
        <w:jc w:val="lef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3.同级政府采购监督管理部门</w:t>
      </w:r>
    </w:p>
    <w:p>
      <w:pPr>
        <w:pStyle w:val="35"/>
        <w:keepNext w:val="0"/>
        <w:keepLines w:val="0"/>
        <w:pageBreakBefore w:val="0"/>
        <w:widowControl/>
        <w:suppressLineNumbers w:val="0"/>
        <w:shd w:val="clear" w:color="auto" w:fill="FFFFFF"/>
        <w:kinsoku/>
        <w:overflowPunct/>
        <w:topLinePunct w:val="0"/>
        <w:autoSpaceDE/>
        <w:autoSpaceDN/>
        <w:bidi w:val="0"/>
        <w:spacing w:beforeAutospacing="0" w:afterAutospacing="0" w:line="580" w:lineRule="exact"/>
        <w:ind w:left="0" w:right="0" w:firstLine="420"/>
        <w:jc w:val="lef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名  称：开化县财政局政府采购监管科（采监科）</w:t>
      </w:r>
    </w:p>
    <w:p>
      <w:pPr>
        <w:pStyle w:val="35"/>
        <w:keepNext w:val="0"/>
        <w:keepLines w:val="0"/>
        <w:pageBreakBefore w:val="0"/>
        <w:widowControl/>
        <w:suppressLineNumbers w:val="0"/>
        <w:shd w:val="clear" w:color="auto" w:fill="FFFFFF"/>
        <w:kinsoku/>
        <w:overflowPunct/>
        <w:topLinePunct w:val="0"/>
        <w:autoSpaceDE/>
        <w:autoSpaceDN/>
        <w:bidi w:val="0"/>
        <w:spacing w:beforeAutospacing="0" w:afterAutospacing="0" w:line="580" w:lineRule="exact"/>
        <w:ind w:left="0" w:right="0" w:firstLine="420"/>
        <w:jc w:val="lef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地  址：开化县永吉二路6号</w:t>
      </w:r>
    </w:p>
    <w:p>
      <w:pPr>
        <w:pStyle w:val="35"/>
        <w:keepNext w:val="0"/>
        <w:keepLines w:val="0"/>
        <w:pageBreakBefore w:val="0"/>
        <w:widowControl/>
        <w:suppressLineNumbers w:val="0"/>
        <w:shd w:val="clear" w:color="auto" w:fill="FFFFFF"/>
        <w:kinsoku/>
        <w:overflowPunct/>
        <w:topLinePunct w:val="0"/>
        <w:autoSpaceDE/>
        <w:autoSpaceDN/>
        <w:bidi w:val="0"/>
        <w:spacing w:beforeAutospacing="0" w:afterAutospacing="0" w:line="580" w:lineRule="exact"/>
        <w:ind w:left="0" w:right="0" w:firstLine="420"/>
        <w:jc w:val="lef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联系人：俞晓丰 </w:t>
      </w:r>
    </w:p>
    <w:p>
      <w:pPr>
        <w:pStyle w:val="35"/>
        <w:keepNext w:val="0"/>
        <w:keepLines w:val="0"/>
        <w:pageBreakBefore w:val="0"/>
        <w:widowControl/>
        <w:suppressLineNumbers w:val="0"/>
        <w:shd w:val="clear" w:color="auto" w:fill="FFFFFF"/>
        <w:kinsoku/>
        <w:overflowPunct/>
        <w:topLinePunct w:val="0"/>
        <w:autoSpaceDE/>
        <w:autoSpaceDN/>
        <w:bidi w:val="0"/>
        <w:spacing w:beforeAutospacing="0" w:afterAutospacing="0" w:line="580" w:lineRule="exact"/>
        <w:ind w:left="0" w:right="0" w:firstLine="420"/>
        <w:jc w:val="lef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监督投诉电话：0570-6013637 </w:t>
      </w:r>
    </w:p>
    <w:p>
      <w:pPr>
        <w:pStyle w:val="35"/>
        <w:keepNext w:val="0"/>
        <w:keepLines w:val="0"/>
        <w:pageBreakBefore w:val="0"/>
        <w:widowControl/>
        <w:suppressLineNumbers w:val="0"/>
        <w:shd w:val="clear" w:color="auto" w:fill="FFFFFF"/>
        <w:kinsoku/>
        <w:overflowPunct/>
        <w:topLinePunct w:val="0"/>
        <w:autoSpaceDE/>
        <w:autoSpaceDN/>
        <w:bidi w:val="0"/>
        <w:spacing w:beforeAutospacing="0" w:afterAutospacing="0" w:line="580" w:lineRule="exact"/>
        <w:ind w:right="0"/>
        <w:jc w:val="left"/>
        <w:textAlignment w:val="auto"/>
        <w:rPr>
          <w:rFonts w:hint="eastAsia" w:ascii="仿宋" w:hAnsi="仿宋" w:eastAsia="仿宋" w:cs="仿宋"/>
          <w:color w:val="auto"/>
          <w:kern w:val="0"/>
          <w:sz w:val="28"/>
          <w:szCs w:val="28"/>
          <w:highlight w:val="none"/>
          <w:lang w:val="en-US" w:eastAsia="zh-CN" w:bidi="ar-SA"/>
        </w:rPr>
      </w:pPr>
    </w:p>
    <w:p>
      <w:pPr>
        <w:pStyle w:val="35"/>
        <w:keepNext w:val="0"/>
        <w:keepLines w:val="0"/>
        <w:pageBreakBefore w:val="0"/>
        <w:widowControl/>
        <w:suppressLineNumbers w:val="0"/>
        <w:shd w:val="clear" w:color="auto" w:fill="FFFFFF"/>
        <w:kinsoku/>
        <w:overflowPunct/>
        <w:topLinePunct w:val="0"/>
        <w:autoSpaceDE/>
        <w:autoSpaceDN/>
        <w:bidi w:val="0"/>
        <w:spacing w:beforeAutospacing="0" w:afterAutospacing="0" w:line="580" w:lineRule="exact"/>
        <w:ind w:right="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若对项目采购电子交易系统操作有疑问，可登录政采云（https://www.zcygov.cn/），点击右侧咨询小采，获取采小蜜智能服务</w:t>
      </w:r>
      <w:r>
        <w:rPr>
          <w:rFonts w:hint="eastAsia" w:ascii="仿宋" w:hAnsi="仿宋" w:eastAsia="仿宋" w:cs="仿宋"/>
          <w:bCs/>
          <w:color w:val="auto"/>
          <w:kern w:val="2"/>
          <w:sz w:val="28"/>
          <w:szCs w:val="28"/>
          <w:highlight w:val="none"/>
          <w:lang w:val="en-US" w:eastAsia="zh-CN" w:bidi="ar-SA"/>
        </w:rPr>
        <w:t>管家帮助，或拨打政采云服务热线400-881-7190获取热线服务帮助。</w:t>
      </w:r>
      <w:r>
        <w:rPr>
          <w:rFonts w:hint="eastAsia" w:ascii="仿宋" w:hAnsi="仿宋" w:eastAsia="仿宋" w:cs="仿宋"/>
          <w:bCs/>
          <w:color w:val="auto"/>
          <w:kern w:val="2"/>
          <w:sz w:val="28"/>
          <w:szCs w:val="28"/>
          <w:highlight w:val="none"/>
          <w:lang w:val="en-US" w:eastAsia="zh-CN" w:bidi="ar-SA"/>
        </w:rPr>
        <w:br w:type="textWrapping"/>
      </w:r>
      <w:r>
        <w:rPr>
          <w:rFonts w:hint="eastAsia" w:ascii="仿宋" w:hAnsi="仿宋" w:eastAsia="仿宋" w:cs="仿宋"/>
          <w:bCs/>
          <w:color w:val="auto"/>
          <w:kern w:val="2"/>
          <w:sz w:val="28"/>
          <w:szCs w:val="28"/>
          <w:highlight w:val="none"/>
          <w:lang w:val="en-US" w:eastAsia="zh-CN" w:bidi="ar-SA"/>
        </w:rPr>
        <w:t>CA问题联系电话（人工）：汇信CA 400-888-4636；天谷CA 400-087-8198。</w:t>
      </w:r>
    </w:p>
    <w:p>
      <w:pPr>
        <w:keepNext w:val="0"/>
        <w:keepLines w:val="0"/>
        <w:pageBreakBefore w:val="0"/>
        <w:widowControl/>
        <w:kinsoku/>
        <w:wordWrap/>
        <w:overflowPunct/>
        <w:topLinePunct w:val="0"/>
        <w:autoSpaceDE/>
        <w:autoSpaceDN/>
        <w:bidi w:val="0"/>
        <w:spacing w:line="500" w:lineRule="exact"/>
        <w:jc w:val="center"/>
        <w:textAlignment w:val="auto"/>
        <w:outlineLvl w:val="0"/>
        <w:rPr>
          <w:rFonts w:ascii="黑体" w:hAnsi="宋体" w:eastAsia="黑体"/>
          <w:bCs/>
          <w:color w:val="auto"/>
          <w:sz w:val="28"/>
          <w:szCs w:val="28"/>
          <w:highlight w:val="none"/>
        </w:rPr>
      </w:pPr>
    </w:p>
    <w:p>
      <w:pPr>
        <w:widowControl/>
        <w:outlineLvl w:val="0"/>
        <w:rPr>
          <w:rFonts w:ascii="黑体" w:hAnsi="宋体" w:eastAsia="黑体"/>
          <w:bCs/>
          <w:color w:val="auto"/>
          <w:sz w:val="28"/>
          <w:szCs w:val="28"/>
          <w:highlight w:val="none"/>
        </w:rPr>
      </w:pPr>
    </w:p>
    <w:p>
      <w:pPr>
        <w:pStyle w:val="16"/>
        <w:rPr>
          <w:rFonts w:ascii="黑体" w:hAnsi="宋体" w:eastAsia="黑体"/>
          <w:bCs/>
          <w:color w:val="auto"/>
          <w:sz w:val="28"/>
          <w:szCs w:val="28"/>
          <w:highlight w:val="none"/>
        </w:rPr>
      </w:pPr>
    </w:p>
    <w:p>
      <w:pPr>
        <w:pStyle w:val="38"/>
        <w:rPr>
          <w:rFonts w:ascii="黑体" w:hAnsi="宋体" w:eastAsia="黑体"/>
          <w:bCs/>
          <w:color w:val="auto"/>
          <w:sz w:val="28"/>
          <w:szCs w:val="28"/>
          <w:highlight w:val="none"/>
        </w:rPr>
      </w:pPr>
    </w:p>
    <w:p>
      <w:pPr>
        <w:rPr>
          <w:rFonts w:ascii="黑体" w:hAnsi="宋体" w:eastAsia="黑体"/>
          <w:bCs/>
          <w:color w:val="auto"/>
          <w:sz w:val="28"/>
          <w:szCs w:val="28"/>
          <w:highlight w:val="none"/>
        </w:rPr>
      </w:pPr>
    </w:p>
    <w:p>
      <w:pPr>
        <w:pStyle w:val="16"/>
        <w:rPr>
          <w:rFonts w:ascii="黑体" w:hAnsi="宋体" w:eastAsia="黑体"/>
          <w:bCs/>
          <w:color w:val="auto"/>
          <w:sz w:val="28"/>
          <w:szCs w:val="28"/>
          <w:highlight w:val="none"/>
        </w:rPr>
      </w:pPr>
    </w:p>
    <w:p>
      <w:pPr>
        <w:pStyle w:val="38"/>
        <w:rPr>
          <w:rFonts w:ascii="黑体" w:hAnsi="宋体" w:eastAsia="黑体"/>
          <w:bCs/>
          <w:color w:val="auto"/>
          <w:sz w:val="28"/>
          <w:szCs w:val="28"/>
          <w:highlight w:val="none"/>
        </w:rPr>
      </w:pPr>
    </w:p>
    <w:p>
      <w:pPr>
        <w:pStyle w:val="30"/>
        <w:rPr>
          <w:rFonts w:ascii="黑体" w:hAnsi="宋体" w:eastAsia="黑体"/>
          <w:bCs/>
          <w:color w:val="auto"/>
          <w:sz w:val="28"/>
          <w:szCs w:val="28"/>
          <w:highlight w:val="none"/>
        </w:rPr>
      </w:pPr>
    </w:p>
    <w:p>
      <w:pPr>
        <w:rPr>
          <w:rFonts w:ascii="黑体" w:hAnsi="宋体" w:eastAsia="黑体"/>
          <w:bCs/>
          <w:color w:val="auto"/>
          <w:sz w:val="28"/>
          <w:szCs w:val="28"/>
          <w:highlight w:val="none"/>
        </w:rPr>
      </w:pPr>
    </w:p>
    <w:p>
      <w:pPr>
        <w:pStyle w:val="50"/>
        <w:rPr>
          <w:rFonts w:ascii="黑体" w:hAnsi="宋体" w:eastAsia="黑体"/>
          <w:bCs/>
          <w:color w:val="auto"/>
          <w:sz w:val="28"/>
          <w:szCs w:val="28"/>
          <w:highlight w:val="none"/>
        </w:rPr>
      </w:pPr>
    </w:p>
    <w:p>
      <w:pPr>
        <w:pStyle w:val="50"/>
        <w:rPr>
          <w:rFonts w:ascii="黑体" w:hAnsi="宋体" w:eastAsia="黑体"/>
          <w:bCs/>
          <w:color w:val="auto"/>
          <w:sz w:val="28"/>
          <w:szCs w:val="28"/>
          <w:highlight w:val="none"/>
        </w:rPr>
      </w:pPr>
    </w:p>
    <w:p>
      <w:pPr>
        <w:pStyle w:val="50"/>
        <w:rPr>
          <w:rFonts w:ascii="黑体" w:hAnsi="宋体" w:eastAsia="黑体"/>
          <w:bCs/>
          <w:color w:val="auto"/>
          <w:sz w:val="28"/>
          <w:szCs w:val="28"/>
          <w:highlight w:val="none"/>
        </w:rPr>
      </w:pPr>
    </w:p>
    <w:p>
      <w:pPr>
        <w:pStyle w:val="50"/>
        <w:rPr>
          <w:rFonts w:ascii="黑体" w:hAnsi="宋体" w:eastAsia="黑体"/>
          <w:bCs/>
          <w:color w:val="auto"/>
          <w:sz w:val="28"/>
          <w:szCs w:val="28"/>
          <w:highlight w:val="none"/>
        </w:rPr>
      </w:pPr>
    </w:p>
    <w:p>
      <w:pPr>
        <w:pStyle w:val="50"/>
        <w:rPr>
          <w:rFonts w:ascii="黑体" w:hAnsi="宋体" w:eastAsia="黑体"/>
          <w:bCs/>
          <w:color w:val="auto"/>
          <w:sz w:val="28"/>
          <w:szCs w:val="28"/>
          <w:highlight w:val="none"/>
        </w:rPr>
      </w:pPr>
    </w:p>
    <w:p>
      <w:pPr>
        <w:pStyle w:val="50"/>
        <w:rPr>
          <w:rFonts w:ascii="黑体" w:hAnsi="宋体" w:eastAsia="黑体"/>
          <w:bCs/>
          <w:color w:val="auto"/>
          <w:sz w:val="28"/>
          <w:szCs w:val="28"/>
          <w:highlight w:val="none"/>
        </w:rPr>
      </w:pPr>
    </w:p>
    <w:p>
      <w:pPr>
        <w:pStyle w:val="50"/>
        <w:rPr>
          <w:rFonts w:ascii="黑体" w:hAnsi="宋体" w:eastAsia="黑体"/>
          <w:bCs/>
          <w:color w:val="auto"/>
          <w:sz w:val="28"/>
          <w:szCs w:val="28"/>
          <w:highlight w:val="none"/>
        </w:rPr>
      </w:pPr>
    </w:p>
    <w:p>
      <w:pPr>
        <w:widowControl/>
        <w:jc w:val="center"/>
        <w:outlineLvl w:val="0"/>
        <w:rPr>
          <w:rFonts w:ascii="宋体" w:hAnsi="宋体" w:cs="宋体"/>
          <w:b/>
          <w:bCs/>
          <w:color w:val="auto"/>
          <w:kern w:val="0"/>
          <w:sz w:val="36"/>
          <w:szCs w:val="36"/>
          <w:highlight w:val="none"/>
        </w:rPr>
      </w:pPr>
      <w:r>
        <w:rPr>
          <w:rFonts w:hint="eastAsia" w:ascii="黑体" w:hAnsi="宋体" w:eastAsia="黑体"/>
          <w:b/>
          <w:color w:val="auto"/>
          <w:sz w:val="36"/>
          <w:szCs w:val="36"/>
          <w:highlight w:val="none"/>
        </w:rPr>
        <w:t>第二章  投标人须知及前附表</w:t>
      </w:r>
      <w:bookmarkEnd w:id="0"/>
      <w:bookmarkEnd w:id="1"/>
      <w:bookmarkEnd w:id="2"/>
      <w:bookmarkEnd w:id="3"/>
      <w:bookmarkEnd w:id="4"/>
      <w:bookmarkStart w:id="38" w:name="_Toc358384687"/>
      <w:bookmarkStart w:id="39" w:name="_Toc333842543"/>
      <w:bookmarkStart w:id="40" w:name="_Toc393201706"/>
      <w:bookmarkStart w:id="41" w:name="_Toc326937529"/>
      <w:bookmarkStart w:id="42" w:name="_Toc27635"/>
    </w:p>
    <w:p>
      <w:pPr>
        <w:keepNext w:val="0"/>
        <w:keepLines w:val="0"/>
        <w:pageBreakBefore w:val="0"/>
        <w:widowControl/>
        <w:kinsoku/>
        <w:wordWrap/>
        <w:overflowPunct/>
        <w:topLinePunct w:val="0"/>
        <w:bidi w:val="0"/>
        <w:spacing w:line="500" w:lineRule="exact"/>
        <w:outlineLvl w:val="1"/>
        <w:rPr>
          <w:rFonts w:ascii="仿宋" w:hAnsi="仿宋" w:eastAsia="仿宋" w:cs="仿宋"/>
          <w:b/>
          <w:bCs/>
          <w:color w:val="auto"/>
          <w:kern w:val="0"/>
          <w:sz w:val="28"/>
          <w:szCs w:val="28"/>
          <w:highlight w:val="none"/>
        </w:rPr>
      </w:pPr>
      <w:r>
        <w:rPr>
          <w:rFonts w:hint="eastAsia" w:ascii="宋体" w:hAnsi="宋体" w:cs="宋体"/>
          <w:b/>
          <w:bCs/>
          <w:color w:val="auto"/>
          <w:kern w:val="0"/>
          <w:sz w:val="28"/>
          <w:szCs w:val="28"/>
          <w:highlight w:val="none"/>
        </w:rPr>
        <w:t>A</w:t>
      </w:r>
      <w:r>
        <w:rPr>
          <w:rFonts w:hint="eastAsia" w:ascii="仿宋" w:hAnsi="仿宋" w:eastAsia="仿宋" w:cs="仿宋"/>
          <w:b/>
          <w:bCs/>
          <w:color w:val="auto"/>
          <w:kern w:val="0"/>
          <w:sz w:val="28"/>
          <w:szCs w:val="28"/>
          <w:highlight w:val="none"/>
        </w:rPr>
        <w:t>、投标人须知前附表</w:t>
      </w:r>
      <w:bookmarkEnd w:id="38"/>
      <w:bookmarkEnd w:id="39"/>
      <w:bookmarkEnd w:id="40"/>
      <w:bookmarkEnd w:id="41"/>
      <w:bookmarkEnd w:id="42"/>
    </w:p>
    <w:tbl>
      <w:tblPr>
        <w:tblStyle w:val="41"/>
        <w:tblpPr w:leftFromText="180" w:rightFromText="180" w:vertAnchor="text" w:tblpY="1"/>
        <w:tblOverlap w:val="never"/>
        <w:tblW w:w="96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57" w:type="dxa"/>
          <w:bottom w:w="15" w:type="dxa"/>
          <w:right w:w="57" w:type="dxa"/>
        </w:tblCellMar>
      </w:tblPr>
      <w:tblGrid>
        <w:gridCol w:w="691"/>
        <w:gridCol w:w="1575"/>
        <w:gridCol w:w="73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378" w:hRule="atLeast"/>
        </w:trPr>
        <w:tc>
          <w:tcPr>
            <w:tcW w:w="691"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序号 </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7354"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须     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870" w:hRule="atLeast"/>
        </w:trPr>
        <w:tc>
          <w:tcPr>
            <w:tcW w:w="691"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采购项目概况</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采购人：</w:t>
            </w:r>
            <w:r>
              <w:rPr>
                <w:rFonts w:hint="eastAsia" w:ascii="仿宋" w:hAnsi="仿宋" w:eastAsia="仿宋" w:cs="仿宋"/>
                <w:bCs/>
                <w:color w:val="auto"/>
                <w:sz w:val="24"/>
                <w:szCs w:val="24"/>
                <w:highlight w:val="none"/>
                <w:lang w:eastAsia="zh-CN"/>
              </w:rPr>
              <w:t>开化县华埠镇人民政府</w:t>
            </w:r>
          </w:p>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采购内容：</w:t>
            </w:r>
            <w:r>
              <w:rPr>
                <w:rFonts w:hint="eastAsia" w:ascii="仿宋" w:hAnsi="仿宋" w:eastAsia="仿宋" w:cs="仿宋"/>
                <w:bCs/>
                <w:color w:val="auto"/>
                <w:sz w:val="24"/>
                <w:szCs w:val="24"/>
                <w:highlight w:val="none"/>
                <w:lang w:eastAsia="zh-CN"/>
              </w:rPr>
              <w:t>开化县华埠镇城区环卫作业一体化服务采购项目（</w:t>
            </w:r>
            <w:r>
              <w:rPr>
                <w:rFonts w:hint="eastAsia" w:ascii="仿宋" w:hAnsi="仿宋" w:eastAsia="仿宋" w:cs="仿宋"/>
                <w:bCs/>
                <w:color w:val="auto"/>
                <w:sz w:val="24"/>
                <w:szCs w:val="24"/>
                <w:highlight w:val="none"/>
              </w:rPr>
              <w:t>详见第四章《采购需求》</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QQZXFSCG-2022-03</w:t>
            </w:r>
          </w:p>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采购预算：</w:t>
            </w:r>
            <w:r>
              <w:rPr>
                <w:rFonts w:hint="eastAsia" w:ascii="仿宋" w:hAnsi="仿宋" w:eastAsia="仿宋" w:cs="仿宋"/>
                <w:bCs/>
                <w:color w:val="auto"/>
                <w:sz w:val="24"/>
                <w:szCs w:val="24"/>
                <w:highlight w:val="none"/>
                <w:u w:val="single"/>
                <w:lang w:val="en-US" w:eastAsia="zh-CN"/>
              </w:rPr>
              <w:t xml:space="preserve"> 554.6759 </w:t>
            </w:r>
            <w:r>
              <w:rPr>
                <w:rFonts w:hint="eastAsia" w:ascii="仿宋" w:hAnsi="仿宋" w:eastAsia="仿宋" w:cs="仿宋"/>
                <w:bCs/>
                <w:color w:val="auto"/>
                <w:sz w:val="24"/>
                <w:szCs w:val="24"/>
                <w:highlight w:val="none"/>
                <w:lang w:val="en-US" w:eastAsia="zh-CN"/>
              </w:rPr>
              <w:t>万元。</w:t>
            </w:r>
          </w:p>
          <w:p>
            <w:pPr>
              <w:keepNext w:val="0"/>
              <w:keepLines w:val="0"/>
              <w:pageBreakBefore w:val="0"/>
              <w:kinsoku/>
              <w:wordWrap/>
              <w:overflowPunct/>
              <w:topLinePunct w:val="0"/>
              <w:bidi w:val="0"/>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服务期限</w:t>
            </w:r>
            <w:r>
              <w:rPr>
                <w:rFonts w:hint="eastAsia" w:ascii="仿宋" w:hAnsi="仿宋" w:eastAsia="仿宋" w:cs="仿宋"/>
                <w:bCs/>
                <w:color w:val="auto"/>
                <w:sz w:val="24"/>
                <w:szCs w:val="24"/>
                <w:highlight w:val="none"/>
                <w:lang w:eastAsia="zh-CN"/>
              </w:rPr>
              <w:t>：自合同签订之日起两年，</w:t>
            </w:r>
            <w:r>
              <w:rPr>
                <w:rFonts w:hint="eastAsia" w:ascii="仿宋" w:hAnsi="仿宋" w:eastAsia="仿宋" w:cs="仿宋"/>
                <w:bCs/>
                <w:color w:val="auto"/>
                <w:sz w:val="24"/>
                <w:szCs w:val="24"/>
                <w:highlight w:val="none"/>
              </w:rPr>
              <w:t>合同一年一签，采购人根据中标人在上年度合同履约、考核情况等决定是否续签。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13" w:hRule="atLeast"/>
        </w:trPr>
        <w:tc>
          <w:tcPr>
            <w:tcW w:w="691"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踏勘现场</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投标人自行组织，费用自理。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575" w:type="dxa"/>
            <w:shd w:val="clear" w:color="000000" w:fill="auto"/>
            <w:vAlign w:val="center"/>
          </w:tcPr>
          <w:p>
            <w:pPr>
              <w:pStyle w:val="22"/>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信用查询</w:t>
            </w:r>
          </w:p>
        </w:tc>
        <w:tc>
          <w:tcPr>
            <w:tcW w:w="7354" w:type="dxa"/>
            <w:shd w:val="clear" w:color="000000" w:fill="auto"/>
            <w:vAlign w:val="center"/>
          </w:tcPr>
          <w:p>
            <w:pPr>
              <w:pStyle w:val="22"/>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根据《关于在政府采购活动中查询及使用信用记录有关问题的通知》财库[2016]125号的规定：</w:t>
            </w:r>
          </w:p>
          <w:p>
            <w:pPr>
              <w:pStyle w:val="22"/>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1.采购人或采购代理机构在开标当日将对本项目投标人的信用记录进行查询。查询渠道为信用中国网站（www.creditchina.gov.cn）和中国政府采购网（www.ccgp.gov.cn）。</w:t>
            </w:r>
          </w:p>
          <w:p>
            <w:pPr>
              <w:pStyle w:val="22"/>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2.信用信息查询的截止时点：提交投标文件（投标文件）截止时间前3年内；</w:t>
            </w:r>
          </w:p>
          <w:p>
            <w:pPr>
              <w:pStyle w:val="22"/>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3.使用规则：被列入失信被执行人、重大税收违法案件当事人名单、政府采购严重违法失信行为记录名单及其它不符合《中华人民共和国政府采购法》第二十二条规定条件的，</w:t>
            </w:r>
            <w:r>
              <w:rPr>
                <w:rFonts w:hint="eastAsia" w:ascii="仿宋" w:hAnsi="仿宋" w:eastAsia="仿宋" w:cs="仿宋"/>
                <w:b/>
                <w:bCs w:val="0"/>
                <w:color w:val="auto"/>
                <w:sz w:val="24"/>
                <w:szCs w:val="24"/>
                <w:highlight w:val="none"/>
              </w:rPr>
              <w:t>其投标将被拒绝。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75" w:type="dxa"/>
            <w:shd w:val="clear" w:color="000000" w:fill="auto"/>
            <w:vAlign w:val="center"/>
          </w:tcPr>
          <w:p>
            <w:pPr>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2"/>
                <w:sz w:val="24"/>
                <w:szCs w:val="24"/>
                <w:highlight w:val="none"/>
                <w:lang w:val="en-US" w:eastAsia="zh-CN" w:bidi="ar-SA"/>
              </w:rPr>
              <w:t>中小企业预留份额情况</w:t>
            </w:r>
          </w:p>
        </w:tc>
        <w:tc>
          <w:tcPr>
            <w:tcW w:w="7354" w:type="dxa"/>
            <w:shd w:val="clear" w:color="000000" w:fill="auto"/>
            <w:vAlign w:val="center"/>
          </w:tcPr>
          <w:p>
            <w:pPr>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bCs/>
                <w:color w:val="auto"/>
                <w:sz w:val="24"/>
                <w:szCs w:val="24"/>
                <w:highlight w:val="none"/>
              </w:rPr>
            </w:pPr>
            <w:r>
              <w:rPr>
                <w:rFonts w:hint="eastAsia" w:ascii="仿宋" w:hAnsi="仿宋" w:eastAsia="仿宋"/>
                <w:color w:val="auto"/>
                <w:sz w:val="24"/>
                <w:highlight w:val="none"/>
              </w:rPr>
              <w:t>根据《政府采购促进中小企业发展管理办法》财库〔2020〕46号文件</w:t>
            </w:r>
            <w:r>
              <w:rPr>
                <w:rFonts w:hint="eastAsia" w:ascii="仿宋" w:hAnsi="仿宋" w:eastAsia="仿宋"/>
                <w:color w:val="auto"/>
                <w:sz w:val="24"/>
                <w:highlight w:val="none"/>
                <w:lang w:eastAsia="zh-CN"/>
              </w:rPr>
              <w:t>规定和</w:t>
            </w:r>
            <w:r>
              <w:rPr>
                <w:rFonts w:hint="eastAsia" w:ascii="仿宋" w:hAnsi="仿宋" w:eastAsia="仿宋" w:cs="仿宋"/>
                <w:color w:val="auto"/>
                <w:sz w:val="24"/>
                <w:szCs w:val="24"/>
                <w:highlight w:val="none"/>
                <w:lang w:eastAsia="zh-CN"/>
              </w:rPr>
              <w:t>采购人提供的</w:t>
            </w:r>
            <w:r>
              <w:rPr>
                <w:rFonts w:hint="eastAsia" w:ascii="仿宋" w:hAnsi="仿宋" w:eastAsia="仿宋" w:cs="仿宋"/>
                <w:color w:val="auto"/>
                <w:sz w:val="24"/>
                <w:szCs w:val="24"/>
                <w:highlight w:val="none"/>
                <w:lang w:val="en-US" w:eastAsia="zh-CN"/>
              </w:rPr>
              <w:t>面向中小企业预留采购份额确认函</w:t>
            </w:r>
            <w:r>
              <w:rPr>
                <w:rFonts w:hint="eastAsia" w:ascii="仿宋" w:hAnsi="仿宋" w:eastAsia="仿宋"/>
                <w:color w:val="auto"/>
                <w:sz w:val="24"/>
                <w:highlight w:val="none"/>
              </w:rPr>
              <w:t>，</w:t>
            </w:r>
            <w:r>
              <w:rPr>
                <w:rFonts w:hint="eastAsia" w:ascii="仿宋" w:hAnsi="仿宋" w:eastAsia="仿宋"/>
                <w:b/>
                <w:bCs/>
                <w:color w:val="auto"/>
                <w:sz w:val="24"/>
                <w:highlight w:val="none"/>
              </w:rPr>
              <w:t>本项目</w:t>
            </w:r>
            <w:r>
              <w:rPr>
                <w:rFonts w:hint="eastAsia" w:ascii="仿宋" w:hAnsi="仿宋" w:eastAsia="仿宋"/>
                <w:b/>
                <w:bCs/>
                <w:color w:val="auto"/>
                <w:sz w:val="24"/>
                <w:highlight w:val="none"/>
                <w:lang w:eastAsia="zh-CN"/>
              </w:rPr>
              <w:t>不</w:t>
            </w:r>
            <w:r>
              <w:rPr>
                <w:rFonts w:hint="eastAsia" w:ascii="仿宋" w:hAnsi="仿宋" w:eastAsia="仿宋"/>
                <w:b/>
                <w:bCs/>
                <w:color w:val="auto"/>
                <w:sz w:val="24"/>
                <w:highlight w:val="none"/>
              </w:rPr>
              <w:t>属于预留份额专门面向中小企业采购的项目</w:t>
            </w:r>
            <w:r>
              <w:rPr>
                <w:rFonts w:hint="eastAsia" w:ascii="仿宋" w:hAnsi="仿宋" w:eastAsia="仿宋"/>
                <w:color w:val="auto"/>
                <w:sz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575" w:type="dxa"/>
            <w:shd w:val="clear" w:color="000000" w:fill="auto"/>
            <w:vAlign w:val="center"/>
          </w:tcPr>
          <w:p>
            <w:pPr>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中小企业优惠措施</w:t>
            </w:r>
          </w:p>
        </w:tc>
        <w:tc>
          <w:tcPr>
            <w:tcW w:w="7354" w:type="dxa"/>
            <w:shd w:val="clear" w:color="000000" w:fill="auto"/>
            <w:vAlign w:val="center"/>
          </w:tcPr>
          <w:p>
            <w:pPr>
              <w:pStyle w:val="67"/>
              <w:pageBreakBefore w:val="0"/>
              <w:numPr>
                <w:ilvl w:val="0"/>
                <w:numId w:val="0"/>
              </w:numPr>
              <w:kinsoku/>
              <w:wordWrap/>
              <w:overflowPunct/>
              <w:topLinePunct w:val="0"/>
              <w:autoSpaceDE/>
              <w:autoSpaceDN/>
              <w:bidi w:val="0"/>
              <w:adjustRightInd/>
              <w:snapToGrid w:val="0"/>
              <w:spacing w:line="420" w:lineRule="exact"/>
              <w:textAlignment w:val="auto"/>
              <w:rPr>
                <w:rFonts w:hint="eastAsia" w:ascii="仿宋" w:hAnsi="仿宋" w:eastAsia="仿宋" w:cs="仿宋"/>
                <w:b w:val="0"/>
                <w:bCs/>
                <w:color w:val="auto"/>
                <w:sz w:val="24"/>
                <w:szCs w:val="24"/>
                <w:highlight w:val="none"/>
                <w:u w:val="single"/>
                <w:lang w:val="en-US"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项目属性:</w:t>
            </w:r>
            <w:r>
              <w:rPr>
                <w:rFonts w:hint="eastAsia" w:ascii="仿宋" w:hAnsi="仿宋" w:eastAsia="仿宋" w:cs="仿宋"/>
                <w:color w:val="auto"/>
                <w:sz w:val="24"/>
                <w:szCs w:val="24"/>
                <w:highlight w:val="none"/>
              </w:rPr>
              <w:sym w:font="Wingdings 2" w:char="00A3"/>
            </w:r>
            <w:r>
              <w:rPr>
                <w:rFonts w:hint="eastAsia" w:ascii="仿宋" w:hAnsi="仿宋" w:eastAsia="仿宋" w:cs="仿宋"/>
                <w:b w:val="0"/>
                <w:bCs/>
                <w:color w:val="auto"/>
                <w:sz w:val="24"/>
                <w:szCs w:val="24"/>
                <w:highlight w:val="none"/>
                <w:u w:val="none"/>
              </w:rPr>
              <w:t>货物类</w:t>
            </w:r>
            <w:r>
              <w:rPr>
                <w:rFonts w:hint="eastAsia" w:ascii="仿宋" w:hAnsi="仿宋" w:eastAsia="仿宋" w:cs="仿宋"/>
                <w:color w:val="auto"/>
                <w:sz w:val="24"/>
                <w:szCs w:val="24"/>
                <w:highlight w:val="none"/>
              </w:rPr>
              <w:sym w:font="Wingdings 2" w:char="0052"/>
            </w:r>
            <w:r>
              <w:rPr>
                <w:rFonts w:hint="eastAsia" w:ascii="仿宋" w:hAnsi="仿宋" w:eastAsia="仿宋" w:cs="仿宋"/>
                <w:b w:val="0"/>
                <w:bCs/>
                <w:color w:val="auto"/>
                <w:sz w:val="24"/>
                <w:szCs w:val="24"/>
                <w:highlight w:val="none"/>
                <w:u w:val="none"/>
                <w:lang w:val="en-US" w:eastAsia="zh-CN"/>
              </w:rPr>
              <w:t>服务类</w:t>
            </w:r>
            <w:r>
              <w:rPr>
                <w:rFonts w:hint="eastAsia" w:ascii="仿宋" w:hAnsi="仿宋" w:eastAsia="仿宋" w:cs="仿宋"/>
                <w:color w:val="auto"/>
                <w:sz w:val="24"/>
                <w:szCs w:val="24"/>
                <w:highlight w:val="none"/>
              </w:rPr>
              <w:sym w:font="Wingdings 2" w:char="00A3"/>
            </w:r>
            <w:r>
              <w:rPr>
                <w:rFonts w:hint="eastAsia" w:ascii="仿宋" w:hAnsi="仿宋" w:eastAsia="仿宋" w:cs="仿宋"/>
                <w:b w:val="0"/>
                <w:bCs/>
                <w:color w:val="auto"/>
                <w:sz w:val="24"/>
                <w:szCs w:val="24"/>
                <w:highlight w:val="none"/>
                <w:u w:val="none"/>
                <w:lang w:val="en-US" w:eastAsia="zh-CN"/>
              </w:rPr>
              <w:t>工程类</w:t>
            </w:r>
          </w:p>
          <w:p>
            <w:pPr>
              <w:pStyle w:val="67"/>
              <w:pageBreakBefore w:val="0"/>
              <w:numPr>
                <w:ilvl w:val="0"/>
                <w:numId w:val="0"/>
              </w:numPr>
              <w:kinsoku/>
              <w:wordWrap/>
              <w:overflowPunct/>
              <w:topLinePunct w:val="0"/>
              <w:autoSpaceDE/>
              <w:autoSpaceDN/>
              <w:bidi w:val="0"/>
              <w:adjustRightInd/>
              <w:snapToGrid w:val="0"/>
              <w:spacing w:line="42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中小企业划分标准所属行业根据《中小企业划型标准规定》执行</w:t>
            </w:r>
            <w:r>
              <w:rPr>
                <w:rFonts w:hint="eastAsia" w:ascii="仿宋" w:hAnsi="仿宋" w:eastAsia="仿宋" w:cs="仿宋"/>
                <w:b w:val="0"/>
                <w:bCs/>
                <w:color w:val="auto"/>
                <w:sz w:val="24"/>
                <w:szCs w:val="24"/>
                <w:highlight w:val="none"/>
                <w:lang w:eastAsia="zh-CN"/>
              </w:rPr>
              <w:t>。</w:t>
            </w:r>
          </w:p>
          <w:p>
            <w:pPr>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采购标的</w:t>
            </w:r>
            <w:r>
              <w:rPr>
                <w:rFonts w:hint="eastAsia" w:ascii="仿宋" w:hAnsi="仿宋" w:eastAsia="仿宋" w:cs="仿宋"/>
                <w:b w:val="0"/>
                <w:bCs/>
                <w:color w:val="auto"/>
                <w:sz w:val="24"/>
                <w:szCs w:val="24"/>
                <w:highlight w:val="none"/>
                <w:lang w:val="en-US" w:eastAsia="zh-CN"/>
              </w:rPr>
              <w:t>名称</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lang w:val="en-US" w:eastAsia="zh-CN"/>
              </w:rPr>
              <w:t xml:space="preserve"> 开化县华埠镇城区环卫作业一体化服务采购项目 </w:t>
            </w:r>
            <w:r>
              <w:rPr>
                <w:rFonts w:hint="eastAsia" w:ascii="仿宋" w:hAnsi="仿宋" w:eastAsia="仿宋" w:cs="仿宋"/>
                <w:b w:val="0"/>
                <w:bCs/>
                <w:color w:val="auto"/>
                <w:sz w:val="24"/>
                <w:szCs w:val="24"/>
                <w:highlight w:val="none"/>
              </w:rPr>
              <w:t>，所属行业：</w:t>
            </w:r>
            <w:r>
              <w:rPr>
                <w:rFonts w:hint="eastAsia" w:ascii="仿宋" w:hAnsi="仿宋" w:eastAsia="仿宋" w:cs="仿宋"/>
                <w:b w:val="0"/>
                <w:bCs/>
                <w:color w:val="auto"/>
                <w:sz w:val="24"/>
                <w:szCs w:val="24"/>
                <w:highlight w:val="none"/>
                <w:u w:val="single"/>
                <w:lang w:eastAsia="zh-CN"/>
              </w:rPr>
              <w:t>其他未列明行业</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val="en-US" w:eastAsia="zh-CN"/>
              </w:rPr>
              <w:t>。</w:t>
            </w:r>
          </w:p>
          <w:p>
            <w:pPr>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b w:val="0"/>
                <w:bCs/>
                <w:strike/>
                <w:color w:val="auto"/>
                <w:sz w:val="24"/>
                <w:szCs w:val="24"/>
                <w:highlight w:val="none"/>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根据财库〔2020〕46号的</w:t>
            </w:r>
            <w:r>
              <w:rPr>
                <w:rFonts w:hint="eastAsia" w:ascii="仿宋" w:hAnsi="仿宋" w:eastAsia="仿宋" w:cs="仿宋"/>
                <w:b w:val="0"/>
                <w:bCs/>
                <w:color w:val="auto"/>
                <w:sz w:val="24"/>
                <w:szCs w:val="24"/>
                <w:highlight w:val="none"/>
                <w:lang w:val="en-US" w:eastAsia="zh-CN"/>
              </w:rPr>
              <w:t>第十一条</w:t>
            </w:r>
            <w:r>
              <w:rPr>
                <w:rFonts w:hint="eastAsia" w:ascii="仿宋" w:hAnsi="仿宋" w:eastAsia="仿宋" w:cs="仿宋"/>
                <w:b w:val="0"/>
                <w:bCs/>
                <w:color w:val="auto"/>
                <w:sz w:val="24"/>
                <w:szCs w:val="24"/>
                <w:highlight w:val="none"/>
              </w:rPr>
              <w:t>规定，中小企业参加政府采购活动，应当出具本办法规定的《中小企业声明函》，否则不得享受相关中小企业扶持政策。</w:t>
            </w:r>
          </w:p>
          <w:p>
            <w:pPr>
              <w:snapToGrid w:val="0"/>
              <w:spacing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olor w:val="auto"/>
                <w:sz w:val="24"/>
                <w:highlight w:val="none"/>
              </w:rPr>
              <w:t>根据《政府采购促进中小企业发展管理办法》财库〔2020〕46号文件</w:t>
            </w:r>
            <w:r>
              <w:rPr>
                <w:rFonts w:hint="eastAsia" w:ascii="仿宋" w:hAnsi="仿宋" w:eastAsia="仿宋"/>
                <w:color w:val="auto"/>
                <w:sz w:val="24"/>
                <w:highlight w:val="none"/>
                <w:lang w:eastAsia="zh-CN"/>
              </w:rPr>
              <w:t>规定和</w:t>
            </w:r>
            <w:r>
              <w:rPr>
                <w:rFonts w:hint="eastAsia" w:ascii="仿宋" w:hAnsi="仿宋" w:eastAsia="仿宋" w:cs="仿宋"/>
                <w:color w:val="auto"/>
                <w:sz w:val="24"/>
                <w:szCs w:val="24"/>
                <w:highlight w:val="none"/>
                <w:lang w:eastAsia="zh-CN"/>
              </w:rPr>
              <w:t>采购人提供的</w:t>
            </w:r>
            <w:r>
              <w:rPr>
                <w:rFonts w:hint="eastAsia" w:ascii="仿宋" w:hAnsi="仿宋" w:eastAsia="仿宋" w:cs="仿宋"/>
                <w:color w:val="auto"/>
                <w:sz w:val="24"/>
                <w:szCs w:val="24"/>
                <w:highlight w:val="none"/>
                <w:lang w:val="en-US" w:eastAsia="zh-CN"/>
              </w:rPr>
              <w:t>面向中小企业预留采购份额确认函</w:t>
            </w:r>
            <w:r>
              <w:rPr>
                <w:rFonts w:hint="eastAsia" w:ascii="仿宋" w:hAnsi="仿宋" w:eastAsia="仿宋" w:cs="仿宋"/>
                <w:bCs/>
                <w:color w:val="auto"/>
                <w:sz w:val="24"/>
                <w:highlight w:val="none"/>
              </w:rPr>
              <w:t>，在评审时对符合本办法规定的</w:t>
            </w:r>
            <w:r>
              <w:rPr>
                <w:rFonts w:hint="eastAsia" w:ascii="仿宋" w:hAnsi="仿宋" w:eastAsia="仿宋" w:cs="仿宋"/>
                <w:b/>
                <w:bCs w:val="0"/>
                <w:color w:val="auto"/>
                <w:sz w:val="24"/>
                <w:highlight w:val="none"/>
              </w:rPr>
              <w:t>小微企业报价给予</w:t>
            </w:r>
            <w:r>
              <w:rPr>
                <w:rFonts w:hint="eastAsia" w:ascii="仿宋" w:hAnsi="仿宋" w:eastAsia="仿宋" w:cs="仿宋"/>
                <w:b/>
                <w:bCs w:val="0"/>
                <w:color w:val="auto"/>
                <w:sz w:val="24"/>
                <w:highlight w:val="none"/>
                <w:u w:val="single"/>
              </w:rPr>
              <w:t>6%</w:t>
            </w:r>
            <w:r>
              <w:rPr>
                <w:rFonts w:hint="eastAsia" w:ascii="仿宋" w:hAnsi="仿宋" w:eastAsia="仿宋" w:cs="仿宋"/>
                <w:b/>
                <w:bCs w:val="0"/>
                <w:color w:val="auto"/>
                <w:sz w:val="24"/>
                <w:highlight w:val="none"/>
              </w:rPr>
              <w:t>的扣除</w:t>
            </w:r>
            <w:r>
              <w:rPr>
                <w:rFonts w:hint="eastAsia" w:ascii="仿宋" w:hAnsi="仿宋" w:eastAsia="仿宋" w:cs="仿宋"/>
                <w:bCs/>
                <w:color w:val="auto"/>
                <w:sz w:val="24"/>
                <w:highlight w:val="none"/>
              </w:rPr>
              <w:t>，取扣除后的价格作为最终投标报价（此最终投标报价仅作为价格分计算）。</w:t>
            </w:r>
          </w:p>
          <w:p>
            <w:pPr>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残疾人福利性单位声明函</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w:t>
            </w:r>
          </w:p>
          <w:p>
            <w:pPr>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575" w:type="dxa"/>
            <w:shd w:val="clear" w:color="000000" w:fill="auto"/>
            <w:vAlign w:val="center"/>
          </w:tcPr>
          <w:p>
            <w:pPr>
              <w:pStyle w:val="22"/>
              <w:snapToGrid w:val="0"/>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政府采购节能环保产品</w:t>
            </w:r>
          </w:p>
        </w:tc>
        <w:tc>
          <w:tcPr>
            <w:tcW w:w="7354" w:type="dxa"/>
            <w:shd w:val="clear" w:color="000000" w:fill="auto"/>
            <w:vAlign w:val="center"/>
          </w:tcPr>
          <w:p>
            <w:pPr>
              <w:snapToGrid w:val="0"/>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投标产品若属于节能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环保</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产品的，请提供财政部、生态环境部发布有效期内《环境标志产品政府采购品目清单》以及财政部、发展改革委联合发布有效期内《节能产品政府采购品目清单》。</w:t>
            </w:r>
          </w:p>
          <w:p>
            <w:pPr>
              <w:pStyle w:val="22"/>
              <w:snapToGrid w:val="0"/>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采购需求</w:t>
            </w:r>
            <w:r>
              <w:rPr>
                <w:rFonts w:hint="eastAsia" w:ascii="仿宋" w:hAnsi="仿宋" w:eastAsia="仿宋" w:cs="仿宋"/>
                <w:color w:val="auto"/>
                <w:sz w:val="24"/>
                <w:szCs w:val="24"/>
                <w:highlight w:val="none"/>
              </w:rPr>
              <w:t>》中要求提供的产品属于《节能产品政府采购品目清单》中政府强制采购产品的，投标人须提供该清单内产品，</w:t>
            </w:r>
            <w:r>
              <w:rPr>
                <w:rFonts w:hint="eastAsia" w:ascii="仿宋" w:hAnsi="仿宋" w:eastAsia="仿宋" w:cs="仿宋"/>
                <w:b/>
                <w:color w:val="auto"/>
                <w:sz w:val="24"/>
                <w:szCs w:val="24"/>
                <w:highlight w:val="none"/>
              </w:rPr>
              <w:t>否则其投标将作为无效标处理。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75" w:type="dxa"/>
            <w:shd w:val="clear" w:color="000000" w:fill="auto"/>
            <w:vAlign w:val="center"/>
          </w:tcPr>
          <w:p>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是否允许进口产品</w:t>
            </w:r>
          </w:p>
        </w:tc>
        <w:tc>
          <w:tcPr>
            <w:tcW w:w="7354" w:type="dxa"/>
            <w:shd w:val="clear" w:color="000000" w:fill="auto"/>
            <w:vAlign w:val="center"/>
          </w:tcPr>
          <w:p>
            <w:pPr>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u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75" w:type="dxa"/>
            <w:shd w:val="clear" w:color="000000" w:fill="auto"/>
            <w:vAlign w:val="center"/>
          </w:tcPr>
          <w:p>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是否允许转包与分包</w:t>
            </w:r>
          </w:p>
        </w:tc>
        <w:tc>
          <w:tcPr>
            <w:tcW w:w="7354" w:type="dxa"/>
            <w:shd w:val="clear" w:color="000000" w:fill="auto"/>
            <w:vAlign w:val="center"/>
          </w:tcPr>
          <w:p>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u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75" w:type="dxa"/>
            <w:shd w:val="clear" w:color="000000" w:fill="auto"/>
            <w:vAlign w:val="center"/>
          </w:tcPr>
          <w:p>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是否接受联合体投标</w:t>
            </w:r>
          </w:p>
        </w:tc>
        <w:tc>
          <w:tcPr>
            <w:tcW w:w="7354" w:type="dxa"/>
            <w:shd w:val="clear" w:color="000000" w:fill="auto"/>
            <w:vAlign w:val="center"/>
          </w:tcPr>
          <w:p>
            <w:pPr>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u w:val="none"/>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pStyle w:val="22"/>
              <w:snapToGrid w:val="0"/>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en-US"/>
              </w:rPr>
              <w:t>10</w:t>
            </w:r>
          </w:p>
        </w:tc>
        <w:tc>
          <w:tcPr>
            <w:tcW w:w="1575" w:type="dxa"/>
            <w:shd w:val="clear" w:color="000000" w:fill="auto"/>
            <w:vAlign w:val="center"/>
          </w:tcPr>
          <w:p>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答疑与澄清</w:t>
            </w:r>
          </w:p>
        </w:tc>
        <w:tc>
          <w:tcPr>
            <w:tcW w:w="7354" w:type="dxa"/>
            <w:shd w:val="clear" w:color="000000" w:fill="auto"/>
            <w:vAlign w:val="center"/>
          </w:tcPr>
          <w:p>
            <w:pPr>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投标人如对招标文件有异议，应当于公告发布之日起至公告期限满第7个工作日内，以书面形式向采购人提出，逾期不予受理。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49"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eastAsia="zh-CN"/>
              </w:rPr>
              <w:t>11</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投标有效期</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投标文件提交截止日起90日内。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50"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12</w:t>
            </w:r>
            <w:r>
              <w:rPr>
                <w:rFonts w:hint="eastAsia" w:ascii="仿宋" w:hAnsi="仿宋" w:eastAsia="仿宋" w:cs="仿宋"/>
                <w:color w:val="auto"/>
                <w:sz w:val="24"/>
                <w:szCs w:val="24"/>
                <w:highlight w:val="none"/>
              </w:rPr>
              <w:t xml:space="preserve"> </w:t>
            </w:r>
          </w:p>
        </w:tc>
        <w:tc>
          <w:tcPr>
            <w:tcW w:w="1575" w:type="dxa"/>
            <w:shd w:val="clear" w:color="000000" w:fill="auto"/>
            <w:vAlign w:val="center"/>
          </w:tcPr>
          <w:p>
            <w:pPr>
              <w:pStyle w:val="22"/>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en-US"/>
              </w:rPr>
              <w:t>投标文件的递交</w:t>
            </w:r>
          </w:p>
        </w:tc>
        <w:tc>
          <w:tcPr>
            <w:tcW w:w="7354" w:type="dxa"/>
            <w:shd w:val="clear" w:color="000000" w:fill="auto"/>
            <w:vAlign w:val="center"/>
          </w:tcPr>
          <w:p>
            <w:pPr>
              <w:pStyle w:val="22"/>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en-US"/>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未提供电子投标文件，投标无效。投标截止时间后传输递交的投标文件，将被政采云平台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772"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联系方式</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联系电话：13735082787  电子邮箱：2862847310@qq.com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772"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投标材料</w:t>
            </w:r>
            <w:r>
              <w:rPr>
                <w:rStyle w:val="96"/>
                <w:rFonts w:hint="eastAsia" w:ascii="仿宋" w:hAnsi="仿宋" w:eastAsia="仿宋" w:cs="仿宋"/>
                <w:bCs/>
                <w:color w:val="auto"/>
                <w:sz w:val="24"/>
                <w:szCs w:val="24"/>
                <w:highlight w:val="none"/>
              </w:rPr>
              <w:t>组成</w:t>
            </w:r>
          </w:p>
        </w:tc>
        <w:tc>
          <w:tcPr>
            <w:tcW w:w="7354" w:type="dxa"/>
            <w:shd w:val="clear" w:color="000000" w:fill="auto"/>
            <w:vAlign w:val="center"/>
          </w:tcPr>
          <w:p>
            <w:pPr>
              <w:pStyle w:val="22"/>
              <w:snapToGrid w:val="0"/>
              <w:spacing w:line="440" w:lineRule="exact"/>
              <w:jc w:val="left"/>
              <w:rPr>
                <w:rFonts w:hint="eastAsia" w:ascii="仿宋" w:hAnsi="仿宋" w:eastAsia="仿宋" w:cs="仿宋"/>
                <w:color w:val="auto"/>
                <w:kern w:val="0"/>
                <w:sz w:val="24"/>
                <w:szCs w:val="24"/>
                <w:highlight w:val="none"/>
                <w:lang w:val="en-US" w:eastAsia="zh-CN" w:bidi="en-US"/>
              </w:rPr>
            </w:pPr>
            <w:r>
              <w:rPr>
                <w:rFonts w:hint="eastAsia" w:ascii="仿宋" w:hAnsi="仿宋" w:eastAsia="仿宋" w:cs="仿宋"/>
                <w:color w:val="auto"/>
                <w:kern w:val="0"/>
                <w:sz w:val="24"/>
                <w:szCs w:val="24"/>
                <w:highlight w:val="none"/>
                <w:lang w:val="en-US" w:eastAsia="zh-CN" w:bidi="en-US"/>
              </w:rPr>
              <w:t>1.供应商应准备投标文件，按政采云平台项目采购-电子招投标操作指南</w:t>
            </w:r>
            <w:r>
              <w:rPr>
                <w:rFonts w:hint="eastAsia" w:ascii="仿宋" w:hAnsi="仿宋" w:eastAsia="仿宋" w:cs="仿宋"/>
                <w:color w:val="auto"/>
                <w:kern w:val="0"/>
                <w:sz w:val="24"/>
                <w:szCs w:val="24"/>
                <w:highlight w:val="none"/>
                <w:lang w:val="en-US" w:eastAsia="zh-CN" w:bidi="en-US"/>
              </w:rPr>
              <w:fldChar w:fldCharType="begin"/>
            </w:r>
            <w:r>
              <w:rPr>
                <w:rFonts w:hint="eastAsia" w:ascii="仿宋" w:hAnsi="仿宋" w:eastAsia="仿宋" w:cs="仿宋"/>
                <w:color w:val="auto"/>
                <w:kern w:val="0"/>
                <w:sz w:val="24"/>
                <w:szCs w:val="24"/>
                <w:highlight w:val="none"/>
                <w:lang w:val="en-US" w:eastAsia="zh-CN" w:bidi="en-US"/>
              </w:rPr>
              <w:instrText xml:space="preserve"> HYPERLINK "https://help.zcy.gov.cn/web/site_2/2018/12-28/2573.html）及本招标文件要求递交。" </w:instrText>
            </w:r>
            <w:r>
              <w:rPr>
                <w:rFonts w:hint="eastAsia" w:ascii="仿宋" w:hAnsi="仿宋" w:eastAsia="仿宋" w:cs="仿宋"/>
                <w:color w:val="auto"/>
                <w:kern w:val="0"/>
                <w:sz w:val="24"/>
                <w:szCs w:val="24"/>
                <w:highlight w:val="none"/>
                <w:lang w:val="en-US" w:eastAsia="zh-CN" w:bidi="en-US"/>
              </w:rPr>
              <w:fldChar w:fldCharType="separate"/>
            </w:r>
            <w:r>
              <w:rPr>
                <w:rFonts w:hint="eastAsia" w:ascii="仿宋" w:hAnsi="仿宋" w:eastAsia="仿宋" w:cs="仿宋"/>
                <w:color w:val="auto"/>
                <w:kern w:val="0"/>
                <w:sz w:val="24"/>
                <w:szCs w:val="24"/>
                <w:highlight w:val="none"/>
                <w:lang w:val="en-US" w:eastAsia="zh-CN" w:bidi="en-US"/>
              </w:rPr>
              <w:t>及本招标文件要求递交。</w:t>
            </w:r>
            <w:r>
              <w:rPr>
                <w:rFonts w:hint="eastAsia" w:ascii="仿宋" w:hAnsi="仿宋" w:eastAsia="仿宋" w:cs="仿宋"/>
                <w:color w:val="auto"/>
                <w:kern w:val="0"/>
                <w:sz w:val="24"/>
                <w:szCs w:val="24"/>
                <w:highlight w:val="none"/>
                <w:lang w:val="en-US" w:eastAsia="zh-CN" w:bidi="en-US"/>
              </w:rPr>
              <w:fldChar w:fldCharType="end"/>
            </w:r>
          </w:p>
          <w:p>
            <w:pPr>
              <w:pStyle w:val="22"/>
              <w:snapToGrid w:val="0"/>
              <w:spacing w:line="440" w:lineRule="exact"/>
              <w:jc w:val="left"/>
              <w:rPr>
                <w:rFonts w:hint="eastAsia" w:ascii="仿宋" w:hAnsi="仿宋" w:eastAsia="仿宋" w:cs="仿宋"/>
                <w:color w:val="auto"/>
                <w:kern w:val="0"/>
                <w:sz w:val="24"/>
                <w:szCs w:val="24"/>
                <w:highlight w:val="none"/>
                <w:lang w:val="en-US" w:eastAsia="zh-CN" w:bidi="en-US"/>
              </w:rPr>
            </w:pPr>
            <w:r>
              <w:rPr>
                <w:rFonts w:hint="eastAsia" w:ascii="仿宋" w:hAnsi="仿宋" w:eastAsia="仿宋" w:cs="仿宋"/>
                <w:color w:val="auto"/>
                <w:kern w:val="0"/>
                <w:sz w:val="24"/>
                <w:szCs w:val="24"/>
                <w:highlight w:val="none"/>
                <w:lang w:val="en-US" w:eastAsia="zh-CN" w:bidi="en-US"/>
              </w:rPr>
              <w:t>2.投标文件均由资格证明文件、技术商务文件、报价文件三部份组成。</w:t>
            </w:r>
          </w:p>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3.成交供应商在领取成交通知书后需另行提供纸质版响应文件2份。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646"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投标截止时间</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 w:val="0"/>
                <w:bCs w:val="0"/>
                <w:i w:val="0"/>
                <w:iCs w:val="0"/>
                <w:color w:val="auto"/>
                <w:kern w:val="2"/>
                <w:sz w:val="24"/>
                <w:szCs w:val="24"/>
                <w:highlight w:val="none"/>
                <w:u w:val="single"/>
              </w:rPr>
              <w:t>202</w:t>
            </w:r>
            <w:r>
              <w:rPr>
                <w:rFonts w:hint="eastAsia" w:ascii="仿宋" w:hAnsi="仿宋" w:eastAsia="仿宋" w:cs="仿宋"/>
                <w:b w:val="0"/>
                <w:bCs w:val="0"/>
                <w:i w:val="0"/>
                <w:iCs w:val="0"/>
                <w:color w:val="auto"/>
                <w:kern w:val="2"/>
                <w:sz w:val="24"/>
                <w:szCs w:val="24"/>
                <w:highlight w:val="none"/>
                <w:u w:val="single"/>
                <w:lang w:val="en-US" w:eastAsia="zh-CN"/>
              </w:rPr>
              <w:t>2</w:t>
            </w:r>
            <w:r>
              <w:rPr>
                <w:rFonts w:hint="eastAsia" w:ascii="仿宋" w:hAnsi="仿宋" w:eastAsia="仿宋" w:cs="仿宋"/>
                <w:b w:val="0"/>
                <w:bCs w:val="0"/>
                <w:i w:val="0"/>
                <w:iCs w:val="0"/>
                <w:color w:val="auto"/>
                <w:kern w:val="2"/>
                <w:sz w:val="24"/>
                <w:szCs w:val="24"/>
                <w:highlight w:val="none"/>
                <w:u w:val="none"/>
              </w:rPr>
              <w:t>年</w:t>
            </w:r>
            <w:r>
              <w:rPr>
                <w:rFonts w:hint="eastAsia" w:ascii="仿宋" w:hAnsi="仿宋" w:eastAsia="仿宋" w:cs="仿宋"/>
                <w:b w:val="0"/>
                <w:bCs w:val="0"/>
                <w:i w:val="0"/>
                <w:iCs w:val="0"/>
                <w:color w:val="auto"/>
                <w:kern w:val="2"/>
                <w:sz w:val="24"/>
                <w:szCs w:val="24"/>
                <w:highlight w:val="none"/>
                <w:u w:val="single"/>
                <w:lang w:val="en-US" w:eastAsia="zh-CN"/>
              </w:rPr>
              <w:t xml:space="preserve"> 3 </w:t>
            </w:r>
            <w:r>
              <w:rPr>
                <w:rFonts w:hint="eastAsia" w:ascii="仿宋" w:hAnsi="仿宋" w:eastAsia="仿宋" w:cs="仿宋"/>
                <w:b w:val="0"/>
                <w:bCs w:val="0"/>
                <w:i w:val="0"/>
                <w:iCs w:val="0"/>
                <w:color w:val="auto"/>
                <w:kern w:val="2"/>
                <w:sz w:val="24"/>
                <w:szCs w:val="24"/>
                <w:highlight w:val="none"/>
                <w:u w:val="none"/>
              </w:rPr>
              <w:t>月</w:t>
            </w:r>
            <w:r>
              <w:rPr>
                <w:rFonts w:hint="eastAsia" w:ascii="仿宋" w:hAnsi="仿宋" w:eastAsia="仿宋" w:cs="仿宋"/>
                <w:b w:val="0"/>
                <w:bCs w:val="0"/>
                <w:i w:val="0"/>
                <w:iCs w:val="0"/>
                <w:color w:val="auto"/>
                <w:kern w:val="2"/>
                <w:sz w:val="24"/>
                <w:szCs w:val="24"/>
                <w:highlight w:val="none"/>
                <w:u w:val="single"/>
                <w:lang w:val="en-US" w:eastAsia="zh-CN"/>
              </w:rPr>
              <w:t xml:space="preserve"> 15 </w:t>
            </w:r>
            <w:r>
              <w:rPr>
                <w:rFonts w:hint="eastAsia" w:ascii="仿宋" w:hAnsi="仿宋" w:eastAsia="仿宋" w:cs="仿宋"/>
                <w:b w:val="0"/>
                <w:bCs w:val="0"/>
                <w:i w:val="0"/>
                <w:iCs w:val="0"/>
                <w:color w:val="auto"/>
                <w:kern w:val="2"/>
                <w:sz w:val="24"/>
                <w:szCs w:val="24"/>
                <w:highlight w:val="none"/>
                <w:u w:val="none"/>
              </w:rPr>
              <w:t>日</w:t>
            </w:r>
            <w:r>
              <w:rPr>
                <w:rFonts w:hint="eastAsia" w:ascii="仿宋" w:hAnsi="仿宋" w:eastAsia="仿宋" w:cs="仿宋"/>
                <w:b w:val="0"/>
                <w:bCs w:val="0"/>
                <w:i w:val="0"/>
                <w:iCs w:val="0"/>
                <w:color w:val="auto"/>
                <w:sz w:val="24"/>
                <w:szCs w:val="24"/>
                <w:highlight w:val="none"/>
                <w:lang w:val="en-US" w:eastAsia="zh-CN"/>
              </w:rPr>
              <w:t>09</w:t>
            </w: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3</w:t>
            </w:r>
            <w:r>
              <w:rPr>
                <w:rFonts w:hint="eastAsia" w:ascii="仿宋" w:hAnsi="仿宋" w:eastAsia="仿宋" w:cs="仿宋"/>
                <w:b w:val="0"/>
                <w:bCs w:val="0"/>
                <w:i w:val="0"/>
                <w:iCs w:val="0"/>
                <w:color w:val="auto"/>
                <w:sz w:val="24"/>
                <w:szCs w:val="24"/>
                <w:highlight w:val="none"/>
              </w:rPr>
              <w:t>0时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26"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16</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开标时间</w:t>
            </w:r>
          </w:p>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及</w:t>
            </w:r>
            <w:r>
              <w:rPr>
                <w:rStyle w:val="84"/>
                <w:rFonts w:hint="eastAsia" w:ascii="仿宋" w:hAnsi="仿宋" w:eastAsia="仿宋" w:cs="仿宋"/>
                <w:bCs/>
                <w:color w:val="auto"/>
                <w:sz w:val="24"/>
                <w:szCs w:val="24"/>
                <w:highlight w:val="none"/>
              </w:rPr>
              <w:t>地点</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开标时间：</w:t>
            </w:r>
            <w:r>
              <w:rPr>
                <w:rFonts w:hint="eastAsia" w:ascii="仿宋" w:hAnsi="仿宋" w:eastAsia="仿宋" w:cs="仿宋"/>
                <w:b w:val="0"/>
                <w:bCs w:val="0"/>
                <w:i w:val="0"/>
                <w:iCs w:val="0"/>
                <w:color w:val="auto"/>
                <w:kern w:val="2"/>
                <w:sz w:val="24"/>
                <w:szCs w:val="24"/>
                <w:highlight w:val="none"/>
                <w:u w:val="single"/>
              </w:rPr>
              <w:t>202</w:t>
            </w:r>
            <w:r>
              <w:rPr>
                <w:rFonts w:hint="eastAsia" w:ascii="仿宋" w:hAnsi="仿宋" w:eastAsia="仿宋" w:cs="仿宋"/>
                <w:b w:val="0"/>
                <w:bCs w:val="0"/>
                <w:i w:val="0"/>
                <w:iCs w:val="0"/>
                <w:color w:val="auto"/>
                <w:kern w:val="2"/>
                <w:sz w:val="24"/>
                <w:szCs w:val="24"/>
                <w:highlight w:val="none"/>
                <w:u w:val="single"/>
                <w:lang w:val="en-US" w:eastAsia="zh-CN"/>
              </w:rPr>
              <w:t>2</w:t>
            </w:r>
            <w:r>
              <w:rPr>
                <w:rFonts w:hint="eastAsia" w:ascii="仿宋" w:hAnsi="仿宋" w:eastAsia="仿宋" w:cs="仿宋"/>
                <w:b w:val="0"/>
                <w:bCs w:val="0"/>
                <w:i w:val="0"/>
                <w:iCs w:val="0"/>
                <w:color w:val="auto"/>
                <w:kern w:val="2"/>
                <w:sz w:val="24"/>
                <w:szCs w:val="24"/>
                <w:highlight w:val="none"/>
                <w:u w:val="none"/>
              </w:rPr>
              <w:t>年</w:t>
            </w:r>
            <w:r>
              <w:rPr>
                <w:rFonts w:hint="eastAsia" w:ascii="仿宋" w:hAnsi="仿宋" w:eastAsia="仿宋" w:cs="仿宋"/>
                <w:b w:val="0"/>
                <w:bCs w:val="0"/>
                <w:i w:val="0"/>
                <w:iCs w:val="0"/>
                <w:color w:val="auto"/>
                <w:kern w:val="2"/>
                <w:sz w:val="24"/>
                <w:szCs w:val="24"/>
                <w:highlight w:val="none"/>
                <w:u w:val="single"/>
                <w:lang w:val="en-US" w:eastAsia="zh-CN"/>
              </w:rPr>
              <w:t xml:space="preserve"> 3 </w:t>
            </w:r>
            <w:r>
              <w:rPr>
                <w:rFonts w:hint="eastAsia" w:ascii="仿宋" w:hAnsi="仿宋" w:eastAsia="仿宋" w:cs="仿宋"/>
                <w:b w:val="0"/>
                <w:bCs w:val="0"/>
                <w:i w:val="0"/>
                <w:iCs w:val="0"/>
                <w:color w:val="auto"/>
                <w:kern w:val="2"/>
                <w:sz w:val="24"/>
                <w:szCs w:val="24"/>
                <w:highlight w:val="none"/>
                <w:u w:val="none"/>
              </w:rPr>
              <w:t>月</w:t>
            </w:r>
            <w:r>
              <w:rPr>
                <w:rFonts w:hint="eastAsia" w:ascii="仿宋" w:hAnsi="仿宋" w:eastAsia="仿宋" w:cs="仿宋"/>
                <w:b w:val="0"/>
                <w:bCs w:val="0"/>
                <w:i w:val="0"/>
                <w:iCs w:val="0"/>
                <w:color w:val="auto"/>
                <w:kern w:val="2"/>
                <w:sz w:val="24"/>
                <w:szCs w:val="24"/>
                <w:highlight w:val="none"/>
                <w:u w:val="single"/>
                <w:lang w:val="en-US" w:eastAsia="zh-CN"/>
              </w:rPr>
              <w:t xml:space="preserve"> 15 </w:t>
            </w:r>
            <w:r>
              <w:rPr>
                <w:rFonts w:hint="eastAsia" w:ascii="仿宋" w:hAnsi="仿宋" w:eastAsia="仿宋" w:cs="仿宋"/>
                <w:b w:val="0"/>
                <w:bCs w:val="0"/>
                <w:i w:val="0"/>
                <w:iCs w:val="0"/>
                <w:color w:val="auto"/>
                <w:kern w:val="2"/>
                <w:sz w:val="24"/>
                <w:szCs w:val="24"/>
                <w:highlight w:val="none"/>
                <w:u w:val="none"/>
              </w:rPr>
              <w:t>日</w:t>
            </w:r>
            <w:r>
              <w:rPr>
                <w:rFonts w:hint="eastAsia" w:ascii="仿宋" w:hAnsi="仿宋" w:eastAsia="仿宋" w:cs="仿宋"/>
                <w:b w:val="0"/>
                <w:bCs w:val="0"/>
                <w:i w:val="0"/>
                <w:iCs w:val="0"/>
                <w:color w:val="auto"/>
                <w:sz w:val="24"/>
                <w:szCs w:val="24"/>
                <w:highlight w:val="none"/>
                <w:lang w:val="en-US" w:eastAsia="zh-CN"/>
              </w:rPr>
              <w:t>09</w:t>
            </w: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3</w:t>
            </w:r>
            <w:r>
              <w:rPr>
                <w:rFonts w:hint="eastAsia" w:ascii="仿宋" w:hAnsi="仿宋" w:eastAsia="仿宋" w:cs="仿宋"/>
                <w:b w:val="0"/>
                <w:bCs w:val="0"/>
                <w:i w:val="0"/>
                <w:iCs w:val="0"/>
                <w:color w:val="auto"/>
                <w:sz w:val="24"/>
                <w:szCs w:val="24"/>
                <w:highlight w:val="none"/>
              </w:rPr>
              <w:t>0时</w:t>
            </w:r>
          </w:p>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Style w:val="108"/>
                <w:rFonts w:hint="eastAsia" w:ascii="仿宋" w:hAnsi="仿宋" w:eastAsia="仿宋" w:cs="仿宋"/>
                <w:bCs/>
                <w:color w:val="auto"/>
                <w:sz w:val="24"/>
                <w:szCs w:val="24"/>
                <w:highlight w:val="none"/>
              </w:rPr>
              <w:t>开标地点：开化县公共资源交易中心开标区（开化县凤凰南路2号）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852"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17</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投标人出席招标会议</w:t>
            </w:r>
          </w:p>
        </w:tc>
        <w:tc>
          <w:tcPr>
            <w:tcW w:w="7354" w:type="dxa"/>
            <w:shd w:val="clear" w:color="000000" w:fill="auto"/>
            <w:vAlign w:val="center"/>
          </w:tcPr>
          <w:p>
            <w:pPr>
              <w:spacing w:line="360" w:lineRule="auto"/>
              <w:rPr>
                <w:rStyle w:val="213"/>
                <w:rFonts w:hint="eastAsia" w:ascii="仿宋" w:hAnsi="仿宋" w:eastAsia="仿宋" w:cs="仿宋"/>
                <w:b/>
                <w:color w:val="auto"/>
                <w:sz w:val="24"/>
                <w:szCs w:val="24"/>
                <w:highlight w:val="none"/>
                <w:lang w:eastAsia="zh-CN"/>
              </w:rPr>
            </w:pPr>
            <w:r>
              <w:rPr>
                <w:rStyle w:val="213"/>
                <w:rFonts w:hint="eastAsia" w:ascii="仿宋" w:hAnsi="仿宋" w:eastAsia="仿宋" w:cs="仿宋"/>
                <w:b/>
                <w:color w:val="auto"/>
                <w:sz w:val="24"/>
                <w:szCs w:val="24"/>
                <w:highlight w:val="none"/>
                <w:lang w:eastAsia="zh-CN"/>
              </w:rPr>
              <w:t>本项目实行电子交易，投标人代表无须出席开标现场。</w:t>
            </w:r>
          </w:p>
          <w:p>
            <w:pPr>
              <w:pStyle w:val="35"/>
              <w:spacing w:beforeAutospacing="0" w:afterAutospacing="0" w:line="360" w:lineRule="auto"/>
              <w:ind w:firstLine="120" w:firstLineChars="50"/>
              <w:rPr>
                <w:rStyle w:val="213"/>
                <w:rFonts w:hint="eastAsia" w:ascii="仿宋" w:hAnsi="仿宋" w:eastAsia="仿宋" w:cs="仿宋"/>
                <w:color w:val="auto"/>
                <w:sz w:val="24"/>
                <w:szCs w:val="24"/>
                <w:highlight w:val="none"/>
                <w:lang w:eastAsia="zh-CN"/>
              </w:rPr>
            </w:pPr>
            <w:r>
              <w:rPr>
                <w:rStyle w:val="213"/>
                <w:rFonts w:hint="eastAsia" w:ascii="仿宋" w:hAnsi="仿宋" w:eastAsia="仿宋" w:cs="仿宋"/>
                <w:color w:val="auto"/>
                <w:sz w:val="24"/>
                <w:szCs w:val="24"/>
                <w:highlight w:val="none"/>
                <w:lang w:eastAsia="zh-CN"/>
              </w:rPr>
              <w:t>1.投标人须提前下载“钉钉”app，并安装注册。投标人代表可通过搜索群号</w:t>
            </w:r>
            <w:r>
              <w:rPr>
                <w:rStyle w:val="213"/>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bCs/>
                <w:color w:val="auto"/>
                <w:sz w:val="24"/>
                <w:szCs w:val="24"/>
                <w:highlight w:val="none"/>
                <w:u w:val="single"/>
              </w:rPr>
              <w:t>34688536</w:t>
            </w:r>
            <w:r>
              <w:rPr>
                <w:rStyle w:val="213"/>
                <w:rFonts w:hint="eastAsia" w:ascii="仿宋" w:hAnsi="仿宋" w:eastAsia="仿宋" w:cs="仿宋"/>
                <w:color w:val="auto"/>
                <w:sz w:val="24"/>
                <w:szCs w:val="24"/>
                <w:highlight w:val="none"/>
                <w:lang w:eastAsia="zh-CN"/>
              </w:rPr>
              <w:t>加入项目钉钉直播群，观看现场直播。每个投标人仅限授权委托人加入钉钉直播群，申请加入时需进行身份验证，注明“公司名称+授权委托人姓名”，否则验证不通过。</w:t>
            </w:r>
          </w:p>
          <w:p>
            <w:pPr>
              <w:spacing w:line="360" w:lineRule="auto"/>
              <w:ind w:firstLine="120" w:firstLineChars="50"/>
              <w:rPr>
                <w:rStyle w:val="213"/>
                <w:rFonts w:hint="eastAsia" w:ascii="仿宋" w:hAnsi="仿宋" w:eastAsia="仿宋" w:cs="仿宋"/>
                <w:color w:val="auto"/>
                <w:sz w:val="24"/>
                <w:szCs w:val="24"/>
                <w:highlight w:val="none"/>
                <w:lang w:eastAsia="zh-CN"/>
              </w:rPr>
            </w:pPr>
            <w:r>
              <w:rPr>
                <w:rStyle w:val="213"/>
                <w:rFonts w:hint="eastAsia" w:ascii="仿宋" w:hAnsi="仿宋" w:eastAsia="仿宋" w:cs="仿宋"/>
                <w:color w:val="auto"/>
                <w:sz w:val="24"/>
                <w:szCs w:val="24"/>
                <w:highlight w:val="none"/>
                <w:lang w:eastAsia="zh-CN"/>
              </w:rPr>
              <w:t>2.若因网络或操作等原因造成不能正常直播或直播有缺陷的，将在项目结束后将现场音视频录像分享至钉钉直播群，供投标人回放。</w:t>
            </w:r>
          </w:p>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Style w:val="213"/>
                <w:rFonts w:hint="eastAsia" w:ascii="仿宋" w:hAnsi="仿宋" w:eastAsia="仿宋" w:cs="仿宋"/>
                <w:color w:val="auto"/>
                <w:sz w:val="24"/>
                <w:szCs w:val="24"/>
                <w:highlight w:val="none"/>
                <w:lang w:eastAsia="zh-CN"/>
              </w:rPr>
              <w:t>3.因采用钉钉直播“不见面”方式招标，建议投标人安排一名能熟练使用“钉钉”APP或有较高网络操作能力的投标代表。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634"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18</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中标公告</w:t>
            </w:r>
          </w:p>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及中标通知书</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在中标供应商确定之日起2个工作日内发布中标公告及《中标通知书》，中标公告发布网址：浙江省政府采购网(http://zfcg.czt.zj.gov.cn/)和开化县人民政府网（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"http://www.kai"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www.kai</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hua.gov.cn/）。</w:t>
            </w:r>
            <w:r>
              <w:rPr>
                <w:rFonts w:hint="eastAsia" w:ascii="仿宋" w:hAnsi="仿宋" w:eastAsia="仿宋" w:cs="仿宋"/>
                <w:b/>
                <w:bCs/>
                <w:color w:val="auto"/>
                <w:sz w:val="24"/>
                <w:szCs w:val="24"/>
                <w:highlight w:val="none"/>
                <w:lang w:val="en-US" w:eastAsia="zh-CN"/>
              </w:rPr>
              <w:t>发布中标公告时同步公开评标委员会对每个投标人的《得分汇总表》情况；若中标人为中小企业的，中标结果同时公告《中小企业声明函》。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677"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19</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签订合同时间</w:t>
            </w:r>
          </w:p>
        </w:tc>
        <w:tc>
          <w:tcPr>
            <w:tcW w:w="7354" w:type="dxa"/>
            <w:shd w:val="clear" w:color="000000" w:fill="auto"/>
            <w:vAlign w:val="center"/>
          </w:tcPr>
          <w:p>
            <w:pPr>
              <w:keepNext w:val="0"/>
              <w:keepLines w:val="0"/>
              <w:pageBreakBefore w:val="0"/>
              <w:kinsoku/>
              <w:wordWrap/>
              <w:overflowPunct/>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390"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20</w:t>
            </w:r>
          </w:p>
        </w:tc>
        <w:tc>
          <w:tcPr>
            <w:tcW w:w="1575" w:type="dxa"/>
            <w:shd w:val="clear" w:color="000000" w:fill="auto"/>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履约保证金</w:t>
            </w:r>
          </w:p>
        </w:tc>
        <w:tc>
          <w:tcPr>
            <w:tcW w:w="7354" w:type="dxa"/>
            <w:shd w:val="clear" w:color="000000" w:fill="auto"/>
            <w:vAlign w:val="center"/>
          </w:tcPr>
          <w:p>
            <w:pPr>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lang w:val="en-US" w:eastAsia="zh-CN"/>
              </w:rPr>
              <w:t>本项目不收取履约保证金。</w:t>
            </w:r>
          </w:p>
          <w:p>
            <w:pPr>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lang w:val="en-US" w:eastAsia="zh-CN"/>
              </w:rPr>
              <w:t>合同签订时，中标人通过电汇、转账、银行或保险公司出具履约保函向采购人交纳中标金额</w:t>
            </w:r>
            <w:r>
              <w:rPr>
                <w:rFonts w:hint="eastAsia" w:ascii="仿宋" w:hAnsi="仿宋" w:eastAsia="仿宋" w:cs="仿宋"/>
                <w:color w:val="auto"/>
                <w:sz w:val="24"/>
                <w:szCs w:val="24"/>
                <w:highlight w:val="none"/>
                <w:u w:val="single"/>
                <w:lang w:val="en-US" w:eastAsia="zh-CN"/>
              </w:rPr>
              <w:t xml:space="preserve"> 2.5 </w:t>
            </w:r>
            <w:r>
              <w:rPr>
                <w:rFonts w:hint="eastAsia" w:ascii="仿宋" w:hAnsi="仿宋" w:eastAsia="仿宋" w:cs="仿宋"/>
                <w:color w:val="auto"/>
                <w:sz w:val="24"/>
                <w:szCs w:val="24"/>
                <w:highlight w:val="none"/>
                <w:lang w:val="en-US" w:eastAsia="zh-CN"/>
              </w:rPr>
              <w:t>%的履约保证金。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390"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21</w:t>
            </w:r>
          </w:p>
        </w:tc>
        <w:tc>
          <w:tcPr>
            <w:tcW w:w="1575"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合同价格条款</w:t>
            </w:r>
          </w:p>
        </w:tc>
        <w:tc>
          <w:tcPr>
            <w:tcW w:w="7354" w:type="dxa"/>
            <w:shd w:val="clear" w:color="000000" w:fill="auto"/>
            <w:vAlign w:val="center"/>
          </w:tcPr>
          <w:p>
            <w:pPr>
              <w:widowControl/>
              <w:spacing w:line="440" w:lineRule="exact"/>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固定总价合同，以中标价为基准，政策性变化均不允许调整，材料价差变动不准调整。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390"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22</w:t>
            </w:r>
          </w:p>
        </w:tc>
        <w:tc>
          <w:tcPr>
            <w:tcW w:w="1575" w:type="dxa"/>
            <w:shd w:val="clear" w:color="000000" w:fill="auto"/>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企业信用融资及电子保函</w:t>
            </w:r>
          </w:p>
        </w:tc>
        <w:tc>
          <w:tcPr>
            <w:tcW w:w="7354" w:type="dxa"/>
            <w:shd w:val="clear" w:color="000000" w:fill="auto"/>
            <w:vAlign w:val="center"/>
          </w:tcPr>
          <w:p>
            <w:pPr>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投标人若有办理信用融资及电子保函意向的可登陆浙江政府采购网“浙江政采贷”（网址：</w:t>
            </w:r>
            <w:r>
              <w:rPr>
                <w:rFonts w:hint="eastAsia" w:ascii="仿宋" w:hAnsi="仿宋" w:eastAsia="仿宋" w:cs="仿宋"/>
                <w:b/>
                <w:bCs/>
                <w:color w:val="auto"/>
                <w:kern w:val="0"/>
                <w:sz w:val="24"/>
                <w:szCs w:val="24"/>
                <w:highlight w:val="none"/>
              </w:rPr>
              <w:fldChar w:fldCharType="begin"/>
            </w:r>
            <w:r>
              <w:rPr>
                <w:rFonts w:hint="eastAsia" w:ascii="仿宋" w:hAnsi="仿宋" w:eastAsia="仿宋" w:cs="仿宋"/>
                <w:b/>
                <w:bCs/>
                <w:color w:val="auto"/>
                <w:kern w:val="0"/>
                <w:sz w:val="24"/>
                <w:szCs w:val="24"/>
                <w:highlight w:val="none"/>
              </w:rPr>
              <w:instrText xml:space="preserve"> HYPERLINK "https://jinrong.zcygov.cn" </w:instrText>
            </w:r>
            <w:r>
              <w:rPr>
                <w:rFonts w:hint="eastAsia" w:ascii="仿宋" w:hAnsi="仿宋" w:eastAsia="仿宋" w:cs="仿宋"/>
                <w:b/>
                <w:bCs/>
                <w:color w:val="auto"/>
                <w:kern w:val="0"/>
                <w:sz w:val="24"/>
                <w:szCs w:val="24"/>
                <w:highlight w:val="none"/>
              </w:rPr>
              <w:fldChar w:fldCharType="separate"/>
            </w:r>
            <w:r>
              <w:rPr>
                <w:rFonts w:hint="eastAsia" w:ascii="仿宋" w:hAnsi="仿宋" w:eastAsia="仿宋" w:cs="仿宋"/>
                <w:b/>
                <w:bCs/>
                <w:color w:val="auto"/>
                <w:kern w:val="0"/>
                <w:sz w:val="24"/>
                <w:szCs w:val="24"/>
                <w:highlight w:val="none"/>
              </w:rPr>
              <w:t>https://jinrong.zcygov.cn</w:t>
            </w:r>
            <w:r>
              <w:rPr>
                <w:rFonts w:hint="eastAsia" w:ascii="仿宋" w:hAnsi="仿宋" w:eastAsia="仿宋" w:cs="仿宋"/>
                <w:b/>
                <w:bCs/>
                <w:color w:val="auto"/>
                <w:kern w:val="0"/>
                <w:sz w:val="24"/>
                <w:szCs w:val="24"/>
                <w:highlight w:val="none"/>
              </w:rPr>
              <w:fldChar w:fldCharType="end"/>
            </w:r>
            <w:r>
              <w:rPr>
                <w:rFonts w:hint="eastAsia" w:ascii="仿宋" w:hAnsi="仿宋" w:eastAsia="仿宋" w:cs="仿宋"/>
                <w:b/>
                <w:bCs/>
                <w:color w:val="auto"/>
                <w:kern w:val="0"/>
                <w:sz w:val="24"/>
                <w:szCs w:val="24"/>
                <w:highlight w:val="none"/>
              </w:rPr>
              <w:t>，政府采购云平台金融服务中心）查看相关政策和服务方案。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390"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23</w:t>
            </w:r>
          </w:p>
        </w:tc>
        <w:tc>
          <w:tcPr>
            <w:tcW w:w="1575" w:type="dxa"/>
            <w:shd w:val="clear" w:color="000000" w:fill="auto"/>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重要提醒</w:t>
            </w:r>
          </w:p>
        </w:tc>
        <w:tc>
          <w:tcPr>
            <w:tcW w:w="7354" w:type="dxa"/>
            <w:shd w:val="clear" w:color="000000" w:fill="auto"/>
            <w:vAlign w:val="center"/>
          </w:tcPr>
          <w:p>
            <w:pPr>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9"/>
              <w:rPr>
                <w:rFonts w:hint="eastAsia" w:ascii="仿宋" w:hAnsi="仿宋" w:eastAsia="仿宋" w:cs="仿宋"/>
                <w:b/>
                <w:bCs/>
                <w:color w:val="auto"/>
                <w:sz w:val="24"/>
                <w:szCs w:val="24"/>
                <w:highlight w:val="none"/>
              </w:rPr>
            </w:pPr>
            <w:r>
              <w:rPr>
                <w:rStyle w:val="213"/>
                <w:rFonts w:hint="eastAsia" w:ascii="仿宋" w:hAnsi="仿宋" w:eastAsia="仿宋" w:cs="仿宋"/>
                <w:b/>
                <w:color w:val="auto"/>
                <w:sz w:val="24"/>
                <w:szCs w:val="24"/>
                <w:highlight w:val="none"/>
                <w:lang w:val="en-US" w:eastAsia="zh-CN"/>
              </w:rPr>
              <w:t>1.</w:t>
            </w:r>
            <w:r>
              <w:rPr>
                <w:rStyle w:val="213"/>
                <w:rFonts w:hint="eastAsia" w:ascii="仿宋" w:hAnsi="仿宋" w:eastAsia="仿宋" w:cs="仿宋"/>
                <w:b/>
                <w:color w:val="auto"/>
                <w:sz w:val="24"/>
                <w:szCs w:val="24"/>
                <w:highlight w:val="none"/>
                <w:lang w:eastAsia="zh-CN"/>
              </w:rPr>
              <w:t>投标截止时间后，所有供应商均应当准时在线参加。</w:t>
            </w:r>
            <w:r>
              <w:rPr>
                <w:rStyle w:val="90"/>
                <w:rFonts w:hint="eastAsia" w:ascii="仿宋" w:hAnsi="仿宋" w:eastAsia="仿宋" w:cs="仿宋"/>
                <w:b/>
                <w:bCs/>
                <w:color w:val="auto"/>
                <w:kern w:val="0"/>
                <w:sz w:val="24"/>
                <w:szCs w:val="24"/>
                <w:highlight w:val="none"/>
              </w:rPr>
              <w:t>在</w:t>
            </w:r>
            <w:r>
              <w:rPr>
                <w:rFonts w:hint="eastAsia" w:ascii="仿宋" w:hAnsi="仿宋" w:eastAsia="仿宋" w:cs="仿宋"/>
                <w:b/>
                <w:bCs/>
                <w:color w:val="auto"/>
                <w:sz w:val="24"/>
                <w:szCs w:val="24"/>
                <w:highlight w:val="none"/>
              </w:rPr>
              <w:t>开标后登录政采云平台，用“项目采购-开标评标”功能对</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进行在线解密。在线解密</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时间为开标时间起</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分钟</w:t>
            </w:r>
            <w:r>
              <w:rPr>
                <w:rFonts w:hint="eastAsia" w:ascii="仿宋" w:hAnsi="仿宋" w:eastAsia="仿宋" w:cs="仿宋"/>
                <w:b/>
                <w:bCs/>
                <w:color w:val="auto"/>
                <w:sz w:val="24"/>
                <w:szCs w:val="24"/>
                <w:highlight w:val="none"/>
              </w:rPr>
              <w:t>内。</w:t>
            </w:r>
          </w:p>
          <w:p>
            <w:pPr>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所有询标流程，均在线上完成，请各投标人务必不要离开电脑太久，并留意手机短信。投标人的联系电话在投标当天保持通信畅通，因通信问题无法联系到投标人造成的后果由投标人自行承担。（请提前检查“政采云”内，关于“项目采购”的岗位权限是否已勾选上。如有问题，请致电400-8817190）。</w:t>
            </w:r>
          </w:p>
          <w:p>
            <w:pPr>
              <w:keepLines w:val="0"/>
              <w:pageBreakBefore w:val="0"/>
              <w:widowControl w:val="0"/>
              <w:kinsoku/>
              <w:wordWrap/>
              <w:overflowPunct/>
              <w:topLinePunct w:val="0"/>
              <w:autoSpaceDE/>
              <w:autoSpaceDN/>
              <w:bidi w:val="0"/>
              <w:adjustRightInd/>
              <w:snapToGrid/>
              <w:spacing w:line="420" w:lineRule="exact"/>
              <w:textAlignment w:val="auto"/>
              <w:outlineLvl w:val="9"/>
              <w:rPr>
                <w:rStyle w:val="213"/>
                <w:rFonts w:hint="eastAsia" w:ascii="仿宋" w:hAnsi="仿宋" w:eastAsia="仿宋" w:cs="仿宋"/>
                <w:b/>
                <w:bCs/>
                <w:color w:val="auto"/>
                <w:sz w:val="24"/>
                <w:szCs w:val="24"/>
                <w:highlight w:val="none"/>
              </w:rPr>
            </w:pPr>
            <w:r>
              <w:rPr>
                <w:rStyle w:val="213"/>
                <w:rFonts w:hint="eastAsia" w:ascii="仿宋" w:hAnsi="仿宋" w:eastAsia="仿宋" w:cs="仿宋"/>
                <w:color w:val="auto"/>
                <w:sz w:val="24"/>
                <w:szCs w:val="24"/>
                <w:highlight w:val="none"/>
                <w:lang w:val="en-US" w:eastAsia="zh-CN"/>
              </w:rPr>
              <w:t>3.</w:t>
            </w:r>
            <w:r>
              <w:rPr>
                <w:rStyle w:val="213"/>
                <w:rFonts w:hint="eastAsia" w:ascii="仿宋" w:hAnsi="仿宋" w:eastAsia="仿宋" w:cs="仿宋"/>
                <w:b/>
                <w:bCs/>
                <w:color w:val="auto"/>
                <w:sz w:val="24"/>
                <w:szCs w:val="24"/>
                <w:highlight w:val="none"/>
              </w:rPr>
              <w:t>带“▲”为必须满足的实质性内容，技术指标前有“★”标示的，为不可负偏离指标。</w:t>
            </w:r>
          </w:p>
          <w:p>
            <w:pPr>
              <w:keepNext w:val="0"/>
              <w:keepLines w:val="0"/>
              <w:pageBreakBefore w:val="0"/>
              <w:kinsoku/>
              <w:wordWrap/>
              <w:overflowPunct/>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本采购文件未尽事项按法律法规及行业主管部门文件执行</w:t>
            </w:r>
            <w:r>
              <w:rPr>
                <w:rFonts w:hint="eastAsia" w:ascii="仿宋" w:hAnsi="仿宋" w:eastAsia="仿宋" w:cs="仿宋"/>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1527" w:hRule="atLeast"/>
        </w:trPr>
        <w:tc>
          <w:tcPr>
            <w:tcW w:w="691" w:type="dxa"/>
            <w:shd w:val="clear" w:color="000000" w:fill="auto"/>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24</w:t>
            </w:r>
          </w:p>
        </w:tc>
        <w:tc>
          <w:tcPr>
            <w:tcW w:w="1575" w:type="dxa"/>
            <w:shd w:val="clear" w:color="000000" w:fill="auto"/>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合同公告时间</w:t>
            </w:r>
          </w:p>
        </w:tc>
        <w:tc>
          <w:tcPr>
            <w:tcW w:w="7354" w:type="dxa"/>
            <w:shd w:val="clear" w:color="000000" w:fill="auto"/>
            <w:vAlign w:val="center"/>
          </w:tcPr>
          <w:p>
            <w:pPr>
              <w:spacing w:line="400" w:lineRule="exact"/>
              <w:ind w:firstLine="120" w:firstLineChars="50"/>
              <w:rPr>
                <w:rFonts w:hint="eastAsia" w:ascii="仿宋" w:hAnsi="仿宋" w:eastAsia="仿宋" w:cs="仿宋"/>
                <w:bCs/>
                <w:color w:val="auto"/>
                <w:sz w:val="24"/>
                <w:szCs w:val="24"/>
                <w:highlight w:val="none"/>
              </w:rPr>
            </w:pPr>
            <w:r>
              <w:rPr>
                <w:rStyle w:val="108"/>
                <w:rFonts w:hint="eastAsia" w:ascii="仿宋" w:hAnsi="仿宋" w:eastAsia="仿宋" w:cs="仿宋"/>
                <w:color w:val="auto"/>
                <w:sz w:val="24"/>
                <w:szCs w:val="24"/>
                <w:highlight w:val="none"/>
                <w:lang w:val="en-US" w:eastAsia="zh-CN"/>
              </w:rPr>
              <w:t>自政府采购合同签订之日起2个工作日内在浙江省政府采购网(http://zfcg.czt.zj.gov.cn/)和开化县人民政府网公共资源交易采购栏（http://www.kaihua.gov.cn/col/col1384145/index.html）发布。</w:t>
            </w:r>
          </w:p>
        </w:tc>
      </w:tr>
    </w:tbl>
    <w:p>
      <w:pPr>
        <w:keepNext w:val="0"/>
        <w:keepLines w:val="0"/>
        <w:pageBreakBefore w:val="0"/>
        <w:widowControl/>
        <w:kinsoku/>
        <w:wordWrap/>
        <w:overflowPunct/>
        <w:topLinePunct w:val="0"/>
        <w:bidi w:val="0"/>
        <w:spacing w:line="500" w:lineRule="exact"/>
        <w:outlineLvl w:val="1"/>
        <w:rPr>
          <w:rFonts w:hint="eastAsia" w:ascii="仿宋" w:hAnsi="仿宋" w:eastAsia="仿宋" w:cs="仿宋"/>
          <w:b/>
          <w:bCs/>
          <w:color w:val="auto"/>
          <w:kern w:val="0"/>
          <w:sz w:val="28"/>
          <w:szCs w:val="28"/>
          <w:highlight w:val="none"/>
        </w:rPr>
      </w:pPr>
      <w:bookmarkStart w:id="43" w:name="_Toc495566517"/>
      <w:bookmarkStart w:id="44" w:name="_Toc433917260"/>
      <w:bookmarkStart w:id="45" w:name="_Toc326937541"/>
      <w:bookmarkStart w:id="46" w:name="_Toc333842555"/>
      <w:bookmarkStart w:id="47" w:name="_Toc358384695"/>
    </w:p>
    <w:p>
      <w:pPr>
        <w:keepNext w:val="0"/>
        <w:keepLines w:val="0"/>
        <w:pageBreakBefore w:val="0"/>
        <w:widowControl/>
        <w:kinsoku/>
        <w:wordWrap/>
        <w:overflowPunct/>
        <w:topLinePunct w:val="0"/>
        <w:bidi w:val="0"/>
        <w:spacing w:line="500" w:lineRule="exact"/>
        <w:outlineLvl w:val="1"/>
        <w:rPr>
          <w:rFonts w:hint="eastAsia" w:ascii="仿宋" w:hAnsi="仿宋" w:eastAsia="仿宋" w:cs="仿宋"/>
          <w:b/>
          <w:bCs/>
          <w:color w:val="auto"/>
          <w:kern w:val="0"/>
          <w:sz w:val="28"/>
          <w:szCs w:val="28"/>
          <w:highlight w:val="none"/>
        </w:rPr>
      </w:pPr>
    </w:p>
    <w:p>
      <w:pPr>
        <w:keepNext w:val="0"/>
        <w:keepLines w:val="0"/>
        <w:pageBreakBefore w:val="0"/>
        <w:widowControl/>
        <w:kinsoku/>
        <w:wordWrap/>
        <w:overflowPunct/>
        <w:topLinePunct w:val="0"/>
        <w:bidi w:val="0"/>
        <w:spacing w:line="500" w:lineRule="exact"/>
        <w:outlineLvl w:val="1"/>
        <w:rPr>
          <w:rFonts w:hint="eastAsia" w:ascii="仿宋" w:hAnsi="仿宋" w:eastAsia="仿宋" w:cs="仿宋"/>
          <w:b/>
          <w:bCs/>
          <w:color w:val="auto"/>
          <w:kern w:val="0"/>
          <w:sz w:val="28"/>
          <w:szCs w:val="28"/>
          <w:highlight w:val="none"/>
        </w:rPr>
      </w:pPr>
    </w:p>
    <w:p>
      <w:pPr>
        <w:keepNext w:val="0"/>
        <w:keepLines w:val="0"/>
        <w:pageBreakBefore w:val="0"/>
        <w:widowControl/>
        <w:kinsoku/>
        <w:wordWrap/>
        <w:overflowPunct/>
        <w:topLinePunct w:val="0"/>
        <w:bidi w:val="0"/>
        <w:spacing w:line="500" w:lineRule="exact"/>
        <w:outlineLvl w:val="1"/>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B、投标人须知</w:t>
      </w:r>
      <w:bookmarkEnd w:id="43"/>
      <w:bookmarkEnd w:id="44"/>
    </w:p>
    <w:p>
      <w:pPr>
        <w:pStyle w:val="50"/>
        <w:rPr>
          <w:color w:val="auto"/>
          <w:highlight w:val="none"/>
        </w:rPr>
      </w:pPr>
    </w:p>
    <w:p>
      <w:pPr>
        <w:keepNext w:val="0"/>
        <w:keepLines w:val="0"/>
        <w:pageBreakBefore w:val="0"/>
        <w:kinsoku/>
        <w:wordWrap/>
        <w:overflowPunct/>
        <w:topLinePunct w:val="0"/>
        <w:autoSpaceDE w:val="0"/>
        <w:autoSpaceDN w:val="0"/>
        <w:bidi w:val="0"/>
        <w:spacing w:line="500" w:lineRule="exact"/>
        <w:ind w:firstLine="562" w:firstLineChars="200"/>
        <w:jc w:val="center"/>
        <w:rPr>
          <w:rFonts w:ascii="仿宋" w:hAnsi="仿宋" w:eastAsia="仿宋" w:cs="仿宋"/>
          <w:b/>
          <w:bCs/>
          <w:color w:val="auto"/>
          <w:sz w:val="28"/>
          <w:szCs w:val="28"/>
          <w:highlight w:val="none"/>
        </w:rPr>
      </w:pPr>
      <w:bookmarkStart w:id="48" w:name="_Toc358384689"/>
      <w:bookmarkStart w:id="49" w:name="_Toc433917261"/>
      <w:bookmarkStart w:id="50" w:name="_Toc495566518"/>
      <w:bookmarkStart w:id="51" w:name="_Toc333842545"/>
      <w:bookmarkStart w:id="52" w:name="_Toc326937531"/>
      <w:bookmarkStart w:id="53" w:name="_Toc393201708"/>
      <w:r>
        <w:rPr>
          <w:rFonts w:hint="eastAsia" w:ascii="仿宋" w:hAnsi="仿宋" w:eastAsia="仿宋" w:cs="仿宋"/>
          <w:b/>
          <w:bCs/>
          <w:color w:val="auto"/>
          <w:sz w:val="28"/>
          <w:szCs w:val="28"/>
          <w:highlight w:val="none"/>
        </w:rPr>
        <w:t>一、总则</w:t>
      </w:r>
      <w:bookmarkEnd w:id="48"/>
      <w:bookmarkEnd w:id="49"/>
      <w:bookmarkEnd w:id="50"/>
      <w:bookmarkEnd w:id="51"/>
      <w:bookmarkEnd w:id="52"/>
      <w:bookmarkEnd w:id="53"/>
    </w:p>
    <w:p>
      <w:pPr>
        <w:keepNext w:val="0"/>
        <w:keepLines w:val="0"/>
        <w:pageBreakBefore w:val="0"/>
        <w:kinsoku/>
        <w:wordWrap/>
        <w:overflowPunct/>
        <w:topLinePunct w:val="0"/>
        <w:bidi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项目概况</w:t>
      </w:r>
    </w:p>
    <w:p>
      <w:pPr>
        <w:keepNext w:val="0"/>
        <w:keepLines w:val="0"/>
        <w:pageBreakBefore w:val="0"/>
        <w:kinsoku/>
        <w:wordWrap/>
        <w:overflowPunct/>
        <w:topLinePunct w:val="0"/>
        <w:bidi w:val="0"/>
        <w:spacing w:line="500" w:lineRule="exact"/>
        <w:ind w:right="-178" w:rightChars="-85"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.1采购人：</w:t>
      </w:r>
      <w:r>
        <w:rPr>
          <w:rFonts w:hint="eastAsia" w:ascii="仿宋" w:hAnsi="仿宋" w:eastAsia="仿宋" w:cs="仿宋"/>
          <w:color w:val="auto"/>
          <w:sz w:val="28"/>
          <w:szCs w:val="28"/>
          <w:highlight w:val="none"/>
          <w:lang w:val="zh-CN"/>
        </w:rPr>
        <w:t>开化县华埠镇人民政府</w:t>
      </w:r>
    </w:p>
    <w:p>
      <w:pPr>
        <w:keepNext w:val="0"/>
        <w:keepLines w:val="0"/>
        <w:pageBreakBefore w:val="0"/>
        <w:kinsoku/>
        <w:wordWrap/>
        <w:overflowPunct/>
        <w:topLinePunct w:val="0"/>
        <w:bidi w:val="0"/>
        <w:spacing w:line="500" w:lineRule="exact"/>
        <w:ind w:right="-178" w:rightChars="-85"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.2采购内容：</w:t>
      </w:r>
      <w:r>
        <w:rPr>
          <w:rFonts w:hint="eastAsia" w:ascii="仿宋" w:hAnsi="仿宋" w:eastAsia="仿宋" w:cs="仿宋"/>
          <w:color w:val="auto"/>
          <w:spacing w:val="-6"/>
          <w:sz w:val="28"/>
          <w:szCs w:val="28"/>
          <w:highlight w:val="none"/>
          <w:lang w:eastAsia="zh-CN"/>
        </w:rPr>
        <w:t>开化县华埠镇城区环卫作业一体化服务采购项目</w:t>
      </w:r>
      <w:r>
        <w:rPr>
          <w:rFonts w:hint="eastAsia" w:ascii="仿宋" w:hAnsi="仿宋" w:eastAsia="仿宋" w:cs="仿宋"/>
          <w:color w:val="auto"/>
          <w:sz w:val="28"/>
          <w:szCs w:val="28"/>
          <w:highlight w:val="none"/>
        </w:rPr>
        <w:t>详见第四章《采购需求》。</w:t>
      </w:r>
    </w:p>
    <w:p>
      <w:pPr>
        <w:keepNext w:val="0"/>
        <w:keepLines w:val="0"/>
        <w:pageBreakBefore w:val="0"/>
        <w:kinsoku/>
        <w:wordWrap/>
        <w:overflowPunct/>
        <w:topLinePunct w:val="0"/>
        <w:bidi w:val="0"/>
        <w:spacing w:line="500" w:lineRule="exact"/>
        <w:ind w:right="-178" w:rightChars="-85"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.3项目编号：</w:t>
      </w:r>
      <w:r>
        <w:rPr>
          <w:rFonts w:hint="eastAsia" w:ascii="仿宋" w:hAnsi="仿宋" w:eastAsia="仿宋" w:cs="仿宋"/>
          <w:bCs/>
          <w:color w:val="auto"/>
          <w:sz w:val="28"/>
          <w:szCs w:val="28"/>
          <w:highlight w:val="none"/>
          <w:lang w:eastAsia="zh-CN"/>
        </w:rPr>
        <w:t>QQZXFSCG-2022-03</w:t>
      </w:r>
    </w:p>
    <w:p>
      <w:pPr>
        <w:keepNext w:val="0"/>
        <w:keepLines w:val="0"/>
        <w:pageBreakBefore w:val="0"/>
        <w:widowControl/>
        <w:kinsoku/>
        <w:wordWrap/>
        <w:overflowPunct/>
        <w:topLinePunct w:val="0"/>
        <w:bidi w:val="0"/>
        <w:spacing w:line="500" w:lineRule="exact"/>
        <w:ind w:firstLine="548" w:firstLineChars="196"/>
        <w:jc w:val="left"/>
        <w:rPr>
          <w:rFonts w:hint="eastAsia" w:ascii="仿宋" w:hAnsi="仿宋" w:eastAsia="仿宋" w:cs="仿宋"/>
          <w:color w:val="auto"/>
          <w:spacing w:val="-4"/>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.4采购预算：</w:t>
      </w:r>
      <w:r>
        <w:rPr>
          <w:rFonts w:hint="eastAsia" w:ascii="仿宋" w:hAnsi="仿宋" w:eastAsia="仿宋" w:cs="仿宋"/>
          <w:color w:val="auto"/>
          <w:kern w:val="0"/>
          <w:sz w:val="28"/>
          <w:szCs w:val="28"/>
          <w:highlight w:val="none"/>
          <w:lang w:eastAsia="zh-CN"/>
        </w:rPr>
        <w:t>每年</w:t>
      </w:r>
      <w:r>
        <w:rPr>
          <w:rFonts w:hint="eastAsia" w:ascii="仿宋" w:hAnsi="仿宋" w:eastAsia="仿宋" w:cs="仿宋"/>
          <w:bCs/>
          <w:color w:val="auto"/>
          <w:sz w:val="28"/>
          <w:szCs w:val="28"/>
          <w:highlight w:val="none"/>
        </w:rPr>
        <w:t>采购</w:t>
      </w:r>
      <w:r>
        <w:rPr>
          <w:rFonts w:hint="eastAsia" w:ascii="仿宋" w:hAnsi="仿宋" w:eastAsia="仿宋" w:cs="仿宋"/>
          <w:color w:val="auto"/>
          <w:kern w:val="0"/>
          <w:sz w:val="28"/>
          <w:szCs w:val="28"/>
          <w:highlight w:val="none"/>
        </w:rPr>
        <w:t>预算</w:t>
      </w:r>
      <w:r>
        <w:rPr>
          <w:rFonts w:hint="eastAsia" w:ascii="仿宋" w:hAnsi="仿宋" w:eastAsia="仿宋" w:cs="仿宋"/>
          <w:color w:val="auto"/>
          <w:kern w:val="0"/>
          <w:sz w:val="28"/>
          <w:szCs w:val="28"/>
          <w:highlight w:val="none"/>
          <w:u w:val="single"/>
          <w:lang w:val="en-US" w:eastAsia="zh-CN" w:bidi="ar-SA"/>
        </w:rPr>
        <w:t xml:space="preserve"> 554.6759 </w:t>
      </w:r>
      <w:r>
        <w:rPr>
          <w:rFonts w:hint="eastAsia" w:ascii="仿宋" w:hAnsi="仿宋" w:eastAsia="仿宋" w:cs="仿宋"/>
          <w:color w:val="auto"/>
          <w:kern w:val="0"/>
          <w:sz w:val="28"/>
          <w:szCs w:val="28"/>
          <w:highlight w:val="none"/>
          <w:lang w:val="en-US" w:eastAsia="zh-CN" w:bidi="ar-SA"/>
        </w:rPr>
        <w:t>万元，两年采购总预算为</w:t>
      </w:r>
      <w:r>
        <w:rPr>
          <w:rFonts w:hint="eastAsia" w:ascii="仿宋" w:hAnsi="仿宋" w:eastAsia="仿宋" w:cs="仿宋"/>
          <w:color w:val="auto"/>
          <w:kern w:val="0"/>
          <w:sz w:val="28"/>
          <w:szCs w:val="28"/>
          <w:highlight w:val="none"/>
          <w:u w:val="single"/>
          <w:lang w:val="en-US" w:eastAsia="zh-CN" w:bidi="ar-SA"/>
        </w:rPr>
        <w:t xml:space="preserve">1109.3518 </w:t>
      </w:r>
      <w:r>
        <w:rPr>
          <w:rFonts w:hint="eastAsia" w:ascii="仿宋" w:hAnsi="仿宋" w:eastAsia="仿宋" w:cs="仿宋"/>
          <w:color w:val="auto"/>
          <w:kern w:val="0"/>
          <w:sz w:val="28"/>
          <w:szCs w:val="28"/>
          <w:highlight w:val="none"/>
          <w:lang w:val="en-US" w:eastAsia="zh-CN" w:bidi="ar-SA"/>
        </w:rPr>
        <w:t>万元。</w:t>
      </w:r>
      <w:r>
        <w:rPr>
          <w:rFonts w:hint="eastAsia" w:ascii="仿宋" w:hAnsi="仿宋" w:eastAsia="仿宋" w:cs="仿宋"/>
          <w:bCs/>
          <w:color w:val="auto"/>
          <w:spacing w:val="-4"/>
          <w:sz w:val="28"/>
          <w:szCs w:val="28"/>
          <w:highlight w:val="none"/>
        </w:rPr>
        <w:t>（其中含环境卫生整治预备金</w:t>
      </w:r>
      <w:r>
        <w:rPr>
          <w:rFonts w:hint="eastAsia" w:ascii="仿宋" w:hAnsi="仿宋" w:eastAsia="仿宋" w:cs="仿宋"/>
          <w:bCs/>
          <w:color w:val="auto"/>
          <w:spacing w:val="-4"/>
          <w:sz w:val="28"/>
          <w:szCs w:val="28"/>
          <w:highlight w:val="none"/>
          <w:u w:val="single"/>
          <w:lang w:val="en-US" w:eastAsia="zh-CN"/>
        </w:rPr>
        <w:t xml:space="preserve"> 20 </w:t>
      </w:r>
      <w:r>
        <w:rPr>
          <w:rFonts w:hint="eastAsia" w:ascii="仿宋" w:hAnsi="仿宋" w:eastAsia="仿宋" w:cs="仿宋"/>
          <w:bCs/>
          <w:color w:val="auto"/>
          <w:spacing w:val="-4"/>
          <w:sz w:val="28"/>
          <w:szCs w:val="28"/>
          <w:highlight w:val="none"/>
        </w:rPr>
        <w:t>万元/年&lt;含税费&gt;，报价时不予调整，否则作无效标处理）</w:t>
      </w:r>
      <w:r>
        <w:rPr>
          <w:rFonts w:hint="eastAsia" w:ascii="仿宋" w:hAnsi="仿宋" w:eastAsia="仿宋" w:cs="仿宋"/>
          <w:color w:val="auto"/>
          <w:spacing w:val="-4"/>
          <w:sz w:val="28"/>
          <w:szCs w:val="28"/>
          <w:highlight w:val="none"/>
        </w:rPr>
        <w:t>。环境卫生整治预备金使用权归采购人所有。</w:t>
      </w:r>
    </w:p>
    <w:p>
      <w:pPr>
        <w:keepNext w:val="0"/>
        <w:keepLines w:val="0"/>
        <w:pageBreakBefore w:val="0"/>
        <w:kinsoku/>
        <w:wordWrap/>
        <w:overflowPunct/>
        <w:topLinePunct w:val="0"/>
        <w:bidi w:val="0"/>
        <w:spacing w:line="500" w:lineRule="exact"/>
        <w:ind w:firstLine="551" w:firstLineChars="196"/>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.投标人资格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2.1满足《中华人民共和国政府采购法》第二十二条规定；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2.2必须为未被列入“信用中国”网站(www.creditchina.gov.cn)、中国政府采购网(www.ccgp.gov.cn)渠道信用记录失信被执行人、重大税收违法案件当事人名单、政府采购严重违法失信行为记录名单的投标人；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2.3落实政府采购政策需满足的资格要求：</w:t>
      </w:r>
      <w:r>
        <w:rPr>
          <w:rFonts w:hint="eastAsia" w:ascii="仿宋" w:hAnsi="仿宋" w:eastAsia="仿宋" w:cs="仿宋"/>
          <w:color w:val="auto"/>
          <w:sz w:val="28"/>
          <w:szCs w:val="28"/>
          <w:highlight w:val="none"/>
          <w:u w:val="single"/>
          <w:lang w:eastAsia="zh-CN"/>
        </w:rPr>
        <w:t>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2.4本项目的特定资格要求：</w:t>
      </w:r>
      <w:r>
        <w:rPr>
          <w:rFonts w:hint="eastAsia" w:ascii="仿宋" w:hAnsi="仿宋" w:eastAsia="仿宋" w:cs="仿宋"/>
          <w:color w:val="auto"/>
          <w:sz w:val="28"/>
          <w:szCs w:val="28"/>
          <w:highlight w:val="none"/>
          <w:u w:val="single"/>
          <w:lang w:val="en-US" w:eastAsia="zh-CN"/>
        </w:rPr>
        <w:t xml:space="preserve">  无  </w:t>
      </w:r>
      <w:r>
        <w:rPr>
          <w:rFonts w:hint="eastAsia" w:ascii="仿宋" w:hAnsi="仿宋" w:eastAsia="仿宋" w:cs="仿宋"/>
          <w:color w:val="auto"/>
          <w:sz w:val="28"/>
          <w:szCs w:val="28"/>
          <w:highlight w:val="none"/>
          <w:lang w:val="en-US" w:eastAsia="zh-CN"/>
        </w:rPr>
        <w:t>。</w:t>
      </w:r>
    </w:p>
    <w:p>
      <w:pPr>
        <w:keepNext w:val="0"/>
        <w:keepLines w:val="0"/>
        <w:pageBreakBefore w:val="0"/>
        <w:kinsoku/>
        <w:wordWrap/>
        <w:overflowPunct/>
        <w:topLinePunct w:val="0"/>
        <w:bidi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.投标费用</w:t>
      </w:r>
    </w:p>
    <w:p>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zh-CN"/>
        </w:rPr>
        <w:t>无论投标过程和结果如何，投标人应自行承担所有与投标有关的全部费用，采购代理机构和采购人均无义务和责任承担这些费用。</w:t>
      </w:r>
    </w:p>
    <w:p>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.2招标代理费由中标单位支付，以中标金额为基数，参照</w:t>
      </w:r>
      <w:r>
        <w:rPr>
          <w:rFonts w:hint="eastAsia" w:ascii="仿宋" w:hAnsi="仿宋" w:eastAsia="仿宋" w:cs="仿宋"/>
          <w:color w:val="auto"/>
          <w:kern w:val="0"/>
          <w:sz w:val="28"/>
          <w:szCs w:val="28"/>
          <w:highlight w:val="none"/>
          <w:lang w:val="zh-CN"/>
        </w:rPr>
        <w:t>国家发展和改革委员会发改价格【2011】534号文件</w:t>
      </w:r>
      <w:r>
        <w:rPr>
          <w:rFonts w:hint="eastAsia" w:ascii="仿宋" w:hAnsi="仿宋" w:eastAsia="仿宋" w:cs="仿宋"/>
          <w:color w:val="auto"/>
          <w:kern w:val="0"/>
          <w:sz w:val="28"/>
          <w:szCs w:val="28"/>
          <w:highlight w:val="none"/>
        </w:rPr>
        <w:t>(服务类)标准收取。</w:t>
      </w:r>
    </w:p>
    <w:tbl>
      <w:tblPr>
        <w:tblStyle w:val="41"/>
        <w:tblW w:w="45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8"/>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229" w:type="pct"/>
            <w:noWrap/>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467360</wp:posOffset>
                      </wp:positionH>
                      <wp:positionV relativeFrom="paragraph">
                        <wp:posOffset>8890</wp:posOffset>
                      </wp:positionV>
                      <wp:extent cx="1783080" cy="1247140"/>
                      <wp:effectExtent l="2540" t="3810" r="5080" b="6350"/>
                      <wp:wrapNone/>
                      <wp:docPr id="2" name="直接连接符 5"/>
                      <wp:cNvGraphicFramePr/>
                      <a:graphic xmlns:a="http://schemas.openxmlformats.org/drawingml/2006/main">
                        <a:graphicData uri="http://schemas.microsoft.com/office/word/2010/wordprocessingShape">
                          <wps:wsp>
                            <wps:cNvCnPr/>
                            <wps:spPr>
                              <a:xfrm>
                                <a:off x="0" y="0"/>
                                <a:ext cx="1783080" cy="12471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5" o:spid="_x0000_s1026" o:spt="32" type="#_x0000_t32" style="position:absolute;left:0pt;margin-left:36.8pt;margin-top:0.7pt;height:98.2pt;width:140.4pt;z-index:251662336;mso-width-relative:page;mso-height-relative:page;" filled="f" stroked="t" coordsize="21600,21600" o:gfxdata="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wXVnXAAAACAEAAA8AAAAAAAAAAQAgAAAAIgAAAGRycy9kb3ducmV2&#10;LnhtbFBLAQIUABQAAAAIAIdO4kA0lSDS/QEAAOwDAAAOAAAAAAAAAAEAIAAAACYBAABkcnMvZTJv&#10;RG9jLnhtbFBLBQYAAAAABgAGAFkBAACVBQAAAAA=&#10;">
                      <v:fill on="f" focussize="0,0"/>
                      <v:stroke color="#000000" joinstyle="round"/>
                      <v:imagedata o:title=""/>
                      <o:lock v:ext="edit" aspectratio="f"/>
                    </v:shape>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GtN3FH1AQAA7g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服</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务</w:t>
            </w:r>
          </w:p>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费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类</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型</w:t>
            </w:r>
          </w:p>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2540</wp:posOffset>
                      </wp:positionV>
                      <wp:extent cx="2334260" cy="635635"/>
                      <wp:effectExtent l="1270" t="4445" r="7620" b="7620"/>
                      <wp:wrapNone/>
                      <wp:docPr id="1" name="直接连接符 7"/>
                      <wp:cNvGraphicFramePr/>
                      <a:graphic xmlns:a="http://schemas.openxmlformats.org/drawingml/2006/main">
                        <a:graphicData uri="http://schemas.microsoft.com/office/word/2010/wordprocessingShape">
                          <wps:wsp>
                            <wps:cNvCnPr/>
                            <wps:spPr>
                              <a:xfrm>
                                <a:off x="0" y="0"/>
                                <a:ext cx="2334260" cy="635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7" o:spid="_x0000_s1026" o:spt="32" type="#_x0000_t32" style="position:absolute;left:0pt;margin-left:-5.95pt;margin-top:0.2pt;height:50.05pt;width:183.8pt;z-index:251661312;mso-width-relative:page;mso-height-relative:page;" filled="f" stroked="t" coordsize="21600,21600" o:gfxdata="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Rk071wAAAAgBAAAPAAAAAAAAAAEAIAAAACIAAABkcnMvZG93bnJldi54bWxQ&#10;SwECFAAUAAAACACHTuJAHqYoMvgBAADrAwAADgAAAAAAAAABACAAAAAmAQAAZHJzL2Uyb0RvYy54&#10;bWxQSwUGAAAAAAYABgBZAQAAkAUAAAAA&#10;">
                      <v:fill on="f" focussize="0,0"/>
                      <v:stroke color="#000000" joinstyle="round"/>
                      <v:imagedata o:title=""/>
                      <o:lock v:ext="edit" aspectratio="f"/>
                    </v:shape>
                  </w:pict>
                </mc:Fallback>
              </mc:AlternateConten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率</w:t>
            </w:r>
            <w:r>
              <w:rPr>
                <w:rFonts w:hint="eastAsia" w:ascii="仿宋" w:hAnsi="仿宋" w:eastAsia="仿宋" w:cs="仿宋"/>
                <w:color w:val="auto"/>
                <w:sz w:val="28"/>
                <w:szCs w:val="28"/>
                <w:highlight w:val="none"/>
                <w:lang w:val="en-US" w:eastAsia="zh-CN"/>
              </w:rPr>
              <w:t xml:space="preserve">              </w:t>
            </w:r>
          </w:p>
          <w:p>
            <w:pPr>
              <w:keepNext w:val="0"/>
              <w:keepLines w:val="0"/>
              <w:pageBreakBefore w:val="0"/>
              <w:kinsoku/>
              <w:wordWrap/>
              <w:overflowPunct/>
              <w:topLinePunct w:val="0"/>
              <w:bidi w:val="0"/>
              <w:spacing w:line="50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中标金额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w:t>
            </w:r>
          </w:p>
        </w:tc>
        <w:tc>
          <w:tcPr>
            <w:tcW w:w="2770" w:type="pct"/>
            <w:noWrap/>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229" w:type="pct"/>
            <w:noWrap/>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100万元以下</w:t>
            </w:r>
          </w:p>
        </w:tc>
        <w:tc>
          <w:tcPr>
            <w:tcW w:w="2770" w:type="pct"/>
            <w:noWrap/>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229" w:type="pct"/>
            <w:noWrap/>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100-500万元</w:t>
            </w:r>
          </w:p>
        </w:tc>
        <w:tc>
          <w:tcPr>
            <w:tcW w:w="2770" w:type="pct"/>
            <w:noWrap/>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29" w:type="pct"/>
            <w:noWrap/>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500-10000万元</w:t>
            </w:r>
          </w:p>
        </w:tc>
        <w:tc>
          <w:tcPr>
            <w:tcW w:w="2770" w:type="pct"/>
            <w:noWrap/>
            <w:vAlign w:val="center"/>
          </w:tcPr>
          <w:p>
            <w:pPr>
              <w:keepNext w:val="0"/>
              <w:keepLines w:val="0"/>
              <w:pageBreakBefore w:val="0"/>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0.45%</w:t>
            </w:r>
          </w:p>
        </w:tc>
      </w:tr>
    </w:tbl>
    <w:p>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zh-CN"/>
        </w:rPr>
        <w:t>结算方式及时间为：在中标公示结束后（领取中标通知书时）由中标单位一次性向采购代理机构付清。</w:t>
      </w:r>
    </w:p>
    <w:p>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收款单位（户名）：嘉兴市千秋工程咨询有限公司开化分公司；</w:t>
      </w:r>
    </w:p>
    <w:p>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开户银行：开化县农村信用合作联社；</w:t>
      </w:r>
    </w:p>
    <w:p>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银行账号：201000181661291。</w:t>
      </w:r>
    </w:p>
    <w:p>
      <w:pPr>
        <w:keepNext w:val="0"/>
        <w:keepLines w:val="0"/>
        <w:pageBreakBefore w:val="0"/>
        <w:kinsoku/>
        <w:wordWrap/>
        <w:overflowPunct/>
        <w:topLinePunct w:val="0"/>
        <w:bidi w:val="0"/>
        <w:snapToGrid w:val="0"/>
        <w:spacing w:line="500" w:lineRule="exact"/>
        <w:ind w:firstLine="551" w:firstLineChars="196"/>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0"/>
          <w:sz w:val="28"/>
          <w:szCs w:val="28"/>
          <w:highlight w:val="none"/>
        </w:rPr>
        <w:t>投标委托</w:t>
      </w:r>
    </w:p>
    <w:p>
      <w:pPr>
        <w:keepNext w:val="0"/>
        <w:keepLines w:val="0"/>
        <w:pageBreakBefore w:val="0"/>
        <w:kinsoku/>
        <w:wordWrap/>
        <w:overflowPunct/>
        <w:topLinePunct w:val="0"/>
        <w:bidi w:val="0"/>
        <w:spacing w:line="50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投标人代表无须出席开标现场，电子投标文件中的授权委托书须加盖单位公章。</w:t>
      </w:r>
    </w:p>
    <w:p>
      <w:pPr>
        <w:keepNext w:val="0"/>
        <w:keepLines w:val="0"/>
        <w:pageBreakBefore w:val="0"/>
        <w:kinsoku/>
        <w:wordWrap/>
        <w:overflowPunct/>
        <w:topLinePunct w:val="0"/>
        <w:autoSpaceDE/>
        <w:autoSpaceDN/>
        <w:bidi w:val="0"/>
        <w:adjustRightInd/>
        <w:snapToGrid w:val="0"/>
        <w:spacing w:line="500" w:lineRule="exact"/>
        <w:ind w:firstLine="562"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rPr>
        <w:t>关于中小企业参与政府采购活动的规定</w:t>
      </w:r>
    </w:p>
    <w:p>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（二）在工程采购项目中，工程由中小企业承建，即工程施工单位为中小企业；</w:t>
      </w:r>
    </w:p>
    <w:p>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（三）在服务采购项目中，服务由中小企业承接，即提供服务的人员为中小企业依照《中华人民共和国劳动</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》订立劳动合同的从业人员。</w:t>
      </w:r>
    </w:p>
    <w:p>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5.4</w:t>
      </w:r>
      <w:r>
        <w:rPr>
          <w:rFonts w:hint="eastAsia" w:ascii="仿宋" w:hAnsi="仿宋" w:eastAsia="仿宋" w:cs="仿宋"/>
          <w:color w:val="auto"/>
          <w:sz w:val="28"/>
          <w:szCs w:val="28"/>
          <w:highlight w:val="none"/>
        </w:rPr>
        <w:t>小型、微型企业参加投标时，应提供《中小企业声明函》；监狱或戒毒企业参加投标时应提供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省级以上监狱管理局、戒毒管理局（含新疆生产建设兵团）出具的属于监狱企业的证明文件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；残疾人福利性单位参加投标时应提供残疾人福利性单位声明函。</w:t>
      </w:r>
    </w:p>
    <w:p>
      <w:pPr>
        <w:keepNext w:val="0"/>
        <w:keepLines w:val="0"/>
        <w:pageBreakBefore w:val="0"/>
        <w:kinsoku/>
        <w:wordWrap/>
        <w:overflowPunct/>
        <w:topLinePunct w:val="0"/>
        <w:autoSpaceDE/>
        <w:autoSpaceDN/>
        <w:bidi w:val="0"/>
        <w:adjustRightInd/>
        <w:snapToGrid w:val="0"/>
        <w:spacing w:line="500" w:lineRule="exact"/>
        <w:ind w:firstLine="281" w:firstLineChars="1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w:t>
      </w:r>
      <w:r>
        <w:rPr>
          <w:rFonts w:hint="eastAsia" w:ascii="仿宋" w:hAnsi="仿宋" w:eastAsia="仿宋" w:cs="仿宋"/>
          <w:color w:val="auto"/>
          <w:sz w:val="28"/>
          <w:szCs w:val="28"/>
          <w:highlight w:val="none"/>
          <w:lang w:val="en-US" w:eastAsia="zh-CN"/>
        </w:rPr>
        <w:t>5.5符合条件但</w:t>
      </w:r>
      <w:r>
        <w:rPr>
          <w:rFonts w:hint="eastAsia" w:ascii="仿宋" w:hAnsi="仿宋" w:eastAsia="仿宋" w:cs="仿宋"/>
          <w:color w:val="auto"/>
          <w:sz w:val="28"/>
          <w:szCs w:val="28"/>
          <w:highlight w:val="none"/>
        </w:rPr>
        <w:t>不提供以上材料的投标人将不享受评审中价格扣除优惠。</w:t>
      </w:r>
    </w:p>
    <w:p>
      <w:pPr>
        <w:snapToGrid w:val="0"/>
        <w:spacing w:line="440" w:lineRule="exact"/>
        <w:ind w:firstLine="281" w:firstLineChars="1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▲6</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特别说明</w:t>
      </w:r>
    </w:p>
    <w:p>
      <w:pPr>
        <w:pStyle w:val="35"/>
        <w:spacing w:beforeAutospacing="0" w:afterAutospacing="0"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供应商所使用的资格、信誉、荣誉、业绩与企业认证必须为本法人所拥有(且在有效期内)。</w:t>
      </w:r>
    </w:p>
    <w:p>
      <w:pPr>
        <w:spacing w:line="440" w:lineRule="exact"/>
        <w:ind w:firstLine="551" w:firstLineChars="196"/>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7</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解释权</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本招标文件的《采购需求》、《评审办法》解释权归采购人，其余部分归采购代理机构。</w:t>
      </w:r>
    </w:p>
    <w:p>
      <w:pPr>
        <w:keepNext w:val="0"/>
        <w:keepLines w:val="0"/>
        <w:pageBreakBefore w:val="0"/>
        <w:kinsoku/>
        <w:wordWrap/>
        <w:overflowPunct/>
        <w:topLinePunct w:val="0"/>
        <w:autoSpaceDE w:val="0"/>
        <w:autoSpaceDN w:val="0"/>
        <w:bidi w:val="0"/>
        <w:spacing w:line="500" w:lineRule="exact"/>
        <w:ind w:firstLine="562" w:firstLineChars="200"/>
        <w:jc w:val="center"/>
        <w:rPr>
          <w:rFonts w:hint="eastAsia" w:ascii="仿宋" w:hAnsi="仿宋" w:eastAsia="仿宋" w:cs="仿宋"/>
          <w:b/>
          <w:bCs/>
          <w:color w:val="auto"/>
          <w:sz w:val="28"/>
          <w:szCs w:val="28"/>
          <w:highlight w:val="none"/>
          <w:lang w:val="zh-CN"/>
        </w:rPr>
      </w:pPr>
    </w:p>
    <w:p>
      <w:pPr>
        <w:keepNext w:val="0"/>
        <w:keepLines w:val="0"/>
        <w:pageBreakBefore w:val="0"/>
        <w:kinsoku/>
        <w:wordWrap/>
        <w:overflowPunct/>
        <w:topLinePunct w:val="0"/>
        <w:autoSpaceDE w:val="0"/>
        <w:autoSpaceDN w:val="0"/>
        <w:bidi w:val="0"/>
        <w:spacing w:line="500" w:lineRule="exact"/>
        <w:ind w:firstLine="562" w:firstLineChars="200"/>
        <w:jc w:val="center"/>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二、招标文件</w:t>
      </w:r>
    </w:p>
    <w:p>
      <w:pPr>
        <w:keepNext w:val="0"/>
        <w:keepLines w:val="0"/>
        <w:pageBreakBefore w:val="0"/>
        <w:kinsoku/>
        <w:wordWrap/>
        <w:overflowPunct/>
        <w:topLinePunct w:val="0"/>
        <w:autoSpaceDE w:val="0"/>
        <w:autoSpaceDN w:val="0"/>
        <w:bidi w:val="0"/>
        <w:spacing w:line="500" w:lineRule="exact"/>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color w:val="auto"/>
          <w:kern w:val="0"/>
          <w:sz w:val="28"/>
          <w:szCs w:val="28"/>
          <w:highlight w:val="none"/>
        </w:rPr>
        <w:t>8.</w:t>
      </w:r>
      <w:r>
        <w:rPr>
          <w:rFonts w:hint="eastAsia" w:ascii="仿宋" w:hAnsi="仿宋" w:eastAsia="仿宋" w:cs="仿宋"/>
          <w:b/>
          <w:bCs/>
          <w:color w:val="auto"/>
          <w:sz w:val="28"/>
          <w:szCs w:val="28"/>
          <w:highlight w:val="none"/>
          <w:lang w:val="zh-CN"/>
        </w:rPr>
        <w:t>招标文件的构成</w:t>
      </w:r>
    </w:p>
    <w:p>
      <w:pPr>
        <w:keepNext w:val="0"/>
        <w:keepLines w:val="0"/>
        <w:pageBreakBefore w:val="0"/>
        <w:kinsoku/>
        <w:wordWrap/>
        <w:overflowPunct/>
        <w:topLinePunct w:val="0"/>
        <w:autoSpaceDE w:val="0"/>
        <w:autoSpaceDN w:val="0"/>
        <w:bidi w:val="0"/>
        <w:spacing w:line="500" w:lineRule="exact"/>
        <w:ind w:firstLine="560" w:firstLineChars="200"/>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rPr>
        <w:t>8.1</w:t>
      </w:r>
      <w:r>
        <w:rPr>
          <w:rFonts w:hint="eastAsia" w:ascii="仿宋" w:hAnsi="仿宋" w:eastAsia="仿宋" w:cs="仿宋"/>
          <w:bCs/>
          <w:color w:val="auto"/>
          <w:sz w:val="28"/>
          <w:szCs w:val="28"/>
          <w:highlight w:val="none"/>
          <w:lang w:val="zh-CN"/>
        </w:rPr>
        <w:t>招标文件包括</w:t>
      </w:r>
    </w:p>
    <w:p>
      <w:pPr>
        <w:keepNext w:val="0"/>
        <w:keepLines w:val="0"/>
        <w:pageBreakBefore w:val="0"/>
        <w:kinsoku/>
        <w:wordWrap/>
        <w:overflowPunct/>
        <w:topLinePunct w:val="0"/>
        <w:autoSpaceDE w:val="0"/>
        <w:autoSpaceDN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第一章  招标公告</w:t>
      </w:r>
    </w:p>
    <w:p>
      <w:pPr>
        <w:keepNext w:val="0"/>
        <w:keepLines w:val="0"/>
        <w:pageBreakBefore w:val="0"/>
        <w:kinsoku/>
        <w:wordWrap/>
        <w:overflowPunct/>
        <w:topLinePunct w:val="0"/>
        <w:autoSpaceDE w:val="0"/>
        <w:autoSpaceDN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第二章  投标人须知及前附表</w:t>
      </w:r>
    </w:p>
    <w:p>
      <w:pPr>
        <w:keepNext w:val="0"/>
        <w:keepLines w:val="0"/>
        <w:pageBreakBefore w:val="0"/>
        <w:kinsoku/>
        <w:wordWrap/>
        <w:overflowPunct/>
        <w:topLinePunct w:val="0"/>
        <w:autoSpaceDE w:val="0"/>
        <w:autoSpaceDN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第三章  合同主要条款</w:t>
      </w:r>
    </w:p>
    <w:p>
      <w:pPr>
        <w:keepNext w:val="0"/>
        <w:keepLines w:val="0"/>
        <w:pageBreakBefore w:val="0"/>
        <w:kinsoku/>
        <w:wordWrap/>
        <w:overflowPunct/>
        <w:topLinePunct w:val="0"/>
        <w:autoSpaceDE w:val="0"/>
        <w:autoSpaceDN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第四章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val="zh-CN"/>
        </w:rPr>
        <w:t>采购需求</w:t>
      </w:r>
    </w:p>
    <w:p>
      <w:pPr>
        <w:keepNext w:val="0"/>
        <w:keepLines w:val="0"/>
        <w:pageBreakBefore w:val="0"/>
        <w:kinsoku/>
        <w:wordWrap/>
        <w:overflowPunct/>
        <w:topLinePunct w:val="0"/>
        <w:autoSpaceDE w:val="0"/>
        <w:autoSpaceDN w:val="0"/>
        <w:bidi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第五章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val="zh-CN"/>
        </w:rPr>
        <w:t>投标文件格式</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8.2</w:t>
      </w:r>
      <w:r>
        <w:rPr>
          <w:rFonts w:hint="eastAsia" w:ascii="仿宋" w:hAnsi="仿宋" w:eastAsia="仿宋" w:cs="仿宋"/>
          <w:color w:val="auto"/>
          <w:kern w:val="0"/>
          <w:sz w:val="28"/>
          <w:szCs w:val="28"/>
          <w:highlight w:val="none"/>
          <w:shd w:val="clear" w:color="auto" w:fill="FFFFFF"/>
        </w:rPr>
        <w:t>供应商应认真阅读招标文件中所有的事项、格式、条款和规范等要求，从而对招标文件做出实质性的响应。如果没有按照招标文件的要求提交全部投标文件或资料，没有对招标文件作出实质性响应，其风险应当由供应商自行承担。</w:t>
      </w:r>
    </w:p>
    <w:p>
      <w:pPr>
        <w:keepNext w:val="0"/>
        <w:keepLines w:val="0"/>
        <w:pageBreakBefore w:val="0"/>
        <w:tabs>
          <w:tab w:val="right" w:pos="9299"/>
        </w:tabs>
        <w:kinsoku/>
        <w:wordWrap/>
        <w:overflowPunct/>
        <w:topLinePunct w:val="0"/>
        <w:autoSpaceDE w:val="0"/>
        <w:autoSpaceDN w:val="0"/>
        <w:bidi w:val="0"/>
        <w:adjustRightInd w:val="0"/>
        <w:spacing w:line="500" w:lineRule="exact"/>
        <w:ind w:firstLine="562" w:firstLineChars="200"/>
        <w:rPr>
          <w:rFonts w:hint="eastAsia" w:ascii="仿宋" w:hAnsi="仿宋" w:eastAsia="仿宋" w:cs="仿宋"/>
          <w:b/>
          <w:color w:val="auto"/>
          <w:sz w:val="28"/>
          <w:szCs w:val="28"/>
          <w:highlight w:val="none"/>
          <w:lang w:val="zh-CN"/>
        </w:rPr>
      </w:pPr>
      <w:r>
        <w:rPr>
          <w:rFonts w:hint="eastAsia" w:ascii="仿宋" w:hAnsi="仿宋" w:eastAsia="仿宋" w:cs="仿宋"/>
          <w:b/>
          <w:color w:val="auto"/>
          <w:kern w:val="0"/>
          <w:sz w:val="28"/>
          <w:szCs w:val="28"/>
          <w:highlight w:val="none"/>
        </w:rPr>
        <w:t>9.</w:t>
      </w:r>
      <w:r>
        <w:rPr>
          <w:rFonts w:hint="eastAsia" w:ascii="仿宋" w:hAnsi="仿宋" w:eastAsia="仿宋" w:cs="仿宋"/>
          <w:b/>
          <w:color w:val="auto"/>
          <w:sz w:val="28"/>
          <w:szCs w:val="28"/>
          <w:highlight w:val="none"/>
          <w:lang w:val="zh-CN"/>
        </w:rPr>
        <w:t>招标文件的澄清与修改</w:t>
      </w:r>
      <w:r>
        <w:rPr>
          <w:rFonts w:hint="eastAsia" w:ascii="仿宋" w:hAnsi="仿宋" w:eastAsia="仿宋" w:cs="仿宋"/>
          <w:b/>
          <w:color w:val="auto"/>
          <w:sz w:val="28"/>
          <w:szCs w:val="28"/>
          <w:highlight w:val="none"/>
          <w:lang w:val="zh-CN"/>
        </w:rPr>
        <w:tab/>
      </w:r>
    </w:p>
    <w:p>
      <w:pPr>
        <w:keepNext w:val="0"/>
        <w:keepLines w:val="0"/>
        <w:pageBreakBefore w:val="0"/>
        <w:widowControl/>
        <w:kinsoku/>
        <w:wordWrap/>
        <w:overflowPunct/>
        <w:topLinePunct w:val="0"/>
        <w:bidi w:val="0"/>
        <w:spacing w:line="500" w:lineRule="exact"/>
        <w:ind w:firstLine="548" w:firstLineChars="196"/>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bCs/>
          <w:color w:val="auto"/>
          <w:sz w:val="28"/>
          <w:szCs w:val="28"/>
          <w:highlight w:val="none"/>
        </w:rPr>
        <w:t>9.1采购人或者采购代理机构可以对已发出的招标文件进行必要的澄清或者修改，但不得改变采购标的和资格条件。澄清或者修改应当在原公告发布媒体上发布澄清（更正）公告。澄清或者修改的内容为招标文件的组成部分。</w:t>
      </w:r>
    </w:p>
    <w:p>
      <w:pPr>
        <w:keepNext w:val="0"/>
        <w:keepLines w:val="0"/>
        <w:pageBreakBefore w:val="0"/>
        <w:tabs>
          <w:tab w:val="left" w:pos="527"/>
        </w:tabs>
        <w:kinsoku/>
        <w:wordWrap/>
        <w:overflowPunct/>
        <w:topLinePunct w:val="0"/>
        <w:bidi w:val="0"/>
        <w:snapToGrid w:val="0"/>
        <w:spacing w:line="5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9.2澄清或者修改的内容可能影响投标文件编制的，采购人或者采购代理机构应当在投标截止时间至少15日前(不足15日的，应当顺延提交投标文件的截止时间)。</w:t>
      </w:r>
    </w:p>
    <w:p>
      <w:pPr>
        <w:keepNext w:val="0"/>
        <w:keepLines w:val="0"/>
        <w:pageBreakBefore w:val="0"/>
        <w:kinsoku/>
        <w:wordWrap/>
        <w:overflowPunct/>
        <w:topLinePunct w:val="0"/>
        <w:bidi w:val="0"/>
        <w:snapToGrid w:val="0"/>
        <w:spacing w:line="50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9.3不论采购人向投标人发送的资料文件，还是投标人提出的问题，均采用信息发布网上公告形式，任何口头提问及答复一律无效。</w:t>
      </w:r>
    </w:p>
    <w:p>
      <w:pPr>
        <w:keepNext w:val="0"/>
        <w:keepLines w:val="0"/>
        <w:pageBreakBefore w:val="0"/>
        <w:kinsoku/>
        <w:wordWrap/>
        <w:overflowPunct/>
        <w:topLinePunct w:val="0"/>
        <w:autoSpaceDE w:val="0"/>
        <w:autoSpaceDN w:val="0"/>
        <w:bidi w:val="0"/>
        <w:adjustRightInd w:val="0"/>
        <w:spacing w:line="500" w:lineRule="exact"/>
        <w:rPr>
          <w:rFonts w:hint="eastAsia" w:ascii="仿宋" w:hAnsi="仿宋" w:eastAsia="仿宋" w:cs="仿宋"/>
          <w:color w:val="auto"/>
          <w:sz w:val="28"/>
          <w:szCs w:val="28"/>
          <w:highlight w:val="none"/>
          <w:lang w:val="zh-CN"/>
        </w:rPr>
      </w:pPr>
    </w:p>
    <w:p>
      <w:pPr>
        <w:keepNext w:val="0"/>
        <w:keepLines w:val="0"/>
        <w:pageBreakBefore w:val="0"/>
        <w:kinsoku/>
        <w:wordWrap/>
        <w:overflowPunct/>
        <w:topLinePunct w:val="0"/>
        <w:autoSpaceDE w:val="0"/>
        <w:autoSpaceDN w:val="0"/>
        <w:bidi w:val="0"/>
        <w:spacing w:line="500" w:lineRule="exact"/>
        <w:ind w:firstLine="562" w:firstLineChars="200"/>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三、投标文件的编制</w:t>
      </w:r>
    </w:p>
    <w:p>
      <w:pPr>
        <w:keepNext w:val="0"/>
        <w:keepLines w:val="0"/>
        <w:pageBreakBefore w:val="0"/>
        <w:tabs>
          <w:tab w:val="center" w:pos="4156"/>
        </w:tabs>
        <w:kinsoku/>
        <w:wordWrap/>
        <w:overflowPunct/>
        <w:topLinePunct w:val="0"/>
        <w:autoSpaceDE w:val="0"/>
        <w:autoSpaceDN w:val="0"/>
        <w:bidi w:val="0"/>
        <w:adjustRightInd w:val="0"/>
        <w:spacing w:line="500" w:lineRule="exact"/>
        <w:ind w:firstLine="535" w:firstLineChars="196"/>
        <w:rPr>
          <w:rFonts w:hint="eastAsia" w:ascii="仿宋" w:hAnsi="仿宋" w:eastAsia="仿宋" w:cs="仿宋"/>
          <w:b/>
          <w:color w:val="auto"/>
          <w:spacing w:val="-4"/>
          <w:sz w:val="28"/>
          <w:szCs w:val="28"/>
          <w:highlight w:val="none"/>
          <w:lang w:val="zh-CN"/>
        </w:rPr>
      </w:pPr>
      <w:r>
        <w:rPr>
          <w:rFonts w:hint="eastAsia" w:ascii="仿宋" w:hAnsi="仿宋" w:eastAsia="仿宋" w:cs="仿宋"/>
          <w:b/>
          <w:color w:val="auto"/>
          <w:spacing w:val="-4"/>
          <w:sz w:val="28"/>
          <w:szCs w:val="28"/>
          <w:highlight w:val="none"/>
        </w:rPr>
        <w:t>10.</w:t>
      </w:r>
      <w:r>
        <w:rPr>
          <w:rFonts w:hint="eastAsia" w:ascii="仿宋" w:hAnsi="仿宋" w:eastAsia="仿宋" w:cs="仿宋"/>
          <w:b/>
          <w:color w:val="auto"/>
          <w:spacing w:val="-4"/>
          <w:sz w:val="28"/>
          <w:szCs w:val="28"/>
          <w:highlight w:val="none"/>
          <w:lang w:val="zh-CN"/>
        </w:rPr>
        <w:t>投标文件的构成</w:t>
      </w:r>
    </w:p>
    <w:p>
      <w:pPr>
        <w:adjustRightInd w:val="0"/>
        <w:snapToGrid w:val="0"/>
        <w:spacing w:line="440" w:lineRule="exact"/>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bCs/>
          <w:color w:val="auto"/>
          <w:sz w:val="28"/>
          <w:szCs w:val="28"/>
          <w:highlight w:val="none"/>
          <w:lang w:eastAsia="zh-CN"/>
        </w:rPr>
        <w:t>投标文件均由资格证明文件、技术商务文件、报价文件三部份组成。电子投标文件中须加盖公章部分均采用CA签章。</w:t>
      </w:r>
    </w:p>
    <w:p>
      <w:pPr>
        <w:keepNext w:val="0"/>
        <w:keepLines w:val="0"/>
        <w:pageBreakBefore w:val="0"/>
        <w:widowControl/>
        <w:kinsoku/>
        <w:wordWrap/>
        <w:overflowPunct/>
        <w:topLinePunct w:val="0"/>
        <w:bidi w:val="0"/>
        <w:spacing w:line="500" w:lineRule="exact"/>
        <w:ind w:firstLine="280" w:firstLineChars="100"/>
        <w:jc w:val="left"/>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bCs/>
          <w:color w:val="auto"/>
          <w:kern w:val="0"/>
          <w:sz w:val="28"/>
          <w:szCs w:val="28"/>
          <w:highlight w:val="none"/>
        </w:rPr>
        <w:t>10.1资格证明文件</w:t>
      </w:r>
    </w:p>
    <w:p>
      <w:pPr>
        <w:keepNext w:val="0"/>
        <w:keepLines w:val="0"/>
        <w:pageBreakBefore w:val="0"/>
        <w:widowControl/>
        <w:kinsoku/>
        <w:wordWrap/>
        <w:overflowPunct/>
        <w:topLinePunct w:val="0"/>
        <w:bidi w:val="0"/>
        <w:spacing w:line="500" w:lineRule="exact"/>
        <w:ind w:firstLine="551" w:firstLineChars="197"/>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10.1.1包括但不限于以下内容：</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（1）投标声明书（格式附后）；</w:t>
      </w:r>
    </w:p>
    <w:p>
      <w:pPr>
        <w:pStyle w:val="219"/>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（2）最近一年度</w:t>
      </w:r>
      <w:r>
        <w:rPr>
          <w:rFonts w:hint="eastAsia" w:ascii="仿宋" w:hAnsi="仿宋" w:eastAsia="仿宋" w:cs="仿宋"/>
          <w:b/>
          <w:bCs/>
          <w:color w:val="auto"/>
          <w:sz w:val="28"/>
          <w:szCs w:val="28"/>
          <w:highlight w:val="none"/>
        </w:rPr>
        <w:t>投标人</w:t>
      </w:r>
      <w:r>
        <w:rPr>
          <w:rFonts w:hint="eastAsia" w:ascii="仿宋" w:hAnsi="仿宋" w:eastAsia="仿宋" w:cs="仿宋"/>
          <w:color w:val="auto"/>
          <w:kern w:val="2"/>
          <w:sz w:val="28"/>
          <w:szCs w:val="28"/>
          <w:highlight w:val="none"/>
        </w:rPr>
        <w:t>财务状况报告扫描件（投标人若是新注册成立的，无法提供财务状况报告，请提供情况说明）；</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（3）截至开标前6个月内</w:t>
      </w:r>
      <w:r>
        <w:rPr>
          <w:rFonts w:hint="eastAsia" w:ascii="仿宋" w:hAnsi="仿宋" w:eastAsia="仿宋" w:cs="仿宋"/>
          <w:b/>
          <w:bCs/>
          <w:color w:val="auto"/>
          <w:sz w:val="28"/>
          <w:szCs w:val="28"/>
          <w:highlight w:val="none"/>
        </w:rPr>
        <w:t>投标人</w:t>
      </w:r>
      <w:r>
        <w:rPr>
          <w:rFonts w:hint="eastAsia" w:ascii="仿宋" w:hAnsi="仿宋" w:eastAsia="仿宋" w:cs="仿宋"/>
          <w:color w:val="auto"/>
          <w:sz w:val="28"/>
          <w:szCs w:val="28"/>
          <w:highlight w:val="none"/>
        </w:rPr>
        <w:t>依法缴纳税收的证明(完税凭证扫描件或税务部门出具的证明扫描件，至少提供一个月）或依法免税证明；</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（4）法人或者其他组织的营业执照等证明文件扫描件；</w:t>
      </w:r>
    </w:p>
    <w:p>
      <w:pPr>
        <w:keepNext w:val="0"/>
        <w:keepLines w:val="0"/>
        <w:pageBreakBefore w:val="0"/>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法定代表人身份证明及身份证（正、反面）扫描件（格式附后）</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（6）法定代表人授权委托书（如为授权委托人参加投标，格式附后）；</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（7）截至开标前6个月内投标人为员工缴纳的社会保障资金证明（缴纳凭证扫描件或人社部门出具的证明扫描件，至少提供一个月；且若</w:t>
      </w:r>
      <w:r>
        <w:rPr>
          <w:rFonts w:hint="eastAsia" w:ascii="仿宋" w:hAnsi="仿宋" w:eastAsia="仿宋" w:cs="仿宋"/>
          <w:b/>
          <w:bCs/>
          <w:color w:val="auto"/>
          <w:sz w:val="28"/>
          <w:szCs w:val="28"/>
          <w:highlight w:val="none"/>
        </w:rPr>
        <w:t>授权委托人参与投标</w:t>
      </w:r>
      <w:r>
        <w:rPr>
          <w:rFonts w:hint="eastAsia" w:ascii="仿宋" w:hAnsi="仿宋" w:eastAsia="仿宋" w:cs="仿宋"/>
          <w:color w:val="auto"/>
          <w:sz w:val="28"/>
          <w:szCs w:val="28"/>
          <w:highlight w:val="none"/>
        </w:rPr>
        <w:t>，则提供的社会保障资金证明须体现投标人为</w:t>
      </w:r>
      <w:r>
        <w:rPr>
          <w:rFonts w:hint="eastAsia" w:ascii="仿宋" w:hAnsi="仿宋" w:eastAsia="仿宋" w:cs="仿宋"/>
          <w:b/>
          <w:bCs/>
          <w:color w:val="auto"/>
          <w:sz w:val="28"/>
          <w:szCs w:val="28"/>
          <w:highlight w:val="none"/>
        </w:rPr>
        <w:t>授权委托人</w:t>
      </w:r>
      <w:r>
        <w:rPr>
          <w:rFonts w:hint="eastAsia" w:ascii="仿宋" w:hAnsi="仿宋" w:eastAsia="仿宋" w:cs="仿宋"/>
          <w:color w:val="auto"/>
          <w:sz w:val="28"/>
          <w:szCs w:val="28"/>
          <w:highlight w:val="none"/>
        </w:rPr>
        <w:t>缴纳的社保情况，投标人若是新注册成立的，无法提供社保证明的，请提供情况说明）；</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（8）开标前三年内在经营活动中没有重大违法记录的承诺书；</w:t>
      </w:r>
    </w:p>
    <w:p>
      <w:pPr>
        <w:keepNext w:val="0"/>
        <w:keepLines w:val="0"/>
        <w:pageBreakBefore w:val="0"/>
        <w:widowControl/>
        <w:kinsoku/>
        <w:wordWrap/>
        <w:overflowPunct/>
        <w:topLinePunct w:val="0"/>
        <w:bidi w:val="0"/>
        <w:spacing w:line="500" w:lineRule="exac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)投标人需要说明的其他文件和说明（格式自拟）。</w:t>
      </w:r>
    </w:p>
    <w:p>
      <w:pPr>
        <w:keepNext w:val="0"/>
        <w:keepLines w:val="0"/>
        <w:pageBreakBefore w:val="0"/>
        <w:tabs>
          <w:tab w:val="center" w:pos="4715"/>
        </w:tabs>
        <w:kinsoku/>
        <w:wordWrap/>
        <w:overflowPunct/>
        <w:topLinePunct w:val="0"/>
        <w:bidi w:val="0"/>
        <w:spacing w:line="500" w:lineRule="exact"/>
        <w:ind w:firstLine="562" w:firstLineChars="200"/>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rPr>
        <w:t>10.1.</w:t>
      </w:r>
      <w:r>
        <w:rPr>
          <w:rFonts w:hint="eastAsia" w:ascii="仿宋" w:hAnsi="仿宋" w:eastAsia="仿宋" w:cs="仿宋"/>
          <w:b/>
          <w:color w:val="auto"/>
          <w:sz w:val="28"/>
          <w:szCs w:val="28"/>
          <w:highlight w:val="none"/>
          <w:lang w:val="zh-CN"/>
        </w:rPr>
        <w:t>2技术商务文件</w:t>
      </w:r>
    </w:p>
    <w:p>
      <w:pPr>
        <w:keepNext w:val="0"/>
        <w:keepLines w:val="0"/>
        <w:pageBreakBefore w:val="0"/>
        <w:widowControl/>
        <w:kinsoku/>
        <w:wordWrap/>
        <w:overflowPunct/>
        <w:topLinePunct w:val="0"/>
        <w:bidi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包括但不限于以下内容：</w:t>
      </w:r>
    </w:p>
    <w:p>
      <w:pPr>
        <w:keepNext w:val="0"/>
        <w:keepLines w:val="0"/>
        <w:pageBreakBefore w:val="0"/>
        <w:kinsoku/>
        <w:wordWrap/>
        <w:overflowPunct/>
        <w:topLinePunct w:val="0"/>
        <w:bidi w:val="0"/>
        <w:snapToGrid w:val="0"/>
        <w:spacing w:line="500" w:lineRule="exact"/>
        <w:ind w:firstLine="560" w:firstLineChars="20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▲（1）政府采购项目供应商技术商务评分索引表（格式附后）；</w:t>
      </w:r>
    </w:p>
    <w:p>
      <w:pPr>
        <w:keepNext w:val="0"/>
        <w:keepLines w:val="0"/>
        <w:pageBreakBefore w:val="0"/>
        <w:widowControl/>
        <w:numPr>
          <w:ilvl w:val="0"/>
          <w:numId w:val="1"/>
        </w:numPr>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企业业绩</w:t>
      </w:r>
      <w:r>
        <w:rPr>
          <w:rFonts w:hint="eastAsia" w:ascii="仿宋" w:hAnsi="仿宋" w:eastAsia="仿宋" w:cs="仿宋"/>
          <w:color w:val="auto"/>
          <w:sz w:val="28"/>
          <w:szCs w:val="28"/>
          <w:highlight w:val="none"/>
          <w:lang w:eastAsia="zh-CN"/>
        </w:rPr>
        <w:t>；</w:t>
      </w:r>
    </w:p>
    <w:p>
      <w:pPr>
        <w:keepNext w:val="0"/>
        <w:keepLines w:val="0"/>
        <w:pageBreakBefore w:val="0"/>
        <w:widowControl/>
        <w:numPr>
          <w:ilvl w:val="0"/>
          <w:numId w:val="1"/>
        </w:numPr>
        <w:kinsoku/>
        <w:wordWrap/>
        <w:overflowPunct/>
        <w:topLinePunct w:val="0"/>
        <w:bidi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企业</w:t>
      </w:r>
      <w:r>
        <w:rPr>
          <w:rFonts w:hint="eastAsia" w:ascii="仿宋" w:hAnsi="仿宋" w:eastAsia="仿宋" w:cs="仿宋"/>
          <w:color w:val="auto"/>
          <w:sz w:val="28"/>
          <w:szCs w:val="28"/>
          <w:highlight w:val="none"/>
          <w:lang w:eastAsia="zh-CN"/>
        </w:rPr>
        <w:t>荣誉</w:t>
      </w:r>
      <w:r>
        <w:rPr>
          <w:rFonts w:hint="eastAsia" w:ascii="仿宋" w:hAnsi="仿宋" w:eastAsia="仿宋" w:cs="仿宋"/>
          <w:color w:val="auto"/>
          <w:sz w:val="28"/>
          <w:szCs w:val="28"/>
          <w:highlight w:val="none"/>
          <w:lang w:val="zh-CN"/>
        </w:rPr>
        <w:t>；</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）企业资信；</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rPr>
        <w:t>）人员配置；</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）机具配置；</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rPr>
        <w:t>）管理制度；</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）保洁措施；</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）垃圾收集、分类管理；</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公厕管养专项方案</w:t>
      </w:r>
      <w:r>
        <w:rPr>
          <w:rFonts w:hint="eastAsia" w:ascii="仿宋" w:hAnsi="仿宋" w:eastAsia="仿宋" w:cs="仿宋"/>
          <w:color w:val="auto"/>
          <w:sz w:val="28"/>
          <w:szCs w:val="28"/>
          <w:highlight w:val="none"/>
          <w:lang w:val="zh-CN"/>
        </w:rPr>
        <w:t>；</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）作业管理方案；</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应急专项方案</w:t>
      </w:r>
      <w:r>
        <w:rPr>
          <w:rFonts w:hint="eastAsia" w:ascii="仿宋" w:hAnsi="仿宋" w:eastAsia="仿宋" w:cs="仿宋"/>
          <w:color w:val="auto"/>
          <w:sz w:val="28"/>
          <w:szCs w:val="28"/>
          <w:highlight w:val="none"/>
          <w:lang w:val="zh-CN"/>
        </w:rPr>
        <w:t>；</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 xml:space="preserve">）合理化建议； </w:t>
      </w:r>
    </w:p>
    <w:p>
      <w:pPr>
        <w:keepNext w:val="0"/>
        <w:keepLines w:val="0"/>
        <w:pageBreakBefore w:val="0"/>
        <w:tabs>
          <w:tab w:val="center" w:pos="4156"/>
        </w:tabs>
        <w:kinsoku/>
        <w:wordWrap/>
        <w:overflowPunct/>
        <w:topLinePunct w:val="0"/>
        <w:autoSpaceDE w:val="0"/>
        <w:autoSpaceDN w:val="0"/>
        <w:bidi w:val="0"/>
        <w:adjustRightInd w:val="0"/>
        <w:spacing w:line="5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）投标人需要提供的其他材料。</w:t>
      </w:r>
    </w:p>
    <w:p>
      <w:pPr>
        <w:keepNext w:val="0"/>
        <w:keepLines w:val="0"/>
        <w:pageBreakBefore w:val="0"/>
        <w:kinsoku/>
        <w:wordWrap/>
        <w:overflowPunct/>
        <w:topLinePunct w:val="0"/>
        <w:autoSpaceDE w:val="0"/>
        <w:autoSpaceDN w:val="0"/>
        <w:bidi w:val="0"/>
        <w:adjustRightInd w:val="0"/>
        <w:spacing w:line="500" w:lineRule="exact"/>
        <w:ind w:firstLine="562" w:firstLineChars="200"/>
        <w:rPr>
          <w:rFonts w:ascii="仿宋" w:hAnsi="仿宋" w:eastAsia="仿宋" w:cs="仿宋"/>
          <w:color w:val="auto"/>
          <w:sz w:val="28"/>
          <w:szCs w:val="28"/>
          <w:highlight w:val="none"/>
          <w:lang w:val="zh-CN"/>
        </w:rPr>
      </w:pPr>
      <w:r>
        <w:rPr>
          <w:rFonts w:hint="eastAsia" w:ascii="仿宋" w:hAnsi="仿宋" w:eastAsia="仿宋" w:cs="仿宋"/>
          <w:b/>
          <w:color w:val="auto"/>
          <w:sz w:val="28"/>
          <w:szCs w:val="28"/>
          <w:highlight w:val="none"/>
        </w:rPr>
        <w:t>10.1.</w:t>
      </w:r>
      <w:r>
        <w:rPr>
          <w:rFonts w:hint="eastAsia" w:ascii="仿宋" w:hAnsi="仿宋" w:eastAsia="仿宋" w:cs="仿宋"/>
          <w:b/>
          <w:color w:val="auto"/>
          <w:sz w:val="28"/>
          <w:szCs w:val="28"/>
          <w:highlight w:val="none"/>
          <w:lang w:val="zh-CN"/>
        </w:rPr>
        <w:t>3报价文件</w:t>
      </w:r>
    </w:p>
    <w:p>
      <w:pPr>
        <w:keepNext w:val="0"/>
        <w:keepLines w:val="0"/>
        <w:pageBreakBefore w:val="0"/>
        <w:widowControl/>
        <w:kinsoku/>
        <w:wordWrap/>
        <w:overflowPunct/>
        <w:topLinePunct w:val="0"/>
        <w:bidi w:val="0"/>
        <w:spacing w:line="500" w:lineRule="exact"/>
        <w:ind w:firstLine="548" w:firstLineChars="196"/>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包括但不限于以下内容：</w:t>
      </w:r>
    </w:p>
    <w:p>
      <w:pPr>
        <w:keepNext w:val="0"/>
        <w:keepLines w:val="0"/>
        <w:pageBreakBefore w:val="0"/>
        <w:tabs>
          <w:tab w:val="left" w:pos="527"/>
        </w:tabs>
        <w:kinsoku/>
        <w:wordWrap/>
        <w:overflowPunct/>
        <w:topLinePunct w:val="0"/>
        <w:bidi w:val="0"/>
        <w:spacing w:line="500" w:lineRule="exact"/>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（1）投标函（格式附后）；</w:t>
      </w:r>
    </w:p>
    <w:p>
      <w:pPr>
        <w:keepNext w:val="0"/>
        <w:keepLines w:val="0"/>
        <w:pageBreakBefore w:val="0"/>
        <w:tabs>
          <w:tab w:val="left" w:pos="527"/>
        </w:tabs>
        <w:kinsoku/>
        <w:wordWrap/>
        <w:overflowPunct/>
        <w:topLinePunct w:val="0"/>
        <w:bidi w:val="0"/>
        <w:spacing w:line="500" w:lineRule="exact"/>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（2）开标一览表（格式附后）；</w:t>
      </w:r>
    </w:p>
    <w:p>
      <w:pPr>
        <w:keepNext w:val="0"/>
        <w:keepLines w:val="0"/>
        <w:pageBreakBefore w:val="0"/>
        <w:tabs>
          <w:tab w:val="left" w:pos="527"/>
        </w:tabs>
        <w:kinsoku/>
        <w:wordWrap/>
        <w:overflowPunct/>
        <w:topLinePunct w:val="0"/>
        <w:bidi w:val="0"/>
        <w:spacing w:line="500" w:lineRule="exact"/>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（3）投标报价明细表</w:t>
      </w:r>
      <w:r>
        <w:rPr>
          <w:rFonts w:hint="eastAsia" w:ascii="仿宋" w:hAnsi="仿宋" w:eastAsia="仿宋" w:cs="仿宋"/>
          <w:color w:val="auto"/>
          <w:kern w:val="0"/>
          <w:sz w:val="28"/>
          <w:szCs w:val="28"/>
          <w:highlight w:val="none"/>
        </w:rPr>
        <w:t>（格式附后）；</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_Toc7785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中小企业声明函</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rPr>
        <w:t>（若有，格式附后）</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_Toc25322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残疾人福利性单位声明函</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rPr>
        <w:t>（若有）</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bidi w:val="0"/>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_Toc24542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省级以上监狱管理局、戒毒管理局（含新疆生产建设兵团）出具的属于监狱企业的证明文件扫描件</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rPr>
        <w:t>（若有）</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）投标人需要说明的其他文件和说明。</w:t>
      </w:r>
    </w:p>
    <w:p>
      <w:pPr>
        <w:keepNext w:val="0"/>
        <w:keepLines w:val="0"/>
        <w:pageBreakBefore w:val="0"/>
        <w:tabs>
          <w:tab w:val="center" w:pos="4156"/>
        </w:tabs>
        <w:kinsoku/>
        <w:wordWrap/>
        <w:overflowPunct/>
        <w:topLinePunct w:val="0"/>
        <w:autoSpaceDE w:val="0"/>
        <w:autoSpaceDN w:val="0"/>
        <w:bidi w:val="0"/>
        <w:adjustRightInd w:val="0"/>
        <w:spacing w:line="500" w:lineRule="exact"/>
        <w:ind w:firstLine="546" w:firstLineChars="200"/>
        <w:rPr>
          <w:rFonts w:ascii="仿宋" w:hAnsi="仿宋" w:eastAsia="仿宋" w:cs="仿宋"/>
          <w:b/>
          <w:color w:val="auto"/>
          <w:sz w:val="28"/>
          <w:szCs w:val="28"/>
          <w:highlight w:val="none"/>
          <w:lang w:val="zh-CN"/>
        </w:rPr>
      </w:pPr>
      <w:r>
        <w:rPr>
          <w:rFonts w:hint="eastAsia" w:ascii="仿宋" w:hAnsi="仿宋" w:eastAsia="仿宋" w:cs="仿宋"/>
          <w:b/>
          <w:color w:val="auto"/>
          <w:spacing w:val="-4"/>
          <w:sz w:val="28"/>
          <w:szCs w:val="28"/>
          <w:highlight w:val="none"/>
        </w:rPr>
        <w:t>11.</w:t>
      </w:r>
      <w:r>
        <w:rPr>
          <w:rFonts w:hint="eastAsia" w:ascii="仿宋" w:hAnsi="仿宋" w:eastAsia="仿宋" w:cs="仿宋"/>
          <w:b/>
          <w:color w:val="auto"/>
          <w:sz w:val="28"/>
          <w:szCs w:val="28"/>
          <w:highlight w:val="none"/>
          <w:lang w:val="zh-CN"/>
        </w:rPr>
        <w:t>投标文件的语言及计量单位</w:t>
      </w:r>
    </w:p>
    <w:p>
      <w:pPr>
        <w:keepNext w:val="0"/>
        <w:keepLines w:val="0"/>
        <w:pageBreakBefore w:val="0"/>
        <w:widowControl/>
        <w:kinsoku/>
        <w:wordWrap/>
        <w:overflowPunct/>
        <w:topLinePunct w:val="0"/>
        <w:bidi w:val="0"/>
        <w:spacing w:line="500" w:lineRule="exact"/>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.1投标文件以及投标人与采购单位就有关投标事宜的所有来往函电，均应以中文汉语书写。除签名、盖公章、专用名称等特殊情形外，以中文汉语以外的文字表述的投标文件视同未提供。</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bCs/>
          <w:color w:val="auto"/>
          <w:kern w:val="0"/>
          <w:sz w:val="28"/>
          <w:szCs w:val="28"/>
          <w:highlight w:val="none"/>
        </w:rPr>
        <w:t>1</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.2</w:t>
      </w:r>
      <w:r>
        <w:rPr>
          <w:rFonts w:hint="eastAsia" w:ascii="仿宋" w:hAnsi="仿宋" w:eastAsia="仿宋" w:cs="仿宋"/>
          <w:color w:val="auto"/>
          <w:kern w:val="0"/>
          <w:sz w:val="28"/>
          <w:szCs w:val="28"/>
          <w:highlight w:val="none"/>
        </w:rPr>
        <w:t>除技术性能中另有规定外，投标文件所使用的计量单位，一律使用法定计量单位。</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bCs/>
          <w:color w:val="auto"/>
          <w:kern w:val="0"/>
          <w:sz w:val="28"/>
          <w:szCs w:val="28"/>
          <w:highlight w:val="none"/>
        </w:rPr>
        <w:t>1</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.3</w:t>
      </w:r>
      <w:r>
        <w:rPr>
          <w:rFonts w:hint="eastAsia" w:ascii="仿宋" w:hAnsi="仿宋" w:eastAsia="仿宋" w:cs="仿宋"/>
          <w:color w:val="auto"/>
          <w:kern w:val="0"/>
          <w:sz w:val="28"/>
          <w:szCs w:val="28"/>
          <w:highlight w:val="none"/>
        </w:rPr>
        <w:t>招标文件已有明确规定的，使用招标文件规定的计量单位；招标文件没有规定的，应采用中华人民共和国法定计量单位（货币单位：人民币元），否则视同未响应。</w:t>
      </w:r>
    </w:p>
    <w:p>
      <w:pPr>
        <w:keepNext w:val="0"/>
        <w:keepLines w:val="0"/>
        <w:pageBreakBefore w:val="0"/>
        <w:tabs>
          <w:tab w:val="center" w:pos="4156"/>
        </w:tabs>
        <w:kinsoku/>
        <w:wordWrap/>
        <w:overflowPunct/>
        <w:topLinePunct w:val="0"/>
        <w:autoSpaceDE w:val="0"/>
        <w:autoSpaceDN w:val="0"/>
        <w:bidi w:val="0"/>
        <w:adjustRightInd w:val="0"/>
        <w:spacing w:line="500" w:lineRule="exact"/>
        <w:ind w:firstLine="560" w:firstLineChars="200"/>
        <w:rPr>
          <w:rFonts w:ascii="仿宋" w:hAnsi="仿宋" w:eastAsia="仿宋" w:cs="仿宋"/>
          <w:b/>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zh-CN"/>
        </w:rPr>
        <w:t>投标报价</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zh-CN"/>
        </w:rPr>
        <w:t>投标报价应按招标文件中相关附表格式填写。</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zh-CN"/>
        </w:rPr>
        <w:t>投标总价为完成开化县华埠镇城区环卫作业一体化服务采购项目</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zh-CN"/>
        </w:rPr>
        <w:t>详见本招标文件第四章采购需求）和合同有关条款等的所有费用。投标人应根据技术规格、要求及相关附表格式填写报价，报价单中不得漏填项目，如发生漏填项目，视为该项费用已包含在投标总价中。</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3投标人对所投项目只能提出一个不变总价，采购单位不接受任何选择价。</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val="zh-CN"/>
        </w:rPr>
        <w:t>报价表中标明的单价在合同执行过程中是固定不变的，投标人不得以任何理由予以变更。</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.5文字大写的数据与数字表示有差别，以大写为准</w:t>
      </w:r>
      <w:r>
        <w:rPr>
          <w:rFonts w:hint="eastAsia" w:ascii="仿宋" w:hAnsi="仿宋" w:eastAsia="仿宋" w:cs="仿宋"/>
          <w:color w:val="auto"/>
          <w:kern w:val="0"/>
          <w:sz w:val="28"/>
          <w:szCs w:val="28"/>
          <w:highlight w:val="none"/>
          <w:lang w:val="zh-CN"/>
        </w:rPr>
        <w:t>。</w:t>
      </w:r>
    </w:p>
    <w:p>
      <w:pPr>
        <w:spacing w:line="440" w:lineRule="exact"/>
        <w:ind w:firstLine="551" w:firstLineChars="196"/>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bCs/>
          <w:color w:val="auto"/>
          <w:sz w:val="28"/>
          <w:szCs w:val="28"/>
          <w:highlight w:val="none"/>
          <w:lang w:eastAsia="zh-CN"/>
        </w:rPr>
        <w:t>投标文件的制作、编写要求</w:t>
      </w:r>
    </w:p>
    <w:p>
      <w:pPr>
        <w:spacing w:line="440" w:lineRule="exact"/>
        <w:ind w:firstLine="551" w:firstLineChars="196"/>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13.</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投标文件按“政采云供应商项目采购-电子招投标操作指南”及本招标文件要求制作、加密并递交。</w:t>
      </w:r>
    </w:p>
    <w:p>
      <w:pPr>
        <w:adjustRightInd w:val="0"/>
        <w:snapToGrid w:val="0"/>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13.2</w:t>
      </w:r>
      <w:r>
        <w:rPr>
          <w:rFonts w:hint="eastAsia" w:ascii="仿宋" w:hAnsi="仿宋" w:eastAsia="仿宋" w:cs="仿宋"/>
          <w:color w:val="auto"/>
          <w:sz w:val="28"/>
          <w:szCs w:val="28"/>
          <w:highlight w:val="none"/>
          <w:lang w:eastAsia="zh-CN"/>
        </w:rPr>
        <w:t>投标人应按本招标文件规定的格式和顺序编制、装订投标文件并标注页码，投标文件内容不完整、编排混乱导致投标文件被误读、漏读或者查找不到相关内容的，为投标人的责任。</w:t>
      </w:r>
    </w:p>
    <w:p>
      <w:pPr>
        <w:spacing w:line="440" w:lineRule="exact"/>
        <w:ind w:firstLine="274" w:firstLineChars="98"/>
        <w:rPr>
          <w:rFonts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lang w:eastAsia="zh-CN"/>
        </w:rPr>
        <w:t>▲13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 xml:space="preserve"> 保证所提供的全部资料的真实性、完整性及有效性，对招标文件作出实质性响应。否则，其投标文件可能被拒绝。</w:t>
      </w:r>
    </w:p>
    <w:p>
      <w:pPr>
        <w:keepNext w:val="0"/>
        <w:keepLines w:val="0"/>
        <w:pageBreakBefore w:val="0"/>
        <w:widowControl/>
        <w:kinsoku/>
        <w:wordWrap/>
        <w:overflowPunct/>
        <w:topLinePunct w:val="0"/>
        <w:bidi w:val="0"/>
        <w:spacing w:line="500" w:lineRule="exact"/>
        <w:ind w:firstLine="562" w:firstLineChars="200"/>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w:t>
      </w:r>
      <w:r>
        <w:rPr>
          <w:rFonts w:hint="eastAsia" w:ascii="仿宋" w:hAnsi="仿宋" w:eastAsia="仿宋" w:cs="仿宋"/>
          <w:b/>
          <w:bCs/>
          <w:color w:val="auto"/>
          <w:kern w:val="0"/>
          <w:sz w:val="28"/>
          <w:szCs w:val="28"/>
          <w:highlight w:val="none"/>
          <w:lang w:val="en-US" w:eastAsia="zh-CN"/>
        </w:rPr>
        <w:t>4</w:t>
      </w:r>
      <w:r>
        <w:rPr>
          <w:rFonts w:hint="eastAsia" w:ascii="仿宋" w:hAnsi="仿宋" w:eastAsia="仿宋" w:cs="仿宋"/>
          <w:b/>
          <w:bCs/>
          <w:color w:val="auto"/>
          <w:kern w:val="0"/>
          <w:sz w:val="28"/>
          <w:szCs w:val="28"/>
          <w:highlight w:val="none"/>
        </w:rPr>
        <w:t>.投标的有效期</w:t>
      </w:r>
    </w:p>
    <w:p>
      <w:pPr>
        <w:keepNext w:val="0"/>
        <w:keepLines w:val="0"/>
        <w:pageBreakBefore w:val="0"/>
        <w:widowControl/>
        <w:kinsoku/>
        <w:wordWrap/>
        <w:overflowPunct/>
        <w:topLinePunct w:val="0"/>
        <w:bidi w:val="0"/>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rPr>
        <w:t>投标文件提交截止日起90日内。</w:t>
      </w:r>
    </w:p>
    <w:p>
      <w:pPr>
        <w:keepNext w:val="0"/>
        <w:keepLines w:val="0"/>
        <w:pageBreakBefore w:val="0"/>
        <w:widowControl/>
        <w:kinsoku/>
        <w:wordWrap/>
        <w:overflowPunct/>
        <w:topLinePunct w:val="0"/>
        <w:bidi w:val="0"/>
        <w:spacing w:line="500" w:lineRule="exact"/>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.2特殊情况下，采购单位可与投标人协商延长投标文件的有效期。</w:t>
      </w:r>
    </w:p>
    <w:p>
      <w:pPr>
        <w:keepNext w:val="0"/>
        <w:keepLines w:val="0"/>
        <w:pageBreakBefore w:val="0"/>
        <w:widowControl/>
        <w:kinsoku/>
        <w:wordWrap/>
        <w:overflowPunct/>
        <w:topLinePunct w:val="0"/>
        <w:bidi w:val="0"/>
        <w:spacing w:line="500" w:lineRule="exact"/>
        <w:jc w:val="center"/>
        <w:outlineLvl w:val="2"/>
        <w:rPr>
          <w:rFonts w:ascii="仿宋" w:hAnsi="仿宋" w:eastAsia="仿宋" w:cs="仿宋"/>
          <w:b/>
          <w:bCs/>
          <w:color w:val="auto"/>
          <w:kern w:val="0"/>
          <w:sz w:val="28"/>
          <w:szCs w:val="28"/>
          <w:highlight w:val="none"/>
        </w:rPr>
      </w:pPr>
      <w:bookmarkStart w:id="54" w:name="_Toc358384692"/>
      <w:bookmarkStart w:id="55" w:name="_Toc326937534"/>
      <w:bookmarkStart w:id="56" w:name="_Toc433917264"/>
      <w:bookmarkStart w:id="57" w:name="_Toc393201711"/>
      <w:bookmarkStart w:id="58" w:name="_Toc333842548"/>
      <w:bookmarkStart w:id="59" w:name="_Toc479236976"/>
      <w:r>
        <w:rPr>
          <w:rFonts w:hint="eastAsia" w:ascii="仿宋" w:hAnsi="仿宋" w:eastAsia="仿宋" w:cs="仿宋"/>
          <w:b/>
          <w:bCs/>
          <w:color w:val="auto"/>
          <w:kern w:val="0"/>
          <w:sz w:val="28"/>
          <w:szCs w:val="28"/>
          <w:highlight w:val="none"/>
        </w:rPr>
        <w:t>四、投标文件的包装与递交</w:t>
      </w:r>
      <w:bookmarkEnd w:id="54"/>
      <w:bookmarkEnd w:id="55"/>
      <w:bookmarkEnd w:id="56"/>
      <w:bookmarkEnd w:id="57"/>
      <w:bookmarkEnd w:id="58"/>
      <w:bookmarkEnd w:id="59"/>
    </w:p>
    <w:p>
      <w:pPr>
        <w:keepNext w:val="0"/>
        <w:keepLines w:val="0"/>
        <w:pageBreakBefore w:val="0"/>
        <w:widowControl/>
        <w:kinsoku/>
        <w:wordWrap/>
        <w:overflowPunct/>
        <w:topLinePunct w:val="0"/>
        <w:bidi w:val="0"/>
        <w:spacing w:line="500" w:lineRule="exact"/>
        <w:ind w:firstLine="562" w:firstLineChars="200"/>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 投标文件的签署和份数</w:t>
      </w:r>
    </w:p>
    <w:p>
      <w:pPr>
        <w:widowControl w:val="0"/>
        <w:spacing w:line="440" w:lineRule="exact"/>
        <w:ind w:firstLine="560" w:firstLineChars="2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15.1电子投标文件按“政采云平台供应商项目采购-电子招投标操作指南”</w:t>
      </w: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lang w:eastAsia="zh-CN"/>
        </w:rPr>
        <w:instrText xml:space="preserve"> HYPERLINK "https://help.zcy.gov.cn/web/site_2/2018/12-28/2573.html）及本招标文件规定的格式和顺序编制电子投标文件并进行关联定位。"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lang w:eastAsia="zh-CN"/>
        </w:rPr>
        <w:t>及本招标文件规定的格式和顺序编制电子投标文件并进行关联定位，投标文件内容不完整、编排混乱、关联错误导致投标文件被误读、漏读或者查找不到相关内容的，是投标人的责任。</w:t>
      </w:r>
      <w:r>
        <w:rPr>
          <w:rFonts w:hint="eastAsia" w:ascii="仿宋" w:hAnsi="仿宋" w:eastAsia="仿宋" w:cs="仿宋"/>
          <w:bCs/>
          <w:color w:val="auto"/>
          <w:sz w:val="28"/>
          <w:szCs w:val="28"/>
          <w:highlight w:val="none"/>
        </w:rPr>
        <w:fldChar w:fldCharType="end"/>
      </w:r>
    </w:p>
    <w:p>
      <w:pPr>
        <w:widowControl w:val="0"/>
        <w:spacing w:line="440" w:lineRule="exact"/>
        <w:ind w:firstLine="280" w:firstLineChars="1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▲15.2电子投标文件中须加盖公章部分均采用CA签章。</w:t>
      </w:r>
    </w:p>
    <w:p>
      <w:pPr>
        <w:widowControl w:val="0"/>
        <w:adjustRightInd w:val="0"/>
        <w:snapToGrid w:val="0"/>
        <w:spacing w:line="440" w:lineRule="exact"/>
        <w:ind w:firstLine="551" w:firstLineChars="196"/>
        <w:jc w:val="both"/>
        <w:rPr>
          <w:rFonts w:hint="eastAsia" w:ascii="仿宋" w:hAnsi="仿宋" w:eastAsia="仿宋" w:cs="仿宋"/>
          <w:bCs/>
          <w:color w:val="auto"/>
          <w:sz w:val="28"/>
          <w:szCs w:val="28"/>
          <w:highlight w:val="none"/>
          <w:lang w:eastAsia="zh-CN"/>
        </w:rPr>
      </w:pPr>
      <w:r>
        <w:rPr>
          <w:rFonts w:hint="eastAsia" w:ascii="仿宋" w:hAnsi="仿宋" w:eastAsia="仿宋" w:cs="仿宋"/>
          <w:b/>
          <w:bCs/>
          <w:color w:val="auto"/>
          <w:sz w:val="28"/>
          <w:szCs w:val="28"/>
          <w:highlight w:val="none"/>
          <w:lang w:eastAsia="zh-CN"/>
        </w:rPr>
        <w:t>16</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投标截止时间和地址</w:t>
      </w:r>
    </w:p>
    <w:p>
      <w:pPr>
        <w:pStyle w:val="35"/>
        <w:tabs>
          <w:tab w:val="left" w:pos="6930"/>
        </w:tabs>
        <w:spacing w:beforeAutospacing="0" w:afterAutospacing="0"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eastAsia="zh-CN"/>
        </w:rPr>
        <w:t>16.1截止</w:t>
      </w:r>
      <w:r>
        <w:rPr>
          <w:rFonts w:hint="eastAsia" w:ascii="仿宋" w:hAnsi="仿宋" w:eastAsia="仿宋" w:cs="仿宋"/>
          <w:color w:val="auto"/>
          <w:sz w:val="28"/>
          <w:szCs w:val="28"/>
          <w:highlight w:val="none"/>
          <w:lang w:eastAsia="zh-CN"/>
        </w:rPr>
        <w:t>时间：</w:t>
      </w:r>
      <w:r>
        <w:rPr>
          <w:rFonts w:hint="eastAsia" w:ascii="仿宋" w:hAnsi="仿宋" w:eastAsia="仿宋" w:cs="仿宋"/>
          <w:b w:val="0"/>
          <w:bCs w:val="0"/>
          <w:i w:val="0"/>
          <w:iCs w:val="0"/>
          <w:color w:val="auto"/>
          <w:kern w:val="2"/>
          <w:sz w:val="28"/>
          <w:szCs w:val="28"/>
          <w:highlight w:val="none"/>
          <w:u w:val="single"/>
        </w:rPr>
        <w:t>202</w:t>
      </w:r>
      <w:r>
        <w:rPr>
          <w:rFonts w:hint="eastAsia" w:ascii="仿宋" w:hAnsi="仿宋" w:eastAsia="仿宋" w:cs="仿宋"/>
          <w:b w:val="0"/>
          <w:bCs w:val="0"/>
          <w:i w:val="0"/>
          <w:iCs w:val="0"/>
          <w:color w:val="auto"/>
          <w:kern w:val="2"/>
          <w:sz w:val="28"/>
          <w:szCs w:val="28"/>
          <w:highlight w:val="none"/>
          <w:u w:val="single"/>
          <w:lang w:val="en-US" w:eastAsia="zh-CN"/>
        </w:rPr>
        <w:t>2</w:t>
      </w:r>
      <w:r>
        <w:rPr>
          <w:rFonts w:hint="eastAsia" w:ascii="仿宋" w:hAnsi="仿宋" w:eastAsia="仿宋" w:cs="仿宋"/>
          <w:b w:val="0"/>
          <w:bCs w:val="0"/>
          <w:i w:val="0"/>
          <w:iCs w:val="0"/>
          <w:color w:val="auto"/>
          <w:kern w:val="2"/>
          <w:sz w:val="28"/>
          <w:szCs w:val="28"/>
          <w:highlight w:val="none"/>
          <w:u w:val="none"/>
        </w:rPr>
        <w:t>年</w:t>
      </w:r>
      <w:r>
        <w:rPr>
          <w:rFonts w:hint="eastAsia" w:ascii="仿宋" w:hAnsi="仿宋" w:eastAsia="仿宋" w:cs="仿宋"/>
          <w:b w:val="0"/>
          <w:bCs w:val="0"/>
          <w:i w:val="0"/>
          <w:iCs w:val="0"/>
          <w:color w:val="auto"/>
          <w:kern w:val="2"/>
          <w:sz w:val="28"/>
          <w:szCs w:val="28"/>
          <w:highlight w:val="none"/>
          <w:u w:val="single"/>
          <w:lang w:val="en-US" w:eastAsia="zh-CN"/>
        </w:rPr>
        <w:t xml:space="preserve"> 3 </w:t>
      </w:r>
      <w:r>
        <w:rPr>
          <w:rFonts w:hint="eastAsia" w:ascii="仿宋" w:hAnsi="仿宋" w:eastAsia="仿宋" w:cs="仿宋"/>
          <w:b w:val="0"/>
          <w:bCs w:val="0"/>
          <w:i w:val="0"/>
          <w:iCs w:val="0"/>
          <w:color w:val="auto"/>
          <w:kern w:val="2"/>
          <w:sz w:val="28"/>
          <w:szCs w:val="28"/>
          <w:highlight w:val="none"/>
          <w:u w:val="none"/>
        </w:rPr>
        <w:t>月</w:t>
      </w:r>
      <w:r>
        <w:rPr>
          <w:rFonts w:hint="eastAsia" w:ascii="仿宋" w:hAnsi="仿宋" w:eastAsia="仿宋" w:cs="仿宋"/>
          <w:b w:val="0"/>
          <w:bCs w:val="0"/>
          <w:i w:val="0"/>
          <w:iCs w:val="0"/>
          <w:color w:val="auto"/>
          <w:kern w:val="2"/>
          <w:sz w:val="28"/>
          <w:szCs w:val="28"/>
          <w:highlight w:val="none"/>
          <w:u w:val="single"/>
          <w:lang w:val="en-US" w:eastAsia="zh-CN"/>
        </w:rPr>
        <w:t xml:space="preserve"> 15 </w:t>
      </w:r>
      <w:r>
        <w:rPr>
          <w:rFonts w:hint="eastAsia" w:ascii="仿宋" w:hAnsi="仿宋" w:eastAsia="仿宋" w:cs="仿宋"/>
          <w:b w:val="0"/>
          <w:bCs w:val="0"/>
          <w:i w:val="0"/>
          <w:iCs w:val="0"/>
          <w:color w:val="auto"/>
          <w:kern w:val="2"/>
          <w:sz w:val="28"/>
          <w:szCs w:val="28"/>
          <w:highlight w:val="none"/>
          <w:u w:val="none"/>
        </w:rPr>
        <w:t>日</w:t>
      </w:r>
      <w:r>
        <w:rPr>
          <w:rFonts w:hint="eastAsia" w:ascii="仿宋" w:hAnsi="仿宋" w:eastAsia="仿宋" w:cs="仿宋"/>
          <w:b w:val="0"/>
          <w:bCs w:val="0"/>
          <w:i w:val="0"/>
          <w:iCs w:val="0"/>
          <w:color w:val="auto"/>
          <w:sz w:val="28"/>
          <w:szCs w:val="28"/>
          <w:highlight w:val="none"/>
          <w:lang w:val="en-US" w:eastAsia="zh-CN"/>
        </w:rPr>
        <w:t>09</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0时</w:t>
      </w:r>
      <w:r>
        <w:rPr>
          <w:rFonts w:hint="eastAsia" w:ascii="仿宋" w:hAnsi="仿宋" w:eastAsia="仿宋" w:cs="仿宋"/>
          <w:color w:val="auto"/>
          <w:sz w:val="28"/>
          <w:szCs w:val="28"/>
          <w:highlight w:val="none"/>
          <w:lang w:eastAsia="zh-CN"/>
        </w:rPr>
        <w:t>，逾期不受理；</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16.2开标地点（网址）：通过政府采购云平台（https://login.zcygov.cn）在线开标。</w:t>
      </w:r>
    </w:p>
    <w:p>
      <w:pPr>
        <w:spacing w:line="440" w:lineRule="exact"/>
        <w:ind w:firstLine="562" w:firstLineChars="200"/>
        <w:rPr>
          <w:rFonts w:hint="eastAsia" w:ascii="仿宋" w:hAnsi="仿宋" w:eastAsia="仿宋" w:cs="仿宋"/>
          <w:b/>
          <w:bCs/>
          <w:color w:val="auto"/>
          <w:sz w:val="28"/>
          <w:szCs w:val="28"/>
          <w:highlight w:val="none"/>
          <w:lang w:eastAsia="zh-CN"/>
        </w:rPr>
      </w:pPr>
      <w:bookmarkStart w:id="60" w:name="_Toc479236977"/>
      <w:bookmarkStart w:id="61" w:name="_Toc433917265"/>
      <w:bookmarkStart w:id="62" w:name="_Toc393201712"/>
      <w:r>
        <w:rPr>
          <w:rFonts w:hint="eastAsia" w:ascii="仿宋" w:hAnsi="仿宋" w:eastAsia="仿宋" w:cs="仿宋"/>
          <w:b/>
          <w:bCs/>
          <w:color w:val="auto"/>
          <w:sz w:val="28"/>
          <w:szCs w:val="28"/>
          <w:highlight w:val="none"/>
          <w:lang w:eastAsia="zh-CN"/>
        </w:rPr>
        <w:t>17</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投标文件的补充、修改和撤回</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eastAsia="zh-CN"/>
        </w:rPr>
        <w:t>17.1投标人应当在投标截止时间前完成电子投标文件的传输递交，投标截止时</w:t>
      </w:r>
      <w:r>
        <w:rPr>
          <w:rFonts w:hint="eastAsia" w:ascii="仿宋" w:hAnsi="仿宋" w:eastAsia="仿宋" w:cs="仿宋"/>
          <w:color w:val="auto"/>
          <w:sz w:val="28"/>
          <w:szCs w:val="28"/>
          <w:highlight w:val="none"/>
          <w:lang w:eastAsia="zh-CN"/>
        </w:rPr>
        <w:t>间前可以补充、修改或者撤回电子投标文件。补充或者修改电子投标文件的，应当先行撤回原文件，补充、修改后重新传输递交。投标截止时间前未完成传输的，视为未提供电子投标文件，投标无效。投标截止时间后递交的电子投标文件，将被政采云平台拒收。</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17.2投标人修改后的投标文件应按原来的规定编制、密封、标记和递交。</w:t>
      </w:r>
    </w:p>
    <w:p>
      <w:pPr>
        <w:snapToGrid w:val="0"/>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17.3在递交投标文件截止期之后，投标人不得对其投标文件做任何修改。</w:t>
      </w:r>
    </w:p>
    <w:p>
      <w:pPr>
        <w:snapToGrid w:val="0"/>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17.4递交投标文件截止期后，投标人不得撤回其投标文件。</w:t>
      </w:r>
    </w:p>
    <w:p>
      <w:pPr>
        <w:snapToGrid w:val="0"/>
        <w:spacing w:line="440" w:lineRule="exact"/>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8"/>
          <w:szCs w:val="28"/>
          <w:highlight w:val="none"/>
          <w:lang w:eastAsia="zh-CN"/>
        </w:rPr>
        <w:t>17.5实质上没有响应本文件要求的投标文件将被拒绝。投标人不得通过修正或撤销不合要求的偏离或保留从而使其投标文件成为实质上响应的文件。</w:t>
      </w:r>
    </w:p>
    <w:p>
      <w:pPr>
        <w:keepNext w:val="0"/>
        <w:keepLines w:val="0"/>
        <w:pageBreakBefore w:val="0"/>
        <w:widowControl/>
        <w:kinsoku/>
        <w:wordWrap/>
        <w:overflowPunct/>
        <w:topLinePunct w:val="0"/>
        <w:bidi w:val="0"/>
        <w:spacing w:line="500" w:lineRule="exact"/>
        <w:jc w:val="center"/>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五、开标、评标和定标</w:t>
      </w:r>
      <w:bookmarkEnd w:id="60"/>
      <w:bookmarkEnd w:id="61"/>
      <w:bookmarkEnd w:id="62"/>
    </w:p>
    <w:p>
      <w:pPr>
        <w:spacing w:line="440" w:lineRule="exact"/>
        <w:ind w:firstLine="551" w:firstLineChars="196"/>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18</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开评标程序</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采购代理机构将按照招标文件规定的时间、地点和程序组织开标，投标人应派法定代表人或其授权委托人准时参加线上开标会议，无关人员不得进入开标现场。投标人如未准时在线参加的，事后不得对采购相关人员、开标过程和开标结果提出异议。</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18.1主持人介绍开标现场的人员情况，告知投标人代表相关权利、义务、开评标纪律、应当回避的情形等注意事项。</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18.2投标截止时，电子交易平台自动提取所有电子投标文件。采购代理机构点击[开始解密]按钮后，投标人用“项目采购-开标评标”功能对投标文件进行在线解密。解密时限为</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lang w:eastAsia="zh-CN"/>
        </w:rPr>
        <w:t>分钟。</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解密时限内未完成解密且按规定提供了备份投标文件的，招标方将拆封其备份投标文件，并导入电子交易平台。</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18.3由采购人代表对资格证明文件进行评审，公布资格证明文件评审结果。</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18</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由评标委员会对技术商务文件进行评审，公布商务和技术评审无效投标人名称及理由，有效投标人的商务和技术得分情况；</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18</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lang w:eastAsia="zh-CN"/>
        </w:rPr>
        <w:t>在电子交易平台开启投标人的报价文件信息，投标人对报价信息进行确认。投标人对报价信息不予确认的不影响后续评标过程。</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18</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lang w:eastAsia="zh-CN"/>
        </w:rPr>
        <w:t>评标委员会对报价情况进行评审；</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18</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lang w:eastAsia="zh-CN"/>
        </w:rPr>
        <w:t>公布评审结果。</w:t>
      </w:r>
    </w:p>
    <w:p>
      <w:pPr>
        <w:spacing w:line="440" w:lineRule="exact"/>
        <w:ind w:firstLine="551" w:firstLineChars="196"/>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19</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color w:val="auto"/>
          <w:sz w:val="28"/>
          <w:szCs w:val="28"/>
          <w:highlight w:val="none"/>
          <w:lang w:eastAsia="zh-CN"/>
        </w:rPr>
        <w:t>组建</w:t>
      </w:r>
      <w:r>
        <w:rPr>
          <w:rFonts w:hint="eastAsia" w:ascii="仿宋" w:hAnsi="仿宋" w:eastAsia="仿宋" w:cs="仿宋"/>
          <w:b/>
          <w:bCs/>
          <w:color w:val="auto"/>
          <w:sz w:val="28"/>
          <w:szCs w:val="28"/>
          <w:highlight w:val="none"/>
          <w:lang w:eastAsia="zh-CN"/>
        </w:rPr>
        <w:t>评标委员会</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19.1评标工作由评标委员会负责，评标委员会由采购人代表和评审专家组成，成员人数为5人，其中评审专家不得少于成员总数的三分之二。</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19.2评标组长由</w:t>
      </w:r>
      <w:r>
        <w:rPr>
          <w:rFonts w:hint="eastAsia" w:ascii="仿宋" w:hAnsi="仿宋" w:eastAsia="仿宋" w:cs="仿宋"/>
          <w:bCs/>
          <w:color w:val="auto"/>
          <w:sz w:val="28"/>
          <w:szCs w:val="28"/>
          <w:highlight w:val="none"/>
          <w:lang w:eastAsia="zh-CN"/>
        </w:rPr>
        <w:t>评标委员会</w:t>
      </w:r>
      <w:r>
        <w:rPr>
          <w:rFonts w:hint="eastAsia" w:ascii="仿宋" w:hAnsi="仿宋" w:eastAsia="仿宋" w:cs="仿宋"/>
          <w:color w:val="auto"/>
          <w:sz w:val="28"/>
          <w:szCs w:val="28"/>
          <w:highlight w:val="none"/>
          <w:lang w:eastAsia="zh-CN"/>
        </w:rPr>
        <w:t>成员推荐产生，采购人代表不得担任评标组长。</w:t>
      </w:r>
    </w:p>
    <w:p>
      <w:pPr>
        <w:keepNext w:val="0"/>
        <w:keepLines w:val="0"/>
        <w:pageBreakBefore w:val="0"/>
        <w:widowControl/>
        <w:kinsoku/>
        <w:wordWrap/>
        <w:overflowPunct/>
        <w:topLinePunct w:val="0"/>
        <w:autoSpaceDE/>
        <w:autoSpaceDN/>
        <w:bidi w:val="0"/>
        <w:adjustRightInd/>
        <w:spacing w:line="500" w:lineRule="exact"/>
        <w:ind w:firstLine="551" w:firstLineChars="196"/>
        <w:jc w:val="left"/>
        <w:textAlignment w:val="auto"/>
        <w:rPr>
          <w:rFonts w:hint="eastAsia" w:ascii="仿宋" w:hAnsi="仿宋" w:eastAsia="仿宋" w:cs="仿宋"/>
          <w:b/>
          <w:bCs/>
          <w:iCs/>
          <w:color w:val="auto"/>
          <w:kern w:val="0"/>
          <w:sz w:val="28"/>
          <w:szCs w:val="28"/>
          <w:highlight w:val="none"/>
        </w:rPr>
      </w:pPr>
      <w:r>
        <w:rPr>
          <w:rFonts w:hint="eastAsia" w:ascii="仿宋" w:hAnsi="仿宋" w:eastAsia="仿宋" w:cs="仿宋"/>
          <w:b/>
          <w:bCs/>
          <w:color w:val="auto"/>
          <w:sz w:val="28"/>
          <w:szCs w:val="28"/>
          <w:highlight w:val="none"/>
          <w:lang w:eastAsia="zh-CN"/>
        </w:rPr>
        <w:t>2</w:t>
      </w:r>
      <w:r>
        <w:rPr>
          <w:rFonts w:hint="eastAsia" w:ascii="仿宋" w:hAnsi="仿宋" w:eastAsia="仿宋" w:cs="仿宋"/>
          <w:b/>
          <w:color w:val="auto"/>
          <w:sz w:val="28"/>
          <w:szCs w:val="28"/>
          <w:highlight w:val="none"/>
          <w:lang w:eastAsia="zh-CN"/>
        </w:rPr>
        <w:t>0</w:t>
      </w:r>
      <w:r>
        <w:rPr>
          <w:rFonts w:hint="eastAsia" w:ascii="仿宋" w:hAnsi="仿宋" w:eastAsia="仿宋" w:cs="仿宋"/>
          <w:b/>
          <w:color w:val="auto"/>
          <w:sz w:val="28"/>
          <w:szCs w:val="28"/>
          <w:highlight w:val="none"/>
          <w:lang w:val="en-US" w:eastAsia="zh-CN"/>
        </w:rPr>
        <w:t>.组织</w:t>
      </w:r>
      <w:r>
        <w:rPr>
          <w:rFonts w:hint="eastAsia" w:ascii="仿宋" w:hAnsi="仿宋" w:eastAsia="仿宋" w:cs="仿宋"/>
          <w:b/>
          <w:color w:val="auto"/>
          <w:sz w:val="28"/>
          <w:szCs w:val="28"/>
          <w:highlight w:val="none"/>
          <w:lang w:eastAsia="zh-CN"/>
        </w:rPr>
        <w:t>评标程序</w:t>
      </w:r>
    </w:p>
    <w:p>
      <w:pPr>
        <w:spacing w:line="44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采购组织机构要按照采购文件规定的时间、地点及程序组织评标，各评审专家及相关人员应参加评审活动并接受核验、签到，无关人员不得进入评审现场。</w:t>
      </w:r>
    </w:p>
    <w:p>
      <w:pPr>
        <w:spacing w:line="44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20.1开启开标场地录音录像采集设备，并确保正常运行。</w:t>
      </w:r>
    </w:p>
    <w:p>
      <w:pPr>
        <w:spacing w:line="44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20.2按规定统一收缴、保存评标现场相关人员通讯工具。</w:t>
      </w:r>
    </w:p>
    <w:p>
      <w:pPr>
        <w:spacing w:line="44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20.3介绍评审现场的人员情况，宣布评审工作纪律，告知评审人员应当回避情形；组织推选评标委员会组长。</w:t>
      </w:r>
    </w:p>
    <w:p>
      <w:pPr>
        <w:spacing w:line="44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20.4宣读提交投标文件的供应商名单，组织评标委员会各位成员签订纸质形式的《政府采购评审人员廉洁自律承诺书》。</w:t>
      </w:r>
    </w:p>
    <w:p>
      <w:pPr>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20.5采购人可以在评标前说明项目背景和采购需求，说明内容不得含有歧视性、倾向性意见，不得超出招标文件所述范围。说明应当提交书面材料，并随采购文件一并存档。</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评标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评标委员会对各供应商投标文件的有效性、完整性和响应程度进行审查，确定是否对招标文件作出实质性响应。</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评标委员会按招标文件规定的评审方法和评审标准，依法独立对供应商投标文件进行评估、比较，并给予评价或打分，不受任何单位和个人的干预。</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评标委员会对各供应商投标文件非实质性内容有疑议或异议，或者审查发现明显的文字或计算错误等，及时向评标组长提出。经评标委员会商议认为需要供应商作出必要澄清或说明的，应通知该供应商以书面形式作出澄清或说明。书面通知及澄清说明文件应作为政府采购项目档案归档留存。</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评标委员会需对采购代理机构唱票或统计的评审结果进行确认，现场监督员应对评审结果签署监督意见。如发现分值汇总计算错误的、分项评分超出评分标准范围、对客观评审因素评分不一致的以及经评标委员会认定评分畸高、畸低的（其总评分偏离平均分30%以上的），应由相关人员当场改正或作出说明；拒不改正又不作说明的，由现场监督员如实记载后存入项目档案资料。</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r>
        <w:rPr>
          <w:rFonts w:hint="eastAsia" w:ascii="仿宋" w:hAnsi="仿宋" w:eastAsia="仿宋" w:cs="仿宋"/>
          <w:bCs/>
          <w:color w:val="auto"/>
          <w:sz w:val="28"/>
          <w:szCs w:val="28"/>
          <w:highlight w:val="none"/>
          <w:lang w:val="en-US" w:eastAsia="zh-CN"/>
        </w:rPr>
        <w:t>11</w:t>
      </w:r>
      <w:r>
        <w:rPr>
          <w:rFonts w:hint="eastAsia" w:ascii="仿宋" w:hAnsi="仿宋" w:eastAsia="仿宋" w:cs="仿宋"/>
          <w:bCs/>
          <w:color w:val="auto"/>
          <w:sz w:val="28"/>
          <w:szCs w:val="28"/>
          <w:highlight w:val="none"/>
        </w:rPr>
        <w:t xml:space="preserve">评标委员会根据评审汇总情况和招标文件规定确定中标候选供应商排序名单。 </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r>
        <w:rPr>
          <w:rFonts w:hint="eastAsia" w:ascii="仿宋" w:hAnsi="仿宋" w:eastAsia="仿宋" w:cs="仿宋"/>
          <w:bCs/>
          <w:color w:val="auto"/>
          <w:sz w:val="28"/>
          <w:szCs w:val="28"/>
          <w:highlight w:val="none"/>
          <w:lang w:val="en-US" w:eastAsia="zh-CN"/>
        </w:rPr>
        <w:t>12</w:t>
      </w:r>
      <w:r>
        <w:rPr>
          <w:rFonts w:hint="eastAsia" w:ascii="仿宋" w:hAnsi="仿宋" w:eastAsia="仿宋" w:cs="仿宋"/>
          <w:bCs/>
          <w:color w:val="auto"/>
          <w:sz w:val="28"/>
          <w:szCs w:val="28"/>
          <w:highlight w:val="none"/>
        </w:rPr>
        <w:t>起草评标报告，所有评标委员会须在评标报告上签字确认。</w:t>
      </w:r>
    </w:p>
    <w:p>
      <w:pPr>
        <w:spacing w:line="440" w:lineRule="exact"/>
        <w:ind w:firstLine="551" w:firstLineChars="196"/>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21</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lang w:eastAsia="zh-CN"/>
        </w:rPr>
        <w:t>评标原则</w:t>
      </w:r>
    </w:p>
    <w:p>
      <w:pPr>
        <w:pStyle w:val="22"/>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440" w:lineRule="exact"/>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21.2</w:t>
      </w:r>
      <w:r>
        <w:rPr>
          <w:rFonts w:hint="eastAsia" w:ascii="仿宋" w:hAnsi="仿宋" w:eastAsia="仿宋" w:cs="仿宋"/>
          <w:color w:val="auto"/>
          <w:sz w:val="28"/>
          <w:szCs w:val="28"/>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r>
        <w:rPr>
          <w:rFonts w:hint="eastAsia" w:ascii="仿宋" w:hAnsi="仿宋" w:eastAsia="仿宋" w:cs="仿宋"/>
          <w:bCs/>
          <w:color w:val="auto"/>
          <w:sz w:val="28"/>
          <w:szCs w:val="28"/>
          <w:highlight w:val="none"/>
        </w:rPr>
        <w:t>，由更换后的评标委员会重新进行评审。</w:t>
      </w:r>
      <w:r>
        <w:rPr>
          <w:rFonts w:hint="eastAsia" w:ascii="仿宋" w:hAnsi="仿宋" w:eastAsia="仿宋" w:cs="仿宋"/>
          <w:color w:val="auto"/>
          <w:sz w:val="28"/>
          <w:szCs w:val="28"/>
          <w:highlight w:val="none"/>
        </w:rPr>
        <w:t>无法及时补足评标委员会成员的，应当停止评标活动，封存所有投标文件和开标、评标资料</w:t>
      </w:r>
      <w:r>
        <w:rPr>
          <w:rFonts w:hint="eastAsia" w:ascii="仿宋" w:hAnsi="仿宋" w:eastAsia="仿宋" w:cs="仿宋"/>
          <w:bCs/>
          <w:color w:val="auto"/>
          <w:sz w:val="28"/>
          <w:szCs w:val="28"/>
          <w:highlight w:val="none"/>
        </w:rPr>
        <w:t>，并告知供应商择期重新评审的时间和地点。</w:t>
      </w:r>
    </w:p>
    <w:p>
      <w:pPr>
        <w:pStyle w:val="22"/>
        <w:snapToGrid w:val="0"/>
        <w:spacing w:line="440" w:lineRule="exact"/>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21.3评标委员会判断投标文件的响应性，仅基于投标文件本身而不靠外部证据。</w:t>
      </w:r>
    </w:p>
    <w:p>
      <w:pPr>
        <w:pStyle w:val="22"/>
        <w:snapToGrid w:val="0"/>
        <w:spacing w:line="44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2"/>
        <w:snapToGrid w:val="0"/>
        <w:spacing w:line="44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非单一产品采购项目，采购人应当根据采购项目技术构成、产品价格比重等合理确定核心产品，并在招标文件中载明。多家投标人提供的核心产品品牌相同的，按前款规定处理。</w:t>
      </w:r>
    </w:p>
    <w:p>
      <w:pPr>
        <w:pStyle w:val="22"/>
        <w:snapToGrid w:val="0"/>
        <w:spacing w:line="440" w:lineRule="exact"/>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21.5</w:t>
      </w:r>
      <w:r>
        <w:rPr>
          <w:rFonts w:hint="eastAsia" w:ascii="仿宋" w:hAnsi="仿宋" w:eastAsia="仿宋" w:cs="仿宋"/>
          <w:b/>
          <w:bCs/>
          <w:color w:val="auto"/>
          <w:sz w:val="28"/>
          <w:szCs w:val="28"/>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snapToGrid w:val="0"/>
        <w:spacing w:line="44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21.</w:t>
      </w:r>
      <w:r>
        <w:rPr>
          <w:rFonts w:hint="eastAsia" w:ascii="仿宋" w:hAnsi="仿宋" w:eastAsia="仿宋" w:cs="仿宋"/>
          <w:bCs/>
          <w:color w:val="auto"/>
          <w:sz w:val="28"/>
          <w:szCs w:val="28"/>
          <w:highlight w:val="none"/>
          <w:lang w:val="en-US" w:eastAsia="zh-CN"/>
        </w:rPr>
        <w:t>6</w:t>
      </w:r>
      <w:r>
        <w:rPr>
          <w:rFonts w:hint="eastAsia" w:ascii="仿宋" w:hAnsi="仿宋" w:eastAsia="仿宋" w:cs="仿宋"/>
          <w:color w:val="auto"/>
          <w:sz w:val="28"/>
          <w:szCs w:val="28"/>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2"/>
        <w:snapToGrid w:val="0"/>
        <w:spacing w:line="4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评标委员会发现招标文件存在歧义、重大缺陷导致评标工作无法进行，或者招标文件内容违反国家有关强制性规定的，应当停止评标工作，与采购人或者采购代理机构沟通并作书面记录。</w:t>
      </w:r>
    </w:p>
    <w:p>
      <w:pPr>
        <w:pStyle w:val="223"/>
        <w:spacing w:after="0" w:line="560" w:lineRule="exact"/>
        <w:ind w:left="0" w:leftChars="0" w:firstLine="562" w:firstLineChars="200"/>
        <w:rPr>
          <w:rFonts w:hint="eastAsia" w:ascii="仿宋" w:hAnsi="仿宋" w:eastAsia="仿宋" w:cs="仿宋"/>
          <w:b/>
          <w:bCs/>
          <w:color w:val="auto"/>
          <w:kern w:val="0"/>
          <w:sz w:val="28"/>
          <w:szCs w:val="28"/>
          <w:highlight w:val="none"/>
          <w:lang w:bidi="en-US"/>
        </w:rPr>
      </w:pPr>
      <w:r>
        <w:rPr>
          <w:rFonts w:hint="eastAsia" w:ascii="仿宋" w:hAnsi="仿宋" w:eastAsia="仿宋" w:cs="仿宋"/>
          <w:b/>
          <w:bCs/>
          <w:color w:val="auto"/>
          <w:kern w:val="0"/>
          <w:sz w:val="28"/>
          <w:szCs w:val="28"/>
          <w:highlight w:val="none"/>
          <w:lang w:bidi="en-US"/>
        </w:rPr>
        <w:t>22</w:t>
      </w:r>
      <w:r>
        <w:rPr>
          <w:rFonts w:hint="eastAsia" w:ascii="仿宋" w:hAnsi="仿宋" w:eastAsia="仿宋" w:cs="仿宋"/>
          <w:b/>
          <w:bCs/>
          <w:color w:val="auto"/>
          <w:kern w:val="0"/>
          <w:sz w:val="28"/>
          <w:szCs w:val="28"/>
          <w:highlight w:val="none"/>
          <w:lang w:val="en-US" w:eastAsia="zh-CN" w:bidi="en-US"/>
        </w:rPr>
        <w:t>.</w:t>
      </w:r>
      <w:r>
        <w:rPr>
          <w:rFonts w:hint="eastAsia" w:ascii="仿宋" w:hAnsi="仿宋" w:eastAsia="仿宋" w:cs="仿宋"/>
          <w:b/>
          <w:bCs/>
          <w:color w:val="auto"/>
          <w:kern w:val="0"/>
          <w:sz w:val="28"/>
          <w:szCs w:val="28"/>
          <w:highlight w:val="none"/>
          <w:lang w:bidi="en-US"/>
        </w:rPr>
        <w:t>投标文件的澄清</w:t>
      </w:r>
    </w:p>
    <w:p>
      <w:pPr>
        <w:spacing w:line="440" w:lineRule="exact"/>
        <w:ind w:firstLine="551" w:firstLineChars="197"/>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8"/>
          <w:szCs w:val="28"/>
          <w:highlight w:val="none"/>
          <w:lang w:eastAsia="zh-CN"/>
        </w:rPr>
        <w:t>22.1 对于投标文件中含义不明确、同类问题表述不一致或者有明显文字和计算错误的内容，评标委员会应当以书面形式要求投标人作出必要的澄清、说明或者补正。</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22.2投标人的澄清、说明或者补正应当采用书面形式，并加盖公章，或者由法定代表人或其授权的代表签字。投标人的澄清、说明或者补正不得超出投标文件的范围或者改变投标文件的实质性内容。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firstLine="551" w:firstLineChars="196"/>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23</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eastAsia="zh-CN"/>
        </w:rPr>
        <w:t>投标文件的错误修正</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23.1</w:t>
      </w:r>
      <w:r>
        <w:rPr>
          <w:rFonts w:hint="eastAsia" w:ascii="仿宋" w:hAnsi="仿宋" w:eastAsia="仿宋" w:cs="仿宋"/>
          <w:color w:val="auto"/>
          <w:sz w:val="28"/>
          <w:szCs w:val="28"/>
          <w:highlight w:val="none"/>
          <w:lang w:eastAsia="zh-CN"/>
        </w:rPr>
        <w:t>电子交易平台客户端里开标一览表录入的投标报价信息与扫描上传的报价文件不一致的，以扫描上传的报价文件为准。</w:t>
      </w:r>
    </w:p>
    <w:p>
      <w:pPr>
        <w:spacing w:line="44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23.2</w:t>
      </w:r>
      <w:r>
        <w:rPr>
          <w:rFonts w:hint="eastAsia" w:ascii="仿宋" w:hAnsi="仿宋" w:eastAsia="仿宋" w:cs="仿宋"/>
          <w:color w:val="auto"/>
          <w:sz w:val="28"/>
          <w:szCs w:val="28"/>
          <w:highlight w:val="none"/>
          <w:lang w:eastAsia="zh-CN"/>
        </w:rPr>
        <w:t>投标文</w:t>
      </w:r>
      <w:r>
        <w:rPr>
          <w:rFonts w:hint="eastAsia" w:ascii="仿宋" w:hAnsi="仿宋" w:eastAsia="仿宋" w:cs="仿宋"/>
          <w:color w:val="auto"/>
          <w:sz w:val="28"/>
          <w:szCs w:val="28"/>
          <w:highlight w:val="none"/>
        </w:rPr>
        <w:t>件报价出现前后不一致的，按照下列规定修正：</w:t>
      </w:r>
    </w:p>
    <w:p>
      <w:pPr>
        <w:pStyle w:val="14"/>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（一）投标文件中开标一览表（报价表）内容与投标文件中相应内容不一致的，以开标一览表（报价表）为准；</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（三）单价金额小数点或者百分比有明显错位的，以开标一览表的总价为准，并修改单价；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（四）总价金额与按单价汇总金额不一致的，以单价金额计算结果为准。</w:t>
      </w:r>
    </w:p>
    <w:p>
      <w:pPr>
        <w:spacing w:line="44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color w:val="auto"/>
          <w:sz w:val="28"/>
          <w:szCs w:val="28"/>
          <w:highlight w:val="none"/>
          <w:lang w:eastAsia="zh-CN"/>
        </w:rPr>
        <w:t>同时出现两种以上不一致的，按照前款规定的顺序修正。修正后的报价经投标人确认后产生约束力，投标人不确认的，其投标无效。</w:t>
      </w:r>
    </w:p>
    <w:p>
      <w:pPr>
        <w:pageBreakBefore w:val="0"/>
        <w:widowControl/>
        <w:kinsoku/>
        <w:wordWrap/>
        <w:overflowPunct/>
        <w:topLinePunct w:val="0"/>
        <w:bidi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采购过程中的异常情况及处理措施</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采购过程中出现以下情形，导致电子交易平台无法正常运行，或者无法保证电子交易的公平、公正和安全时，采购人可中止电子交易活动：</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）电子交易平台发生故障而无法登录访问的；</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）电子交易平台应用或数据库出现错误，不能进行正常操作的；</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）电子交易平台发现严重安全漏洞，有潜在泄密危险的；</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）病毒发作导致不能进行正常操作的；</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）其他无法保证电子交易的公平、公正和安全的情况。</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出现前款规定情形，不影响采购公平、公正性的，采购人可以待上述情形消除后继续组织电子交易活动，也可以决定某些环节以纸质形式进行；影响或可能影响采购公平、公正性的，应当重新采购。</w:t>
      </w:r>
    </w:p>
    <w:p>
      <w:pPr>
        <w:spacing w:line="440" w:lineRule="exact"/>
        <w:ind w:firstLine="551" w:firstLineChars="196"/>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z w:val="28"/>
          <w:szCs w:val="28"/>
          <w:highlight w:val="none"/>
          <w:lang w:eastAsia="zh-CN"/>
        </w:rPr>
        <w:t>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评审方法</w:t>
      </w:r>
    </w:p>
    <w:p>
      <w:pPr>
        <w:keepNext w:val="0"/>
        <w:keepLines w:val="0"/>
        <w:pageBreakBefore w:val="0"/>
        <w:kinsoku/>
        <w:wordWrap/>
        <w:overflowPunct/>
        <w:topLinePunct w:val="0"/>
        <w:bidi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25.1本项目</w:t>
      </w:r>
      <w:r>
        <w:rPr>
          <w:rFonts w:hint="eastAsia" w:ascii="仿宋" w:hAnsi="仿宋" w:eastAsia="仿宋" w:cs="仿宋"/>
          <w:color w:val="auto"/>
          <w:sz w:val="28"/>
          <w:szCs w:val="28"/>
          <w:highlight w:val="none"/>
        </w:rPr>
        <w:t>采用综合评分法，满分为100分，其中报价分值</w:t>
      </w: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分，技术商务等分值</w:t>
      </w:r>
      <w:r>
        <w:rPr>
          <w:rFonts w:hint="eastAsia" w:ascii="仿宋" w:hAnsi="仿宋" w:eastAsia="仿宋" w:cs="仿宋"/>
          <w:color w:val="auto"/>
          <w:sz w:val="28"/>
          <w:szCs w:val="28"/>
          <w:highlight w:val="none"/>
          <w:lang w:val="en-US" w:eastAsia="zh-CN"/>
        </w:rPr>
        <w:t>65</w:t>
      </w:r>
      <w:r>
        <w:rPr>
          <w:rFonts w:hint="eastAsia" w:ascii="仿宋" w:hAnsi="仿宋" w:eastAsia="仿宋" w:cs="仿宋"/>
          <w:color w:val="auto"/>
          <w:sz w:val="28"/>
          <w:szCs w:val="28"/>
          <w:highlight w:val="none"/>
        </w:rPr>
        <w:t>分。</w:t>
      </w:r>
      <w:r>
        <w:rPr>
          <w:rFonts w:hint="eastAsia" w:ascii="仿宋" w:hAnsi="仿宋" w:eastAsia="仿宋" w:cs="仿宋"/>
          <w:color w:val="auto"/>
          <w:kern w:val="0"/>
          <w:sz w:val="28"/>
          <w:szCs w:val="28"/>
          <w:highlight w:val="none"/>
        </w:rPr>
        <w:t>评分过程中采用四舍五入法，并保留两位小数。</w:t>
      </w:r>
      <w:r>
        <w:rPr>
          <w:rFonts w:hint="eastAsia" w:ascii="仿宋" w:hAnsi="仿宋" w:eastAsia="仿宋" w:cs="仿宋"/>
          <w:color w:val="auto"/>
          <w:sz w:val="28"/>
          <w:szCs w:val="28"/>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采取随机抽取方式确定。</w:t>
      </w:r>
    </w:p>
    <w:p>
      <w:pPr>
        <w:widowControl/>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.1.1 技术、资信、商务及其他分按照评标委员会成员的独立评分结果汇总后的算术平均分计算，计算公式为技术、资信商务及其他分=评标委员会所有成员评分合计数/评标委员会组成人员数。</w:t>
      </w:r>
    </w:p>
    <w:p>
      <w:pPr>
        <w:keepNext w:val="0"/>
        <w:keepLines w:val="0"/>
        <w:pageBreakBefore w:val="0"/>
        <w:kinsoku/>
        <w:wordWrap/>
        <w:overflowPunct/>
        <w:topLinePunct w:val="0"/>
        <w:bidi w:val="0"/>
        <w:spacing w:line="500" w:lineRule="exact"/>
        <w:ind w:firstLine="560" w:firstLineChars="200"/>
        <w:rPr>
          <w:color w:val="auto"/>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综合评分法中的价格分统一采用低价优先法计算。</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25.2 评分标准表：</w:t>
      </w:r>
    </w:p>
    <w:tbl>
      <w:tblPr>
        <w:tblStyle w:val="41"/>
        <w:tblpPr w:leftFromText="180" w:rightFromText="180" w:vertAnchor="text" w:horzAnchor="page" w:tblpX="1062" w:tblpY="435"/>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425"/>
        <w:gridCol w:w="1258"/>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425" w:type="dxa"/>
            <w:vAlign w:val="center"/>
          </w:tcPr>
          <w:p>
            <w:pPr>
              <w:pStyle w:val="121"/>
              <w:keepNext w:val="0"/>
              <w:keepLines w:val="0"/>
              <w:pageBreakBefore w:val="0"/>
              <w:kinsoku/>
              <w:wordWrap/>
              <w:overflowPunct/>
              <w:topLinePunct w:val="0"/>
              <w:autoSpaceDE/>
              <w:autoSpaceDN/>
              <w:bidi w:val="0"/>
              <w:spacing w:line="440" w:lineRule="exact"/>
              <w:ind w:left="0" w:firstLine="0"/>
              <w:jc w:val="center"/>
              <w:textAlignment w:val="auto"/>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评审内容</w:t>
            </w:r>
          </w:p>
        </w:tc>
        <w:tc>
          <w:tcPr>
            <w:tcW w:w="1258" w:type="dxa"/>
            <w:vAlign w:val="center"/>
          </w:tcPr>
          <w:p>
            <w:pPr>
              <w:pStyle w:val="121"/>
              <w:keepNext w:val="0"/>
              <w:keepLines w:val="0"/>
              <w:pageBreakBefore w:val="0"/>
              <w:kinsoku/>
              <w:wordWrap/>
              <w:overflowPunct/>
              <w:topLinePunct w:val="0"/>
              <w:autoSpaceDE/>
              <w:autoSpaceDN/>
              <w:bidi w:val="0"/>
              <w:spacing w:line="440" w:lineRule="exact"/>
              <w:ind w:left="0" w:firstLine="0"/>
              <w:jc w:val="center"/>
              <w:textAlignment w:val="auto"/>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分值</w:t>
            </w:r>
          </w:p>
        </w:tc>
        <w:tc>
          <w:tcPr>
            <w:tcW w:w="6226" w:type="dxa"/>
            <w:vAlign w:val="center"/>
          </w:tcPr>
          <w:p>
            <w:pPr>
              <w:pStyle w:val="121"/>
              <w:keepNext w:val="0"/>
              <w:keepLines w:val="0"/>
              <w:pageBreakBefore w:val="0"/>
              <w:kinsoku/>
              <w:wordWrap/>
              <w:overflowPunct/>
              <w:topLinePunct w:val="0"/>
              <w:autoSpaceDE/>
              <w:autoSpaceDN/>
              <w:bidi w:val="0"/>
              <w:spacing w:line="440" w:lineRule="exact"/>
              <w:ind w:left="0" w:firstLine="0"/>
              <w:jc w:val="center"/>
              <w:textAlignment w:val="auto"/>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kern w:val="2"/>
                <w:sz w:val="28"/>
                <w:szCs w:val="28"/>
                <w:highlight w:val="none"/>
                <w:lang w:val="en-US" w:eastAsia="zh-CN" w:bidi="ar-SA"/>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企业业绩</w:t>
            </w:r>
          </w:p>
        </w:tc>
        <w:tc>
          <w:tcPr>
            <w:tcW w:w="125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p>
        </w:tc>
        <w:tc>
          <w:tcPr>
            <w:tcW w:w="622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投标人201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年1月1日至投标截止日</w:t>
            </w:r>
            <w:r>
              <w:rPr>
                <w:rFonts w:hint="eastAsia" w:ascii="仿宋" w:hAnsi="仿宋" w:eastAsia="仿宋" w:cs="仿宋"/>
                <w:color w:val="auto"/>
                <w:sz w:val="28"/>
                <w:szCs w:val="28"/>
                <w:highlight w:val="none"/>
              </w:rPr>
              <w:t>（时间以合同签订时间为准）</w:t>
            </w:r>
            <w:r>
              <w:rPr>
                <w:rFonts w:hint="eastAsia" w:ascii="仿宋" w:hAnsi="仿宋" w:eastAsia="仿宋" w:cs="仿宋"/>
                <w:color w:val="auto"/>
                <w:sz w:val="28"/>
                <w:szCs w:val="28"/>
                <w:highlight w:val="none"/>
                <w:lang w:eastAsia="zh-CN"/>
              </w:rPr>
              <w:t>，具有城市道路</w:t>
            </w:r>
            <w:r>
              <w:rPr>
                <w:rFonts w:hint="eastAsia" w:ascii="仿宋" w:hAnsi="仿宋" w:eastAsia="仿宋" w:cs="仿宋"/>
                <w:color w:val="auto"/>
                <w:sz w:val="28"/>
                <w:szCs w:val="28"/>
                <w:highlight w:val="none"/>
                <w:lang w:val="en-US" w:eastAsia="zh-CN"/>
              </w:rPr>
              <w:t>清扫</w:t>
            </w:r>
            <w:r>
              <w:rPr>
                <w:rFonts w:hint="eastAsia" w:ascii="仿宋" w:hAnsi="仿宋" w:eastAsia="仿宋" w:cs="仿宋"/>
                <w:color w:val="auto"/>
                <w:sz w:val="28"/>
                <w:szCs w:val="28"/>
                <w:highlight w:val="none"/>
                <w:lang w:eastAsia="zh-CN"/>
              </w:rPr>
              <w:t>保洁类似服务业绩的</w:t>
            </w:r>
            <w:r>
              <w:rPr>
                <w:rFonts w:hint="eastAsia" w:ascii="仿宋" w:hAnsi="仿宋" w:eastAsia="仿宋" w:cs="仿宋"/>
                <w:color w:val="auto"/>
                <w:sz w:val="28"/>
                <w:szCs w:val="28"/>
                <w:highlight w:val="none"/>
                <w:lang w:val="en-US" w:eastAsia="zh-CN"/>
              </w:rPr>
              <w:t>每个得0.5</w:t>
            </w:r>
            <w:r>
              <w:rPr>
                <w:rFonts w:hint="eastAsia" w:ascii="仿宋" w:hAnsi="仿宋" w:eastAsia="仿宋" w:cs="仿宋"/>
                <w:color w:val="auto"/>
                <w:sz w:val="28"/>
                <w:szCs w:val="28"/>
                <w:highlight w:val="none"/>
                <w:lang w:eastAsia="zh-CN"/>
              </w:rPr>
              <w:t>分，本项最高得</w:t>
            </w:r>
            <w:r>
              <w:rPr>
                <w:rFonts w:hint="eastAsia" w:ascii="仿宋" w:hAnsi="仿宋" w:eastAsia="仿宋" w:cs="仿宋"/>
                <w:color w:val="auto"/>
                <w:sz w:val="28"/>
                <w:szCs w:val="28"/>
                <w:highlight w:val="none"/>
                <w:lang w:val="en-US" w:eastAsia="zh-CN"/>
              </w:rPr>
              <w:t>3分</w:t>
            </w:r>
            <w:r>
              <w:rPr>
                <w:rFonts w:hint="eastAsia" w:ascii="仿宋" w:hAnsi="仿宋" w:eastAsia="仿宋" w:cs="仿宋"/>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须同时提供：</w:t>
            </w:r>
            <w:r>
              <w:rPr>
                <w:rFonts w:hint="eastAsia" w:ascii="仿宋" w:hAnsi="仿宋" w:eastAsia="仿宋" w:cs="仿宋"/>
                <w:b/>
                <w:bCs/>
                <w:color w:val="auto"/>
                <w:sz w:val="28"/>
                <w:szCs w:val="28"/>
                <w:highlight w:val="none"/>
                <w:lang w:val="zh-CN" w:eastAsia="zh-CN"/>
              </w:rPr>
              <w:t>①中标(成交)公告(提供相关网站中标(成交)公告的下载网页并注明网址)；②中标(成交)通知书；③采购合同文本</w:t>
            </w:r>
            <w:r>
              <w:rPr>
                <w:rFonts w:hint="eastAsia" w:ascii="仿宋" w:hAnsi="仿宋" w:eastAsia="仿宋" w:cs="仿宋"/>
                <w:b/>
                <w:bCs/>
                <w:color w:val="auto"/>
                <w:sz w:val="28"/>
                <w:szCs w:val="28"/>
                <w:highlight w:val="none"/>
                <w:lang w:val="en-US" w:eastAsia="zh-CN"/>
              </w:rPr>
              <w:t>；④业绩项目已履约完毕的,提供能够证明该业绩项目经验收合格或履约完成的相关证明材料；业绩项目正在履约的,提供履约过程考核合格的相关证明材料（正在履约的应至少履约满一个考核服务周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eastAsia="宋体"/>
                <w:color w:val="auto"/>
                <w:highlight w:val="none"/>
                <w:lang w:val="en-US" w:eastAsia="zh-CN"/>
              </w:rPr>
            </w:pPr>
            <w:r>
              <w:rPr>
                <w:rFonts w:hint="eastAsia" w:ascii="仿宋" w:hAnsi="仿宋" w:eastAsia="仿宋" w:cs="仿宋"/>
                <w:color w:val="auto"/>
                <w:sz w:val="28"/>
                <w:szCs w:val="28"/>
                <w:highlight w:val="none"/>
                <w:lang w:val="en-US" w:eastAsia="zh-CN"/>
              </w:rPr>
              <w:t>2</w:t>
            </w:r>
          </w:p>
        </w:tc>
        <w:tc>
          <w:tcPr>
            <w:tcW w:w="1425" w:type="dxa"/>
            <w:vAlign w:val="center"/>
          </w:tcPr>
          <w:p>
            <w:pPr>
              <w:keepNext w:val="0"/>
              <w:keepLines w:val="0"/>
              <w:pageBreakBefore w:val="0"/>
              <w:kinsoku/>
              <w:wordWrap/>
              <w:overflowPunct/>
              <w:topLinePunct w:val="0"/>
              <w:autoSpaceDE/>
              <w:autoSpaceDN/>
              <w:bidi w:val="0"/>
              <w:spacing w:line="440" w:lineRule="exact"/>
              <w:textAlignment w:val="auto"/>
              <w:rPr>
                <w:color w:val="auto"/>
                <w:highlight w:val="none"/>
              </w:rPr>
            </w:pPr>
            <w:r>
              <w:rPr>
                <w:rFonts w:hint="eastAsia" w:ascii="仿宋" w:hAnsi="仿宋" w:eastAsia="仿宋" w:cs="仿宋"/>
                <w:color w:val="auto"/>
                <w:sz w:val="28"/>
                <w:szCs w:val="28"/>
                <w:highlight w:val="none"/>
                <w:lang w:eastAsia="zh-CN"/>
              </w:rPr>
              <w:t>企业荣誉</w:t>
            </w:r>
          </w:p>
        </w:tc>
        <w:tc>
          <w:tcPr>
            <w:tcW w:w="1258" w:type="dxa"/>
            <w:vAlign w:val="center"/>
          </w:tcPr>
          <w:p>
            <w:pPr>
              <w:keepNext w:val="0"/>
              <w:keepLines w:val="0"/>
              <w:pageBreakBefore w:val="0"/>
              <w:kinsoku/>
              <w:wordWrap/>
              <w:overflowPunct/>
              <w:topLinePunct w:val="0"/>
              <w:autoSpaceDE/>
              <w:autoSpaceDN/>
              <w:bidi w:val="0"/>
              <w:spacing w:line="440" w:lineRule="exact"/>
              <w:jc w:val="center"/>
              <w:textAlignment w:val="auto"/>
              <w:rPr>
                <w:color w:val="auto"/>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分</w:t>
            </w:r>
          </w:p>
        </w:tc>
        <w:tc>
          <w:tcPr>
            <w:tcW w:w="6226" w:type="dxa"/>
            <w:vAlign w:val="center"/>
          </w:tcPr>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投标人城市道路清扫保洁服务作业区域城市通过“全国文明城市</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创建且在全国文明城市创建活动中因清扫保洁工作突出而获得县市级及以上党委</w:t>
            </w:r>
            <w:r>
              <w:rPr>
                <w:rFonts w:hint="eastAsia" w:ascii="仿宋" w:hAnsi="仿宋" w:eastAsia="仿宋" w:cs="仿宋"/>
                <w:color w:val="auto"/>
                <w:sz w:val="28"/>
                <w:szCs w:val="28"/>
                <w:highlight w:val="none"/>
                <w:u w:val="none"/>
                <w:lang w:val="en-US" w:eastAsia="zh-CN"/>
              </w:rPr>
              <w:t>、政府主管部门颁发</w:t>
            </w:r>
            <w:r>
              <w:rPr>
                <w:rFonts w:hint="eastAsia" w:ascii="仿宋" w:hAnsi="仿宋" w:eastAsia="仿宋" w:cs="仿宋"/>
                <w:color w:val="auto"/>
                <w:sz w:val="28"/>
                <w:szCs w:val="28"/>
                <w:highlight w:val="none"/>
                <w:lang w:val="en-US" w:eastAsia="zh-CN"/>
              </w:rPr>
              <w:t>的荣誉或表彰，每项荣誉称号或表彰得4分，最高得12分。</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须同时提供：</w:t>
            </w:r>
            <w:r>
              <w:rPr>
                <w:rFonts w:hint="eastAsia" w:ascii="仿宋" w:hAnsi="仿宋" w:eastAsia="仿宋" w:cs="仿宋"/>
                <w:b/>
                <w:bCs/>
                <w:color w:val="auto"/>
                <w:sz w:val="28"/>
                <w:szCs w:val="28"/>
                <w:highlight w:val="none"/>
                <w:lang w:val="zh-CN" w:eastAsia="zh-CN"/>
              </w:rPr>
              <w:t>①</w:t>
            </w:r>
            <w:r>
              <w:rPr>
                <w:rFonts w:hint="eastAsia" w:ascii="仿宋" w:hAnsi="仿宋" w:eastAsia="仿宋" w:cs="仿宋"/>
                <w:b/>
                <w:bCs/>
                <w:color w:val="auto"/>
                <w:sz w:val="28"/>
                <w:szCs w:val="28"/>
                <w:highlight w:val="none"/>
                <w:lang w:val="en-US" w:eastAsia="zh-CN"/>
              </w:rPr>
              <w:t>投标人城市道路清扫保洁服务作业区域城市通过“全国文明城市</w:t>
            </w:r>
            <w:r>
              <w:rPr>
                <w:rFonts w:hint="default"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创建相关证明材料扫描件；</w:t>
            </w:r>
            <w:r>
              <w:rPr>
                <w:rFonts w:hint="eastAsia" w:ascii="仿宋" w:hAnsi="仿宋" w:eastAsia="仿宋" w:cs="仿宋"/>
                <w:b/>
                <w:bCs/>
                <w:color w:val="auto"/>
                <w:sz w:val="28"/>
                <w:szCs w:val="28"/>
                <w:highlight w:val="none"/>
                <w:lang w:val="zh-CN" w:eastAsia="zh-CN"/>
              </w:rPr>
              <w:t>②</w:t>
            </w:r>
            <w:r>
              <w:rPr>
                <w:rFonts w:hint="eastAsia" w:ascii="仿宋" w:hAnsi="仿宋" w:eastAsia="仿宋" w:cs="仿宋"/>
                <w:b/>
                <w:bCs/>
                <w:color w:val="auto"/>
                <w:sz w:val="28"/>
                <w:szCs w:val="28"/>
                <w:highlight w:val="none"/>
                <w:lang w:val="en-US" w:eastAsia="zh-CN"/>
              </w:rPr>
              <w:t>有效的荣誉证书或表彰文件扫描件。否则不得分。</w:t>
            </w:r>
            <w:r>
              <w:rPr>
                <w:rFonts w:hint="eastAsia" w:ascii="仿宋" w:hAnsi="仿宋" w:eastAsia="仿宋" w:cs="仿宋"/>
                <w:color w:val="auto"/>
                <w:sz w:val="28"/>
                <w:szCs w:val="28"/>
                <w:highlight w:val="none"/>
                <w:lang w:val="en-US" w:eastAsia="zh-CN"/>
              </w:rPr>
              <w:t>政府主管部门包括住建、宣传、文明办或创建办。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企业资信</w:t>
            </w:r>
          </w:p>
        </w:tc>
        <w:tc>
          <w:tcPr>
            <w:tcW w:w="125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c>
          <w:tcPr>
            <w:tcW w:w="6226" w:type="dxa"/>
            <w:vAlign w:val="center"/>
          </w:tcPr>
          <w:p>
            <w:pPr>
              <w:pStyle w:val="221"/>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投标人具有</w:t>
            </w:r>
            <w:r>
              <w:rPr>
                <w:rFonts w:ascii="仿宋" w:hAnsi="仿宋" w:eastAsia="仿宋" w:cs="仿宋"/>
                <w:i w:val="0"/>
                <w:iCs w:val="0"/>
                <w:caps w:val="0"/>
                <w:color w:val="auto"/>
                <w:spacing w:val="0"/>
                <w:sz w:val="27"/>
                <w:szCs w:val="27"/>
                <w:highlight w:val="none"/>
              </w:rPr>
              <w:t>质量管理体系认证证书</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color w:val="auto"/>
                <w:sz w:val="28"/>
                <w:szCs w:val="28"/>
                <w:highlight w:val="none"/>
              </w:rPr>
              <w:t>环境管理体系认证证书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职业健康安全管理体系认证证书</w:t>
            </w:r>
            <w:r>
              <w:rPr>
                <w:rFonts w:hint="eastAsia" w:ascii="仿宋" w:hAnsi="仿宋" w:eastAsia="仿宋" w:cs="仿宋"/>
                <w:color w:val="auto"/>
                <w:sz w:val="28"/>
                <w:szCs w:val="28"/>
                <w:highlight w:val="none"/>
                <w:lang w:eastAsia="zh-CN"/>
              </w:rPr>
              <w:t>、</w:t>
            </w:r>
            <w:r>
              <w:rPr>
                <w:rFonts w:ascii="仿宋" w:hAnsi="仿宋" w:eastAsia="仿宋" w:cs="仿宋"/>
                <w:i w:val="0"/>
                <w:iCs w:val="0"/>
                <w:caps w:val="0"/>
                <w:color w:val="auto"/>
                <w:spacing w:val="0"/>
                <w:sz w:val="27"/>
                <w:szCs w:val="27"/>
                <w:highlight w:val="none"/>
              </w:rPr>
              <w:t>诚信管理体系认证证书、企业社会责任管理体系认证证书，每个证书得</w:t>
            </w:r>
            <w:r>
              <w:rPr>
                <w:rFonts w:hint="eastAsia" w:ascii="仿宋" w:hAnsi="仿宋" w:eastAsia="仿宋" w:cs="仿宋"/>
                <w:i w:val="0"/>
                <w:iCs w:val="0"/>
                <w:caps w:val="0"/>
                <w:color w:val="auto"/>
                <w:spacing w:val="0"/>
                <w:sz w:val="27"/>
                <w:szCs w:val="27"/>
                <w:highlight w:val="none"/>
                <w:lang w:val="en-US" w:eastAsia="zh-CN"/>
              </w:rPr>
              <w:t>2</w:t>
            </w:r>
            <w:r>
              <w:rPr>
                <w:rFonts w:ascii="仿宋" w:hAnsi="仿宋" w:eastAsia="仿宋" w:cs="仿宋"/>
                <w:i w:val="0"/>
                <w:iCs w:val="0"/>
                <w:caps w:val="0"/>
                <w:color w:val="auto"/>
                <w:spacing w:val="0"/>
                <w:sz w:val="27"/>
                <w:szCs w:val="27"/>
                <w:highlight w:val="none"/>
              </w:rPr>
              <w:t>分，最高得</w:t>
            </w:r>
            <w:r>
              <w:rPr>
                <w:rFonts w:hint="eastAsia" w:ascii="仿宋" w:hAnsi="仿宋" w:eastAsia="仿宋" w:cs="仿宋"/>
                <w:i w:val="0"/>
                <w:iCs w:val="0"/>
                <w:caps w:val="0"/>
                <w:color w:val="auto"/>
                <w:spacing w:val="0"/>
                <w:sz w:val="27"/>
                <w:szCs w:val="27"/>
                <w:highlight w:val="none"/>
                <w:lang w:val="en-US" w:eastAsia="zh-CN"/>
              </w:rPr>
              <w:t>10</w:t>
            </w:r>
            <w:r>
              <w:rPr>
                <w:rFonts w:ascii="仿宋" w:hAnsi="仿宋" w:eastAsia="仿宋" w:cs="仿宋"/>
                <w:i w:val="0"/>
                <w:iCs w:val="0"/>
                <w:caps w:val="0"/>
                <w:color w:val="auto"/>
                <w:spacing w:val="0"/>
                <w:sz w:val="27"/>
                <w:szCs w:val="27"/>
                <w:highlight w:val="none"/>
              </w:rPr>
              <w:t>分。</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须提供相应有效证书原件扫描件</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人员配置</w:t>
            </w:r>
          </w:p>
        </w:tc>
        <w:tc>
          <w:tcPr>
            <w:tcW w:w="125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c>
          <w:tcPr>
            <w:tcW w:w="6226" w:type="dxa"/>
            <w:vAlign w:val="center"/>
          </w:tcPr>
          <w:p>
            <w:pPr>
              <w:pStyle w:val="221"/>
              <w:keepNext w:val="0"/>
              <w:keepLines w:val="0"/>
              <w:pageBreakBefore w:val="0"/>
              <w:numPr>
                <w:ilvl w:val="0"/>
                <w:numId w:val="2"/>
              </w:numPr>
              <w:kinsoku/>
              <w:wordWrap/>
              <w:overflowPunct/>
              <w:topLinePunct w:val="0"/>
              <w:autoSpaceDE/>
              <w:autoSpaceDN/>
              <w:bidi w:val="0"/>
              <w:spacing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投标人拟派项目负责人具备本科及以上学历或具有中级及以上职称证书得2分。</w:t>
            </w:r>
          </w:p>
          <w:p>
            <w:pPr>
              <w:pStyle w:val="221"/>
              <w:keepNext w:val="0"/>
              <w:keepLines w:val="0"/>
              <w:pageBreakBefore w:val="0"/>
              <w:numPr>
                <w:ilvl w:val="0"/>
                <w:numId w:val="2"/>
              </w:numPr>
              <w:kinsoku/>
              <w:wordWrap/>
              <w:overflowPunct/>
              <w:topLinePunct w:val="0"/>
              <w:autoSpaceDE/>
              <w:autoSpaceDN/>
              <w:bidi w:val="0"/>
              <w:spacing w:line="44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专职安全员（项目负责人除外）具有安全生产培训合格证书得1分。</w:t>
            </w:r>
          </w:p>
          <w:p>
            <w:pPr>
              <w:pStyle w:val="221"/>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3.现场管理人员（项目负责人及专职安全员除外）具有大专及以上学历或初级及以上职称或具有安全生产培训合格证书的每人得1分，最高得2分。</w:t>
            </w:r>
          </w:p>
          <w:p>
            <w:pPr>
              <w:pStyle w:val="221"/>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须提供相关证书扫描件及开标前连续3个月投标人为其</w:t>
            </w:r>
            <w:r>
              <w:rPr>
                <w:rFonts w:hint="eastAsia" w:ascii="仿宋" w:hAnsi="仿宋" w:eastAsia="仿宋" w:cs="仿宋"/>
                <w:b/>
                <w:bCs/>
                <w:color w:val="auto"/>
                <w:sz w:val="28"/>
                <w:szCs w:val="28"/>
                <w:highlight w:val="none"/>
                <w:lang w:val="zh-CN" w:eastAsia="zh-CN"/>
              </w:rPr>
              <w:t>缴纳社会保障资金证明</w:t>
            </w:r>
            <w:r>
              <w:rPr>
                <w:rFonts w:hint="eastAsia" w:ascii="仿宋" w:hAnsi="仿宋" w:eastAsia="仿宋" w:cs="仿宋"/>
                <w:b/>
                <w:bCs/>
                <w:color w:val="auto"/>
                <w:sz w:val="28"/>
                <w:szCs w:val="28"/>
                <w:highlight w:val="none"/>
                <w:lang w:val="en-US" w:eastAsia="zh-CN"/>
              </w:rPr>
              <w:t>（缴纳凭证扫描件或人社部门出具的证明扫描件），</w:t>
            </w:r>
            <w:r>
              <w:rPr>
                <w:rFonts w:hint="eastAsia" w:ascii="仿宋" w:hAnsi="仿宋" w:eastAsia="仿宋" w:cs="仿宋"/>
                <w:b/>
                <w:bCs/>
                <w:color w:val="auto"/>
                <w:sz w:val="28"/>
                <w:szCs w:val="28"/>
                <w:highlight w:val="none"/>
                <w:lang w:val="zh-CN"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机具配置</w:t>
            </w:r>
          </w:p>
        </w:tc>
        <w:tc>
          <w:tcPr>
            <w:tcW w:w="125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c>
          <w:tcPr>
            <w:tcW w:w="6226" w:type="dxa"/>
            <w:vAlign w:val="center"/>
          </w:tcPr>
          <w:p>
            <w:pPr>
              <w:pStyle w:val="221"/>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投标人已有且拟投入本项目的车辆（含租赁车辆）情况：</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具备6辆以上（含6辆）总质量≥1000kg的垃圾清运车的，得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，其中</w:t>
            </w:r>
            <w:r>
              <w:rPr>
                <w:rFonts w:hint="eastAsia" w:ascii="仿宋" w:hAnsi="仿宋" w:eastAsia="仿宋" w:cs="仿宋"/>
                <w:color w:val="auto"/>
                <w:sz w:val="28"/>
                <w:szCs w:val="28"/>
                <w:highlight w:val="none"/>
              </w:rPr>
              <w:t>具备2辆以上（含2辆）总质量≥3000kg的垃圾清运车的，</w:t>
            </w:r>
            <w:r>
              <w:rPr>
                <w:rFonts w:hint="eastAsia" w:ascii="仿宋" w:hAnsi="仿宋" w:eastAsia="仿宋" w:cs="仿宋"/>
                <w:color w:val="auto"/>
                <w:sz w:val="28"/>
                <w:szCs w:val="28"/>
                <w:highlight w:val="none"/>
                <w:lang w:eastAsia="zh-CN"/>
              </w:rPr>
              <w:t>加</w:t>
            </w:r>
            <w:r>
              <w:rPr>
                <w:rFonts w:hint="eastAsia" w:ascii="仿宋" w:hAnsi="仿宋" w:eastAsia="仿宋" w:cs="仿宋"/>
                <w:color w:val="auto"/>
                <w:sz w:val="28"/>
                <w:szCs w:val="28"/>
                <w:highlight w:val="none"/>
              </w:rPr>
              <w:t>2分；</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.具备1辆以上（含</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辆）总质量≥8000kg的洒水车的，得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p>
          <w:p>
            <w:pPr>
              <w:pStyle w:val="221"/>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具备1辆以上（含1辆）总质量≥3000kg洗扫车的，得1分。</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.具备1辆以上（含1辆）总质量≥2000k</w:t>
            </w:r>
            <w:r>
              <w:rPr>
                <w:rFonts w:hint="eastAsia" w:ascii="仿宋" w:hAnsi="仿宋" w:eastAsia="仿宋" w:cs="仿宋"/>
                <w:color w:val="auto"/>
                <w:sz w:val="28"/>
                <w:szCs w:val="28"/>
                <w:highlight w:val="none"/>
                <w:lang w:val="en-US" w:eastAsia="zh-CN"/>
              </w:rPr>
              <w:t>g</w:t>
            </w:r>
            <w:r>
              <w:rPr>
                <w:rFonts w:hint="eastAsia" w:ascii="仿宋" w:hAnsi="仿宋" w:eastAsia="仿宋" w:cs="仿宋"/>
                <w:color w:val="auto"/>
                <w:sz w:val="28"/>
                <w:szCs w:val="28"/>
                <w:highlight w:val="none"/>
              </w:rPr>
              <w:t>大件废弃物清运车的，得1分。</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.具备高压冲洗车1辆以上（含1辆）的，得1分。</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须提供车辆行驶证、购置发票</w:t>
            </w:r>
            <w:r>
              <w:rPr>
                <w:rFonts w:hint="eastAsia" w:ascii="仿宋" w:hAnsi="仿宋" w:eastAsia="仿宋" w:cs="仿宋"/>
                <w:b/>
                <w:bCs/>
                <w:color w:val="auto"/>
                <w:sz w:val="28"/>
                <w:szCs w:val="28"/>
                <w:highlight w:val="none"/>
                <w:lang w:eastAsia="zh-CN"/>
              </w:rPr>
              <w:t>（如为租赁还须提供租赁</w:t>
            </w:r>
            <w:r>
              <w:rPr>
                <w:rFonts w:hint="eastAsia" w:ascii="仿宋" w:hAnsi="仿宋" w:eastAsia="仿宋" w:cs="仿宋"/>
                <w:b/>
                <w:bCs/>
                <w:color w:val="auto"/>
                <w:sz w:val="28"/>
                <w:szCs w:val="28"/>
                <w:highlight w:val="none"/>
              </w:rPr>
              <w:t>合同</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608" w:type="dxa"/>
            <w:vMerge w:val="restart"/>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6</w:t>
            </w:r>
          </w:p>
        </w:tc>
        <w:tc>
          <w:tcPr>
            <w:tcW w:w="1425" w:type="dxa"/>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管理制度</w:t>
            </w:r>
          </w:p>
        </w:tc>
        <w:tc>
          <w:tcPr>
            <w:tcW w:w="1258" w:type="dxa"/>
            <w:vMerge w:val="restart"/>
            <w:vAlign w:val="center"/>
          </w:tcPr>
          <w:p>
            <w:pPr>
              <w:pStyle w:val="221"/>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tc>
        <w:tc>
          <w:tcPr>
            <w:tcW w:w="6226" w:type="dxa"/>
            <w:vAlign w:val="center"/>
          </w:tcPr>
          <w:p>
            <w:pPr>
              <w:pStyle w:val="22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根据投标人管理机构配置、员工管理制度的科学性、合理性打分。各项管理制度健全、合理得</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分；管理制度缺漏项、内容简略得</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分；未提供不得分。</w:t>
            </w:r>
          </w:p>
          <w:p>
            <w:pPr>
              <w:pStyle w:val="22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根据投标人安全教育制度的科学性、合理性打分。制度健全、合理得</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分；制度缺漏项、内容简略得</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7</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保洁措施</w:t>
            </w:r>
          </w:p>
        </w:tc>
        <w:tc>
          <w:tcPr>
            <w:tcW w:w="1258" w:type="dxa"/>
            <w:vAlign w:val="center"/>
          </w:tcPr>
          <w:p>
            <w:pPr>
              <w:pStyle w:val="221"/>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c>
          <w:tcPr>
            <w:tcW w:w="6226" w:type="dxa"/>
            <w:vAlign w:val="center"/>
          </w:tcPr>
          <w:p>
            <w:pPr>
              <w:pStyle w:val="222"/>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根据投标人针对本项目道路</w:t>
            </w:r>
            <w:r>
              <w:rPr>
                <w:rFonts w:hint="eastAsia" w:ascii="仿宋" w:hAnsi="仿宋" w:eastAsia="仿宋" w:cs="仿宋"/>
                <w:color w:val="auto"/>
                <w:sz w:val="28"/>
                <w:szCs w:val="28"/>
                <w:highlight w:val="none"/>
                <w:lang w:eastAsia="zh-CN"/>
              </w:rPr>
              <w:t>和绿地</w:t>
            </w:r>
            <w:r>
              <w:rPr>
                <w:rFonts w:hint="eastAsia" w:ascii="仿宋" w:hAnsi="仿宋" w:eastAsia="仿宋" w:cs="仿宋"/>
                <w:color w:val="auto"/>
                <w:sz w:val="28"/>
                <w:szCs w:val="28"/>
                <w:highlight w:val="none"/>
              </w:rPr>
              <w:t>保洁措施的科学性、合理性进行打分。</w:t>
            </w:r>
            <w:r>
              <w:rPr>
                <w:rFonts w:hint="eastAsia" w:ascii="仿宋" w:hAnsi="仿宋" w:eastAsia="仿宋" w:cs="仿宋"/>
                <w:color w:val="auto"/>
                <w:sz w:val="28"/>
                <w:szCs w:val="28"/>
                <w:highlight w:val="none"/>
                <w:lang w:val="zh-CN"/>
              </w:rPr>
              <w:t>方案</w:t>
            </w:r>
            <w:r>
              <w:rPr>
                <w:rFonts w:hint="eastAsia" w:ascii="仿宋" w:hAnsi="仿宋" w:eastAsia="仿宋" w:cs="仿宋"/>
                <w:color w:val="auto"/>
                <w:sz w:val="28"/>
                <w:szCs w:val="28"/>
                <w:highlight w:val="none"/>
              </w:rPr>
              <w:t>合理的得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分；方案基本合理的得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分；方案</w:t>
            </w:r>
            <w:r>
              <w:rPr>
                <w:rFonts w:hint="eastAsia" w:ascii="仿宋" w:hAnsi="仿宋" w:eastAsia="仿宋" w:cs="仿宋"/>
                <w:color w:val="auto"/>
                <w:sz w:val="28"/>
                <w:szCs w:val="28"/>
                <w:highlight w:val="none"/>
                <w:lang w:val="zh-CN"/>
              </w:rPr>
              <w:t>描述片面，缺乏针对性的得</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分；</w:t>
            </w:r>
            <w:r>
              <w:rPr>
                <w:rFonts w:hint="eastAsia" w:ascii="仿宋" w:hAnsi="仿宋" w:eastAsia="仿宋" w:cs="仿宋"/>
                <w:color w:val="auto"/>
                <w:sz w:val="28"/>
                <w:szCs w:val="28"/>
                <w:highlight w:val="none"/>
              </w:rPr>
              <w:t>未提供不得分。</w:t>
            </w:r>
          </w:p>
          <w:p>
            <w:pPr>
              <w:pStyle w:val="222"/>
              <w:keepNext w:val="0"/>
              <w:keepLines w:val="0"/>
              <w:pageBreakBefore w:val="0"/>
              <w:kinsoku/>
              <w:wordWrap/>
              <w:overflowPunct/>
              <w:topLinePunct w:val="0"/>
              <w:autoSpaceDE/>
              <w:autoSpaceDN/>
              <w:bidi w:val="0"/>
              <w:spacing w:line="44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根据投标人洒水降尘冲洗专项方案打分。</w:t>
            </w:r>
            <w:r>
              <w:rPr>
                <w:rFonts w:hint="eastAsia" w:ascii="仿宋" w:hAnsi="仿宋" w:eastAsia="仿宋" w:cs="仿宋"/>
                <w:color w:val="auto"/>
                <w:sz w:val="28"/>
                <w:szCs w:val="28"/>
                <w:highlight w:val="none"/>
                <w:lang w:val="zh-CN"/>
              </w:rPr>
              <w:t>方案具有针对性和可操作性</w:t>
            </w:r>
            <w:r>
              <w:rPr>
                <w:rFonts w:hint="eastAsia" w:ascii="仿宋" w:hAnsi="仿宋" w:eastAsia="仿宋" w:cs="仿宋"/>
                <w:color w:val="auto"/>
                <w:sz w:val="28"/>
                <w:szCs w:val="28"/>
                <w:highlight w:val="none"/>
              </w:rPr>
              <w:t>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分；方案可操作性较强的得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分；方案可操作性一般的得1分；未提供不得分。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8</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垃圾收集、分类管理</w:t>
            </w:r>
          </w:p>
        </w:tc>
        <w:tc>
          <w:tcPr>
            <w:tcW w:w="1258" w:type="dxa"/>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p>
        </w:tc>
        <w:tc>
          <w:tcPr>
            <w:tcW w:w="6226" w:type="dxa"/>
            <w:vAlign w:val="center"/>
          </w:tcPr>
          <w:p>
            <w:pPr>
              <w:keepNext w:val="0"/>
              <w:keepLines w:val="0"/>
              <w:pageBreakBefore w:val="0"/>
              <w:kinsoku/>
              <w:wordWrap/>
              <w:overflowPunct/>
              <w:topLinePunct w:val="0"/>
              <w:autoSpaceDE/>
              <w:autoSpaceDN/>
              <w:bidi w:val="0"/>
              <w:snapToGrid w:val="0"/>
              <w:spacing w:line="440" w:lineRule="exact"/>
              <w:textAlignment w:val="auto"/>
              <w:rPr>
                <w:color w:val="auto"/>
                <w:highlight w:val="none"/>
              </w:rPr>
            </w:pPr>
            <w:r>
              <w:rPr>
                <w:rFonts w:hint="eastAsia" w:ascii="仿宋" w:hAnsi="仿宋" w:eastAsia="仿宋" w:cs="仿宋"/>
                <w:color w:val="auto"/>
                <w:sz w:val="28"/>
                <w:szCs w:val="28"/>
                <w:highlight w:val="none"/>
                <w:lang w:val="zh-CN"/>
              </w:rPr>
              <w:t>根据垃圾分类、清运管理方案是否具有针对性和可操作性由进行打分。方案具有针对性和可操作性</w:t>
            </w:r>
            <w:r>
              <w:rPr>
                <w:rFonts w:hint="eastAsia" w:ascii="仿宋" w:hAnsi="仿宋" w:eastAsia="仿宋" w:cs="仿宋"/>
                <w:color w:val="auto"/>
                <w:sz w:val="28"/>
                <w:szCs w:val="28"/>
                <w:highlight w:val="none"/>
              </w:rPr>
              <w:t>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分；方案可操作性一般的得1分；未提供不得分。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公厕管养专项方案</w:t>
            </w:r>
          </w:p>
        </w:tc>
        <w:tc>
          <w:tcPr>
            <w:tcW w:w="1258"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p>
        </w:tc>
        <w:tc>
          <w:tcPr>
            <w:tcW w:w="6226" w:type="dxa"/>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zh-CN"/>
              </w:rPr>
              <w:t>投标人提供</w:t>
            </w:r>
            <w:r>
              <w:rPr>
                <w:rFonts w:hint="eastAsia" w:ascii="仿宋" w:hAnsi="仿宋" w:eastAsia="仿宋" w:cs="仿宋"/>
                <w:color w:val="auto"/>
                <w:sz w:val="28"/>
                <w:szCs w:val="28"/>
                <w:highlight w:val="none"/>
              </w:rPr>
              <w:t>本项目公厕管养需求制定针对性专项方案</w:t>
            </w:r>
            <w:r>
              <w:rPr>
                <w:rFonts w:hint="eastAsia" w:ascii="仿宋" w:hAnsi="仿宋" w:eastAsia="仿宋" w:cs="仿宋"/>
                <w:color w:val="auto"/>
                <w:sz w:val="28"/>
                <w:szCs w:val="28"/>
                <w:highlight w:val="none"/>
                <w:lang w:val="zh-CN"/>
              </w:rPr>
              <w:t>进行打分。</w:t>
            </w:r>
            <w:r>
              <w:rPr>
                <w:rFonts w:hint="eastAsia" w:ascii="仿宋" w:hAnsi="仿宋" w:eastAsia="仿宋" w:cs="仿宋"/>
                <w:color w:val="auto"/>
                <w:sz w:val="28"/>
                <w:szCs w:val="28"/>
                <w:highlight w:val="none"/>
              </w:rPr>
              <w:t>方案合理的得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分；方案基本合理的得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分；方案</w:t>
            </w:r>
            <w:r>
              <w:rPr>
                <w:rFonts w:hint="eastAsia" w:ascii="仿宋" w:hAnsi="仿宋" w:eastAsia="仿宋" w:cs="仿宋"/>
                <w:color w:val="auto"/>
                <w:sz w:val="28"/>
                <w:szCs w:val="28"/>
                <w:highlight w:val="none"/>
                <w:lang w:val="zh-CN"/>
              </w:rPr>
              <w:t>描述片面，缺乏针对性的得</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分；</w:t>
            </w:r>
            <w:r>
              <w:rPr>
                <w:rFonts w:hint="eastAsia" w:ascii="仿宋" w:hAnsi="仿宋" w:eastAsia="仿宋" w:cs="仿宋"/>
                <w:color w:val="auto"/>
                <w:sz w:val="28"/>
                <w:szCs w:val="28"/>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8" w:type="dxa"/>
            <w:vMerge w:val="restart"/>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10</w:t>
            </w:r>
          </w:p>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8"/>
                <w:szCs w:val="28"/>
                <w:highlight w:val="none"/>
                <w:lang w:val="en-US" w:eastAsia="zh-CN"/>
              </w:rPr>
            </w:pPr>
          </w:p>
        </w:tc>
        <w:tc>
          <w:tcPr>
            <w:tcW w:w="1425" w:type="dxa"/>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作业管理方案</w:t>
            </w:r>
          </w:p>
        </w:tc>
        <w:tc>
          <w:tcPr>
            <w:tcW w:w="1258" w:type="dxa"/>
            <w:vMerge w:val="restart"/>
            <w:vAlign w:val="center"/>
          </w:tcPr>
          <w:p>
            <w:pPr>
              <w:pStyle w:val="221"/>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tc>
        <w:tc>
          <w:tcPr>
            <w:tcW w:w="6226" w:type="dxa"/>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根据机械化清扫、清洗的方案和措施进行打分。方案具有针对性和可操作性</w:t>
            </w:r>
            <w:r>
              <w:rPr>
                <w:rFonts w:hint="eastAsia" w:ascii="仿宋" w:hAnsi="仿宋" w:eastAsia="仿宋" w:cs="仿宋"/>
                <w:color w:val="auto"/>
                <w:sz w:val="28"/>
                <w:szCs w:val="28"/>
                <w:highlight w:val="none"/>
              </w:rPr>
              <w:t>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分；方案可操作性</w:t>
            </w:r>
            <w:r>
              <w:rPr>
                <w:rFonts w:hint="eastAsia" w:ascii="仿宋" w:hAnsi="仿宋" w:eastAsia="仿宋" w:cs="仿宋"/>
                <w:color w:val="auto"/>
                <w:sz w:val="28"/>
                <w:szCs w:val="28"/>
                <w:highlight w:val="none"/>
                <w:lang w:val="en-US" w:eastAsia="zh-CN"/>
              </w:rPr>
              <w:t>一般</w:t>
            </w:r>
            <w:r>
              <w:rPr>
                <w:rFonts w:hint="eastAsia" w:ascii="仿宋" w:hAnsi="仿宋" w:eastAsia="仿宋" w:cs="仿宋"/>
                <w:color w:val="auto"/>
                <w:sz w:val="28"/>
                <w:szCs w:val="28"/>
                <w:highlight w:val="none"/>
              </w:rPr>
              <w:t>的得1分；未提供不得分。</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根据</w:t>
            </w:r>
            <w:r>
              <w:rPr>
                <w:rFonts w:hint="eastAsia" w:ascii="仿宋" w:hAnsi="仿宋" w:eastAsia="仿宋" w:cs="仿宋"/>
                <w:color w:val="auto"/>
                <w:sz w:val="28"/>
                <w:szCs w:val="28"/>
                <w:highlight w:val="none"/>
              </w:rPr>
              <w:t>餐厨垃圾收运</w:t>
            </w:r>
            <w:r>
              <w:rPr>
                <w:rFonts w:hint="eastAsia" w:ascii="仿宋" w:hAnsi="仿宋" w:eastAsia="仿宋" w:cs="仿宋"/>
                <w:color w:val="auto"/>
                <w:sz w:val="28"/>
                <w:szCs w:val="28"/>
                <w:highlight w:val="none"/>
                <w:lang w:val="zh-CN"/>
              </w:rPr>
              <w:t>的方案和措施进行打分。方案具有针对性和可操作性</w:t>
            </w:r>
            <w:r>
              <w:rPr>
                <w:rFonts w:hint="eastAsia" w:ascii="仿宋" w:hAnsi="仿宋" w:eastAsia="仿宋" w:cs="仿宋"/>
                <w:color w:val="auto"/>
                <w:sz w:val="28"/>
                <w:szCs w:val="28"/>
                <w:highlight w:val="none"/>
              </w:rPr>
              <w:t>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分；方案可操作性一般的得1分；未提供不得分。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11</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应急专项方案</w:t>
            </w:r>
          </w:p>
        </w:tc>
        <w:tc>
          <w:tcPr>
            <w:tcW w:w="1258" w:type="dxa"/>
            <w:vAlign w:val="center"/>
          </w:tcPr>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0-</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分</w:t>
            </w:r>
          </w:p>
        </w:tc>
        <w:tc>
          <w:tcPr>
            <w:tcW w:w="6226" w:type="dxa"/>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zh-CN"/>
              </w:rPr>
              <w:t>投标人提供</w:t>
            </w:r>
            <w:r>
              <w:rPr>
                <w:rFonts w:hint="eastAsia" w:ascii="仿宋" w:hAnsi="仿宋" w:eastAsia="仿宋" w:cs="仿宋"/>
                <w:color w:val="auto"/>
                <w:sz w:val="28"/>
                <w:szCs w:val="28"/>
                <w:highlight w:val="none"/>
              </w:rPr>
              <w:t>极端天气（防汛抗台、雨雪冰冻等）专项方案</w:t>
            </w:r>
            <w:r>
              <w:rPr>
                <w:rFonts w:hint="eastAsia" w:ascii="仿宋" w:hAnsi="仿宋" w:eastAsia="仿宋" w:cs="仿宋"/>
                <w:color w:val="auto"/>
                <w:sz w:val="28"/>
                <w:szCs w:val="28"/>
                <w:highlight w:val="none"/>
                <w:lang w:val="zh-CN"/>
              </w:rPr>
              <w:t>进行打分。方案具体、</w:t>
            </w:r>
            <w:r>
              <w:rPr>
                <w:rFonts w:hint="eastAsia" w:ascii="仿宋" w:hAnsi="仿宋" w:eastAsia="仿宋" w:cs="仿宋"/>
                <w:color w:val="auto"/>
                <w:sz w:val="28"/>
                <w:szCs w:val="28"/>
                <w:highlight w:val="none"/>
                <w:lang w:val="zh-CN" w:eastAsia="zh-CN"/>
              </w:rPr>
              <w:t>合理，能</w:t>
            </w:r>
            <w:r>
              <w:rPr>
                <w:rFonts w:hint="eastAsia" w:ascii="仿宋" w:hAnsi="仿宋" w:eastAsia="仿宋" w:cs="仿宋"/>
                <w:color w:val="auto"/>
                <w:sz w:val="28"/>
                <w:szCs w:val="28"/>
                <w:highlight w:val="none"/>
                <w:lang w:val="en-US" w:eastAsia="zh-CN"/>
              </w:rPr>
              <w:t>够确保服务质量的</w:t>
            </w:r>
            <w:r>
              <w:rPr>
                <w:rFonts w:hint="eastAsia" w:ascii="仿宋" w:hAnsi="仿宋" w:eastAsia="仿宋" w:cs="仿宋"/>
                <w:color w:val="auto"/>
                <w:sz w:val="28"/>
                <w:szCs w:val="28"/>
                <w:highlight w:val="none"/>
                <w:lang w:val="zh-CN"/>
              </w:rPr>
              <w:t>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分；</w:t>
            </w:r>
            <w:r>
              <w:rPr>
                <w:rFonts w:hint="eastAsia" w:ascii="仿宋" w:hAnsi="仿宋" w:eastAsia="仿宋" w:cs="仿宋"/>
                <w:color w:val="auto"/>
                <w:sz w:val="28"/>
                <w:szCs w:val="28"/>
                <w:highlight w:val="none"/>
                <w:lang w:val="en-US" w:eastAsia="zh-CN"/>
              </w:rPr>
              <w:t>方案</w:t>
            </w:r>
            <w:r>
              <w:rPr>
                <w:rFonts w:hint="eastAsia" w:ascii="仿宋" w:hAnsi="仿宋" w:eastAsia="仿宋" w:cs="仿宋"/>
                <w:color w:val="auto"/>
                <w:sz w:val="28"/>
                <w:szCs w:val="28"/>
                <w:highlight w:val="none"/>
                <w:lang w:val="zh-CN" w:eastAsia="zh-CN"/>
              </w:rPr>
              <w:t>考虑不周，可行性差得</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eastAsia="zh-CN"/>
              </w:rPr>
              <w:t>无应急</w:t>
            </w:r>
            <w:r>
              <w:rPr>
                <w:rFonts w:hint="eastAsia" w:ascii="仿宋" w:hAnsi="仿宋" w:eastAsia="仿宋" w:cs="仿宋"/>
                <w:color w:val="auto"/>
                <w:sz w:val="28"/>
                <w:szCs w:val="28"/>
                <w:highlight w:val="none"/>
              </w:rPr>
              <w:t>专项</w:t>
            </w:r>
            <w:r>
              <w:rPr>
                <w:rFonts w:hint="eastAsia" w:ascii="仿宋" w:hAnsi="仿宋" w:eastAsia="仿宋" w:cs="仿宋"/>
                <w:color w:val="auto"/>
                <w:sz w:val="28"/>
                <w:szCs w:val="28"/>
                <w:highlight w:val="none"/>
                <w:lang w:val="zh-CN" w:eastAsia="zh-CN"/>
              </w:rPr>
              <w:t>方案的不得分。</w:t>
            </w:r>
            <w:r>
              <w:rPr>
                <w:rFonts w:hint="eastAsia" w:ascii="仿宋" w:hAnsi="仿宋" w:eastAsia="仿宋" w:cs="仿宋"/>
                <w:color w:val="auto"/>
                <w:sz w:val="28"/>
                <w:szCs w:val="28"/>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根据迎接重大活动、节日、重大检查保障措施及方案内容进行打分。方案具体、</w:t>
            </w:r>
            <w:r>
              <w:rPr>
                <w:rFonts w:hint="eastAsia" w:ascii="仿宋" w:hAnsi="仿宋" w:eastAsia="仿宋" w:cs="仿宋"/>
                <w:color w:val="auto"/>
                <w:sz w:val="28"/>
                <w:szCs w:val="28"/>
                <w:highlight w:val="none"/>
                <w:lang w:val="zh-CN" w:eastAsia="zh-CN"/>
              </w:rPr>
              <w:t>合理，能</w:t>
            </w:r>
            <w:r>
              <w:rPr>
                <w:rFonts w:hint="eastAsia" w:ascii="仿宋" w:hAnsi="仿宋" w:eastAsia="仿宋" w:cs="仿宋"/>
                <w:color w:val="auto"/>
                <w:sz w:val="28"/>
                <w:szCs w:val="28"/>
                <w:highlight w:val="none"/>
                <w:lang w:val="en-US" w:eastAsia="zh-CN"/>
              </w:rPr>
              <w:t>够确保服务质量的</w:t>
            </w:r>
            <w:r>
              <w:rPr>
                <w:rFonts w:hint="eastAsia" w:ascii="仿宋" w:hAnsi="仿宋" w:eastAsia="仿宋" w:cs="仿宋"/>
                <w:color w:val="auto"/>
                <w:sz w:val="28"/>
                <w:szCs w:val="28"/>
                <w:highlight w:val="none"/>
                <w:lang w:val="zh-CN"/>
              </w:rPr>
              <w:t>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分；</w:t>
            </w:r>
            <w:r>
              <w:rPr>
                <w:rFonts w:hint="eastAsia" w:ascii="仿宋" w:hAnsi="仿宋" w:eastAsia="仿宋" w:cs="仿宋"/>
                <w:color w:val="auto"/>
                <w:sz w:val="28"/>
                <w:szCs w:val="28"/>
                <w:highlight w:val="none"/>
                <w:lang w:val="en-US" w:eastAsia="zh-CN"/>
              </w:rPr>
              <w:t>方案</w:t>
            </w:r>
            <w:r>
              <w:rPr>
                <w:rFonts w:hint="eastAsia" w:ascii="仿宋" w:hAnsi="仿宋" w:eastAsia="仿宋" w:cs="仿宋"/>
                <w:color w:val="auto"/>
                <w:sz w:val="28"/>
                <w:szCs w:val="28"/>
                <w:highlight w:val="none"/>
                <w:lang w:val="zh-CN" w:eastAsia="zh-CN"/>
              </w:rPr>
              <w:t>考虑不周，可行性差得</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eastAsia="zh-CN"/>
              </w:rPr>
              <w:t>无应急</w:t>
            </w:r>
            <w:r>
              <w:rPr>
                <w:rFonts w:hint="eastAsia" w:ascii="仿宋" w:hAnsi="仿宋" w:eastAsia="仿宋" w:cs="仿宋"/>
                <w:color w:val="auto"/>
                <w:sz w:val="28"/>
                <w:szCs w:val="28"/>
                <w:highlight w:val="none"/>
              </w:rPr>
              <w:t>专项</w:t>
            </w:r>
            <w:r>
              <w:rPr>
                <w:rFonts w:hint="eastAsia" w:ascii="仿宋" w:hAnsi="仿宋" w:eastAsia="仿宋" w:cs="仿宋"/>
                <w:color w:val="auto"/>
                <w:sz w:val="28"/>
                <w:szCs w:val="28"/>
                <w:highlight w:val="none"/>
                <w:lang w:val="zh-CN" w:eastAsia="zh-CN"/>
              </w:rPr>
              <w:t>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合理化建议</w:t>
            </w:r>
          </w:p>
        </w:tc>
        <w:tc>
          <w:tcPr>
            <w:tcW w:w="1258"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p>
        </w:tc>
        <w:tc>
          <w:tcPr>
            <w:tcW w:w="6226" w:type="dxa"/>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根据投标人提供针对本项目作业的现状调查与问题剖析，并且结合本地实际情况提出合理化建议进行评价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建议合理的得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基本全面、合理的得</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未提供建议或建议不符合项目需求的不得分。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08"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w:t>
            </w:r>
          </w:p>
        </w:tc>
        <w:tc>
          <w:tcPr>
            <w:tcW w:w="1425"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报价分</w:t>
            </w:r>
          </w:p>
        </w:tc>
        <w:tc>
          <w:tcPr>
            <w:tcW w:w="1258"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分</w:t>
            </w:r>
          </w:p>
        </w:tc>
        <w:tc>
          <w:tcPr>
            <w:tcW w:w="6226" w:type="dxa"/>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满足招标文件要求且投标价格最低的投标报价为评标基准价，其价格分为满分，其他投标人的价格分统一按下列公式计算（按四舍五入取至小数点后两位）：投标报价得分=（评标基准价/投标报价）×</w:t>
            </w: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color w:val="auto"/>
                <w:highlight w:val="none"/>
                <w:lang w:eastAsia="zh-CN"/>
              </w:rPr>
            </w:pPr>
            <w:r>
              <w:rPr>
                <w:rFonts w:hint="eastAsia" w:ascii="仿宋" w:hAnsi="仿宋" w:eastAsia="仿宋" w:cs="仿宋"/>
                <w:b/>
                <w:bCs/>
                <w:color w:val="auto"/>
                <w:sz w:val="28"/>
                <w:szCs w:val="28"/>
                <w:highlight w:val="none"/>
                <w:lang w:val="en-US" w:eastAsia="zh-CN"/>
              </w:rPr>
              <w:t>因落实政府采购政策进行价格调整的，以调整后的价格计算评标基准价和投标报价。</w:t>
            </w:r>
          </w:p>
        </w:tc>
      </w:tr>
    </w:tbl>
    <w:p>
      <w:pPr>
        <w:pStyle w:val="50"/>
        <w:rPr>
          <w:color w:val="auto"/>
          <w:highlight w:val="none"/>
        </w:rPr>
      </w:pPr>
    </w:p>
    <w:p>
      <w:pPr>
        <w:keepNext w:val="0"/>
        <w:keepLines w:val="0"/>
        <w:pageBreakBefore w:val="0"/>
        <w:kinsoku/>
        <w:wordWrap/>
        <w:overflowPunct/>
        <w:topLinePunct w:val="0"/>
        <w:bidi w:val="0"/>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b/>
          <w:color w:val="auto"/>
          <w:kern w:val="0"/>
          <w:sz w:val="28"/>
          <w:szCs w:val="28"/>
          <w:highlight w:val="none"/>
        </w:rPr>
        <w:t>1.</w:t>
      </w:r>
      <w:r>
        <w:rPr>
          <w:rFonts w:hint="eastAsia" w:ascii="仿宋" w:hAnsi="仿宋" w:eastAsia="仿宋" w:cs="仿宋"/>
          <w:b/>
          <w:color w:val="auto"/>
          <w:sz w:val="28"/>
          <w:szCs w:val="28"/>
          <w:highlight w:val="none"/>
        </w:rPr>
        <w:t>投标人所使用的资格、信誉、荣誉、业绩与企业认证必须为本法人所拥有（且在有效期内）。</w:t>
      </w:r>
    </w:p>
    <w:p>
      <w:pPr>
        <w:spacing w:line="440" w:lineRule="exact"/>
        <w:ind w:firstLine="562" w:firstLineChars="200"/>
        <w:rPr>
          <w:rFonts w:hint="eastAsia" w:ascii="仿宋" w:hAnsi="仿宋" w:eastAsia="仿宋" w:cs="仿宋"/>
          <w:b/>
          <w:bCs/>
          <w:color w:val="auto"/>
          <w:sz w:val="28"/>
          <w:szCs w:val="28"/>
          <w:highlight w:val="none"/>
          <w:lang w:eastAsia="zh-CN"/>
        </w:rPr>
      </w:pPr>
      <w:bookmarkStart w:id="63" w:name="串通投标的情形"/>
      <w:r>
        <w:rPr>
          <w:rFonts w:hint="eastAsia" w:ascii="仿宋" w:hAnsi="仿宋" w:eastAsia="仿宋" w:cs="仿宋"/>
          <w:b/>
          <w:bCs/>
          <w:color w:val="auto"/>
          <w:sz w:val="28"/>
          <w:szCs w:val="28"/>
          <w:highlight w:val="none"/>
          <w:lang w:eastAsia="zh-CN"/>
        </w:rPr>
        <w:t>2</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eastAsia="zh-CN"/>
        </w:rPr>
        <w:t>串通投标的情形</w:t>
      </w:r>
    </w:p>
    <w:bookmarkEnd w:id="63"/>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（1）不同投标人的投标文件由同一单位或者个人编制；</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（2）不同投标人委托同一单位或者个人办理投标事宜；</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（3）不同投标人的投标文件载明的项目管理成员或者联系人员为同一人；</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（4）不同投标人的投标文件异常一致或者投标报价呈规律性差异。</w:t>
      </w:r>
    </w:p>
    <w:p>
      <w:pPr>
        <w:spacing w:line="440" w:lineRule="exact"/>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eastAsia="zh-CN"/>
        </w:rPr>
        <w:t>投标无效的情形</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投标文件属下列情况之一的，按照无效投标处理：</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（1）投标文件未按招标文件要求签署、盖章的；</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（2）不具备招标文件中规定的资格要求的;</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（3）电子投标文件未按规定要求提供电子签章的；</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（4）技术商务文件或资格证明文件中含报价；</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（5）招标文件中有▲处条款投标人未作实质性响应的；</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带有★的采购性能指标要求，存在不满足的；</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）报价超过招标文件中规定的预算金额或者最高限价的；</w:t>
      </w:r>
    </w:p>
    <w:p>
      <w:pPr>
        <w:keepNext w:val="0"/>
        <w:keepLines w:val="0"/>
        <w:pageBreakBefore w:val="0"/>
        <w:widowControl/>
        <w:kinsoku/>
        <w:wordWrap/>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）投标文件含有采购人不能接受的附加条件的；</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r>
        <w:rPr>
          <w:rFonts w:hint="eastAsia" w:ascii="仿宋" w:hAnsi="仿宋" w:eastAsia="仿宋" w:cs="仿宋"/>
          <w:color w:val="auto"/>
          <w:sz w:val="28"/>
          <w:szCs w:val="28"/>
          <w:highlight w:val="none"/>
        </w:rPr>
        <w:t>法律、法规和招标文件规定的其他无效情形</w:t>
      </w:r>
      <w:r>
        <w:rPr>
          <w:rFonts w:hint="eastAsia" w:ascii="仿宋" w:hAnsi="仿宋" w:eastAsia="仿宋" w:cs="仿宋"/>
          <w:color w:val="auto"/>
          <w:kern w:val="0"/>
          <w:sz w:val="28"/>
          <w:szCs w:val="28"/>
          <w:highlight w:val="none"/>
        </w:rPr>
        <w:t>。</w:t>
      </w:r>
    </w:p>
    <w:p>
      <w:pPr>
        <w:keepNext w:val="0"/>
        <w:keepLines w:val="0"/>
        <w:pageBreakBefore w:val="0"/>
        <w:widowControl/>
        <w:kinsoku/>
        <w:wordWrap/>
        <w:overflowPunct/>
        <w:topLinePunct w:val="0"/>
        <w:bidi w:val="0"/>
        <w:spacing w:line="500" w:lineRule="exact"/>
        <w:ind w:firstLine="562" w:firstLineChars="200"/>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8</w:t>
      </w:r>
      <w:r>
        <w:rPr>
          <w:rFonts w:hint="eastAsia" w:ascii="仿宋" w:hAnsi="仿宋" w:eastAsia="仿宋" w:cs="仿宋"/>
          <w:b/>
          <w:bCs/>
          <w:color w:val="auto"/>
          <w:kern w:val="0"/>
          <w:sz w:val="28"/>
          <w:szCs w:val="28"/>
          <w:highlight w:val="none"/>
        </w:rPr>
        <w:t>.废标的情形</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在招标采购中，出现下列情形之一的，应予废标。废标后，采购单位将废标理由通知所有投标人：</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（1）符合专业条件的供应商或者对招标文件作实质响应的供应商不足三家的；</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（2）出现影响采购公正的违法、违规行为的；</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（3）投标人的报价均超过了采购预算，采购单位不能支付的；</w:t>
      </w:r>
    </w:p>
    <w:p>
      <w:pPr>
        <w:keepNext w:val="0"/>
        <w:keepLines w:val="0"/>
        <w:pageBreakBefore w:val="0"/>
        <w:widowControl/>
        <w:kinsoku/>
        <w:wordWrap/>
        <w:overflowPunct/>
        <w:topLinePunct w:val="0"/>
        <w:bidi w:val="0"/>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（4）因重大变故，采购任务取消的。</w:t>
      </w:r>
    </w:p>
    <w:p>
      <w:pPr>
        <w:keepNext w:val="0"/>
        <w:keepLines w:val="0"/>
        <w:pageBreakBefore w:val="0"/>
        <w:widowControl/>
        <w:kinsoku/>
        <w:wordWrap/>
        <w:overflowPunct/>
        <w:topLinePunct w:val="0"/>
        <w:bidi w:val="0"/>
        <w:spacing w:line="500" w:lineRule="exact"/>
        <w:ind w:firstLine="551" w:firstLineChars="196"/>
        <w:rPr>
          <w:rFonts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9</w:t>
      </w:r>
      <w:r>
        <w:rPr>
          <w:rFonts w:hint="eastAsia" w:ascii="仿宋" w:hAnsi="仿宋" w:eastAsia="仿宋" w:cs="仿宋"/>
          <w:b/>
          <w:bCs/>
          <w:color w:val="auto"/>
          <w:kern w:val="0"/>
          <w:sz w:val="28"/>
          <w:szCs w:val="28"/>
          <w:highlight w:val="none"/>
        </w:rPr>
        <w:t>.确定中标人原则</w:t>
      </w:r>
    </w:p>
    <w:p>
      <w:pPr>
        <w:pStyle w:val="220"/>
        <w:keepNext w:val="0"/>
        <w:keepLines w:val="0"/>
        <w:pageBreakBefore w:val="0"/>
        <w:widowControl w:val="0"/>
        <w:kinsoku/>
        <w:wordWrap/>
        <w:overflowPunct/>
        <w:topLinePunct w:val="0"/>
        <w:bidi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实质上充分响应招标文件要求且总得分最高的被评标委员会推荐为第一中标候选人。得分相同的，采取随机抽取方式确定。</w:t>
      </w:r>
    </w:p>
    <w:p>
      <w:pPr>
        <w:spacing w:line="440" w:lineRule="exact"/>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val="en-US" w:eastAsia="zh-CN"/>
        </w:rPr>
        <w:t>30</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sz w:val="28"/>
          <w:szCs w:val="28"/>
          <w:highlight w:val="none"/>
        </w:rPr>
        <w:t>中标通知及中标公告</w:t>
      </w:r>
    </w:p>
    <w:p>
      <w:pPr>
        <w:spacing w:line="44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.1在中标供应商确定之日起2个工作日内发布中标公告及《中标通知书》，中标公告发布网址：浙江政府采购网(http://zfcg.czt.zj.gov.cn/)和开化县人民政府网（</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"http://www.kaihua.gov.cn/"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www.kaihua.gov.cn/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p>
    <w:p>
      <w:pPr>
        <w:spacing w:line="440" w:lineRule="exact"/>
        <w:ind w:firstLine="551" w:firstLineChars="196"/>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30.2发布中标公告时同步公开评标委员会对每个投标人的《得分汇总表》情况；若中标人为中小企业的，还需公布《中小企业声明函》。</w:t>
      </w:r>
    </w:p>
    <w:p>
      <w:pPr>
        <w:spacing w:line="440" w:lineRule="exact"/>
        <w:ind w:firstLine="548" w:firstLineChars="196"/>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中标公告发布同时，由嘉兴市千秋工程咨询有限公司和采购人签发《中标通知书》。</w:t>
      </w:r>
    </w:p>
    <w:p>
      <w:pPr>
        <w:spacing w:line="44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《中标通知书》将作为签订合同的重要依据，对采购代理机构、中标人和采购人具有法律效力。若采购代理机构无故改变中标结果、中标人放弃中标项目或采购人无正当理由拒签合同的都应承担法律责任。</w:t>
      </w:r>
    </w:p>
    <w:p>
      <w:pPr>
        <w:keepNext w:val="0"/>
        <w:keepLines w:val="0"/>
        <w:pageBreakBefore w:val="0"/>
        <w:widowControl/>
        <w:kinsoku/>
        <w:wordWrap/>
        <w:overflowPunct/>
        <w:topLinePunct w:val="0"/>
        <w:bidi w:val="0"/>
        <w:spacing w:line="500" w:lineRule="exact"/>
        <w:ind w:firstLine="562" w:firstLineChars="200"/>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3</w:t>
      </w: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、质疑与投诉</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.1投标人认为</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过程或成交结果使自己的合法权益受到损害的，可以在中标结果公告期限届满之日起7个工作日内，以书面形式向</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eastAsia="zh-CN"/>
        </w:rPr>
        <w:t>提出质疑。</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32.2</w:t>
      </w:r>
      <w:r>
        <w:rPr>
          <w:rFonts w:hint="eastAsia" w:ascii="仿宋" w:hAnsi="仿宋" w:eastAsia="仿宋" w:cs="仿宋"/>
          <w:color w:val="auto"/>
          <w:sz w:val="28"/>
          <w:szCs w:val="28"/>
          <w:highlight w:val="none"/>
          <w:lang w:eastAsia="zh-CN"/>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A</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供应商的姓名或者名称、地址、邮编、联系人及联系电话；</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B</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质疑项目的名称、编号；</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C</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具体、明确的质疑事项和与质疑事项相关的请求；</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D</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事实依据；</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E</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必要的法律依据；</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F</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提出质疑的日期。</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供应商为自然人的，应当由本人签字；供应商为法人或者其他组织的，应当由法定代表人、主要负责人，或者其授权代表签字或者盖章，并加盖公章。质疑应明确阐述</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过程或成交结果中使自己合法权益受到损害的实质性内容，提供相关事实、依据和证据及其来源或线索，便于有关单位调查、答复和处理, 质疑函不符合《政府采购质疑和投诉办法》相关规定的，应在规定期限内补齐的，</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eastAsia="zh-CN"/>
        </w:rPr>
        <w:t>自收到补齐材料之日起受理；逾期未补齐的，按自动撤回质疑处理。</w:t>
      </w:r>
    </w:p>
    <w:p>
      <w:pPr>
        <w:spacing w:line="440"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31.3质疑材料递交方式：</w:t>
      </w:r>
    </w:p>
    <w:p>
      <w:pPr>
        <w:spacing w:line="440"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①通过政采云平台在线提出质疑（政采云系统菜单路径：应用中心-项目采购-询问质疑投诉-质疑列表-新增质疑）；</w:t>
      </w:r>
    </w:p>
    <w:p>
      <w:pPr>
        <w:spacing w:line="44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②书面递交到开化县华埠镇得阳大厦A座6楼。</w:t>
      </w:r>
    </w:p>
    <w:p>
      <w:pPr>
        <w:keepNext w:val="0"/>
        <w:keepLines w:val="0"/>
        <w:pageBreakBefore w:val="0"/>
        <w:kinsoku/>
        <w:wordWrap/>
        <w:overflowPunct/>
        <w:topLinePunct w:val="0"/>
        <w:autoSpaceDE w:val="0"/>
        <w:autoSpaceDN w:val="0"/>
        <w:bidi w:val="0"/>
        <w:spacing w:line="500" w:lineRule="exact"/>
        <w:ind w:firstLine="562" w:firstLineChars="200"/>
        <w:jc w:val="center"/>
        <w:rPr>
          <w:rFonts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六、合同授予</w:t>
      </w:r>
    </w:p>
    <w:p>
      <w:pPr>
        <w:spacing w:line="440" w:lineRule="exact"/>
        <w:ind w:firstLine="551" w:firstLineChars="196"/>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3</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签订合同</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.1中标人应在《中标通知书》发出之日起</w:t>
      </w:r>
      <w:r>
        <w:rPr>
          <w:rFonts w:hint="eastAsia" w:ascii="仿宋" w:hAnsi="仿宋" w:eastAsia="仿宋" w:cs="仿宋"/>
          <w:b/>
          <w:i/>
          <w:color w:val="auto"/>
          <w:sz w:val="28"/>
          <w:szCs w:val="28"/>
          <w:highlight w:val="none"/>
          <w:u w:val="single"/>
          <w:lang w:eastAsia="zh-CN"/>
        </w:rPr>
        <w:t>30日</w:t>
      </w:r>
      <w:r>
        <w:rPr>
          <w:rFonts w:hint="eastAsia" w:ascii="仿宋" w:hAnsi="仿宋" w:eastAsia="仿宋" w:cs="仿宋"/>
          <w:color w:val="auto"/>
          <w:sz w:val="28"/>
          <w:szCs w:val="28"/>
          <w:highlight w:val="none"/>
          <w:lang w:eastAsia="zh-CN"/>
        </w:rPr>
        <w:t>内与采购人签订合同。</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.2合同经双方法定代表人或授权委托人签字加盖单位公章，并经嘉兴市千秋工程咨询有限公司鉴证盖章后生效。</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.3 招标文件、投标文件及其澄清文件等，均作为签订合同的依据。所签订的合同不得对招标文件和投标文件做实质性修改。</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32.4中标人可以凭借政府采购合同获得商业银行贷款。</w:t>
      </w: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center"/>
        <w:outlineLvl w:val="0"/>
        <w:rPr>
          <w:rFonts w:hint="eastAsia" w:ascii="仿宋" w:hAnsi="仿宋" w:eastAsia="仿宋" w:cs="仿宋"/>
          <w:b/>
          <w:bCs/>
          <w:color w:val="auto"/>
          <w:sz w:val="28"/>
          <w:szCs w:val="28"/>
          <w:highlight w:val="none"/>
          <w:lang w:eastAsia="zh-CN"/>
        </w:rPr>
      </w:pPr>
    </w:p>
    <w:p>
      <w:pPr>
        <w:pStyle w:val="35"/>
        <w:spacing w:beforeAutospacing="0" w:afterAutospacing="0" w:line="360" w:lineRule="auto"/>
        <w:jc w:val="both"/>
        <w:outlineLvl w:val="0"/>
        <w:rPr>
          <w:rFonts w:hint="eastAsia" w:ascii="仿宋" w:hAnsi="仿宋" w:eastAsia="仿宋" w:cs="仿宋"/>
          <w:b/>
          <w:bCs/>
          <w:color w:val="auto"/>
          <w:sz w:val="28"/>
          <w:szCs w:val="28"/>
          <w:highlight w:val="none"/>
          <w:lang w:eastAsia="zh-CN"/>
        </w:rPr>
      </w:pPr>
    </w:p>
    <w:p>
      <w:pPr>
        <w:autoSpaceDE w:val="0"/>
        <w:autoSpaceDN w:val="0"/>
        <w:adjustRightInd w:val="0"/>
        <w:spacing w:line="400" w:lineRule="exact"/>
        <w:ind w:firstLine="723" w:firstLineChars="200"/>
        <w:jc w:val="center"/>
        <w:rPr>
          <w:rFonts w:hint="eastAsia" w:ascii="黑体" w:hAnsi="黑体" w:eastAsia="黑体"/>
          <w:b/>
          <w:color w:val="auto"/>
          <w:sz w:val="36"/>
          <w:szCs w:val="36"/>
          <w:highlight w:val="none"/>
        </w:rPr>
      </w:pPr>
    </w:p>
    <w:p>
      <w:pPr>
        <w:autoSpaceDE w:val="0"/>
        <w:autoSpaceDN w:val="0"/>
        <w:adjustRightInd w:val="0"/>
        <w:spacing w:line="400" w:lineRule="exact"/>
        <w:ind w:firstLine="723" w:firstLineChars="200"/>
        <w:jc w:val="center"/>
        <w:rPr>
          <w:rFonts w:ascii="黑体" w:hAnsi="黑体" w:eastAsia="黑体"/>
          <w:color w:val="auto"/>
          <w:sz w:val="36"/>
          <w:szCs w:val="36"/>
          <w:highlight w:val="none"/>
        </w:rPr>
      </w:pPr>
      <w:r>
        <w:rPr>
          <w:rFonts w:hint="eastAsia" w:ascii="黑体" w:hAnsi="黑体" w:eastAsia="黑体"/>
          <w:b/>
          <w:color w:val="auto"/>
          <w:sz w:val="36"/>
          <w:szCs w:val="36"/>
          <w:highlight w:val="none"/>
        </w:rPr>
        <w:t>第三章</w:t>
      </w:r>
      <w:r>
        <w:rPr>
          <w:rFonts w:hint="eastAsia" w:ascii="黑体" w:hAnsi="黑体" w:eastAsia="黑体"/>
          <w:b/>
          <w:color w:val="auto"/>
          <w:sz w:val="36"/>
          <w:szCs w:val="36"/>
          <w:highlight w:val="none"/>
          <w:lang w:val="en-US" w:eastAsia="zh-CN"/>
        </w:rPr>
        <w:t xml:space="preserve"> </w:t>
      </w:r>
      <w:r>
        <w:rPr>
          <w:rFonts w:hint="eastAsia" w:ascii="黑体" w:hAnsi="黑体" w:eastAsia="黑体"/>
          <w:b/>
          <w:color w:val="auto"/>
          <w:sz w:val="36"/>
          <w:szCs w:val="36"/>
          <w:highlight w:val="none"/>
        </w:rPr>
        <w:t>合同主要条款</w:t>
      </w: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采购人：</w:t>
      </w:r>
      <w:r>
        <w:rPr>
          <w:rFonts w:hint="eastAsia" w:ascii="宋体" w:hAnsi="宋体" w:cs="宋体"/>
          <w:color w:val="auto"/>
          <w:szCs w:val="21"/>
          <w:highlight w:val="none"/>
          <w:u w:val="single"/>
        </w:rPr>
        <w:t>                </w:t>
      </w:r>
      <w:r>
        <w:rPr>
          <w:rFonts w:hint="eastAsia" w:ascii="仿宋" w:hAnsi="仿宋" w:eastAsia="仿宋" w:cs="仿宋"/>
          <w:color w:val="auto"/>
          <w:kern w:val="1"/>
          <w:sz w:val="28"/>
          <w:szCs w:val="28"/>
          <w:highlight w:val="none"/>
        </w:rPr>
        <w:t xml:space="preserve">   （以下采购人称甲方）</w:t>
      </w:r>
    </w:p>
    <w:p>
      <w:pPr>
        <w:keepNext w:val="0"/>
        <w:keepLines w:val="0"/>
        <w:pageBreakBefore w:val="0"/>
        <w:widowControl w:val="0"/>
        <w:tabs>
          <w:tab w:val="left" w:pos="6300"/>
          <w:tab w:val="left" w:pos="6480"/>
        </w:tabs>
        <w:kinsoku/>
        <w:wordWrap/>
        <w:overflowPunct/>
        <w:topLinePunct w:val="0"/>
        <w:autoSpaceDE/>
        <w:autoSpaceDN/>
        <w:bidi w:val="0"/>
        <w:spacing w:line="500" w:lineRule="exact"/>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中标人：</w:t>
      </w:r>
      <w:r>
        <w:rPr>
          <w:rFonts w:hint="eastAsia" w:ascii="宋体" w:hAnsi="宋体" w:cs="宋体"/>
          <w:color w:val="auto"/>
          <w:szCs w:val="21"/>
          <w:highlight w:val="none"/>
          <w:u w:val="single"/>
        </w:rPr>
        <w:t>                </w:t>
      </w:r>
      <w:r>
        <w:rPr>
          <w:rFonts w:hint="eastAsia" w:ascii="仿宋" w:hAnsi="仿宋" w:eastAsia="仿宋" w:cs="仿宋"/>
          <w:color w:val="auto"/>
          <w:kern w:val="1"/>
          <w:sz w:val="28"/>
          <w:szCs w:val="28"/>
          <w:highlight w:val="none"/>
        </w:rPr>
        <w:t xml:space="preserve">   （以下中标人称乙方）</w:t>
      </w:r>
    </w:p>
    <w:p>
      <w:pPr>
        <w:keepNext w:val="0"/>
        <w:keepLines w:val="0"/>
        <w:pageBreakBefore w:val="0"/>
        <w:widowControl w:val="0"/>
        <w:tabs>
          <w:tab w:val="left" w:pos="6300"/>
          <w:tab w:val="left" w:pos="6480"/>
        </w:tabs>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根据</w:t>
      </w:r>
      <w:r>
        <w:rPr>
          <w:rFonts w:hint="eastAsia" w:ascii="仿宋" w:hAnsi="仿宋" w:eastAsia="仿宋" w:cs="仿宋"/>
          <w:color w:val="auto"/>
          <w:kern w:val="1"/>
          <w:sz w:val="28"/>
          <w:szCs w:val="28"/>
          <w:highlight w:val="none"/>
          <w:lang w:eastAsia="zh-CN"/>
        </w:rPr>
        <w:t>《中华人民共和国民法典》</w:t>
      </w:r>
      <w:r>
        <w:rPr>
          <w:rFonts w:hint="eastAsia" w:ascii="仿宋" w:hAnsi="仿宋" w:eastAsia="仿宋" w:cs="仿宋"/>
          <w:color w:val="auto"/>
          <w:kern w:val="1"/>
          <w:sz w:val="28"/>
          <w:szCs w:val="28"/>
          <w:highlight w:val="none"/>
        </w:rPr>
        <w:t>、《中华人民共和国政府采购法》及其它有关法律、法规，遵循公平、公正和诚信的原则，结合</w:t>
      </w:r>
      <w:r>
        <w:rPr>
          <w:rFonts w:hint="eastAsia" w:ascii="仿宋" w:hAnsi="仿宋" w:eastAsia="仿宋" w:cs="仿宋"/>
          <w:color w:val="auto"/>
          <w:spacing w:val="-6"/>
          <w:sz w:val="28"/>
          <w:szCs w:val="28"/>
          <w:highlight w:val="none"/>
        </w:rPr>
        <w:t>开化县华埠镇城区环卫作业一体化服务</w:t>
      </w:r>
      <w:r>
        <w:rPr>
          <w:rFonts w:hint="eastAsia" w:ascii="仿宋" w:hAnsi="仿宋" w:eastAsia="仿宋" w:cs="仿宋"/>
          <w:color w:val="auto"/>
          <w:kern w:val="1"/>
          <w:sz w:val="28"/>
          <w:szCs w:val="28"/>
          <w:highlight w:val="none"/>
        </w:rPr>
        <w:t>采购结果，确定乙方为</w:t>
      </w:r>
      <w:r>
        <w:rPr>
          <w:rFonts w:hint="eastAsia" w:ascii="仿宋" w:hAnsi="仿宋" w:eastAsia="仿宋" w:cs="仿宋"/>
          <w:color w:val="auto"/>
          <w:spacing w:val="-6"/>
          <w:sz w:val="28"/>
          <w:szCs w:val="28"/>
          <w:highlight w:val="none"/>
        </w:rPr>
        <w:t>开化县华埠镇城区环卫作业一体化服务采购</w:t>
      </w:r>
      <w:r>
        <w:rPr>
          <w:rFonts w:hint="eastAsia" w:ascii="仿宋" w:hAnsi="仿宋" w:eastAsia="仿宋" w:cs="仿宋"/>
          <w:color w:val="auto"/>
          <w:kern w:val="1"/>
          <w:sz w:val="28"/>
          <w:szCs w:val="28"/>
          <w:highlight w:val="none"/>
        </w:rPr>
        <w:t>项目中标企业，现经甲、乙双方协商，签署本服务合同。</w:t>
      </w:r>
    </w:p>
    <w:p>
      <w:pPr>
        <w:keepNext w:val="0"/>
        <w:keepLines w:val="0"/>
        <w:pageBreakBefore w:val="0"/>
        <w:widowControl w:val="0"/>
        <w:kinsoku/>
        <w:wordWrap/>
        <w:overflowPunct/>
        <w:topLinePunct w:val="0"/>
        <w:autoSpaceDE/>
        <w:autoSpaceDN/>
        <w:bidi w:val="0"/>
        <w:spacing w:line="500" w:lineRule="exact"/>
        <w:ind w:firstLine="422"/>
        <w:textAlignment w:val="auto"/>
        <w:rPr>
          <w:rFonts w:ascii="仿宋" w:hAnsi="仿宋" w:eastAsia="仿宋" w:cs="仿宋"/>
          <w:color w:val="auto"/>
          <w:kern w:val="1"/>
          <w:sz w:val="28"/>
          <w:szCs w:val="28"/>
          <w:highlight w:val="none"/>
        </w:rPr>
      </w:pPr>
      <w:r>
        <w:rPr>
          <w:rFonts w:hint="eastAsia" w:ascii="仿宋" w:hAnsi="仿宋" w:eastAsia="仿宋" w:cs="仿宋"/>
          <w:b/>
          <w:color w:val="auto"/>
          <w:kern w:val="1"/>
          <w:sz w:val="28"/>
          <w:szCs w:val="28"/>
          <w:highlight w:val="none"/>
        </w:rPr>
        <w:t>一、项目名称：</w:t>
      </w:r>
      <w:r>
        <w:rPr>
          <w:rFonts w:hint="eastAsia" w:ascii="仿宋" w:hAnsi="仿宋" w:eastAsia="仿宋" w:cs="仿宋"/>
          <w:color w:val="auto"/>
          <w:spacing w:val="-6"/>
          <w:sz w:val="28"/>
          <w:szCs w:val="28"/>
          <w:highlight w:val="none"/>
          <w:lang w:eastAsia="zh-CN"/>
        </w:rPr>
        <w:t>开化县华埠镇城区环卫作业一体化服务采购项目</w:t>
      </w:r>
      <w:r>
        <w:rPr>
          <w:rFonts w:hint="eastAsia" w:ascii="仿宋" w:hAnsi="仿宋" w:eastAsia="仿宋" w:cs="仿宋"/>
          <w:color w:val="auto"/>
          <w:kern w:val="1"/>
          <w:sz w:val="28"/>
          <w:szCs w:val="28"/>
          <w:highlight w:val="none"/>
        </w:rPr>
        <w:t>。</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二、承包内容</w:t>
      </w:r>
    </w:p>
    <w:p>
      <w:pPr>
        <w:keepNext w:val="0"/>
        <w:keepLines w:val="0"/>
        <w:pageBreakBefore w:val="0"/>
        <w:widowControl w:val="0"/>
        <w:kinsoku/>
        <w:wordWrap/>
        <w:overflowPunct/>
        <w:topLinePunct w:val="0"/>
        <w:autoSpaceDE/>
        <w:autoSpaceDN/>
        <w:bidi w:val="0"/>
        <w:spacing w:line="500" w:lineRule="exact"/>
        <w:ind w:firstLine="536" w:firstLineChars="200"/>
        <w:textAlignment w:val="auto"/>
        <w:rPr>
          <w:rFonts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2.1开化县华埠镇城区环卫作业一体化服务</w:t>
      </w:r>
      <w:r>
        <w:rPr>
          <w:rFonts w:hint="eastAsia" w:ascii="仿宋" w:hAnsi="仿宋" w:eastAsia="仿宋" w:cs="仿宋"/>
          <w:color w:val="auto"/>
          <w:sz w:val="28"/>
          <w:szCs w:val="28"/>
          <w:highlight w:val="none"/>
        </w:rPr>
        <w:t>保洁面积</w:t>
      </w:r>
    </w:p>
    <w:tbl>
      <w:tblPr>
        <w:tblStyle w:val="41"/>
        <w:tblpPr w:leftFromText="180" w:rightFromText="180" w:vertAnchor="text" w:horzAnchor="page" w:tblpX="1464" w:tblpY="123"/>
        <w:tblOverlap w:val="never"/>
        <w:tblW w:w="4832" w:type="pct"/>
        <w:tblInd w:w="0" w:type="dxa"/>
        <w:tblLayout w:type="fixed"/>
        <w:tblCellMar>
          <w:top w:w="0" w:type="dxa"/>
          <w:left w:w="108" w:type="dxa"/>
          <w:bottom w:w="0" w:type="dxa"/>
          <w:right w:w="108" w:type="dxa"/>
        </w:tblCellMar>
      </w:tblPr>
      <w:tblGrid>
        <w:gridCol w:w="636"/>
        <w:gridCol w:w="1834"/>
        <w:gridCol w:w="1468"/>
        <w:gridCol w:w="1510"/>
        <w:gridCol w:w="1368"/>
        <w:gridCol w:w="1940"/>
      </w:tblGrid>
      <w:tr>
        <w:tblPrEx>
          <w:tblCellMar>
            <w:top w:w="0" w:type="dxa"/>
            <w:left w:w="108" w:type="dxa"/>
            <w:bottom w:w="0" w:type="dxa"/>
            <w:right w:w="108" w:type="dxa"/>
          </w:tblCellMar>
        </w:tblPrEx>
        <w:trPr>
          <w:trHeight w:val="1085"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区域名称</w:t>
            </w:r>
          </w:p>
        </w:tc>
        <w:tc>
          <w:tcPr>
            <w:tcW w:w="83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江东新区</w:t>
            </w:r>
          </w:p>
        </w:tc>
        <w:tc>
          <w:tcPr>
            <w:tcW w:w="86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老城区</w:t>
            </w:r>
          </w:p>
        </w:tc>
        <w:tc>
          <w:tcPr>
            <w:tcW w:w="78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国道县道</w:t>
            </w:r>
          </w:p>
        </w:tc>
        <w:tc>
          <w:tcPr>
            <w:tcW w:w="11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总保洁面积(m2)</w:t>
            </w:r>
          </w:p>
        </w:tc>
      </w:tr>
      <w:tr>
        <w:tblPrEx>
          <w:tblCellMar>
            <w:top w:w="0" w:type="dxa"/>
            <w:left w:w="108" w:type="dxa"/>
            <w:bottom w:w="0" w:type="dxa"/>
            <w:right w:w="108" w:type="dxa"/>
          </w:tblCellMar>
        </w:tblPrEx>
        <w:trPr>
          <w:trHeight w:val="909"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0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一级道路</w:t>
            </w:r>
          </w:p>
        </w:tc>
        <w:tc>
          <w:tcPr>
            <w:tcW w:w="14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21341</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65862</w:t>
            </w:r>
          </w:p>
        </w:tc>
        <w:tc>
          <w:tcPr>
            <w:tcW w:w="1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87</w:t>
            </w:r>
            <w:r>
              <w:rPr>
                <w:rFonts w:hint="eastAsia" w:ascii="仿宋" w:hAnsi="仿宋" w:eastAsia="仿宋" w:cs="仿宋"/>
                <w:color w:val="auto"/>
                <w:sz w:val="28"/>
                <w:szCs w:val="28"/>
                <w:highlight w:val="none"/>
              </w:rPr>
              <w:t>203</w:t>
            </w:r>
          </w:p>
        </w:tc>
      </w:tr>
      <w:tr>
        <w:tblPrEx>
          <w:tblCellMar>
            <w:top w:w="0" w:type="dxa"/>
            <w:left w:w="108" w:type="dxa"/>
            <w:bottom w:w="0" w:type="dxa"/>
            <w:right w:w="108" w:type="dxa"/>
          </w:tblCellMar>
        </w:tblPrEx>
        <w:trPr>
          <w:trHeight w:val="909"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0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二级道路</w:t>
            </w:r>
          </w:p>
        </w:tc>
        <w:tc>
          <w:tcPr>
            <w:tcW w:w="14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6507</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17666</w:t>
            </w:r>
          </w:p>
        </w:tc>
        <w:tc>
          <w:tcPr>
            <w:tcW w:w="1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24173</w:t>
            </w:r>
          </w:p>
        </w:tc>
      </w:tr>
      <w:tr>
        <w:tblPrEx>
          <w:tblCellMar>
            <w:top w:w="0" w:type="dxa"/>
            <w:left w:w="108" w:type="dxa"/>
            <w:bottom w:w="0" w:type="dxa"/>
            <w:right w:w="108" w:type="dxa"/>
          </w:tblCellMar>
        </w:tblPrEx>
        <w:trPr>
          <w:trHeight w:val="909"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0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三级道路</w:t>
            </w:r>
          </w:p>
        </w:tc>
        <w:tc>
          <w:tcPr>
            <w:tcW w:w="14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37171</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33084</w:t>
            </w:r>
          </w:p>
        </w:tc>
        <w:tc>
          <w:tcPr>
            <w:tcW w:w="1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70255</w:t>
            </w:r>
          </w:p>
        </w:tc>
      </w:tr>
      <w:tr>
        <w:tblPrEx>
          <w:tblCellMar>
            <w:top w:w="0" w:type="dxa"/>
            <w:left w:w="108" w:type="dxa"/>
            <w:bottom w:w="0" w:type="dxa"/>
            <w:right w:w="108" w:type="dxa"/>
          </w:tblCellMar>
        </w:tblPrEx>
        <w:trPr>
          <w:trHeight w:val="909"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0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四级道路</w:t>
            </w:r>
          </w:p>
        </w:tc>
        <w:tc>
          <w:tcPr>
            <w:tcW w:w="14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25522</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62710</w:t>
            </w:r>
          </w:p>
        </w:tc>
        <w:tc>
          <w:tcPr>
            <w:tcW w:w="1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83645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171797</w:t>
            </w:r>
          </w:p>
        </w:tc>
      </w:tr>
      <w:tr>
        <w:tblPrEx>
          <w:tblCellMar>
            <w:top w:w="0" w:type="dxa"/>
            <w:left w:w="108" w:type="dxa"/>
            <w:bottom w:w="0" w:type="dxa"/>
            <w:right w:w="108" w:type="dxa"/>
          </w:tblCellMar>
        </w:tblPrEx>
        <w:trPr>
          <w:trHeight w:val="1085"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0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绿化面积</w:t>
            </w:r>
          </w:p>
        </w:tc>
        <w:tc>
          <w:tcPr>
            <w:tcW w:w="14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42767</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79</w:t>
            </w:r>
            <w:r>
              <w:rPr>
                <w:rFonts w:hint="eastAsia" w:ascii="仿宋" w:hAnsi="仿宋" w:eastAsia="仿宋" w:cs="仿宋"/>
                <w:color w:val="auto"/>
                <w:sz w:val="28"/>
                <w:szCs w:val="28"/>
                <w:highlight w:val="none"/>
              </w:rPr>
              <w:t>000（公园）</w:t>
            </w:r>
          </w:p>
        </w:tc>
        <w:tc>
          <w:tcPr>
            <w:tcW w:w="1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129767</w:t>
            </w:r>
          </w:p>
        </w:tc>
      </w:tr>
      <w:tr>
        <w:tblPrEx>
          <w:tblCellMar>
            <w:top w:w="0" w:type="dxa"/>
            <w:left w:w="108" w:type="dxa"/>
            <w:bottom w:w="0" w:type="dxa"/>
            <w:right w:w="108" w:type="dxa"/>
          </w:tblCellMar>
        </w:tblPrEx>
        <w:trPr>
          <w:trHeight w:val="951"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0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总保洁面积</w:t>
            </w:r>
          </w:p>
        </w:tc>
        <w:tc>
          <w:tcPr>
            <w:tcW w:w="14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133308</w:t>
            </w:r>
          </w:p>
        </w:tc>
        <w:tc>
          <w:tcPr>
            <w:tcW w:w="1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266322</w:t>
            </w:r>
          </w:p>
        </w:tc>
        <w:tc>
          <w:tcPr>
            <w:tcW w:w="1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83645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483275</w:t>
            </w:r>
          </w:p>
        </w:tc>
      </w:tr>
    </w:tbl>
    <w:p>
      <w:pPr>
        <w:keepNext w:val="0"/>
        <w:keepLines w:val="0"/>
        <w:pageBreakBefore w:val="0"/>
        <w:widowControl w:val="0"/>
        <w:tabs>
          <w:tab w:val="left" w:pos="6300"/>
          <w:tab w:val="left" w:pos="6480"/>
        </w:tabs>
        <w:kinsoku/>
        <w:wordWrap/>
        <w:overflowPunct/>
        <w:topLinePunct w:val="0"/>
        <w:autoSpaceDE/>
        <w:autoSpaceDN/>
        <w:bidi w:val="0"/>
        <w:spacing w:line="500" w:lineRule="exact"/>
        <w:ind w:firstLine="420"/>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2.2</w:t>
      </w:r>
      <w:r>
        <w:rPr>
          <w:rFonts w:hint="eastAsia" w:ascii="仿宋" w:hAnsi="仿宋" w:eastAsia="仿宋" w:cs="仿宋"/>
          <w:color w:val="auto"/>
          <w:kern w:val="1"/>
          <w:sz w:val="28"/>
          <w:szCs w:val="28"/>
          <w:highlight w:val="none"/>
          <w:lang w:eastAsia="zh-CN"/>
        </w:rPr>
        <w:t>华埠镇</w:t>
      </w:r>
      <w:r>
        <w:rPr>
          <w:rFonts w:hint="eastAsia" w:ascii="仿宋" w:hAnsi="仿宋" w:eastAsia="仿宋" w:cs="仿宋"/>
          <w:color w:val="auto"/>
          <w:kern w:val="1"/>
          <w:sz w:val="28"/>
          <w:szCs w:val="28"/>
          <w:highlight w:val="none"/>
          <w:lang w:val="en-US" w:eastAsia="zh-CN"/>
        </w:rPr>
        <w:t>17座</w:t>
      </w:r>
      <w:r>
        <w:rPr>
          <w:rFonts w:hint="eastAsia" w:ascii="仿宋" w:hAnsi="仿宋" w:eastAsia="仿宋" w:cs="仿宋"/>
          <w:color w:val="auto"/>
          <w:kern w:val="1"/>
          <w:sz w:val="28"/>
          <w:szCs w:val="28"/>
          <w:highlight w:val="none"/>
        </w:rPr>
        <w:t>公厕</w:t>
      </w:r>
      <w:r>
        <w:rPr>
          <w:rFonts w:hint="eastAsia" w:ascii="仿宋" w:hAnsi="仿宋" w:eastAsia="仿宋" w:cs="仿宋"/>
          <w:color w:val="auto"/>
          <w:kern w:val="1"/>
          <w:sz w:val="28"/>
          <w:szCs w:val="28"/>
          <w:highlight w:val="none"/>
          <w:lang w:eastAsia="zh-CN"/>
        </w:rPr>
        <w:t>管理。</w:t>
      </w:r>
    </w:p>
    <w:p>
      <w:pPr>
        <w:keepNext w:val="0"/>
        <w:keepLines w:val="0"/>
        <w:pageBreakBefore w:val="0"/>
        <w:widowControl w:val="0"/>
        <w:tabs>
          <w:tab w:val="left" w:pos="6300"/>
          <w:tab w:val="left" w:pos="6480"/>
        </w:tabs>
        <w:kinsoku/>
        <w:wordWrap/>
        <w:overflowPunct/>
        <w:topLinePunct w:val="0"/>
        <w:autoSpaceDE/>
        <w:autoSpaceDN/>
        <w:bidi w:val="0"/>
        <w:spacing w:line="500" w:lineRule="exact"/>
        <w:ind w:firstLine="420"/>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lang w:eastAsia="zh-CN"/>
        </w:rPr>
        <w:t>华埠镇</w:t>
      </w:r>
      <w:r>
        <w:rPr>
          <w:rFonts w:hint="eastAsia" w:ascii="仿宋" w:hAnsi="仿宋" w:eastAsia="仿宋" w:cs="仿宋"/>
          <w:color w:val="auto"/>
          <w:sz w:val="28"/>
          <w:szCs w:val="28"/>
          <w:highlight w:val="none"/>
        </w:rPr>
        <w:t>常山港水面及堤防马道保洁：由双港口至下界首村，全长7.149km，</w:t>
      </w:r>
      <w:r>
        <w:rPr>
          <w:rFonts w:hint="eastAsia" w:ascii="仿宋" w:hAnsi="仿宋" w:eastAsia="仿宋" w:cs="仿宋"/>
          <w:color w:val="auto"/>
          <w:sz w:val="28"/>
          <w:szCs w:val="28"/>
          <w:highlight w:val="none"/>
          <w:lang w:eastAsia="zh-CN"/>
        </w:rPr>
        <w:t>其中</w:t>
      </w:r>
      <w:r>
        <w:rPr>
          <w:rFonts w:hint="eastAsia" w:ascii="仿宋" w:hAnsi="仿宋" w:eastAsia="仿宋" w:cs="仿宋"/>
          <w:color w:val="auto"/>
          <w:sz w:val="28"/>
          <w:szCs w:val="28"/>
          <w:highlight w:val="none"/>
        </w:rPr>
        <w:t>流域面积1.096平方公里。</w:t>
      </w:r>
    </w:p>
    <w:p>
      <w:pPr>
        <w:keepNext w:val="0"/>
        <w:keepLines w:val="0"/>
        <w:pageBreakBefore w:val="0"/>
        <w:widowControl w:val="0"/>
        <w:tabs>
          <w:tab w:val="left" w:pos="6300"/>
          <w:tab w:val="left" w:pos="6480"/>
        </w:tabs>
        <w:kinsoku/>
        <w:wordWrap/>
        <w:overflowPunct/>
        <w:topLinePunct w:val="0"/>
        <w:autoSpaceDE/>
        <w:autoSpaceDN/>
        <w:bidi w:val="0"/>
        <w:spacing w:line="500" w:lineRule="exact"/>
        <w:ind w:firstLine="420"/>
        <w:textAlignment w:val="auto"/>
        <w:rPr>
          <w:rFonts w:hint="eastAsia"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rPr>
        <w:t>2.4</w:t>
      </w:r>
      <w:r>
        <w:rPr>
          <w:rFonts w:hint="eastAsia" w:ascii="仿宋" w:hAnsi="仿宋" w:eastAsia="仿宋" w:cs="仿宋"/>
          <w:color w:val="auto"/>
          <w:kern w:val="1"/>
          <w:sz w:val="28"/>
          <w:szCs w:val="28"/>
          <w:highlight w:val="none"/>
          <w:lang w:val="en-US" w:eastAsia="zh-CN"/>
        </w:rPr>
        <w:t>华埠城区及205国道沿线从事餐饮服务、集体供餐、食品生产加工等活动的单位（含个体工商户）在生产经营过程中的餐厨垃圾收集、清运。</w:t>
      </w:r>
    </w:p>
    <w:p>
      <w:pPr>
        <w:keepNext w:val="0"/>
        <w:keepLines w:val="0"/>
        <w:pageBreakBefore w:val="0"/>
        <w:widowControl w:val="0"/>
        <w:tabs>
          <w:tab w:val="left" w:pos="6300"/>
          <w:tab w:val="left" w:pos="6480"/>
        </w:tabs>
        <w:kinsoku/>
        <w:wordWrap/>
        <w:overflowPunct/>
        <w:topLinePunct w:val="0"/>
        <w:autoSpaceDE/>
        <w:autoSpaceDN/>
        <w:bidi w:val="0"/>
        <w:spacing w:line="500" w:lineRule="exact"/>
        <w:ind w:firstLine="420"/>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2.</w:t>
      </w:r>
      <w:r>
        <w:rPr>
          <w:rFonts w:hint="eastAsia" w:ascii="仿宋" w:hAnsi="仿宋" w:eastAsia="仿宋" w:cs="仿宋"/>
          <w:color w:val="auto"/>
          <w:kern w:val="1"/>
          <w:sz w:val="28"/>
          <w:szCs w:val="28"/>
          <w:highlight w:val="none"/>
          <w:lang w:val="en-US" w:eastAsia="zh-CN"/>
        </w:rPr>
        <w:t>5</w:t>
      </w:r>
      <w:r>
        <w:rPr>
          <w:rFonts w:hint="eastAsia" w:ascii="仿宋" w:hAnsi="仿宋" w:eastAsia="仿宋" w:cs="仿宋"/>
          <w:color w:val="auto"/>
          <w:kern w:val="1"/>
          <w:sz w:val="28"/>
          <w:szCs w:val="28"/>
          <w:highlight w:val="none"/>
        </w:rPr>
        <w:t>创文（创卫）保障：创文（创卫）复评工作期间，乙方须无条件按照甲方要求增加工作人员及相关车辆设备，因此可能产生的一切费用均由乙方负责，甲方不再针对相应保障工作调整中标价，乙方自行承担相应风险。</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lang w:val="zh-CN"/>
        </w:rPr>
        <w:t>▲</w:t>
      </w:r>
      <w:r>
        <w:rPr>
          <w:rFonts w:hint="eastAsia" w:ascii="仿宋" w:hAnsi="仿宋" w:eastAsia="仿宋" w:cs="仿宋"/>
          <w:b/>
          <w:color w:val="auto"/>
          <w:sz w:val="28"/>
          <w:szCs w:val="28"/>
          <w:highlight w:val="none"/>
        </w:rPr>
        <w:t>本合同每年承包价人民币：</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元。</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总价是指完成本项目所有人工费（包括工人工资、奖金、劳保福利、社保、意外保险、工伤费、教育培训费、暂住费及处理一切伤亡事故等费用）、机械台班费、水电费、工具材料费（含机械、扫帚等）、垃圾清运费、安全文明生产装备费（包括环卫工人冬、夏装工作服、反光衣等）、物价波动风险因素、企业应缴税金、应急、上级突击检查等完成合同所需的一切本身和不可或缺的所有工作开支、政策性文件规定合同包含的所有风险、责任、等全部费用。其中需考虑承包期限内因物价波动所引起的风险要素。</w:t>
      </w:r>
    </w:p>
    <w:p>
      <w:pPr>
        <w:keepNext w:val="0"/>
        <w:keepLines w:val="0"/>
        <w:pageBreakBefore w:val="0"/>
        <w:widowControl w:val="0"/>
        <w:kinsoku/>
        <w:wordWrap/>
        <w:overflowPunct/>
        <w:topLinePunct w:val="0"/>
        <w:autoSpaceDE/>
        <w:autoSpaceDN/>
        <w:bidi w:val="0"/>
        <w:spacing w:line="500" w:lineRule="exact"/>
        <w:jc w:val="left"/>
        <w:textAlignment w:val="auto"/>
        <w:outlineLvl w:val="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 xml:space="preserve">   （一）承包范围：采购文件《第四章采购需求》中所包含城市主次道路、人行道、台阶、边沟、边坡、绿化带、</w:t>
      </w:r>
      <w:r>
        <w:rPr>
          <w:rFonts w:hint="eastAsia" w:ascii="仿宋" w:hAnsi="仿宋" w:eastAsia="仿宋" w:cs="仿宋"/>
          <w:color w:val="auto"/>
          <w:kern w:val="0"/>
          <w:sz w:val="28"/>
          <w:szCs w:val="28"/>
          <w:highlight w:val="none"/>
        </w:rPr>
        <w:t>绿化地块、树池、支路入口、空地、</w:t>
      </w:r>
      <w:r>
        <w:rPr>
          <w:rFonts w:hint="eastAsia" w:ascii="仿宋" w:hAnsi="仿宋" w:eastAsia="仿宋" w:cs="仿宋"/>
          <w:color w:val="auto"/>
          <w:kern w:val="1"/>
          <w:sz w:val="28"/>
          <w:szCs w:val="28"/>
          <w:highlight w:val="none"/>
          <w:lang w:eastAsia="zh-CN"/>
        </w:rPr>
        <w:t>部分无物业开放式小区其里弄</w:t>
      </w:r>
      <w:r>
        <w:rPr>
          <w:rFonts w:hint="eastAsia" w:ascii="仿宋" w:hAnsi="仿宋" w:eastAsia="仿宋" w:cs="仿宋"/>
          <w:color w:val="auto"/>
          <w:kern w:val="1"/>
          <w:sz w:val="28"/>
          <w:szCs w:val="28"/>
          <w:highlight w:val="none"/>
        </w:rPr>
        <w:t>小巷等公共场所清扫保洁，路面洒水降尘；垃圾清运范围内的垃圾日产日清；公厕日常管理；保持标段内环卫设施垃圾房、果壳箱垃圾清理及清洗消毒；垃圾桶清洗；垃圾清运；四周地面油污清洗；行道树穴清理等；标段内保洁方案、安全生产、清洗、病媒消杀等资料台账的收集、整理、上报工作;应对重大活动、各项检查及突发应急事件时的卫生保障工作。</w:t>
      </w:r>
    </w:p>
    <w:p>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1"/>
          <w:sz w:val="28"/>
          <w:szCs w:val="28"/>
          <w:highlight w:val="none"/>
        </w:rPr>
        <w:t>（二）承包方式：</w:t>
      </w:r>
      <w:r>
        <w:rPr>
          <w:rFonts w:hint="eastAsia" w:ascii="仿宋" w:hAnsi="仿宋" w:eastAsia="仿宋" w:cs="仿宋"/>
          <w:b/>
          <w:bCs/>
          <w:color w:val="auto"/>
          <w:kern w:val="1"/>
          <w:sz w:val="28"/>
          <w:szCs w:val="28"/>
          <w:highlight w:val="none"/>
        </w:rPr>
        <w:t>固定总价合同承包（</w:t>
      </w:r>
      <w:r>
        <w:rPr>
          <w:rFonts w:hint="eastAsia" w:ascii="仿宋" w:hAnsi="仿宋" w:eastAsia="仿宋" w:cs="仿宋"/>
          <w:b/>
          <w:bCs/>
          <w:color w:val="auto"/>
          <w:kern w:val="1"/>
          <w:sz w:val="28"/>
          <w:szCs w:val="28"/>
          <w:highlight w:val="none"/>
          <w:lang w:val="en-US" w:eastAsia="zh-CN"/>
        </w:rPr>
        <w:t>按</w:t>
      </w:r>
      <w:r>
        <w:rPr>
          <w:rFonts w:hint="eastAsia" w:ascii="仿宋" w:hAnsi="仿宋" w:eastAsia="仿宋" w:cs="仿宋"/>
          <w:b/>
          <w:bCs/>
          <w:color w:val="auto"/>
          <w:kern w:val="1"/>
          <w:sz w:val="28"/>
          <w:szCs w:val="28"/>
          <w:highlight w:val="none"/>
        </w:rPr>
        <w:t>年承包）。</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（三）承包时间：合同签订之日起</w:t>
      </w:r>
      <w:r>
        <w:rPr>
          <w:rFonts w:hint="eastAsia" w:ascii="仿宋" w:hAnsi="仿宋" w:eastAsia="仿宋" w:cs="仿宋"/>
          <w:color w:val="auto"/>
          <w:kern w:val="1"/>
          <w:sz w:val="28"/>
          <w:szCs w:val="28"/>
          <w:highlight w:val="none"/>
          <w:lang w:eastAsia="zh-CN"/>
        </w:rPr>
        <w:t>贰</w:t>
      </w:r>
      <w:r>
        <w:rPr>
          <w:rFonts w:hint="eastAsia" w:ascii="仿宋" w:hAnsi="仿宋" w:eastAsia="仿宋" w:cs="仿宋"/>
          <w:color w:val="auto"/>
          <w:kern w:val="1"/>
          <w:sz w:val="28"/>
          <w:szCs w:val="28"/>
          <w:highlight w:val="none"/>
        </w:rPr>
        <w:t>年，一年一签。</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（四）社会保险等由中标方负责。</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（五）保洁范围：</w:t>
      </w:r>
      <w:r>
        <w:rPr>
          <w:rFonts w:hint="eastAsia" w:ascii="仿宋" w:hAnsi="仿宋" w:eastAsia="仿宋" w:cs="仿宋"/>
          <w:color w:val="auto"/>
          <w:kern w:val="1"/>
          <w:sz w:val="28"/>
          <w:szCs w:val="28"/>
          <w:highlight w:val="none"/>
          <w:u w:val="single"/>
          <w:lang w:val="en-US" w:eastAsia="zh-CN"/>
        </w:rPr>
        <w:t xml:space="preserve">         </w:t>
      </w:r>
      <w:r>
        <w:rPr>
          <w:rFonts w:hint="eastAsia" w:ascii="仿宋" w:hAnsi="仿宋" w:eastAsia="仿宋" w:cs="仿宋"/>
          <w:color w:val="auto"/>
          <w:kern w:val="1"/>
          <w:sz w:val="28"/>
          <w:szCs w:val="28"/>
          <w:highlight w:val="none"/>
        </w:rPr>
        <w:t>，保洁面积</w:t>
      </w:r>
      <w:r>
        <w:rPr>
          <w:rFonts w:hint="eastAsia" w:ascii="仿宋" w:hAnsi="仿宋" w:eastAsia="仿宋" w:cs="仿宋"/>
          <w:color w:val="auto"/>
          <w:kern w:val="1"/>
          <w:sz w:val="28"/>
          <w:szCs w:val="28"/>
          <w:highlight w:val="none"/>
          <w:u w:val="single"/>
          <w:lang w:val="en-US" w:eastAsia="zh-CN"/>
        </w:rPr>
        <w:t xml:space="preserve">     </w:t>
      </w:r>
      <w:r>
        <w:rPr>
          <w:rFonts w:hint="eastAsia" w:ascii="仿宋" w:hAnsi="仿宋" w:eastAsia="仿宋" w:cs="仿宋"/>
          <w:color w:val="auto"/>
          <w:kern w:val="1"/>
          <w:sz w:val="28"/>
          <w:szCs w:val="28"/>
          <w:highlight w:val="none"/>
          <w:u w:val="none"/>
        </w:rPr>
        <w:t xml:space="preserve">平方米  </w:t>
      </w:r>
      <w:r>
        <w:rPr>
          <w:rFonts w:hint="eastAsia" w:ascii="仿宋" w:hAnsi="仿宋" w:eastAsia="仿宋" w:cs="仿宋"/>
          <w:color w:val="auto"/>
          <w:kern w:val="1"/>
          <w:sz w:val="28"/>
          <w:szCs w:val="28"/>
          <w:highlight w:val="none"/>
        </w:rPr>
        <w:t>。</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仿宋" w:hAnsi="仿宋" w:eastAsia="仿宋" w:cs="仿宋"/>
          <w:color w:val="auto"/>
          <w:kern w:val="1"/>
          <w:sz w:val="28"/>
          <w:szCs w:val="28"/>
          <w:highlight w:val="none"/>
        </w:rPr>
      </w:pPr>
      <w:r>
        <w:rPr>
          <w:rFonts w:hint="eastAsia" w:ascii="仿宋" w:hAnsi="仿宋" w:eastAsia="仿宋" w:cs="仿宋"/>
          <w:b/>
          <w:color w:val="auto"/>
          <w:kern w:val="1"/>
          <w:sz w:val="28"/>
          <w:szCs w:val="28"/>
          <w:highlight w:val="none"/>
        </w:rPr>
        <w:t>三、采购预算</w:t>
      </w:r>
    </w:p>
    <w:p>
      <w:pPr>
        <w:keepNext w:val="0"/>
        <w:keepLines w:val="0"/>
        <w:pageBreakBefore w:val="0"/>
        <w:widowControl w:val="0"/>
        <w:kinsoku/>
        <w:wordWrap/>
        <w:overflowPunct/>
        <w:topLinePunct w:val="0"/>
        <w:autoSpaceDE/>
        <w:autoSpaceDN/>
        <w:bidi w:val="0"/>
        <w:snapToGrid w:val="0"/>
        <w:spacing w:line="500" w:lineRule="exact"/>
        <w:jc w:val="left"/>
        <w:textAlignment w:val="auto"/>
        <w:outlineLvl w:val="2"/>
        <w:rPr>
          <w:rFonts w:ascii="仿宋" w:hAnsi="仿宋" w:eastAsia="仿宋" w:cs="仿宋"/>
          <w:color w:val="auto"/>
          <w:spacing w:val="-4"/>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采购预算包含承包范围内的所有作业内容，包括</w:t>
      </w:r>
      <w:r>
        <w:rPr>
          <w:rFonts w:hint="eastAsia" w:ascii="仿宋" w:hAnsi="仿宋" w:eastAsia="仿宋" w:cs="仿宋"/>
          <w:color w:val="auto"/>
          <w:sz w:val="28"/>
          <w:szCs w:val="28"/>
          <w:highlight w:val="none"/>
          <w:lang w:eastAsia="zh-CN"/>
        </w:rPr>
        <w:t>道路</w:t>
      </w:r>
      <w:r>
        <w:rPr>
          <w:rFonts w:hint="eastAsia" w:ascii="仿宋" w:hAnsi="仿宋" w:eastAsia="仿宋" w:cs="仿宋"/>
          <w:color w:val="auto"/>
          <w:sz w:val="28"/>
          <w:szCs w:val="28"/>
          <w:highlight w:val="none"/>
        </w:rPr>
        <w:t>清扫</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公厕管理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垃圾收集</w:t>
      </w:r>
      <w:r>
        <w:rPr>
          <w:rFonts w:hint="eastAsia" w:ascii="仿宋" w:hAnsi="仿宋" w:eastAsia="仿宋" w:cs="仿宋"/>
          <w:color w:val="auto"/>
          <w:sz w:val="28"/>
          <w:szCs w:val="28"/>
          <w:highlight w:val="none"/>
          <w:lang w:eastAsia="zh-CN"/>
        </w:rPr>
        <w:t>及</w:t>
      </w:r>
      <w:r>
        <w:rPr>
          <w:rFonts w:hint="eastAsia" w:ascii="仿宋" w:hAnsi="仿宋" w:eastAsia="仿宋" w:cs="仿宋"/>
          <w:color w:val="auto"/>
          <w:sz w:val="28"/>
          <w:szCs w:val="28"/>
          <w:highlight w:val="none"/>
        </w:rPr>
        <w:t>清运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道路洒水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洗扫</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餐厨垃圾收集</w:t>
      </w:r>
      <w:r>
        <w:rPr>
          <w:rFonts w:hint="eastAsia" w:ascii="仿宋" w:hAnsi="仿宋" w:eastAsia="仿宋" w:cs="仿宋"/>
          <w:color w:val="auto"/>
          <w:sz w:val="28"/>
          <w:szCs w:val="28"/>
          <w:highlight w:val="none"/>
          <w:lang w:eastAsia="zh-CN"/>
        </w:rPr>
        <w:t>及清运、华埠镇</w:t>
      </w:r>
      <w:r>
        <w:rPr>
          <w:rFonts w:hint="eastAsia" w:ascii="仿宋" w:hAnsi="仿宋" w:eastAsia="仿宋" w:cs="仿宋"/>
          <w:color w:val="auto"/>
          <w:sz w:val="28"/>
          <w:szCs w:val="28"/>
          <w:highlight w:val="none"/>
        </w:rPr>
        <w:t>常山港水面及堤防马道保洁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社会保险、意外伤害保险、管理费、税金、预备金等费用。</w:t>
      </w:r>
    </w:p>
    <w:p>
      <w:pPr>
        <w:keepNext w:val="0"/>
        <w:keepLines w:val="0"/>
        <w:pageBreakBefore w:val="0"/>
        <w:widowControl w:val="0"/>
        <w:kinsoku/>
        <w:wordWrap/>
        <w:overflowPunct/>
        <w:topLinePunct w:val="0"/>
        <w:autoSpaceDE/>
        <w:autoSpaceDN/>
        <w:bidi w:val="0"/>
        <w:spacing w:line="500" w:lineRule="exact"/>
        <w:ind w:firstLine="422"/>
        <w:textAlignment w:val="auto"/>
        <w:rPr>
          <w:rFonts w:ascii="仿宋" w:hAnsi="仿宋" w:eastAsia="仿宋" w:cs="仿宋"/>
          <w:color w:val="auto"/>
          <w:spacing w:val="-4"/>
          <w:sz w:val="28"/>
          <w:szCs w:val="28"/>
          <w:highlight w:val="none"/>
        </w:rPr>
      </w:pPr>
      <w:r>
        <w:rPr>
          <w:rFonts w:hint="eastAsia" w:ascii="仿宋" w:hAnsi="仿宋" w:eastAsia="仿宋" w:cs="仿宋"/>
          <w:b/>
          <w:color w:val="auto"/>
          <w:kern w:val="1"/>
          <w:sz w:val="28"/>
          <w:szCs w:val="28"/>
          <w:highlight w:val="none"/>
        </w:rPr>
        <w:t>四、合同价款</w:t>
      </w:r>
      <w:r>
        <w:rPr>
          <w:rFonts w:hint="eastAsia" w:ascii="仿宋" w:hAnsi="仿宋" w:eastAsia="仿宋" w:cs="仿宋"/>
          <w:color w:val="auto"/>
          <w:spacing w:val="-4"/>
          <w:sz w:val="28"/>
          <w:szCs w:val="28"/>
          <w:highlight w:val="none"/>
        </w:rPr>
        <w:t>（含社会保险）</w:t>
      </w:r>
    </w:p>
    <w:p>
      <w:pPr>
        <w:keepNext w:val="0"/>
        <w:keepLines w:val="0"/>
        <w:pageBreakBefore w:val="0"/>
        <w:widowControl w:val="0"/>
        <w:kinsoku/>
        <w:wordWrap/>
        <w:overflowPunct/>
        <w:topLinePunct w:val="0"/>
        <w:autoSpaceDE/>
        <w:autoSpaceDN/>
        <w:bidi w:val="0"/>
        <w:spacing w:line="500" w:lineRule="exact"/>
        <w:ind w:firstLine="544" w:firstLineChars="200"/>
        <w:textAlignment w:val="auto"/>
        <w:rPr>
          <w:rFonts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根据中标通知书等文件，确定中标价为</w:t>
      </w:r>
      <w:r>
        <w:rPr>
          <w:rFonts w:hint="eastAsia" w:ascii="仿宋" w:hAnsi="仿宋" w:eastAsia="仿宋" w:cs="仿宋"/>
          <w:color w:val="auto"/>
          <w:kern w:val="0"/>
          <w:sz w:val="28"/>
          <w:szCs w:val="28"/>
          <w:highlight w:val="none"/>
        </w:rPr>
        <w:t>人民币（大写）</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pacing w:val="-4"/>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rPr>
        <w:t>元（¥ </w:t>
      </w:r>
      <w:r>
        <w:rPr>
          <w:rFonts w:hint="eastAsia" w:ascii="仿宋" w:hAnsi="仿宋" w:eastAsia="仿宋" w:cs="仿宋"/>
          <w:color w:val="auto"/>
          <w:kern w:val="0"/>
          <w:sz w:val="28"/>
          <w:szCs w:val="28"/>
          <w:highlight w:val="none"/>
          <w:u w:val="none"/>
          <w:lang w:eastAsia="zh-CN"/>
        </w:rPr>
        <w:t>：</w:t>
      </w:r>
      <w:r>
        <w:rPr>
          <w:rFonts w:hint="eastAsia" w:ascii="仿宋" w:hAnsi="仿宋" w:eastAsia="仿宋" w:cs="仿宋"/>
          <w:color w:val="auto"/>
          <w:spacing w:val="-4"/>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u w:val="none"/>
          <w:lang w:eastAsia="zh-CN"/>
        </w:rPr>
        <w:t>。</w:t>
      </w:r>
      <w:r>
        <w:rPr>
          <w:rFonts w:hint="eastAsia" w:ascii="仿宋" w:hAnsi="仿宋" w:eastAsia="仿宋" w:cs="仿宋"/>
          <w:color w:val="auto"/>
          <w:spacing w:val="-4"/>
          <w:sz w:val="28"/>
          <w:szCs w:val="28"/>
          <w:highlight w:val="none"/>
        </w:rPr>
        <w:t>含环境卫生整治预备金</w:t>
      </w:r>
      <w:r>
        <w:rPr>
          <w:rFonts w:hint="eastAsia" w:ascii="仿宋" w:hAnsi="仿宋" w:eastAsia="仿宋" w:cs="仿宋"/>
          <w:color w:val="auto"/>
          <w:spacing w:val="-4"/>
          <w:sz w:val="28"/>
          <w:szCs w:val="28"/>
          <w:highlight w:val="none"/>
          <w:u w:val="single"/>
          <w:lang w:val="en-US" w:eastAsia="zh-CN"/>
        </w:rPr>
        <w:t xml:space="preserve">  20 </w:t>
      </w:r>
      <w:r>
        <w:rPr>
          <w:rFonts w:hint="eastAsia" w:ascii="仿宋" w:hAnsi="仿宋" w:eastAsia="仿宋" w:cs="仿宋"/>
          <w:color w:val="auto"/>
          <w:spacing w:val="-4"/>
          <w:sz w:val="28"/>
          <w:szCs w:val="28"/>
          <w:highlight w:val="none"/>
        </w:rPr>
        <w:t>万元/年&lt;含税费&gt;，环境卫生整治预备金使用权归采购人所有。</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五、承包方式</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sz w:val="28"/>
          <w:szCs w:val="28"/>
          <w:highlight w:val="none"/>
        </w:rPr>
        <w:t>采用</w:t>
      </w:r>
      <w:r>
        <w:rPr>
          <w:rFonts w:hint="eastAsia" w:ascii="仿宋" w:hAnsi="仿宋" w:eastAsia="仿宋" w:cs="仿宋"/>
          <w:color w:val="auto"/>
          <w:sz w:val="28"/>
          <w:szCs w:val="28"/>
          <w:highlight w:val="none"/>
          <w:lang w:val="en-US" w:eastAsia="zh-CN"/>
        </w:rPr>
        <w:t>固定总价承包</w:t>
      </w:r>
      <w:r>
        <w:rPr>
          <w:rFonts w:hint="eastAsia" w:ascii="仿宋" w:hAnsi="仿宋" w:eastAsia="仿宋" w:cs="仿宋"/>
          <w:color w:val="auto"/>
          <w:sz w:val="28"/>
          <w:szCs w:val="28"/>
          <w:highlight w:val="none"/>
        </w:rPr>
        <w:t>方式。乙方必须充分考虑到工资标准调整、物价上涨、生活垃圾或者建筑垃圾处置点调整等影响本项目服务价格因素，并承担相应的风险。在本项目需求范围内，服务期内</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不对中标价进行调整。合同履行期间，如遇保洁范围内道路或绿化等改造施工，改造区域的保洁面积，甲方有权调换至甲方规定的其他区域</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六、工作要求和质量标准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保洁各项具体工作的质量标准和作业规范按甲方具体要求及《</w:t>
      </w:r>
      <w:r>
        <w:rPr>
          <w:rFonts w:hint="eastAsia" w:ascii="仿宋" w:hAnsi="仿宋" w:eastAsia="仿宋" w:cs="仿宋"/>
          <w:color w:val="auto"/>
          <w:spacing w:val="-6"/>
          <w:sz w:val="28"/>
          <w:szCs w:val="28"/>
          <w:highlight w:val="none"/>
        </w:rPr>
        <w:t>开化县华埠镇城区环卫作业一体化服务</w:t>
      </w:r>
      <w:r>
        <w:rPr>
          <w:rFonts w:hint="eastAsia" w:ascii="仿宋" w:hAnsi="仿宋" w:eastAsia="仿宋" w:cs="仿宋"/>
          <w:color w:val="auto"/>
          <w:sz w:val="28"/>
          <w:szCs w:val="28"/>
          <w:highlight w:val="none"/>
        </w:rPr>
        <w:t xml:space="preserve">采购项目》规定执行。 </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七、检查考核办法</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具体的检查验收方法、内容、程序等按《华埠镇城市道路市场化运作保洁管理考核办法》执行。</w:t>
      </w:r>
    </w:p>
    <w:p>
      <w:pPr>
        <w:keepNext w:val="0"/>
        <w:keepLines w:val="0"/>
        <w:pageBreakBefore w:val="0"/>
        <w:widowControl w:val="0"/>
        <w:kinsoku/>
        <w:wordWrap/>
        <w:overflowPunct/>
        <w:topLinePunct w:val="0"/>
        <w:autoSpaceDE/>
        <w:autoSpaceDN/>
        <w:bidi w:val="0"/>
        <w:spacing w:line="500" w:lineRule="exact"/>
        <w:ind w:firstLine="422"/>
        <w:textAlignment w:val="auto"/>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八、双方权利义务</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一）甲方权利与义务</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1.甲方对乙方的清扫保洁业务进行全面的技术指导、检查、管理和监督，对检查中发现的环境卫生质量问题及时向乙方提出书面或口头改进意见。</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2.甲方对乙方违反《华埠镇城市道路市场化运作保洁管理考核办法》中规定的行为进行惩罚。</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3.甲方监督检查乙方落实安全防火和安全生产措施。</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4.甲方监督检查乙方对员工进行培训的情况，以提高清扫保洁服务的技术水平。</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5.甲方应按清扫保洁质量和检查验收结果计算经费，扣除乙方因检查不合格应扣除款后，将经费按期支付给乙方。</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6.甲方可要求乙方调整不合格员工。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7.甲方可根据政策的变动并结合实际情况对《华埠镇城市道路市场化运作保洁管理考核办法》进行修改和补充。</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8.甲方应按时支付款项。本合同的清扫保洁经费由政府拨款，如因政策影响，拨款未能及时到位，乙方不得以此为由而不履行本合同规定的义务。否则，甲方按规定扣罚。</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（二）乙方权利和义务</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1.乙方应严格按《华埠镇城市道路保洁分类管理考核评分标准》，配备保洁人员，在规定保洁时间内，完成服务区域内的环卫清扫保洁、垃圾清运和环境整治等工作。</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2.乙方履行承诺的义务，并参加由甲方组织的检查和综合考评。</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3.乙方须做好安全生产工作，</w:t>
      </w:r>
      <w:r>
        <w:rPr>
          <w:rFonts w:hint="eastAsia" w:ascii="仿宋" w:hAnsi="仿宋" w:eastAsia="仿宋" w:cs="仿宋"/>
          <w:color w:val="auto"/>
          <w:sz w:val="28"/>
          <w:szCs w:val="28"/>
          <w:highlight w:val="none"/>
          <w:lang w:val="zh-CN"/>
        </w:rPr>
        <w:t>驾驶清运车辆人员应按交警部门规定的准驾车型配置，乙方须为每位在职保洁人员缴纳意外险。甲方对乙方聘请的作业人员只负责业务指导和日常监督。作业过程中发生纠纷或事故等，甲方只予协助处理，由此造成的一切经济及法律责任概由乙方全额承担。</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4.按甲方的要求开展工作，如有改变，乙方应提出书面申请，并征得甲方的书面同意，未</w:t>
      </w:r>
      <w:r>
        <w:rPr>
          <w:rFonts w:hint="eastAsia" w:ascii="仿宋" w:hAnsi="仿宋" w:eastAsia="仿宋" w:cs="仿宋"/>
          <w:color w:val="auto"/>
          <w:kern w:val="1"/>
          <w:sz w:val="28"/>
          <w:szCs w:val="28"/>
          <w:highlight w:val="none"/>
        </w:rPr>
        <w:t>经甲方书面同意，乙方不得将保洁服务转包、变相转包或分包他人经营。</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5.特许情况下（台风和暴雨等），乙方应除做好管辖地段保护工作外，还应服从甲方的统一指挥和调动，参加抢险救灾工作。</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6.垃圾清运车必须无条件服从采购人统一调配，确保垃圾日产日清。做好承包范围内重大活动、各项检查及突发应急事件时的卫生保障工作，乙方应按甲方要求进行作业（不另计报酬）并将处理结果及时向甲方汇报。</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hint="eastAsia" w:ascii="仿宋" w:hAnsi="仿宋" w:eastAsia="仿宋" w:cs="仿宋"/>
          <w:b/>
          <w:bCs/>
          <w:color w:val="auto"/>
          <w:kern w:val="1"/>
          <w:sz w:val="28"/>
          <w:szCs w:val="28"/>
          <w:highlight w:val="none"/>
        </w:rPr>
      </w:pPr>
      <w:r>
        <w:rPr>
          <w:rFonts w:hint="eastAsia" w:ascii="仿宋" w:hAnsi="仿宋" w:eastAsia="仿宋" w:cs="仿宋"/>
          <w:color w:val="auto"/>
          <w:kern w:val="1"/>
          <w:sz w:val="28"/>
          <w:szCs w:val="28"/>
          <w:highlight w:val="none"/>
        </w:rPr>
        <w:t>7.</w:t>
      </w:r>
      <w:r>
        <w:rPr>
          <w:rFonts w:hint="eastAsia" w:ascii="仿宋" w:hAnsi="仿宋" w:eastAsia="仿宋" w:cs="仿宋"/>
          <w:color w:val="auto"/>
          <w:kern w:val="1"/>
          <w:sz w:val="28"/>
          <w:szCs w:val="28"/>
          <w:highlight w:val="none"/>
          <w:lang w:eastAsia="zh-CN"/>
        </w:rPr>
        <w:t>根据甲方</w:t>
      </w:r>
      <w:r>
        <w:rPr>
          <w:rFonts w:hint="eastAsia" w:ascii="仿宋" w:hAnsi="仿宋" w:eastAsia="仿宋" w:cs="仿宋"/>
          <w:color w:val="auto"/>
          <w:kern w:val="1"/>
          <w:sz w:val="28"/>
          <w:szCs w:val="28"/>
          <w:highlight w:val="none"/>
        </w:rPr>
        <w:t>提供餐厨垃圾委托收运企业的名单，</w:t>
      </w:r>
      <w:r>
        <w:rPr>
          <w:rFonts w:hint="eastAsia" w:ascii="仿宋" w:hAnsi="仿宋" w:eastAsia="仿宋" w:cs="仿宋"/>
          <w:color w:val="auto"/>
          <w:kern w:val="1"/>
          <w:sz w:val="28"/>
          <w:szCs w:val="28"/>
          <w:highlight w:val="none"/>
          <w:lang w:eastAsia="zh-CN"/>
        </w:rPr>
        <w:t>乙方</w:t>
      </w:r>
      <w:r>
        <w:rPr>
          <w:rFonts w:hint="eastAsia" w:ascii="仿宋" w:hAnsi="仿宋" w:eastAsia="仿宋" w:cs="仿宋"/>
          <w:color w:val="auto"/>
          <w:kern w:val="1"/>
          <w:sz w:val="28"/>
          <w:szCs w:val="28"/>
          <w:highlight w:val="none"/>
        </w:rPr>
        <w:t>上门收集餐厨垃圾</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rPr>
        <w:t>餐厨垃圾收运率必须达到98%及以上</w:t>
      </w:r>
      <w:r>
        <w:rPr>
          <w:rFonts w:hint="eastAsia" w:ascii="仿宋" w:hAnsi="仿宋" w:eastAsia="仿宋" w:cs="仿宋"/>
          <w:b w:val="0"/>
          <w:bCs w:val="0"/>
          <w:color w:val="auto"/>
          <w:kern w:val="1"/>
          <w:sz w:val="28"/>
          <w:szCs w:val="28"/>
          <w:highlight w:val="none"/>
        </w:rPr>
        <w:t>。</w:t>
      </w:r>
      <w:r>
        <w:rPr>
          <w:rFonts w:hint="eastAsia" w:ascii="仿宋" w:hAnsi="仿宋" w:eastAsia="仿宋" w:cs="仿宋"/>
          <w:b/>
          <w:bCs/>
          <w:color w:val="auto"/>
          <w:kern w:val="1"/>
          <w:sz w:val="28"/>
          <w:szCs w:val="28"/>
          <w:highlight w:val="none"/>
        </w:rPr>
        <w:t>若合同期内对运输数量有新的要求投标人必须无条件响应。</w:t>
      </w:r>
    </w:p>
    <w:p>
      <w:pPr>
        <w:keepNext w:val="0"/>
        <w:keepLines w:val="0"/>
        <w:pageBreakBefore w:val="0"/>
        <w:widowControl w:val="0"/>
        <w:tabs>
          <w:tab w:val="left" w:pos="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8.</w:t>
      </w:r>
      <w:r>
        <w:rPr>
          <w:rFonts w:hint="eastAsia" w:ascii="仿宋" w:hAnsi="仿宋" w:eastAsia="仿宋" w:cs="仿宋"/>
          <w:color w:val="auto"/>
          <w:kern w:val="1"/>
          <w:sz w:val="28"/>
          <w:szCs w:val="28"/>
          <w:highlight w:val="none"/>
        </w:rPr>
        <w:t>乙方须根据《中华人民共和国劳动法》用工要求雇佣组建健康状况良好的固定的专业保洁队伍，为保障环卫职工的合法权益，确保其工资不低于当地最低工资标准的，必须为符合条件的环卫工人缴纳养老保险。</w:t>
      </w:r>
    </w:p>
    <w:p>
      <w:pPr>
        <w:keepNext w:val="0"/>
        <w:keepLines w:val="0"/>
        <w:pageBreakBefore w:val="0"/>
        <w:widowControl w:val="0"/>
        <w:tabs>
          <w:tab w:val="left" w:pos="360"/>
          <w:tab w:val="left" w:pos="960"/>
        </w:tabs>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kern w:val="1"/>
          <w:sz w:val="28"/>
          <w:szCs w:val="28"/>
          <w:highlight w:val="none"/>
        </w:rPr>
        <w:t>乙方须做好安全生产工作，</w:t>
      </w:r>
      <w:r>
        <w:rPr>
          <w:rFonts w:hint="eastAsia" w:ascii="仿宋" w:hAnsi="仿宋" w:eastAsia="仿宋" w:cs="仿宋"/>
          <w:color w:val="auto"/>
          <w:sz w:val="28"/>
          <w:szCs w:val="28"/>
          <w:highlight w:val="none"/>
          <w:lang w:val="zh-CN"/>
        </w:rPr>
        <w:t>驾驶清运车辆人员应按交警部门规定的准驾车型配置，乙方须为每位在职保洁人员缴纳意外险。甲方对乙方聘请的作业人员只负责业务指导和日常监督。作业过程中发生纠纷或事故等，甲方只予协助处理，由此造成的一切经济及法律责任概由乙方全额承担。</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.乙方应按甲方要求，为上岗工人购买统一的工作服和反光背心。</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负责提供道路清扫</w:t>
      </w:r>
      <w:r>
        <w:rPr>
          <w:rFonts w:hint="eastAsia" w:ascii="仿宋" w:hAnsi="仿宋" w:eastAsia="仿宋" w:cs="仿宋"/>
          <w:color w:val="auto"/>
          <w:sz w:val="28"/>
          <w:szCs w:val="28"/>
          <w:highlight w:val="none"/>
          <w:lang w:eastAsia="zh-CN"/>
        </w:rPr>
        <w:t>、河道</w:t>
      </w:r>
      <w:r>
        <w:rPr>
          <w:rFonts w:hint="eastAsia" w:ascii="仿宋" w:hAnsi="仿宋" w:eastAsia="仿宋" w:cs="仿宋"/>
          <w:color w:val="auto"/>
          <w:sz w:val="28"/>
          <w:szCs w:val="28"/>
          <w:highlight w:val="none"/>
        </w:rPr>
        <w:t>保洁所需的全部工具、设备和材料。</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.乙方负责作业过程中的事故处理和一切费用。</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乙方必须重视安全工作，加强对保洁人员的安全培训，编印安全防护手册给每位员工。建议配备专职的安全检查人员，确保承包期内不出安全责任事故，如发生安全责任事故，由乙方承担一切责任及经济赔偿。发生重大安全事故，应立即通告甲方，在事故发生后24小时内，向甲方提交事故情况的书面报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.乙方严格遵守国家法律、法规的规定，做好社会治安综合治理和计划生育等工作，不得违反国家法律、法规和当地有关规定。</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.乙方应遵守法律、法规和政策的规定，因以上原因使合同性质发生改变，甲方不负赔偿责任。</w:t>
      </w:r>
    </w:p>
    <w:p>
      <w:pPr>
        <w:keepNext w:val="0"/>
        <w:keepLines w:val="0"/>
        <w:pageBreakBefore w:val="0"/>
        <w:widowControl w:val="0"/>
        <w:kinsoku/>
        <w:wordWrap/>
        <w:overflowPunct/>
        <w:topLinePunct w:val="0"/>
        <w:autoSpaceDE/>
        <w:autoSpaceDN/>
        <w:bidi w:val="0"/>
        <w:spacing w:line="500" w:lineRule="exact"/>
        <w:ind w:firstLine="422"/>
        <w:textAlignment w:val="auto"/>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九、</w:t>
      </w:r>
      <w:r>
        <w:rPr>
          <w:rFonts w:hint="eastAsia" w:ascii="仿宋" w:hAnsi="仿宋" w:eastAsia="仿宋" w:cs="仿宋"/>
          <w:b/>
          <w:color w:val="auto"/>
          <w:kern w:val="1"/>
          <w:sz w:val="28"/>
          <w:szCs w:val="28"/>
          <w:highlight w:val="none"/>
          <w:lang w:eastAsia="zh-CN"/>
        </w:rPr>
        <w:t>特别</w:t>
      </w:r>
      <w:r>
        <w:rPr>
          <w:rFonts w:hint="eastAsia" w:ascii="仿宋" w:hAnsi="仿宋" w:eastAsia="仿宋" w:cs="仿宋"/>
          <w:b/>
          <w:color w:val="auto"/>
          <w:kern w:val="1"/>
          <w:sz w:val="28"/>
          <w:szCs w:val="28"/>
          <w:highlight w:val="none"/>
        </w:rPr>
        <w:t>约定</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default" w:ascii="仿宋" w:hAnsi="仿宋" w:eastAsia="宋体" w:cs="仿宋"/>
          <w:b/>
          <w:bCs/>
          <w:color w:val="auto"/>
          <w:kern w:val="1"/>
          <w:sz w:val="28"/>
          <w:szCs w:val="28"/>
          <w:highlight w:val="none"/>
          <w:lang w:val="en-US" w:eastAsia="zh-CN"/>
        </w:rPr>
      </w:pPr>
      <w:r>
        <w:rPr>
          <w:rFonts w:hint="eastAsia" w:ascii="仿宋" w:hAnsi="仿宋" w:eastAsia="仿宋" w:cs="仿宋"/>
          <w:b/>
          <w:bCs/>
          <w:color w:val="auto"/>
          <w:kern w:val="1"/>
          <w:sz w:val="28"/>
          <w:szCs w:val="28"/>
          <w:highlight w:val="none"/>
          <w:lang w:val="en-US" w:eastAsia="zh-CN"/>
        </w:rPr>
        <w:t>1</w:t>
      </w:r>
      <w:r>
        <w:rPr>
          <w:rFonts w:hint="eastAsia" w:ascii="仿宋" w:hAnsi="仿宋" w:eastAsia="仿宋" w:cs="仿宋"/>
          <w:b/>
          <w:bCs/>
          <w:color w:val="auto"/>
          <w:kern w:val="1"/>
          <w:sz w:val="28"/>
          <w:szCs w:val="28"/>
          <w:highlight w:val="none"/>
        </w:rPr>
        <w:t>.</w:t>
      </w:r>
      <w:r>
        <w:rPr>
          <w:rFonts w:hint="eastAsia" w:ascii="仿宋" w:hAnsi="仿宋" w:eastAsia="仿宋" w:cs="仿宋"/>
          <w:b/>
          <w:bCs/>
          <w:color w:val="auto"/>
          <w:kern w:val="1"/>
          <w:sz w:val="28"/>
          <w:szCs w:val="28"/>
          <w:highlight w:val="none"/>
          <w:lang w:eastAsia="zh-CN"/>
        </w:rPr>
        <w:t>原有</w:t>
      </w:r>
      <w:r>
        <w:rPr>
          <w:rFonts w:hint="eastAsia" w:ascii="仿宋" w:hAnsi="仿宋" w:eastAsia="仿宋" w:cs="仿宋"/>
          <w:b/>
          <w:bCs/>
          <w:color w:val="auto"/>
          <w:kern w:val="1"/>
          <w:sz w:val="28"/>
          <w:szCs w:val="28"/>
          <w:highlight w:val="none"/>
          <w:lang w:val="en-US" w:eastAsia="zh-CN"/>
        </w:rPr>
        <w:t>7辆电动吊桶车及1辆</w:t>
      </w:r>
      <w:r>
        <w:rPr>
          <w:rFonts w:hint="eastAsia" w:ascii="仿宋" w:hAnsi="仿宋" w:eastAsia="仿宋" w:cs="仿宋"/>
          <w:b/>
          <w:bCs/>
          <w:color w:val="auto"/>
          <w:kern w:val="1"/>
          <w:sz w:val="28"/>
          <w:szCs w:val="28"/>
          <w:highlight w:val="none"/>
          <w:lang w:eastAsia="zh-CN"/>
        </w:rPr>
        <w:t>餐厨垃圾车</w:t>
      </w:r>
      <w:r>
        <w:rPr>
          <w:rFonts w:hint="eastAsia" w:ascii="仿宋" w:hAnsi="仿宋" w:eastAsia="仿宋" w:cs="仿宋"/>
          <w:b/>
          <w:bCs/>
          <w:color w:val="auto"/>
          <w:kern w:val="1"/>
          <w:sz w:val="28"/>
          <w:szCs w:val="28"/>
          <w:highlight w:val="none"/>
        </w:rPr>
        <w:t>以不低于评估价折</w:t>
      </w:r>
      <w:r>
        <w:rPr>
          <w:rFonts w:hint="eastAsia" w:ascii="仿宋" w:hAnsi="仿宋" w:eastAsia="仿宋" w:cs="仿宋"/>
          <w:b/>
          <w:bCs/>
          <w:color w:val="auto"/>
          <w:kern w:val="1"/>
          <w:sz w:val="28"/>
          <w:szCs w:val="28"/>
          <w:highlight w:val="none"/>
          <w:lang w:eastAsia="zh-CN"/>
        </w:rPr>
        <w:t>价</w:t>
      </w:r>
      <w:r>
        <w:rPr>
          <w:rFonts w:hint="eastAsia" w:ascii="仿宋" w:hAnsi="仿宋" w:eastAsia="仿宋" w:cs="仿宋"/>
          <w:b/>
          <w:bCs/>
          <w:color w:val="auto"/>
          <w:kern w:val="1"/>
          <w:sz w:val="28"/>
          <w:szCs w:val="28"/>
          <w:highlight w:val="none"/>
        </w:rPr>
        <w:t>给</w:t>
      </w:r>
      <w:r>
        <w:rPr>
          <w:rFonts w:hint="eastAsia" w:ascii="仿宋" w:hAnsi="仿宋" w:eastAsia="仿宋" w:cs="仿宋"/>
          <w:b/>
          <w:bCs/>
          <w:color w:val="auto"/>
          <w:kern w:val="1"/>
          <w:sz w:val="28"/>
          <w:szCs w:val="28"/>
          <w:highlight w:val="none"/>
          <w:lang w:eastAsia="zh-CN"/>
        </w:rPr>
        <w:t>乙方</w:t>
      </w:r>
      <w:r>
        <w:rPr>
          <w:rFonts w:hint="eastAsia" w:ascii="仿宋" w:hAnsi="仿宋" w:eastAsia="仿宋" w:cs="仿宋"/>
          <w:b/>
          <w:bCs/>
          <w:color w:val="auto"/>
          <w:kern w:val="1"/>
          <w:sz w:val="28"/>
          <w:szCs w:val="28"/>
          <w:highlight w:val="none"/>
        </w:rPr>
        <w:t>。</w:t>
      </w:r>
    </w:p>
    <w:p>
      <w:pPr>
        <w:keepNext w:val="0"/>
        <w:keepLines w:val="0"/>
        <w:pageBreakBefore w:val="0"/>
        <w:widowControl w:val="0"/>
        <w:tabs>
          <w:tab w:val="left" w:pos="540"/>
        </w:tabs>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2</w:t>
      </w:r>
      <w:r>
        <w:rPr>
          <w:rFonts w:hint="eastAsia" w:ascii="仿宋" w:hAnsi="仿宋" w:eastAsia="仿宋" w:cs="仿宋"/>
          <w:color w:val="auto"/>
          <w:kern w:val="1"/>
          <w:sz w:val="28"/>
          <w:szCs w:val="28"/>
          <w:highlight w:val="none"/>
        </w:rPr>
        <w:t>.乙方应在本合同签订之日前，按中标价的</w:t>
      </w:r>
      <w:r>
        <w:rPr>
          <w:rFonts w:hint="eastAsia" w:ascii="仿宋" w:hAnsi="仿宋" w:eastAsia="仿宋" w:cs="仿宋"/>
          <w:color w:val="auto"/>
          <w:kern w:val="1"/>
          <w:sz w:val="28"/>
          <w:szCs w:val="28"/>
          <w:highlight w:val="none"/>
          <w:lang w:val="en-US" w:eastAsia="zh-CN"/>
        </w:rPr>
        <w:t>2.</w:t>
      </w:r>
      <w:r>
        <w:rPr>
          <w:rFonts w:hint="eastAsia" w:ascii="仿宋" w:hAnsi="仿宋" w:eastAsia="仿宋" w:cs="仿宋"/>
          <w:color w:val="auto"/>
          <w:kern w:val="1"/>
          <w:sz w:val="28"/>
          <w:szCs w:val="28"/>
          <w:highlight w:val="none"/>
        </w:rPr>
        <w:t>5%向甲方交纳承包履约保证金，待承包期满后经考核符合规定，也无任何违约情况的，在合同期限届满后30天内如数归还，不计息。</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kern w:val="1"/>
          <w:sz w:val="28"/>
          <w:szCs w:val="28"/>
          <w:highlight w:val="none"/>
          <w:lang w:val="en-US" w:eastAsia="zh-CN"/>
        </w:rPr>
        <w:t>3</w:t>
      </w:r>
      <w:r>
        <w:rPr>
          <w:rFonts w:hint="eastAsia" w:ascii="仿宋" w:hAnsi="仿宋" w:eastAsia="仿宋" w:cs="仿宋"/>
          <w:color w:val="auto"/>
          <w:kern w:val="1"/>
          <w:sz w:val="28"/>
          <w:szCs w:val="28"/>
          <w:highlight w:val="none"/>
        </w:rPr>
        <w:t>.</w:t>
      </w:r>
      <w:r>
        <w:rPr>
          <w:rFonts w:hint="eastAsia" w:ascii="仿宋" w:hAnsi="仿宋" w:eastAsia="仿宋" w:cs="仿宋"/>
          <w:color w:val="auto"/>
          <w:sz w:val="28"/>
          <w:szCs w:val="28"/>
          <w:highlight w:val="none"/>
        </w:rPr>
        <w:t>乙方所聘工作人员在作业时应严格遵守劳动纪律，遵守安全操作规程，确保安全。发生各种意外事故或财产损失均由乙方依照法律法规妥善处理和承担所有法律责任，甲方对此不承担任何法律责任。</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kern w:val="1"/>
          <w:sz w:val="28"/>
          <w:szCs w:val="28"/>
          <w:highlight w:val="none"/>
        </w:rPr>
        <w:t>甲方因政策和其他不可抗力因素，需要提前终止合同的，应在一个月前提前书面通知乙方，并会同乙方做好后续交接工作。</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5</w:t>
      </w:r>
      <w:r>
        <w:rPr>
          <w:rFonts w:hint="eastAsia" w:ascii="仿宋" w:hAnsi="仿宋" w:eastAsia="仿宋" w:cs="仿宋"/>
          <w:color w:val="auto"/>
          <w:kern w:val="1"/>
          <w:sz w:val="28"/>
          <w:szCs w:val="28"/>
          <w:highlight w:val="none"/>
        </w:rPr>
        <w:t>.乙方因经营或管理不善，致使合同无法继续履行的，应在两个月前书面通知甲方。在甲方未确定新服务企业之前，应按原合同继续履行保洁义务。</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6</w:t>
      </w:r>
      <w:r>
        <w:rPr>
          <w:rFonts w:hint="eastAsia" w:ascii="仿宋" w:hAnsi="仿宋" w:eastAsia="仿宋" w:cs="仿宋"/>
          <w:color w:val="auto"/>
          <w:kern w:val="1"/>
          <w:sz w:val="28"/>
          <w:szCs w:val="28"/>
          <w:highlight w:val="none"/>
        </w:rPr>
        <w:t>.因人力不可抗拒的自然灾害致使乙方不能按本合同的要求进行保洁作业的，应在自然灾害发生后及时向甲方汇报，征得甲方同意后，保洁标准予以适当调整。</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7</w:t>
      </w:r>
      <w:r>
        <w:rPr>
          <w:rFonts w:hint="eastAsia" w:ascii="仿宋" w:hAnsi="仿宋" w:eastAsia="仿宋" w:cs="仿宋"/>
          <w:color w:val="auto"/>
          <w:kern w:val="1"/>
          <w:sz w:val="28"/>
          <w:szCs w:val="28"/>
          <w:highlight w:val="none"/>
        </w:rPr>
        <w:t>.采购文件中有关内容与本合同有同等效力，如乙方违反合同或达不到本合同要求，由甲方按照有关规定处理，并将履约保证金转为违约赔偿金。</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8</w:t>
      </w:r>
      <w:r>
        <w:rPr>
          <w:rFonts w:hint="eastAsia" w:ascii="仿宋" w:hAnsi="仿宋" w:eastAsia="仿宋" w:cs="仿宋"/>
          <w:color w:val="auto"/>
          <w:kern w:val="1"/>
          <w:sz w:val="28"/>
          <w:szCs w:val="28"/>
          <w:highlight w:val="none"/>
        </w:rPr>
        <w:t>.本合同如遇政府政策性变动，合同条款由双方另行协商解决，协商后形成的书面协议，与本合同具有同等法律效力。</w:t>
      </w:r>
    </w:p>
    <w:p>
      <w:pPr>
        <w:keepNext w:val="0"/>
        <w:keepLines w:val="0"/>
        <w:pageBreakBefore w:val="0"/>
        <w:widowControl w:val="0"/>
        <w:kinsoku/>
        <w:wordWrap/>
        <w:overflowPunct/>
        <w:topLinePunct w:val="0"/>
        <w:autoSpaceDE/>
        <w:autoSpaceDN/>
        <w:bidi w:val="0"/>
        <w:spacing w:line="500" w:lineRule="exact"/>
        <w:ind w:firstLine="422"/>
        <w:textAlignment w:val="auto"/>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十、违约责任</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违反甲方具体要求及《招标文件》规定的行为均属违约行为。甲方根据上述规定条款，视乙方违反规定的情节轻重，作出批评教育、警告、扣罚处理，情节严重者，甲方有权单方终止合同，由乙方承担一切经济损失和法律责任。因乙方违约造成甲方损失的，甲方从乙方缴纳的履约保证金中扣除。</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2.乙方擅自转包、变相转包或分包的，甲方有权单方终止合同，并没收乙方向甲方原缴纳的履约保证金。如乙方按照整改意见进行服务，路面废弃物控制指标仍然达不到考核验收的标准，甲方可以终止合同并不予支付已提供的服务各项费用，乙方应承担由此产生的一切损失。</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3.甲方不按本合同约定的期限和方式支付乙方服务价款的，乙方有权要求甲方按时支付，由此造成的损失由甲方承担。</w:t>
      </w:r>
    </w:p>
    <w:p>
      <w:pPr>
        <w:keepNext w:val="0"/>
        <w:keepLines w:val="0"/>
        <w:pageBreakBefore w:val="0"/>
        <w:widowControl w:val="0"/>
        <w:kinsoku/>
        <w:wordWrap/>
        <w:overflowPunct/>
        <w:topLinePunct w:val="0"/>
        <w:autoSpaceDE/>
        <w:autoSpaceDN/>
        <w:bidi w:val="0"/>
        <w:spacing w:line="500" w:lineRule="exact"/>
        <w:ind w:firstLine="422"/>
        <w:textAlignment w:val="auto"/>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十一、合同款支付</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支付方式：经发包人考核合格后，按考核实际结果，在次月15日前（遇节假日顺延）由发包人报财政按月拨付。</w:t>
      </w:r>
    </w:p>
    <w:p>
      <w:pPr>
        <w:keepNext w:val="0"/>
        <w:keepLines w:val="0"/>
        <w:pageBreakBefore w:val="0"/>
        <w:widowControl w:val="0"/>
        <w:kinsoku/>
        <w:wordWrap/>
        <w:overflowPunct/>
        <w:topLinePunct w:val="0"/>
        <w:autoSpaceDE/>
        <w:autoSpaceDN/>
        <w:bidi w:val="0"/>
        <w:adjustRightInd/>
        <w:snapToGrid/>
        <w:spacing w:line="500" w:lineRule="exact"/>
        <w:ind w:firstLine="422"/>
        <w:textAlignment w:val="auto"/>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十二、争议的解决方式</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凡与本合同有关的一切争议，甲乙双方应通过友好协商解决，如经协商后仍不能达成协议时，双方同意采取以下几种方式解决：</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1.向当地仲裁委员会申请仲裁。</w:t>
      </w:r>
    </w:p>
    <w:p>
      <w:pPr>
        <w:keepNext w:val="0"/>
        <w:keepLines w:val="0"/>
        <w:pageBreakBefore w:val="0"/>
        <w:widowControl w:val="0"/>
        <w:tabs>
          <w:tab w:val="left" w:pos="540"/>
        </w:tabs>
        <w:kinsoku/>
        <w:wordWrap/>
        <w:overflowPunct/>
        <w:topLinePunct w:val="0"/>
        <w:autoSpaceDE/>
        <w:autoSpaceDN/>
        <w:bidi w:val="0"/>
        <w:adjustRightInd/>
        <w:snapToGrid/>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2.向有管辖权的法院提出诉讼。</w:t>
      </w:r>
    </w:p>
    <w:p>
      <w:pPr>
        <w:keepNext w:val="0"/>
        <w:keepLines w:val="0"/>
        <w:pageBreakBefore w:val="0"/>
        <w:widowControl w:val="0"/>
        <w:kinsoku/>
        <w:wordWrap/>
        <w:overflowPunct/>
        <w:topLinePunct w:val="0"/>
        <w:autoSpaceDE/>
        <w:autoSpaceDN/>
        <w:bidi w:val="0"/>
        <w:adjustRightInd/>
        <w:snapToGrid/>
        <w:spacing w:line="500" w:lineRule="exact"/>
        <w:ind w:firstLine="422"/>
        <w:textAlignment w:val="auto"/>
        <w:rPr>
          <w:rFonts w:ascii="仿宋" w:hAnsi="仿宋" w:eastAsia="仿宋" w:cs="仿宋"/>
          <w:color w:val="auto"/>
          <w:kern w:val="1"/>
          <w:sz w:val="28"/>
          <w:szCs w:val="28"/>
          <w:highlight w:val="none"/>
        </w:rPr>
      </w:pPr>
      <w:r>
        <w:rPr>
          <w:rFonts w:hint="eastAsia" w:ascii="仿宋" w:hAnsi="仿宋" w:eastAsia="仿宋" w:cs="仿宋"/>
          <w:b/>
          <w:color w:val="auto"/>
          <w:kern w:val="1"/>
          <w:sz w:val="28"/>
          <w:szCs w:val="28"/>
          <w:highlight w:val="none"/>
        </w:rPr>
        <w:t>十三、合同的修改和补充</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甲、乙双方经协商一致可对本合同的条款进行修改和补充，以书面形式签定修改或补充协议，补充协议与本合同具有同等法律效力。</w:t>
      </w:r>
    </w:p>
    <w:p>
      <w:pPr>
        <w:spacing w:line="440" w:lineRule="exact"/>
        <w:ind w:firstLine="562" w:firstLineChars="200"/>
        <w:rPr>
          <w:rFonts w:hint="eastAsia" w:ascii="仿宋" w:hAnsi="仿宋" w:eastAsia="仿宋" w:cs="仿宋"/>
          <w:b/>
          <w:color w:val="auto"/>
          <w:highlight w:val="none"/>
          <w:lang w:eastAsia="zh-CN"/>
        </w:rPr>
      </w:pPr>
      <w:r>
        <w:rPr>
          <w:rFonts w:hint="eastAsia" w:ascii="仿宋" w:hAnsi="仿宋" w:eastAsia="仿宋" w:cs="仿宋"/>
          <w:b/>
          <w:color w:val="auto"/>
          <w:kern w:val="1"/>
          <w:sz w:val="28"/>
          <w:szCs w:val="28"/>
          <w:highlight w:val="none"/>
        </w:rPr>
        <w:t>十四、</w:t>
      </w:r>
      <w:r>
        <w:rPr>
          <w:rFonts w:hint="eastAsia" w:ascii="仿宋" w:hAnsi="仿宋" w:eastAsia="仿宋" w:cs="仿宋"/>
          <w:b/>
          <w:color w:val="auto"/>
          <w:highlight w:val="none"/>
          <w:lang w:eastAsia="zh-CN"/>
        </w:rPr>
        <w:t>合同生效</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1</w:t>
      </w:r>
      <w:r>
        <w:rPr>
          <w:rFonts w:hint="eastAsia" w:ascii="仿宋" w:hAnsi="仿宋" w:eastAsia="仿宋" w:cs="仿宋"/>
          <w:color w:val="auto"/>
          <w:kern w:val="1"/>
          <w:sz w:val="28"/>
          <w:szCs w:val="28"/>
          <w:highlight w:val="none"/>
          <w:lang w:val="en-US" w:eastAsia="zh-CN"/>
        </w:rPr>
        <w:t>.</w:t>
      </w:r>
      <w:r>
        <w:rPr>
          <w:rFonts w:hint="eastAsia" w:ascii="仿宋" w:hAnsi="仿宋" w:eastAsia="仿宋" w:cs="仿宋"/>
          <w:color w:val="auto"/>
          <w:kern w:val="1"/>
          <w:sz w:val="28"/>
          <w:szCs w:val="28"/>
          <w:highlight w:val="none"/>
          <w:lang w:eastAsia="zh-CN"/>
        </w:rPr>
        <w:t>合同经双方法定代表人或授权委托人签字加盖单位公章，并经嘉兴市千秋工程咨询有限公司鉴证盖章后生效。</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2</w:t>
      </w:r>
      <w:r>
        <w:rPr>
          <w:rFonts w:hint="eastAsia" w:ascii="仿宋" w:hAnsi="仿宋" w:eastAsia="仿宋" w:cs="仿宋"/>
          <w:color w:val="auto"/>
          <w:kern w:val="1"/>
          <w:sz w:val="28"/>
          <w:szCs w:val="28"/>
          <w:highlight w:val="none"/>
          <w:lang w:val="en-US" w:eastAsia="zh-CN"/>
        </w:rPr>
        <w:t>.</w:t>
      </w:r>
      <w:r>
        <w:rPr>
          <w:rFonts w:hint="eastAsia" w:ascii="仿宋" w:hAnsi="仿宋" w:eastAsia="仿宋" w:cs="仿宋"/>
          <w:color w:val="auto"/>
          <w:kern w:val="1"/>
          <w:sz w:val="28"/>
          <w:szCs w:val="28"/>
          <w:highlight w:val="none"/>
          <w:lang w:eastAsia="zh-CN"/>
        </w:rPr>
        <w:t>合同执行中涉及采购资金和采购内容修改或补充的，须经财政部门审批，并签书面补充协议报县采监科备案，方可作为主合同不可分割的一部分。</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val="en-US" w:eastAsia="zh-CN"/>
        </w:rPr>
        <w:t>3.</w:t>
      </w:r>
      <w:r>
        <w:rPr>
          <w:rFonts w:hint="eastAsia" w:ascii="仿宋" w:hAnsi="仿宋" w:eastAsia="仿宋" w:cs="仿宋"/>
          <w:color w:val="auto"/>
          <w:kern w:val="1"/>
          <w:sz w:val="28"/>
          <w:szCs w:val="28"/>
          <w:highlight w:val="none"/>
          <w:lang w:eastAsia="zh-CN"/>
        </w:rPr>
        <w:t>本合同一式</w:t>
      </w:r>
      <w:r>
        <w:rPr>
          <w:rFonts w:hint="eastAsia" w:ascii="仿宋" w:hAnsi="仿宋" w:eastAsia="仿宋" w:cs="仿宋"/>
          <w:color w:val="auto"/>
          <w:kern w:val="1"/>
          <w:sz w:val="28"/>
          <w:szCs w:val="28"/>
          <w:highlight w:val="none"/>
          <w:u w:val="single"/>
          <w:lang w:eastAsia="zh-CN"/>
        </w:rPr>
        <w:t xml:space="preserve"> 陆</w:t>
      </w:r>
      <w:r>
        <w:rPr>
          <w:rFonts w:hint="eastAsia" w:ascii="仿宋" w:hAnsi="仿宋" w:eastAsia="仿宋" w:cs="仿宋"/>
          <w:color w:val="auto"/>
          <w:kern w:val="1"/>
          <w:sz w:val="28"/>
          <w:szCs w:val="28"/>
          <w:highlight w:val="none"/>
          <w:u w:val="single"/>
          <w:lang w:val="en-US" w:eastAsia="zh-CN"/>
        </w:rPr>
        <w:t xml:space="preserve"> </w:t>
      </w:r>
      <w:r>
        <w:rPr>
          <w:rFonts w:hint="eastAsia" w:ascii="仿宋" w:hAnsi="仿宋" w:eastAsia="仿宋" w:cs="仿宋"/>
          <w:color w:val="auto"/>
          <w:kern w:val="1"/>
          <w:sz w:val="28"/>
          <w:szCs w:val="28"/>
          <w:highlight w:val="none"/>
          <w:lang w:eastAsia="zh-CN"/>
        </w:rPr>
        <w:t>份，甲、乙双方各</w:t>
      </w:r>
      <w:r>
        <w:rPr>
          <w:rFonts w:hint="eastAsia" w:ascii="仿宋" w:hAnsi="仿宋" w:eastAsia="仿宋" w:cs="仿宋"/>
          <w:color w:val="auto"/>
          <w:kern w:val="1"/>
          <w:sz w:val="28"/>
          <w:szCs w:val="28"/>
          <w:highlight w:val="none"/>
          <w:u w:val="single"/>
          <w:lang w:eastAsia="zh-CN"/>
        </w:rPr>
        <w:t xml:space="preserve">贰 </w:t>
      </w:r>
      <w:r>
        <w:rPr>
          <w:rFonts w:hint="eastAsia" w:ascii="仿宋" w:hAnsi="仿宋" w:eastAsia="仿宋" w:cs="仿宋"/>
          <w:color w:val="auto"/>
          <w:kern w:val="1"/>
          <w:sz w:val="28"/>
          <w:szCs w:val="28"/>
          <w:highlight w:val="none"/>
          <w:lang w:eastAsia="zh-CN"/>
        </w:rPr>
        <w:t>份，开化县财政局政府采购监管科、嘉兴市千秋工程咨询有限公司各执一份，均具同等法律效力。</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val="en-US" w:eastAsia="zh-CN"/>
        </w:rPr>
        <w:t>4.</w:t>
      </w:r>
      <w:r>
        <w:rPr>
          <w:rFonts w:hint="eastAsia" w:ascii="仿宋" w:hAnsi="仿宋" w:eastAsia="仿宋" w:cs="仿宋"/>
          <w:color w:val="auto"/>
          <w:kern w:val="1"/>
          <w:sz w:val="28"/>
          <w:szCs w:val="28"/>
          <w:highlight w:val="none"/>
          <w:lang w:eastAsia="zh-CN"/>
        </w:rPr>
        <w:t>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spacing w:line="500" w:lineRule="exact"/>
        <w:textAlignment w:val="auto"/>
        <w:rPr>
          <w:rFonts w:ascii="仿宋" w:hAnsi="仿宋" w:eastAsia="仿宋" w:cs="仿宋"/>
          <w:color w:val="auto"/>
          <w:kern w:val="1"/>
          <w:sz w:val="28"/>
          <w:szCs w:val="28"/>
          <w:highlight w:val="none"/>
        </w:rPr>
      </w:pPr>
    </w:p>
    <w:p>
      <w:pPr>
        <w:pStyle w:val="24"/>
        <w:rPr>
          <w:color w:val="auto"/>
          <w:highlight w:val="none"/>
        </w:rPr>
      </w:pP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 xml:space="preserve">甲方（盖章）：                      　    乙方（盖章）：  </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地址：                                     地址：</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法定代表人：                               法定代表人：</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委托代理人：                               委托代理人：</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电话：                                     电话：</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传真：                                     传真：</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开户银行：                                 开户银行：</w:t>
      </w:r>
    </w:p>
    <w:p>
      <w:pPr>
        <w:keepNext w:val="0"/>
        <w:keepLines w:val="0"/>
        <w:pageBreakBefore w:val="0"/>
        <w:widowControl w:val="0"/>
        <w:kinsoku/>
        <w:wordWrap/>
        <w:overflowPunct/>
        <w:topLinePunct w:val="0"/>
        <w:autoSpaceDE/>
        <w:autoSpaceDN/>
        <w:bidi w:val="0"/>
        <w:spacing w:line="500" w:lineRule="exact"/>
        <w:ind w:firstLine="420"/>
        <w:textAlignment w:val="auto"/>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帐号：                                     帐号：</w:t>
      </w:r>
    </w:p>
    <w:p>
      <w:pPr>
        <w:keepNext w:val="0"/>
        <w:keepLines w:val="0"/>
        <w:pageBreakBefore w:val="0"/>
        <w:widowControl w:val="0"/>
        <w:kinsoku/>
        <w:wordWrap/>
        <w:overflowPunct/>
        <w:topLinePunct w:val="0"/>
        <w:autoSpaceDE/>
        <w:autoSpaceDN/>
        <w:bidi w:val="0"/>
        <w:spacing w:line="500" w:lineRule="exact"/>
        <w:ind w:firstLine="5145"/>
        <w:textAlignment w:val="auto"/>
        <w:rPr>
          <w:rFonts w:ascii="仿宋" w:hAnsi="仿宋" w:eastAsia="仿宋" w:cs="仿宋"/>
          <w:color w:val="auto"/>
          <w:kern w:val="1"/>
          <w:sz w:val="28"/>
          <w:szCs w:val="28"/>
          <w:highlight w:val="none"/>
        </w:rPr>
      </w:pPr>
    </w:p>
    <w:p>
      <w:pPr>
        <w:keepNext w:val="0"/>
        <w:keepLines w:val="0"/>
        <w:pageBreakBefore w:val="0"/>
        <w:widowControl w:val="0"/>
        <w:kinsoku/>
        <w:wordWrap/>
        <w:overflowPunct/>
        <w:topLinePunct w:val="0"/>
        <w:autoSpaceDE/>
        <w:autoSpaceDN/>
        <w:bidi w:val="0"/>
        <w:spacing w:line="500" w:lineRule="exact"/>
        <w:ind w:firstLine="5145"/>
        <w:textAlignment w:val="auto"/>
        <w:rPr>
          <w:rFonts w:ascii="仿宋" w:hAnsi="仿宋" w:eastAsia="仿宋" w:cs="仿宋"/>
          <w:color w:val="auto"/>
          <w:kern w:val="1"/>
          <w:sz w:val="28"/>
          <w:szCs w:val="28"/>
          <w:highlight w:val="none"/>
        </w:rPr>
      </w:pP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合同鉴证方（公章）：嘉兴市千秋工程咨询有限公司</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color w:val="auto"/>
          <w:highlight w:val="none"/>
        </w:rPr>
      </w:pPr>
      <w:r>
        <w:rPr>
          <w:rFonts w:hint="eastAsia" w:ascii="仿宋" w:hAnsi="仿宋" w:eastAsia="仿宋" w:cs="仿宋"/>
          <w:color w:val="auto"/>
          <w:kern w:val="1"/>
          <w:sz w:val="28"/>
          <w:szCs w:val="28"/>
          <w:highlight w:val="none"/>
          <w:lang w:eastAsia="zh-CN"/>
        </w:rPr>
        <w:t>鉴证日期：     年  月  日</w:t>
      </w:r>
    </w:p>
    <w:p>
      <w:pPr>
        <w:jc w:val="center"/>
        <w:outlineLvl w:val="0"/>
        <w:rPr>
          <w:rFonts w:hint="eastAsia" w:eastAsia="黑体"/>
          <w:b/>
          <w:bCs/>
          <w:color w:val="auto"/>
          <w:kern w:val="0"/>
          <w:sz w:val="36"/>
          <w:szCs w:val="36"/>
          <w:highlight w:val="none"/>
        </w:rPr>
      </w:pPr>
    </w:p>
    <w:p>
      <w:pPr>
        <w:jc w:val="center"/>
        <w:outlineLvl w:val="0"/>
        <w:rPr>
          <w:rFonts w:hint="eastAsia" w:eastAsia="黑体"/>
          <w:b/>
          <w:bCs/>
          <w:color w:val="auto"/>
          <w:kern w:val="0"/>
          <w:sz w:val="36"/>
          <w:szCs w:val="36"/>
          <w:highlight w:val="none"/>
        </w:rPr>
      </w:pPr>
    </w:p>
    <w:p>
      <w:pPr>
        <w:jc w:val="center"/>
        <w:outlineLvl w:val="0"/>
        <w:rPr>
          <w:rFonts w:hint="eastAsia" w:eastAsia="黑体"/>
          <w:b/>
          <w:bCs/>
          <w:color w:val="auto"/>
          <w:kern w:val="0"/>
          <w:sz w:val="36"/>
          <w:szCs w:val="36"/>
          <w:highlight w:val="none"/>
        </w:rPr>
      </w:pPr>
    </w:p>
    <w:p>
      <w:pPr>
        <w:jc w:val="center"/>
        <w:outlineLvl w:val="0"/>
        <w:rPr>
          <w:rFonts w:hint="eastAsia" w:eastAsia="黑体"/>
          <w:b/>
          <w:bCs/>
          <w:color w:val="auto"/>
          <w:kern w:val="0"/>
          <w:sz w:val="36"/>
          <w:szCs w:val="36"/>
          <w:highlight w:val="none"/>
        </w:rPr>
      </w:pPr>
    </w:p>
    <w:p>
      <w:pPr>
        <w:jc w:val="center"/>
        <w:outlineLvl w:val="0"/>
        <w:rPr>
          <w:rFonts w:hint="eastAsia" w:eastAsia="黑体"/>
          <w:b/>
          <w:bCs/>
          <w:color w:val="auto"/>
          <w:kern w:val="0"/>
          <w:sz w:val="36"/>
          <w:szCs w:val="36"/>
          <w:highlight w:val="none"/>
        </w:rPr>
      </w:pPr>
    </w:p>
    <w:p>
      <w:pPr>
        <w:jc w:val="center"/>
        <w:outlineLvl w:val="0"/>
        <w:rPr>
          <w:rFonts w:hint="eastAsia" w:eastAsia="黑体"/>
          <w:b/>
          <w:bCs/>
          <w:color w:val="auto"/>
          <w:kern w:val="0"/>
          <w:sz w:val="36"/>
          <w:szCs w:val="36"/>
          <w:highlight w:val="none"/>
        </w:rPr>
      </w:pPr>
    </w:p>
    <w:p>
      <w:pPr>
        <w:jc w:val="center"/>
        <w:outlineLvl w:val="0"/>
        <w:rPr>
          <w:rFonts w:ascii="仿宋_GB2312" w:hAnsi="宋体"/>
          <w:color w:val="auto"/>
          <w:sz w:val="28"/>
          <w:szCs w:val="28"/>
          <w:highlight w:val="none"/>
        </w:rPr>
      </w:pPr>
      <w:r>
        <w:rPr>
          <w:rFonts w:hint="eastAsia" w:eastAsia="黑体"/>
          <w:b/>
          <w:bCs/>
          <w:color w:val="auto"/>
          <w:kern w:val="0"/>
          <w:sz w:val="36"/>
          <w:szCs w:val="36"/>
          <w:highlight w:val="none"/>
        </w:rPr>
        <w:t>第四章</w:t>
      </w:r>
      <w:r>
        <w:rPr>
          <w:rFonts w:hint="eastAsia" w:eastAsia="黑体"/>
          <w:b/>
          <w:bCs/>
          <w:color w:val="auto"/>
          <w:kern w:val="0"/>
          <w:sz w:val="36"/>
          <w:szCs w:val="36"/>
          <w:highlight w:val="none"/>
          <w:lang w:val="en-US" w:eastAsia="zh-CN"/>
        </w:rPr>
        <w:t xml:space="preserve"> </w:t>
      </w:r>
      <w:r>
        <w:rPr>
          <w:rFonts w:hint="eastAsia" w:eastAsia="黑体"/>
          <w:b/>
          <w:bCs/>
          <w:color w:val="auto"/>
          <w:kern w:val="0"/>
          <w:sz w:val="36"/>
          <w:szCs w:val="36"/>
          <w:highlight w:val="none"/>
        </w:rPr>
        <w:t>采购需求</w:t>
      </w:r>
    </w:p>
    <w:p>
      <w:pPr>
        <w:spacing w:line="480" w:lineRule="exact"/>
        <w:rPr>
          <w:rFonts w:ascii="仿宋" w:hAnsi="仿宋" w:eastAsia="仿宋" w:cs="仿宋"/>
          <w:b/>
          <w:bCs/>
          <w:color w:val="auto"/>
          <w:sz w:val="28"/>
          <w:szCs w:val="28"/>
          <w:highlight w:val="none"/>
        </w:rPr>
      </w:pPr>
      <w:bookmarkStart w:id="64" w:name="_Toc375036064"/>
      <w:bookmarkEnd w:id="64"/>
      <w:r>
        <w:rPr>
          <w:rFonts w:hint="eastAsia" w:ascii="仿宋" w:hAnsi="仿宋" w:eastAsia="仿宋" w:cs="仿宋"/>
          <w:b/>
          <w:bCs/>
          <w:color w:val="auto"/>
          <w:sz w:val="28"/>
          <w:szCs w:val="28"/>
          <w:highlight w:val="none"/>
        </w:rPr>
        <w:t>一、基本状况</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确保环卫作业有序衔接，巩固全国文明城市创建成果奋力打造新时代文明生活示范市实施方案等要求，拟将华埠镇城区道路保洁、公厕养护、生活垃圾收集清运等环卫作业一体化服务继续实行市场化运营管理，以公开招标方式对本次服务进行采购，本项目服务周期为</w:t>
      </w:r>
      <w:r>
        <w:rPr>
          <w:rFonts w:hint="eastAsia" w:ascii="仿宋" w:hAnsi="仿宋" w:eastAsia="仿宋" w:cs="仿宋"/>
          <w:color w:val="auto"/>
          <w:sz w:val="28"/>
          <w:szCs w:val="28"/>
          <w:highlight w:val="none"/>
          <w:u w:val="single"/>
          <w:lang w:eastAsia="zh-CN"/>
        </w:rPr>
        <w:t>贰</w:t>
      </w:r>
      <w:r>
        <w:rPr>
          <w:rFonts w:hint="eastAsia" w:ascii="仿宋" w:hAnsi="仿宋" w:eastAsia="仿宋" w:cs="仿宋"/>
          <w:color w:val="auto"/>
          <w:sz w:val="28"/>
          <w:szCs w:val="28"/>
          <w:highlight w:val="none"/>
        </w:rPr>
        <w:t>年。</w:t>
      </w:r>
    </w:p>
    <w:p>
      <w:pPr>
        <w:spacing w:line="48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二、委托管理服务事项</w:t>
      </w:r>
    </w:p>
    <w:p>
      <w:pPr>
        <w:spacing w:line="48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1.服务范围及内容</w:t>
      </w:r>
    </w:p>
    <w:p>
      <w:p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（1）道路保洁范围：华埠镇城区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48.3275</w:t>
      </w:r>
      <w:r>
        <w:rPr>
          <w:rFonts w:hint="eastAsia" w:ascii="仿宋" w:hAnsi="仿宋" w:eastAsia="仿宋" w:cs="仿宋"/>
          <w:color w:val="auto"/>
          <w:sz w:val="28"/>
          <w:szCs w:val="28"/>
          <w:highlight w:val="none"/>
        </w:rPr>
        <w:t>万平方米道路清扫保洁（含部分绿化带）、洒水降尘、生活垃圾收集并清运至中转站。</w:t>
      </w:r>
    </w:p>
    <w:tbl>
      <w:tblPr>
        <w:tblStyle w:val="41"/>
        <w:tblpPr w:leftFromText="180" w:rightFromText="180" w:vertAnchor="text" w:horzAnchor="page" w:tblpX="1635" w:tblpY="231"/>
        <w:tblOverlap w:val="never"/>
        <w:tblW w:w="4832" w:type="pct"/>
        <w:tblInd w:w="0" w:type="dxa"/>
        <w:tblLayout w:type="fixed"/>
        <w:tblCellMar>
          <w:top w:w="0" w:type="dxa"/>
          <w:left w:w="108" w:type="dxa"/>
          <w:bottom w:w="0" w:type="dxa"/>
          <w:right w:w="108" w:type="dxa"/>
        </w:tblCellMar>
      </w:tblPr>
      <w:tblGrid>
        <w:gridCol w:w="638"/>
        <w:gridCol w:w="1835"/>
        <w:gridCol w:w="1467"/>
        <w:gridCol w:w="1811"/>
        <w:gridCol w:w="1348"/>
        <w:gridCol w:w="1657"/>
      </w:tblGrid>
      <w:tr>
        <w:tblPrEx>
          <w:tblCellMar>
            <w:top w:w="0" w:type="dxa"/>
            <w:left w:w="108" w:type="dxa"/>
            <w:bottom w:w="0" w:type="dxa"/>
            <w:right w:w="108" w:type="dxa"/>
          </w:tblCellMar>
        </w:tblPrEx>
        <w:trPr>
          <w:trHeight w:val="860"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4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区域名称</w:t>
            </w:r>
          </w:p>
        </w:tc>
        <w:tc>
          <w:tcPr>
            <w:tcW w:w="83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江东新区</w:t>
            </w:r>
          </w:p>
        </w:tc>
        <w:tc>
          <w:tcPr>
            <w:tcW w:w="103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老城区</w:t>
            </w:r>
          </w:p>
        </w:tc>
        <w:tc>
          <w:tcPr>
            <w:tcW w:w="769"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国道县道</w:t>
            </w:r>
          </w:p>
        </w:tc>
        <w:tc>
          <w:tcPr>
            <w:tcW w:w="946"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总保洁面积(m2)</w:t>
            </w:r>
          </w:p>
        </w:tc>
      </w:tr>
      <w:tr>
        <w:tblPrEx>
          <w:tblCellMar>
            <w:top w:w="0" w:type="dxa"/>
            <w:left w:w="108" w:type="dxa"/>
            <w:bottom w:w="0" w:type="dxa"/>
            <w:right w:w="108" w:type="dxa"/>
          </w:tblCellMar>
        </w:tblPrEx>
        <w:trPr>
          <w:trHeight w:val="909"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04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一级道路</w:t>
            </w:r>
          </w:p>
        </w:tc>
        <w:tc>
          <w:tcPr>
            <w:tcW w:w="837"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21341</w:t>
            </w:r>
          </w:p>
        </w:tc>
        <w:tc>
          <w:tcPr>
            <w:tcW w:w="103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65862</w:t>
            </w:r>
          </w:p>
        </w:tc>
        <w:tc>
          <w:tcPr>
            <w:tcW w:w="769"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946"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87</w:t>
            </w:r>
            <w:r>
              <w:rPr>
                <w:rFonts w:hint="eastAsia" w:ascii="仿宋" w:hAnsi="仿宋" w:eastAsia="仿宋" w:cs="仿宋"/>
                <w:color w:val="auto"/>
                <w:sz w:val="28"/>
                <w:szCs w:val="28"/>
                <w:highlight w:val="none"/>
              </w:rPr>
              <w:t>203</w:t>
            </w:r>
          </w:p>
        </w:tc>
      </w:tr>
      <w:tr>
        <w:tblPrEx>
          <w:tblCellMar>
            <w:top w:w="0" w:type="dxa"/>
            <w:left w:w="108" w:type="dxa"/>
            <w:bottom w:w="0" w:type="dxa"/>
            <w:right w:w="108" w:type="dxa"/>
          </w:tblCellMar>
        </w:tblPrEx>
        <w:trPr>
          <w:trHeight w:val="909"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04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二级道路</w:t>
            </w:r>
          </w:p>
        </w:tc>
        <w:tc>
          <w:tcPr>
            <w:tcW w:w="837"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6507</w:t>
            </w:r>
          </w:p>
        </w:tc>
        <w:tc>
          <w:tcPr>
            <w:tcW w:w="103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17666</w:t>
            </w:r>
          </w:p>
        </w:tc>
        <w:tc>
          <w:tcPr>
            <w:tcW w:w="769"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946"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24173</w:t>
            </w:r>
          </w:p>
        </w:tc>
      </w:tr>
      <w:tr>
        <w:tblPrEx>
          <w:tblCellMar>
            <w:top w:w="0" w:type="dxa"/>
            <w:left w:w="108" w:type="dxa"/>
            <w:bottom w:w="0" w:type="dxa"/>
            <w:right w:w="108" w:type="dxa"/>
          </w:tblCellMar>
        </w:tblPrEx>
        <w:trPr>
          <w:trHeight w:val="909"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04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三级道路</w:t>
            </w:r>
          </w:p>
        </w:tc>
        <w:tc>
          <w:tcPr>
            <w:tcW w:w="837"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37171</w:t>
            </w:r>
          </w:p>
        </w:tc>
        <w:tc>
          <w:tcPr>
            <w:tcW w:w="103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33084</w:t>
            </w:r>
          </w:p>
        </w:tc>
        <w:tc>
          <w:tcPr>
            <w:tcW w:w="769"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946"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70255</w:t>
            </w:r>
          </w:p>
        </w:tc>
      </w:tr>
      <w:tr>
        <w:tblPrEx>
          <w:tblCellMar>
            <w:top w:w="0" w:type="dxa"/>
            <w:left w:w="108" w:type="dxa"/>
            <w:bottom w:w="0" w:type="dxa"/>
            <w:right w:w="108" w:type="dxa"/>
          </w:tblCellMar>
        </w:tblPrEx>
        <w:trPr>
          <w:trHeight w:val="815"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04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四级道路</w:t>
            </w:r>
          </w:p>
        </w:tc>
        <w:tc>
          <w:tcPr>
            <w:tcW w:w="837"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25522</w:t>
            </w:r>
          </w:p>
        </w:tc>
        <w:tc>
          <w:tcPr>
            <w:tcW w:w="103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62710</w:t>
            </w:r>
          </w:p>
        </w:tc>
        <w:tc>
          <w:tcPr>
            <w:tcW w:w="769"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83645</w:t>
            </w:r>
          </w:p>
        </w:tc>
        <w:tc>
          <w:tcPr>
            <w:tcW w:w="946"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171797</w:t>
            </w:r>
          </w:p>
        </w:tc>
      </w:tr>
      <w:tr>
        <w:tblPrEx>
          <w:tblCellMar>
            <w:top w:w="0" w:type="dxa"/>
            <w:left w:w="108" w:type="dxa"/>
            <w:bottom w:w="0" w:type="dxa"/>
            <w:right w:w="108" w:type="dxa"/>
          </w:tblCellMar>
        </w:tblPrEx>
        <w:trPr>
          <w:trHeight w:val="875"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04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绿化面积</w:t>
            </w:r>
          </w:p>
        </w:tc>
        <w:tc>
          <w:tcPr>
            <w:tcW w:w="837"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42767</w:t>
            </w:r>
          </w:p>
        </w:tc>
        <w:tc>
          <w:tcPr>
            <w:tcW w:w="103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79</w:t>
            </w:r>
            <w:r>
              <w:rPr>
                <w:rFonts w:hint="eastAsia" w:ascii="仿宋" w:hAnsi="仿宋" w:eastAsia="仿宋" w:cs="仿宋"/>
                <w:color w:val="auto"/>
                <w:sz w:val="28"/>
                <w:szCs w:val="28"/>
                <w:highlight w:val="none"/>
              </w:rPr>
              <w:t>000（公园）</w:t>
            </w:r>
          </w:p>
        </w:tc>
        <w:tc>
          <w:tcPr>
            <w:tcW w:w="769"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946"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129767</w:t>
            </w:r>
          </w:p>
        </w:tc>
      </w:tr>
      <w:tr>
        <w:tblPrEx>
          <w:tblCellMar>
            <w:top w:w="0" w:type="dxa"/>
            <w:left w:w="108" w:type="dxa"/>
            <w:bottom w:w="0" w:type="dxa"/>
            <w:right w:w="108" w:type="dxa"/>
          </w:tblCellMar>
        </w:tblPrEx>
        <w:trPr>
          <w:trHeight w:val="868"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047" w:type="pct"/>
            <w:tcBorders>
              <w:top w:val="single" w:color="auto" w:sz="4" w:space="0"/>
              <w:left w:val="nil"/>
              <w:bottom w:val="single" w:color="auto" w:sz="4" w:space="0"/>
              <w:right w:val="single" w:color="auto"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总保洁面积</w:t>
            </w:r>
          </w:p>
        </w:tc>
        <w:tc>
          <w:tcPr>
            <w:tcW w:w="837"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133308</w:t>
            </w:r>
          </w:p>
        </w:tc>
        <w:tc>
          <w:tcPr>
            <w:tcW w:w="1034"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266322</w:t>
            </w:r>
          </w:p>
        </w:tc>
        <w:tc>
          <w:tcPr>
            <w:tcW w:w="769" w:type="pct"/>
            <w:tcBorders>
              <w:top w:val="single" w:color="auto" w:sz="4" w:space="0"/>
              <w:left w:val="nil"/>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83645</w:t>
            </w:r>
          </w:p>
        </w:tc>
        <w:tc>
          <w:tcPr>
            <w:tcW w:w="946"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483275</w:t>
            </w:r>
          </w:p>
        </w:tc>
      </w:tr>
    </w:tbl>
    <w:p>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华埠镇</w:t>
      </w:r>
      <w:r>
        <w:rPr>
          <w:rFonts w:hint="eastAsia" w:ascii="仿宋" w:hAnsi="仿宋" w:eastAsia="仿宋" w:cs="仿宋"/>
          <w:color w:val="auto"/>
          <w:sz w:val="28"/>
          <w:szCs w:val="28"/>
          <w:highlight w:val="none"/>
          <w:lang w:val="en-US" w:eastAsia="zh-CN"/>
        </w:rPr>
        <w:t>17座</w:t>
      </w:r>
      <w:r>
        <w:rPr>
          <w:rFonts w:hint="eastAsia" w:ascii="仿宋" w:hAnsi="仿宋" w:eastAsia="仿宋" w:cs="仿宋"/>
          <w:color w:val="auto"/>
          <w:sz w:val="28"/>
          <w:szCs w:val="28"/>
          <w:highlight w:val="none"/>
        </w:rPr>
        <w:t>公厕</w:t>
      </w:r>
      <w:r>
        <w:rPr>
          <w:rFonts w:hint="eastAsia" w:ascii="仿宋" w:hAnsi="仿宋" w:eastAsia="仿宋" w:cs="仿宋"/>
          <w:color w:val="auto"/>
          <w:sz w:val="28"/>
          <w:szCs w:val="28"/>
          <w:highlight w:val="none"/>
          <w:lang w:eastAsia="zh-CN"/>
        </w:rPr>
        <w:t>管理。</w:t>
      </w:r>
    </w:p>
    <w:p>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华埠镇</w:t>
      </w:r>
      <w:r>
        <w:rPr>
          <w:rFonts w:hint="eastAsia" w:ascii="仿宋" w:hAnsi="仿宋" w:eastAsia="仿宋" w:cs="仿宋"/>
          <w:color w:val="auto"/>
          <w:sz w:val="28"/>
          <w:szCs w:val="28"/>
          <w:highlight w:val="none"/>
        </w:rPr>
        <w:t>常山港水面及堤防马道保洁：由双港口至下界首村，全长7.149km，</w:t>
      </w:r>
      <w:r>
        <w:rPr>
          <w:rFonts w:hint="eastAsia" w:ascii="仿宋" w:hAnsi="仿宋" w:eastAsia="仿宋" w:cs="仿宋"/>
          <w:color w:val="auto"/>
          <w:sz w:val="28"/>
          <w:szCs w:val="28"/>
          <w:highlight w:val="none"/>
          <w:lang w:eastAsia="zh-CN"/>
        </w:rPr>
        <w:t>其中</w:t>
      </w:r>
      <w:r>
        <w:rPr>
          <w:rFonts w:hint="eastAsia" w:ascii="仿宋" w:hAnsi="仿宋" w:eastAsia="仿宋" w:cs="仿宋"/>
          <w:color w:val="auto"/>
          <w:sz w:val="28"/>
          <w:szCs w:val="28"/>
          <w:highlight w:val="none"/>
        </w:rPr>
        <w:t>流域面积1.096平方公里。</w:t>
      </w:r>
    </w:p>
    <w:p>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（4）华埠城区及205国道沿线从事餐饮服务、集体供餐、食品生产加工等活动的单位（含个体工商户）在生产经营过程中的餐厨垃圾收集、清运。</w:t>
      </w:r>
    </w:p>
    <w:p>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创文（创卫）保障：创文（创卫）复评工作期间，乙方须无条件按照甲方要求增加工作人员及相关车辆设备，因此可能产生的一切费用均由乙方负责，甲方不再针对相应保障工作调整中标价，乙方自行承担相应风险。</w:t>
      </w:r>
    </w:p>
    <w:p>
      <w:pPr>
        <w:spacing w:line="480" w:lineRule="exact"/>
        <w:ind w:firstLine="562" w:firstLineChars="200"/>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三、服务技术规范和服务要求：</w:t>
      </w:r>
    </w:p>
    <w:p>
      <w:pPr>
        <w:spacing w:line="48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（一）基本要求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1.应做到文明、清洁、安全和有序，最大限度地减少对环境的污染和对公众生活的影响。</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2.环卫作业人员工作期间应穿反光工作服,并保持着装整洁。</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3.环卫作业车辆出车前应进行检查，确保车况良好，车容整洁。当日作业结束后，应对车辆进行清洗，保持车辆外观整洁，规范定点停放，并做好车辆维护和保养工作。</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4.合理安排作业时间和方式。清晨或深夜在居民住宅小区周边道路进行环卫作业时，不得大声喧哗，并应注意控制机具噪音。洒水、降尘、清洗作业应主动避开行人、车辆高峰。</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5.人工辅助清扫、清洗机动车道、非机动车道，应在距清扫点来车方向100m处设置警示标识，使用荧光锥形筒等警示标识围护清扫保洁区域，面向来车方向清扫，注意车辆动态。</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6.环卫作业车辆应设置荧光示宽标识（或警示灯）。夜间作业时或雨雾天气等能见度较低的天气，必须启用警示灯光。环卫作业车辆车身设置荧光条，车后部或车顶设置警示灯。</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7.无条件做好数字城管案件、12345政府热线、110应急事项、通衢问政平台、市民投诉事项等的处理、整改和回复工作。</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8.巩固全国文明城市、国家卫生城市成果，无条件做好重大活动、各项检查、突发应急事件及上级交办的临时业务的卫生保障工作。</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9.负责所有员工的安全管理。定期进行安全教育，及时排查安全隐患，防止安全事故发生，妥善处理安全事故。</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10.台账收集，</w:t>
      </w:r>
      <w:r>
        <w:rPr>
          <w:rFonts w:hint="eastAsia" w:ascii="仿宋" w:hAnsi="仿宋" w:eastAsia="仿宋" w:cs="仿宋"/>
          <w:color w:val="auto"/>
          <w:kern w:val="0"/>
          <w:sz w:val="28"/>
          <w:szCs w:val="28"/>
          <w:highlight w:val="none"/>
        </w:rPr>
        <w:t>中标供应商每月5号前提供上月相关作业记录及台账，28号前向采购人提交本月工作情况自查表、有关情况书面报告和下月作业安排计划。</w:t>
      </w:r>
    </w:p>
    <w:p>
      <w:pPr>
        <w:spacing w:line="480" w:lineRule="exact"/>
        <w:ind w:firstLine="562" w:firstLineChars="200"/>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▲（二）服务内容及技术要求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1.做好辖区内的道路清扫保洁、洒水降尘、生活垃圾分类清运工作。</w:t>
      </w:r>
    </w:p>
    <w:p>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1"/>
          <w:sz w:val="28"/>
          <w:szCs w:val="28"/>
          <w:highlight w:val="none"/>
        </w:rPr>
        <w:t>2.</w:t>
      </w:r>
      <w:r>
        <w:rPr>
          <w:rFonts w:hint="eastAsia" w:ascii="仿宋" w:hAnsi="仿宋" w:eastAsia="仿宋" w:cs="仿宋"/>
          <w:color w:val="auto"/>
          <w:sz w:val="28"/>
          <w:szCs w:val="28"/>
          <w:highlight w:val="none"/>
        </w:rPr>
        <w:t>实行“冲洗—机扫—大扫—流动动态保洁”的清扫保洁机制，标段</w:t>
      </w:r>
      <w:r>
        <w:rPr>
          <w:rFonts w:hint="eastAsia" w:ascii="仿宋" w:hAnsi="仿宋" w:eastAsia="仿宋" w:cs="仿宋"/>
          <w:color w:val="auto"/>
          <w:sz w:val="28"/>
          <w:szCs w:val="28"/>
          <w:highlight w:val="none"/>
          <w:lang w:val="en-US" w:eastAsia="zh-CN"/>
        </w:rPr>
        <w:t>内路段清扫保洁，每天在规定时间完成本项目服务范围内所有区域的2遍普扫，并在保洁时间内实行不间断巡回保洁；一级保洁路面实行两班制18小时（4:00时—22:00时）动态巡回保洁(7、8、9、10月份延迟一小时，中午补休息一小时)，双班作业不能由同一人员完成；二级保洁路面实两班制16小时（4:00时-11:30时，13:00时-21:30时）动态巡回保洁(7、8、9、10月份延迟半小时，中午补休半小时)，三级保洁路面实行一班制10小时（6:00时-11:00时，13:00时-18:00时）动态巡回保洁，四级保洁路面实行一班制8小时（6:00时-10:00时，13:00时-17:00时）动态巡回保洁。</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3.做好标段内所有城市主次道路、人行道、台阶、边沟、边坡、绿化带、</w:t>
      </w:r>
      <w:r>
        <w:rPr>
          <w:rFonts w:hint="eastAsia" w:ascii="仿宋" w:hAnsi="仿宋" w:eastAsia="仿宋" w:cs="仿宋"/>
          <w:color w:val="auto"/>
          <w:kern w:val="0"/>
          <w:sz w:val="28"/>
          <w:szCs w:val="28"/>
          <w:highlight w:val="none"/>
        </w:rPr>
        <w:t>绿化地块、树池、支路入口、空地、</w:t>
      </w:r>
      <w:r>
        <w:rPr>
          <w:rFonts w:hint="eastAsia" w:ascii="仿宋" w:hAnsi="仿宋" w:eastAsia="仿宋" w:cs="仿宋"/>
          <w:color w:val="auto"/>
          <w:kern w:val="1"/>
          <w:sz w:val="28"/>
          <w:szCs w:val="28"/>
          <w:highlight w:val="none"/>
          <w:lang w:eastAsia="zh-CN"/>
        </w:rPr>
        <w:t>部分无物业开放式小区其里弄</w:t>
      </w:r>
      <w:r>
        <w:rPr>
          <w:rFonts w:hint="eastAsia" w:ascii="仿宋" w:hAnsi="仿宋" w:eastAsia="仿宋" w:cs="仿宋"/>
          <w:color w:val="auto"/>
          <w:kern w:val="1"/>
          <w:sz w:val="28"/>
          <w:szCs w:val="28"/>
          <w:highlight w:val="none"/>
        </w:rPr>
        <w:t>小巷等公共场所清扫保洁，路面洒水降尘</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rPr>
        <w:t>主干道路每日洒水不少于2次，机扫不少于2次。</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4.做好标段内及垃圾清运范围内的垃圾日产日清，确保垃圾无满溢、堆积</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rPr>
        <w:t>沿街道路两侧商铺产生的生活垃圾，必须做到每天不少于2次上门收集。</w:t>
      </w:r>
    </w:p>
    <w:p>
      <w:pPr>
        <w:spacing w:line="480" w:lineRule="exact"/>
        <w:ind w:firstLine="560" w:firstLineChars="200"/>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rPr>
        <w:t>5.保持标段内环卫设施垃圾房、果壳箱垃圾清理及清洗消毒；垃圾桶清洗；四周地面油污清洗；行道树穴清理等。垃圾桶、果壳箱、垃圾房等垃圾容器夏天每天不少于一次擦洗，做到随脏随洗；病媒消杀每周不少于一次</w:t>
      </w:r>
      <w:r>
        <w:rPr>
          <w:rFonts w:hint="eastAsia" w:ascii="仿宋" w:hAnsi="仿宋" w:eastAsia="仿宋" w:cs="仿宋"/>
          <w:color w:val="auto"/>
          <w:kern w:val="1"/>
          <w:sz w:val="28"/>
          <w:szCs w:val="28"/>
          <w:highlight w:val="none"/>
          <w:lang w:eastAsia="zh-CN"/>
        </w:rPr>
        <w:t>。</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6.做好标段内保洁方案、安全生产、清洗、病媒消杀等资料台账的收集、整理、上报工作。</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1"/>
          <w:sz w:val="28"/>
          <w:szCs w:val="28"/>
          <w:highlight w:val="none"/>
        </w:rPr>
        <w:t>7.</w:t>
      </w:r>
      <w:r>
        <w:rPr>
          <w:rFonts w:hint="eastAsia" w:ascii="仿宋" w:hAnsi="仿宋" w:eastAsia="仿宋" w:cs="仿宋"/>
          <w:color w:val="auto"/>
          <w:sz w:val="28"/>
          <w:szCs w:val="28"/>
          <w:highlight w:val="none"/>
        </w:rPr>
        <w:t>应及时将保洁责任范围内破沙发、木柜、废旧家电等大件废弃物品，建筑（装潢）垃圾和无主垃圾收集并运输至指定场地处置。</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r>
        <w:rPr>
          <w:rFonts w:hint="eastAsia" w:ascii="仿宋" w:hAnsi="仿宋" w:eastAsia="仿宋" w:cs="仿宋"/>
          <w:color w:val="auto"/>
          <w:kern w:val="1"/>
          <w:sz w:val="28"/>
          <w:szCs w:val="28"/>
          <w:highlight w:val="none"/>
        </w:rPr>
        <w:t>做好标段内重大活动、各项检查及突发应急事件时的卫生保障工作。</w:t>
      </w:r>
    </w:p>
    <w:p>
      <w:pPr>
        <w:spacing w:line="480" w:lineRule="exact"/>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9.做好本标段内作业范围的数字城管案件抄告单、群众信访、投诉处理件的处理、整改和回复工作。</w:t>
      </w:r>
    </w:p>
    <w:p>
      <w:pPr>
        <w:spacing w:line="480" w:lineRule="exact"/>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10.</w:t>
      </w:r>
      <w:r>
        <w:rPr>
          <w:rFonts w:hint="eastAsia" w:ascii="仿宋" w:hAnsi="仿宋" w:eastAsia="仿宋" w:cs="仿宋"/>
          <w:color w:val="auto"/>
          <w:kern w:val="1"/>
          <w:sz w:val="28"/>
          <w:szCs w:val="28"/>
          <w:highlight w:val="none"/>
        </w:rPr>
        <w:t>作业时保洁人员严格遵守劳动纪律，遵守安全操作规程，确保安全生产。</w:t>
      </w:r>
    </w:p>
    <w:p>
      <w:pPr>
        <w:spacing w:line="480" w:lineRule="exact"/>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11.</w:t>
      </w:r>
      <w:r>
        <w:rPr>
          <w:rFonts w:hint="eastAsia" w:ascii="仿宋" w:hAnsi="仿宋" w:eastAsia="仿宋" w:cs="仿宋"/>
          <w:color w:val="auto"/>
          <w:kern w:val="1"/>
          <w:sz w:val="28"/>
          <w:szCs w:val="28"/>
          <w:highlight w:val="none"/>
        </w:rPr>
        <w:t>每月5号前提供上月相关作业记录及台账，28号前向采购人提交本月工作情况自查表、有关情况书面报告和下月作业安排计划。</w:t>
      </w:r>
    </w:p>
    <w:p>
      <w:pPr>
        <w:spacing w:line="480" w:lineRule="exact"/>
        <w:ind w:firstLine="562" w:firstLineChars="200"/>
        <w:rPr>
          <w:rFonts w:ascii="仿宋" w:hAnsi="仿宋" w:eastAsia="仿宋" w:cs="仿宋"/>
          <w:color w:val="auto"/>
          <w:kern w:val="1"/>
          <w:sz w:val="28"/>
          <w:szCs w:val="28"/>
          <w:highlight w:val="none"/>
        </w:rPr>
      </w:pPr>
      <w:r>
        <w:rPr>
          <w:rFonts w:hint="eastAsia" w:ascii="仿宋" w:hAnsi="仿宋" w:eastAsia="仿宋" w:cs="仿宋"/>
          <w:b/>
          <w:color w:val="auto"/>
          <w:kern w:val="1"/>
          <w:sz w:val="28"/>
          <w:szCs w:val="28"/>
          <w:highlight w:val="none"/>
        </w:rPr>
        <w:t>（三）道路清扫保洁质量要求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道路清扫保洁的通用质量要求应达到路面整洁，排水口清洁，无残留污水，无残积沙土、砂石，道路垃圾收集容器等环卫设施无明显污迹的要求，窨井盖沟槽畅通干净、果壳箱等环卫设施整齐干净，不形成任何卫生死角</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路见本色。</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道路路面及绿地普扫质量应符合四无四净，即无白色垃圾、无果皮纸屑、无土石杂草、无泥堆积物，路面干净、边角侧石干净、窨井盖沟干净、环卫设施整齐干净等。</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3.路面废弃物控制指标应符合下表规定，但在同一单位面积内，不得超过各单项废弃物总量的50%。</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（1）路面废弃物控制指标</w:t>
      </w:r>
    </w:p>
    <w:tbl>
      <w:tblPr>
        <w:tblStyle w:val="41"/>
        <w:tblW w:w="0" w:type="auto"/>
        <w:tblInd w:w="0" w:type="dxa"/>
        <w:tblLayout w:type="fixed"/>
        <w:tblCellMar>
          <w:top w:w="0" w:type="dxa"/>
          <w:left w:w="108" w:type="dxa"/>
          <w:bottom w:w="0" w:type="dxa"/>
          <w:right w:w="108" w:type="dxa"/>
        </w:tblCellMar>
      </w:tblPr>
      <w:tblGrid>
        <w:gridCol w:w="1209"/>
        <w:gridCol w:w="1594"/>
        <w:gridCol w:w="1383"/>
        <w:gridCol w:w="1317"/>
        <w:gridCol w:w="1440"/>
        <w:gridCol w:w="1440"/>
        <w:gridCol w:w="1260"/>
      </w:tblGrid>
      <w:tr>
        <w:tblPrEx>
          <w:tblCellMar>
            <w:top w:w="0" w:type="dxa"/>
            <w:left w:w="108" w:type="dxa"/>
            <w:bottom w:w="0" w:type="dxa"/>
            <w:right w:w="108" w:type="dxa"/>
          </w:tblCellMar>
        </w:tblPrEx>
        <w:trPr>
          <w:trHeight w:val="566"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bookmarkStart w:id="65" w:name="_Toc201457610"/>
            <w:r>
              <w:rPr>
                <w:rFonts w:hint="eastAsia" w:ascii="仿宋" w:hAnsi="仿宋" w:eastAsia="仿宋" w:cs="仿宋"/>
                <w:color w:val="auto"/>
                <w:kern w:val="1"/>
                <w:sz w:val="28"/>
                <w:szCs w:val="28"/>
                <w:highlight w:val="none"/>
              </w:rPr>
              <w:t>保洁等级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果皮</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(片/1000㎡)</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纸屑塑模</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(片/1000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烟蒂</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(个/1000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痰迹</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(处/1000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污水</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w:t>
            </w:r>
            <w:r>
              <w:rPr>
                <w:rFonts w:hint="eastAsia" w:ascii="仿宋" w:hAnsi="仿宋" w:eastAsia="仿宋" w:cs="仿宋"/>
                <w:color w:val="auto"/>
                <w:sz w:val="28"/>
                <w:szCs w:val="28"/>
                <w:highlight w:val="none"/>
              </w:rPr>
              <w:t>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其他</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(处/1000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r>
      <w:tr>
        <w:tblPrEx>
          <w:tblCellMar>
            <w:top w:w="0" w:type="dxa"/>
            <w:left w:w="108" w:type="dxa"/>
            <w:bottom w:w="0" w:type="dxa"/>
            <w:right w:w="108" w:type="dxa"/>
          </w:tblCellMar>
        </w:tblPrEx>
        <w:trPr>
          <w:trHeight w:val="369"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一级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无</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无</w:t>
            </w:r>
          </w:p>
        </w:tc>
      </w:tr>
      <w:tr>
        <w:tblPrEx>
          <w:tblCellMar>
            <w:top w:w="0" w:type="dxa"/>
            <w:left w:w="108" w:type="dxa"/>
            <w:bottom w:w="0" w:type="dxa"/>
            <w:right w:w="108" w:type="dxa"/>
          </w:tblCellMar>
        </w:tblPrEx>
        <w:trPr>
          <w:trHeight w:val="370"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二级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≤6</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≤6</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≤0.5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≤2</w:t>
            </w:r>
          </w:p>
        </w:tc>
      </w:tr>
      <w:tr>
        <w:tblPrEx>
          <w:tblCellMar>
            <w:top w:w="0" w:type="dxa"/>
            <w:left w:w="108" w:type="dxa"/>
            <w:bottom w:w="0" w:type="dxa"/>
            <w:right w:w="108" w:type="dxa"/>
          </w:tblCellMar>
        </w:tblPrEx>
        <w:trPr>
          <w:trHeight w:val="369"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三级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≤6</w:t>
            </w:r>
          </w:p>
        </w:tc>
      </w:tr>
      <w:tr>
        <w:tblPrEx>
          <w:tblCellMar>
            <w:top w:w="0" w:type="dxa"/>
            <w:left w:w="108" w:type="dxa"/>
            <w:bottom w:w="0" w:type="dxa"/>
            <w:right w:w="108" w:type="dxa"/>
          </w:tblCellMar>
        </w:tblPrEx>
        <w:trPr>
          <w:trHeight w:val="370"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四级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≤12</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≤15</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≤15</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≤2.0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r>
    </w:tbl>
    <w:p>
      <w:pPr>
        <w:widowControl/>
        <w:spacing w:beforeLines="30" w:afterLines="30" w:line="480" w:lineRule="exact"/>
        <w:ind w:left="315" w:leftChars="150"/>
        <w:jc w:val="left"/>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（四）道路清扫保洁作业与安全要求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工作行为要求</w:t>
      </w:r>
      <w:bookmarkEnd w:id="65"/>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（1）遵守劳动纪律，按时上下班，严格执行上、下班交接制度。 </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（2）清扫保洁作业人员必须统一着反光工作服、帽上岗。</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（3）严禁清扫保洁人员及垃圾清运员拾捡废旧物品。</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（4）清扫时，文明作业，不把垃圾、污泥，污水溅到行人身上，遇到行人乱扔垃圾，不爱护环卫设施的行为时，要主动上去劝说，做到举止文明礼貌，以礼服人，尊老爱幼。</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（5）在工作时注意交通安全，遵守交通规则：拉车时做到五不停（车站进口不停，路面斜坡不停，消防设施前不停，交通路口不停，横道线不停），同时车辆摆放时应与人行道平行。</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（6）清扫保洁作业中不得坐岗，不得擅离作业岗位。</w:t>
      </w:r>
    </w:p>
    <w:p>
      <w:pPr>
        <w:spacing w:line="480" w:lineRule="exact"/>
        <w:ind w:firstLine="560" w:firstLineChars="200"/>
        <w:rPr>
          <w:rFonts w:ascii="仿宋" w:hAnsi="仿宋" w:eastAsia="仿宋" w:cs="仿宋"/>
          <w:color w:val="auto"/>
          <w:spacing w:val="-2"/>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pacing w:val="-4"/>
          <w:sz w:val="28"/>
          <w:szCs w:val="28"/>
          <w:highlight w:val="none"/>
        </w:rPr>
        <w:t>清扫、清运人员发现本责任区内环卫设施损坏或有严重污染环境卫生的情况需及时制止或汇报。</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（8）清扫作业时做到不漏扫，不漏堆，严禁把泥、灰和垃圾扫入、停留或倒入窨井和绿化带内，江、渠内保持路面清洁。</w:t>
      </w:r>
    </w:p>
    <w:p>
      <w:pPr>
        <w:pStyle w:val="22"/>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（9）道路保洁人员必须穿着反光安全工作服上岗，作业时，应按车行线反方向清扫，保洁车辆停放应地点适宜．不能太靠近车行线，车容应整洁。</w:t>
      </w:r>
    </w:p>
    <w:p>
      <w:pPr>
        <w:pStyle w:val="22"/>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（10）道路保洁人员应禁止将垃圾堆放或停留在窨井盖上，禁止将垃圾扫入或倒入窨井、道路绿地、河道等处，必须运送指定地点。</w:t>
      </w:r>
    </w:p>
    <w:p>
      <w:pPr>
        <w:spacing w:line="480" w:lineRule="exact"/>
        <w:ind w:firstLine="560" w:firstLineChars="200"/>
        <w:rPr>
          <w:rFonts w:ascii="仿宋" w:hAnsi="仿宋" w:eastAsia="仿宋" w:cs="仿宋"/>
          <w:color w:val="auto"/>
          <w:sz w:val="28"/>
          <w:szCs w:val="28"/>
          <w:highlight w:val="none"/>
        </w:rPr>
      </w:pPr>
      <w:bookmarkStart w:id="66" w:name="_Toc201457611"/>
      <w:r>
        <w:rPr>
          <w:rFonts w:hint="eastAsia" w:ascii="仿宋" w:hAnsi="仿宋" w:eastAsia="仿宋" w:cs="仿宋"/>
          <w:color w:val="auto"/>
          <w:sz w:val="28"/>
          <w:szCs w:val="28"/>
          <w:highlight w:val="none"/>
        </w:rPr>
        <w:t>2.清扫保洁要求</w:t>
      </w:r>
      <w:bookmarkEnd w:id="66"/>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（1）清扫保洁作业实行全天保洁，质量应符合清扫保洁质量标准。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扫人员上班必须按规定“一人一车一责”方式作业对责任路段、交叉处、人行道、树穴等进行彻底清扫。在责任路段不间断地随脏随扫，巡回保洁，达到路面无垃圾，无积泥、积水，无零星垃圾堆积物，绿化带无垃圾、塑料、烟蒂，达到路面清洁。</w:t>
      </w:r>
    </w:p>
    <w:p>
      <w:pPr>
        <w:spacing w:line="480" w:lineRule="exact"/>
        <w:ind w:firstLine="560" w:firstLineChars="200"/>
        <w:rPr>
          <w:rFonts w:ascii="仿宋" w:hAnsi="仿宋" w:eastAsia="仿宋" w:cs="仿宋"/>
          <w:color w:val="auto"/>
          <w:spacing w:val="-2"/>
          <w:sz w:val="28"/>
          <w:szCs w:val="28"/>
          <w:highlight w:val="none"/>
        </w:rPr>
      </w:pPr>
      <w:r>
        <w:rPr>
          <w:rFonts w:hint="eastAsia" w:ascii="仿宋" w:hAnsi="仿宋" w:eastAsia="仿宋" w:cs="仿宋"/>
          <w:color w:val="auto"/>
          <w:kern w:val="1"/>
          <w:sz w:val="28"/>
          <w:szCs w:val="28"/>
          <w:highlight w:val="none"/>
        </w:rPr>
        <w:t>按规定时间内完成每天第一遍统扫，冬季每日上午7：30前完成普扫，其他季节每日上午7：00前完成普扫；第二遍统扫以下午上班时间的半小时前完毕。</w:t>
      </w:r>
      <w:r>
        <w:rPr>
          <w:rFonts w:hint="eastAsia" w:ascii="仿宋" w:hAnsi="仿宋" w:eastAsia="仿宋" w:cs="仿宋"/>
          <w:color w:val="auto"/>
          <w:spacing w:val="-2"/>
          <w:sz w:val="28"/>
          <w:szCs w:val="28"/>
          <w:highlight w:val="none"/>
        </w:rPr>
        <w:t>遇县、市级、省级和国家级检查，乙方应无条件服从，具体清扫保洁时间服从发包人统一安排。</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（3）在清扫时，必须先清除大堆垃圾及包装袋垃圾，再清扫保洁路面。</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（4）环卫车辆位置停放得当，不影响交通行人。</w:t>
      </w:r>
    </w:p>
    <w:p>
      <w:pPr>
        <w:spacing w:line="48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公共厕所管养基本要求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做好辖区内17座公厕</w:t>
      </w:r>
      <w:r>
        <w:rPr>
          <w:rFonts w:hint="eastAsia" w:ascii="仿宋" w:hAnsi="仿宋" w:eastAsia="仿宋" w:cs="仿宋"/>
          <w:color w:val="auto"/>
          <w:sz w:val="28"/>
          <w:szCs w:val="28"/>
          <w:highlight w:val="none"/>
          <w:lang w:eastAsia="zh-CN"/>
        </w:rPr>
        <w:t>管理</w:t>
      </w:r>
      <w:r>
        <w:rPr>
          <w:rFonts w:hint="eastAsia" w:ascii="仿宋" w:hAnsi="仿宋" w:eastAsia="仿宋" w:cs="仿宋"/>
          <w:color w:val="auto"/>
          <w:sz w:val="28"/>
          <w:szCs w:val="28"/>
          <w:highlight w:val="none"/>
        </w:rPr>
        <w:t>工作，并做好各种迎检和突发性事件的处理工作。包括但不限于公厕日常的：清洗、保洁、维护、零星维修、标识标牌（含创文、创卫宣传牌、公益广告牌等）制作更换、公厕的季节性消杀，公厕化粪池的清理等工作，公厕日常运维管理所产生的相关费用均由中标供应商负责。</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1.公共厕所专人管理，全天候对外开放，内部环境应做到干净、方便、文明、卫生，无异味，无视觉污染。</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2.公共厕所保洁应包括门窗、灯罩、洗手池、隔板及台面、地面、墙面等部位的擦洗，厕位尿垢等污垢的清除，蛛网的清除，公共厕所周边环境的清扫。</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3.发现水龙头、隔板、洗手盆、灯具、烘手器等基础设施损毁应即时维修、更换，确保正常使用功能；应定时清理排污管道，确保排污管道畅通，化粪池不满溢。</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4.公共厕所按规定配备厕纸、香球、檀香及除臭物品等，确保满足需要。</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5.公共厕所应做好日常消杀。</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6.公共厕所在醒目位置统一设置管理制度、监督牌（内容包含公厕名称、责任人、开放时间、监督电话等），公益广告牌（含创文、创卫宣传牌等）、公共厕所导向牌等陈旧、破损应及时维修更换。</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7.做好各项迎检工作，完成各类突发性事件的处理工作。</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8.负责职工安全管理。定期进行安全教育，及时排查安全隐患，防止安全事故发生，妥善处理安全事故。                                                                                                                                                                                                     </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9.日常相关工作的台账收集、整理、汇总、上报工作。</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10.公厕零星维修所需的易耗易损硬件须保持5件（含）以上库存，并且集中堆放管理。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11.公厕化粪池的生态化清理。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12.其他未尽事宜按照《城市环境卫生作业规范》执行。</w:t>
      </w:r>
    </w:p>
    <w:p>
      <w:pPr>
        <w:spacing w:line="48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）生活</w:t>
      </w:r>
      <w:r>
        <w:rPr>
          <w:rFonts w:hint="eastAsia" w:ascii="仿宋" w:hAnsi="仿宋" w:eastAsia="仿宋" w:cs="仿宋"/>
          <w:b/>
          <w:bCs/>
          <w:color w:val="auto"/>
          <w:sz w:val="28"/>
          <w:szCs w:val="28"/>
          <w:highlight w:val="none"/>
        </w:rPr>
        <w:t>垃圾中转清运基本要求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做好辖区范围内的收运系统运营。同时，结合城区生活垃圾分类工作，严格做好分类垃圾收运工作。</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1.负责生活垃圾中转清运管理。负责将辖区道路和沿街店面生活垃圾定时定点分类收运至中转站；负责将中转站垃圾、辖区部分单位的生活垃圾按照垃圾分类相关要求运送至生活垃圾终端处置场。</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.根据垃圾产生量确定转运次数，做到日产日清、垃圾不落地、市民无投诉。转运过程不占道，不妨碍交通。</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.垃圾运输车辆应配备有效的防臭、降尘、防滴漏设施，运输密闭性能良好。</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.垃圾清运车辆应按要求统一喷涂颜色、编号、标识等，分类垃圾清运车辆须按要求喷涂分类标识。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.垃圾运输应做到车辆整洁无污染，垃圾无吊挂，垃圾无暴露，污水无滴漏，设施无破损，作业无扰民，市民无投诉。</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生活垃圾清吊应合理确定清吊运输的时间、频次、作业点和线路。清吊过程做到垃圾不落地并及时清理作业点；清吊运输过程中不得有垃圾抛撒滴漏、吊挂，污水、油污滴漏等现象。生活垃圾清吊应做到不漏点、不扰民，日产日清。</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.应及时清运服务范围内的破沙发、木柜、废旧家电等大件废弃物品运送至大件垃圾处置点规范处理，建筑（装潢）垃圾和无主垃圾运送至指定场地处置。</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.所有生活垃圾应按分类要求运输至指定的垃圾处理终端场所。严禁将分类垃圾混合装运，禁止运输途中人为掺入非生活垃圾。</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.电瓶三轮车充电须配置固定的充电场所，充电场所须满足采购人规范、安全、整洁等相关要求。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.有完善的应急服务保障机制，服从业主单位的指挥调度。</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.负责职工安全管理。定期进行安全教育，及时排查安全隐患，防止安全事故发生，妥善处理安全事故。</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.日常相关工作的台账收集、整理、汇总、上报工作。</w:t>
      </w:r>
    </w:p>
    <w:p>
      <w:pPr>
        <w:widowControl/>
        <w:spacing w:beforeLines="30" w:afterLines="30" w:line="480" w:lineRule="exact"/>
        <w:ind w:left="315" w:leftChars="150"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.其他未尽事宜按照《城市环境卫生作业规范》执行。</w:t>
      </w:r>
    </w:p>
    <w:p>
      <w:pPr>
        <w:spacing w:line="48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）河道保洁面积基本要求</w:t>
      </w:r>
    </w:p>
    <w:p>
      <w:pPr>
        <w:spacing w:line="48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保洁船只必须符合国家相关强制性规范，并悬挂醒目标志</w:t>
      </w:r>
      <w:r>
        <w:rPr>
          <w:rFonts w:hint="eastAsia" w:ascii="仿宋" w:hAnsi="仿宋" w:eastAsia="仿宋" w:cs="仿宋"/>
          <w:color w:val="auto"/>
          <w:sz w:val="28"/>
          <w:szCs w:val="28"/>
          <w:highlight w:val="none"/>
          <w:lang w:eastAsia="zh-CN"/>
        </w:rPr>
        <w:t>。</w:t>
      </w:r>
    </w:p>
    <w:p>
      <w:pPr>
        <w:spacing w:line="48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保洁人员应严格遵守水上安全生产规定，严禁酒后上船作业，上船必须穿戴救生衣，穿着保洁服饰，船上必须同时有2人作业</w:t>
      </w:r>
      <w:r>
        <w:rPr>
          <w:rFonts w:hint="eastAsia" w:ascii="仿宋" w:hAnsi="仿宋" w:eastAsia="仿宋" w:cs="仿宋"/>
          <w:color w:val="auto"/>
          <w:sz w:val="28"/>
          <w:szCs w:val="28"/>
          <w:highlight w:val="none"/>
          <w:lang w:eastAsia="zh-CN"/>
        </w:rPr>
        <w:t>。</w:t>
      </w:r>
    </w:p>
    <w:p>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保洁人员对每天保洁情况作好记录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河面无杂草和漂浮废弃物，马道上无明显垃圾；及时清除洪水过后亲水平台及护坡上沉积的淤泥和垃圾；及时打捞动物死尸，并作深埋消毒无害化处理，动物死尸及时清运，深埋消毒无害化处理；漂浮废弃物、垃圾及时清运；对河道范围内的污水偷排、渔事违法行为积极举报并制止，及时发现并报告。</w:t>
      </w:r>
    </w:p>
    <w:p>
      <w:pPr>
        <w:spacing w:line="480" w:lineRule="exact"/>
        <w:ind w:firstLine="560" w:firstLineChars="200"/>
        <w:rPr>
          <w:rFonts w:hint="eastAsia" w:ascii="宋体" w:hAnsi="宋体"/>
          <w:color w:val="auto"/>
          <w:sz w:val="24"/>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遇重大活动或重要检查，服从上级统一安排或调配。</w:t>
      </w:r>
    </w:p>
    <w:p>
      <w:pPr>
        <w:spacing w:line="48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kern w:val="1"/>
          <w:sz w:val="28"/>
          <w:szCs w:val="28"/>
          <w:highlight w:val="none"/>
          <w:lang w:eastAsia="zh-CN"/>
        </w:rPr>
        <w:t>八</w:t>
      </w:r>
      <w:r>
        <w:rPr>
          <w:rFonts w:hint="eastAsia" w:ascii="仿宋" w:hAnsi="仿宋" w:eastAsia="仿宋" w:cs="仿宋"/>
          <w:b/>
          <w:color w:val="auto"/>
          <w:kern w:val="1"/>
          <w:sz w:val="28"/>
          <w:szCs w:val="28"/>
          <w:highlight w:val="none"/>
          <w:lang w:val="en-US" w:eastAsia="zh-CN"/>
        </w:rPr>
        <w:t>）</w:t>
      </w:r>
      <w:r>
        <w:rPr>
          <w:rFonts w:hint="eastAsia" w:ascii="仿宋" w:hAnsi="仿宋" w:eastAsia="仿宋" w:cs="仿宋"/>
          <w:b/>
          <w:color w:val="auto"/>
          <w:kern w:val="1"/>
          <w:sz w:val="28"/>
          <w:szCs w:val="28"/>
          <w:highlight w:val="none"/>
        </w:rPr>
        <w:t>餐厨垃圾收集</w:t>
      </w:r>
      <w:r>
        <w:rPr>
          <w:rFonts w:hint="eastAsia" w:ascii="仿宋" w:hAnsi="仿宋" w:eastAsia="仿宋" w:cs="仿宋"/>
          <w:b/>
          <w:color w:val="auto"/>
          <w:kern w:val="1"/>
          <w:sz w:val="28"/>
          <w:szCs w:val="28"/>
          <w:highlight w:val="none"/>
          <w:lang w:eastAsia="zh-CN"/>
        </w:rPr>
        <w:t>、清运</w:t>
      </w:r>
      <w:r>
        <w:rPr>
          <w:rFonts w:hint="eastAsia" w:ascii="仿宋" w:hAnsi="仿宋" w:eastAsia="仿宋" w:cs="仿宋"/>
          <w:b/>
          <w:bCs/>
          <w:color w:val="auto"/>
          <w:sz w:val="28"/>
          <w:szCs w:val="28"/>
          <w:highlight w:val="none"/>
        </w:rPr>
        <w:t>基本要求</w:t>
      </w:r>
    </w:p>
    <w:p>
      <w:pPr>
        <w:widowControl/>
        <w:spacing w:beforeLines="30" w:afterLines="30" w:line="480" w:lineRule="exact"/>
        <w:ind w:left="315" w:leftChars="150"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餐厨垃圾收运车辆及容器应当按照主管部门要求喷涂统一的餐厨垃圾收运车辆与容器标示标识，并在显眼位置喷涂收运单位名称、监督电话等信息，接受公众监督。收运车辆标示标识视使用情况，原则上每半年重新喷涂一次。</w:t>
      </w:r>
    </w:p>
    <w:p>
      <w:pPr>
        <w:widowControl/>
        <w:spacing w:beforeLines="30" w:afterLines="30" w:line="480" w:lineRule="exact"/>
        <w:ind w:left="315" w:leftChars="150"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2.餐厨垃圾收运单位应当按交通主管部门要求办理相关通行证，并按照约定线路运行，无特殊情况不得变更收运线路。</w:t>
      </w:r>
    </w:p>
    <w:p>
      <w:pPr>
        <w:widowControl/>
        <w:spacing w:beforeLines="30" w:afterLines="30" w:line="480" w:lineRule="exact"/>
        <w:ind w:left="315" w:leftChars="150"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3.配备1名专职人员从事餐厨垃圾收集运输作业的组织、协调和内部考核。每辆餐厨垃圾专项作业车必须配备3名作业人员（包括车辆驾驶员）。车辆驾驶员必须取得法规规定的上岗资格。</w:t>
      </w:r>
    </w:p>
    <w:p>
      <w:pPr>
        <w:widowControl/>
        <w:spacing w:beforeLines="30" w:afterLines="30" w:line="480" w:lineRule="exact"/>
        <w:ind w:left="315" w:leftChars="150"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4.作业过程中，作业人员维护收集容器和收运作业区环境整洁，做到人走地净，容器归位。收集容器每天必须冲洗一次。</w:t>
      </w:r>
    </w:p>
    <w:p>
      <w:pPr>
        <w:widowControl/>
        <w:spacing w:beforeLines="30" w:afterLines="30" w:line="480" w:lineRule="exact"/>
        <w:ind w:left="315" w:leftChars="150"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5.废弃食用油脂收运应统一收运，并运至指定处置场所进行处理，其他单位或个人不得私自收运、销售、加工和处置废弃食用油脂。</w:t>
      </w:r>
    </w:p>
    <w:p>
      <w:pPr>
        <w:widowControl/>
        <w:spacing w:beforeLines="30" w:afterLines="30" w:line="480" w:lineRule="exact"/>
        <w:ind w:firstLine="560" w:firstLineChars="200"/>
        <w:rPr>
          <w:rFonts w:ascii="仿宋" w:hAnsi="仿宋" w:eastAsia="仿宋" w:cs="仿宋"/>
          <w:b/>
          <w:color w:val="auto"/>
          <w:kern w:val="1"/>
          <w:sz w:val="28"/>
          <w:szCs w:val="28"/>
          <w:highlight w:val="none"/>
        </w:rPr>
      </w:pPr>
      <w:r>
        <w:rPr>
          <w:rFonts w:hint="eastAsia" w:ascii="仿宋" w:hAnsi="仿宋" w:eastAsia="仿宋" w:cs="仿宋"/>
          <w:color w:val="auto"/>
          <w:sz w:val="28"/>
          <w:szCs w:val="28"/>
          <w:highlight w:val="none"/>
          <w:lang w:val="en-US" w:eastAsia="zh-CN"/>
        </w:rPr>
        <w:t>6.餐厨垃圾运输车辆日常技术管理应按照《道路运输车辆技术管理规定》（交通运输部令2016年第1号）的相关要求，建立车辆技术管理制度，加强技术管理。维护作业项目和程序应符合《汽车维护、检测、诊断技术规范》GB/T18344的要求。</w:t>
      </w:r>
      <w:r>
        <w:rPr>
          <w:rFonts w:hint="eastAsia" w:ascii="宋体" w:hAnsi="宋体" w:cs="宋体"/>
          <w:b w:val="0"/>
          <w:bCs/>
          <w:color w:val="auto"/>
          <w:szCs w:val="21"/>
          <w:highlight w:val="none"/>
        </w:rPr>
        <w:br w:type="textWrapping"/>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w:t>
      </w:r>
      <w:r>
        <w:rPr>
          <w:rFonts w:hint="eastAsia" w:ascii="仿宋" w:hAnsi="仿宋" w:eastAsia="仿宋" w:cs="仿宋"/>
          <w:b/>
          <w:color w:val="auto"/>
          <w:kern w:val="1"/>
          <w:sz w:val="28"/>
          <w:szCs w:val="28"/>
          <w:highlight w:val="none"/>
        </w:rPr>
        <w:t>现场条件及要求</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1.此次招标所涉及的人员住房和作业工具均由中标人自行负责解决。</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2.清扫保洁人员年龄不得超过60周岁，且身体无残疾。</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3.中标人在签订合同后三天内须及时向采购人提交工作计划、处理应急任务的应急预案。</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4.作业工具的临时停放由中标人自行负责。</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清扫专用工具及垃圾清运车：要符合密闭运输的要求，有编号、有监督电话、有责任单位，能满足垃圾及时清运的要求，全年的扫帚、垃圾运输车、洒水车等清扫机具材料要落实，费用由中标人自行负责，并必须按统一标识。</w:t>
      </w:r>
    </w:p>
    <w:p>
      <w:pPr>
        <w:pStyle w:val="22"/>
        <w:spacing w:line="48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四、服务周期为</w:t>
      </w:r>
      <w:r>
        <w:rPr>
          <w:rFonts w:hint="eastAsia" w:ascii="仿宋" w:hAnsi="仿宋" w:eastAsia="仿宋" w:cs="仿宋"/>
          <w:b/>
          <w:color w:val="auto"/>
          <w:sz w:val="28"/>
          <w:szCs w:val="28"/>
          <w:highlight w:val="none"/>
          <w:lang w:val="en-US" w:eastAsia="zh-CN"/>
        </w:rPr>
        <w:t>贰</w:t>
      </w:r>
      <w:r>
        <w:rPr>
          <w:rFonts w:hint="eastAsia" w:ascii="仿宋" w:hAnsi="仿宋" w:eastAsia="仿宋" w:cs="仿宋"/>
          <w:b/>
          <w:color w:val="auto"/>
          <w:sz w:val="28"/>
          <w:szCs w:val="28"/>
          <w:highlight w:val="none"/>
        </w:rPr>
        <w:t>年</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承包合同一年一签,合同到期后采购人根据成交供应商表现决定是否继续下一年承包（或一轮承包）。</w:t>
      </w:r>
    </w:p>
    <w:p>
      <w:pPr>
        <w:pStyle w:val="22"/>
        <w:spacing w:line="48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五、结算方式</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由中标人每个季度上旬向发包人提供上个季度日常质量作业标准、保洁作业扣罚明细表、中标人开具的合法销售发票及加盖中标人印章的发票扫描件、合同扫描件。经发包人审核无误、扣除中标人当月因保洁服务质量问题引起相应罚款的金额后向中标人支付上季度实际合同款的90%，剩余10%加以累计，到年终一次性支付。垃圾清运按月支付，</w:t>
      </w:r>
      <w:r>
        <w:rPr>
          <w:rFonts w:hint="eastAsia" w:ascii="仿宋" w:hAnsi="仿宋" w:eastAsia="仿宋" w:cs="仿宋"/>
          <w:color w:val="auto"/>
          <w:kern w:val="1"/>
          <w:sz w:val="28"/>
          <w:szCs w:val="28"/>
          <w:highlight w:val="none"/>
        </w:rPr>
        <w:t>成交供应商按实际每月应得保洁经费向采购人结算，并出具有效票据，</w:t>
      </w:r>
      <w:r>
        <w:rPr>
          <w:rFonts w:hint="eastAsia" w:ascii="仿宋" w:hAnsi="仿宋" w:eastAsia="仿宋" w:cs="仿宋"/>
          <w:color w:val="auto"/>
          <w:sz w:val="28"/>
          <w:szCs w:val="28"/>
          <w:highlight w:val="none"/>
        </w:rPr>
        <w:t>采购人次月15日前（遇节假日顺延）</w:t>
      </w:r>
      <w:r>
        <w:rPr>
          <w:rFonts w:hint="eastAsia" w:ascii="仿宋" w:hAnsi="仿宋" w:eastAsia="仿宋" w:cs="仿宋"/>
          <w:color w:val="auto"/>
          <w:kern w:val="1"/>
          <w:sz w:val="28"/>
          <w:szCs w:val="28"/>
          <w:highlight w:val="none"/>
        </w:rPr>
        <w:t>支付</w:t>
      </w:r>
      <w:r>
        <w:rPr>
          <w:rFonts w:hint="eastAsia" w:ascii="仿宋" w:hAnsi="仿宋" w:eastAsia="仿宋" w:cs="仿宋"/>
          <w:color w:val="auto"/>
          <w:sz w:val="28"/>
          <w:szCs w:val="28"/>
          <w:highlight w:val="none"/>
        </w:rPr>
        <w:t>。</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2．发包人在日常检查考核中发现中标人保洁（服务）质量问题时，</w:t>
      </w:r>
      <w:r>
        <w:rPr>
          <w:rFonts w:hint="eastAsia" w:ascii="仿宋" w:hAnsi="仿宋" w:eastAsia="仿宋" w:cs="仿宋"/>
          <w:color w:val="auto"/>
          <w:kern w:val="1"/>
          <w:sz w:val="28"/>
          <w:szCs w:val="28"/>
          <w:highlight w:val="none"/>
        </w:rPr>
        <w:t>可根据《华埠镇城市道路市场化运作保洁管理考核办法》、《华埠镇城市道路保洁分类管理考核评分标准》作扣款处理，</w:t>
      </w:r>
      <w:r>
        <w:rPr>
          <w:rFonts w:hint="eastAsia" w:ascii="仿宋" w:hAnsi="仿宋" w:eastAsia="仿宋" w:cs="仿宋"/>
          <w:color w:val="auto"/>
          <w:sz w:val="28"/>
          <w:szCs w:val="28"/>
          <w:highlight w:val="none"/>
        </w:rPr>
        <w:t>在支付中标人每月合同金额时作相应扣除。</w:t>
      </w:r>
    </w:p>
    <w:p>
      <w:pPr>
        <w:adjustRightInd w:val="0"/>
        <w:snapToGrid w:val="0"/>
        <w:spacing w:line="480" w:lineRule="exact"/>
        <w:ind w:firstLine="48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3．若增加或减少面积，按中标价除以招标文件中给出的保洁总面积为计价依据。中标人须提供补充合同及增减明细表，经采购人审核无误后，在支付中标人每月合同金额时作相应扣除或增加。</w:t>
      </w:r>
    </w:p>
    <w:p>
      <w:pPr>
        <w:pStyle w:val="11"/>
        <w:spacing w:line="48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kern w:val="1"/>
          <w:sz w:val="28"/>
          <w:szCs w:val="28"/>
          <w:highlight w:val="none"/>
        </w:rPr>
        <w:t>4.不足一年的，按月计算。即：不足一年时间的费用=（全年费用/12）*实际月数。</w:t>
      </w:r>
    </w:p>
    <w:p>
      <w:pPr>
        <w:pStyle w:val="22"/>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5.机具设备租赁款等相关款项另签订协议。</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5.采购人提前告知成交供应商当月扣除的保洁经费，</w:t>
      </w:r>
    </w:p>
    <w:p>
      <w:pPr>
        <w:pStyle w:val="22"/>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6.合同期满十五天内根据考核结果，将余款一次性结清。</w:t>
      </w:r>
    </w:p>
    <w:p>
      <w:pPr>
        <w:pStyle w:val="11"/>
        <w:spacing w:line="48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六、对于此次招标的其他要求</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1"/>
          <w:sz w:val="28"/>
          <w:szCs w:val="28"/>
          <w:highlight w:val="none"/>
          <w:lang w:val="en-US" w:eastAsia="zh-CN" w:bidi="ar-SA"/>
        </w:rPr>
        <w:t>1.中标人在中标后15个工作日内，必须在开化当地租赁办公场所，并</w:t>
      </w:r>
      <w:r>
        <w:rPr>
          <w:rFonts w:hint="eastAsia" w:ascii="仿宋" w:hAnsi="仿宋" w:eastAsia="仿宋" w:cs="仿宋"/>
          <w:color w:val="auto"/>
          <w:sz w:val="28"/>
          <w:szCs w:val="28"/>
          <w:highlight w:val="none"/>
          <w:lang w:val="en-US" w:eastAsia="zh-CN"/>
        </w:rPr>
        <w:t>在开化县城范围内注册成立分公司。</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2.中标人配备管理人员不应少于一线作业人员总人数的4%。</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为提升作业队伍形象，保证作业质量，供应商应按作业要求采购保洁人员服装、作业车辆等。中标后十天内上报采购人，确定数量、统一型号、颜色后，由中标人在正式合同履行日前10天必须自行购置到位，购置费用由中标人自行负责。</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4.作业人员及车辆驾驶员由中标人自行管理，并应按照规定签订劳动合同。中标人应组织对相关作业人员及车辆驾驶员的上岗培训和安全教育，在合同期间发生安全事故或人员伤亡的，由中标人负全部责任。</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5.中标人聘用的员工必须符合国家《劳动法》及相关法律法规的规定。</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6.中标人必须跟本项目所有员工签订劳动合同，并为员工缴纳社保及意外伤害保险，所缴纳保险经费单独立项。</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7.中标人应优先录用本项目内原有保洁人员，配合采购人做好原有保洁人员的安置、过渡及遗留问题，工资、福利标准等不得低于现行待遇。</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采购人有权在合同执行期间对《城市环境卫生作业规范》、《华埠镇城市道路保洁分类管理考核评分标准》的相关条款作出修改或增加，中标人应根据最新的《城市环境卫生作业规范》、《华埠镇城市道路保洁分类管理考核评分标准》执行。</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9.合同期内如遇工资、社会保障等经费政策性调整，中标人必须按国家政策给予职工最低工资，新增经费由中标人自行负责支付，采购人不增加经费。</w:t>
      </w: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p>
    <w:p>
      <w:pPr>
        <w:adjustRightInd w:val="0"/>
        <w:snapToGrid w:val="0"/>
        <w:spacing w:line="480" w:lineRule="exact"/>
        <w:ind w:firstLine="482"/>
        <w:rPr>
          <w:rFonts w:hint="eastAsia" w:ascii="仿宋" w:hAnsi="仿宋" w:eastAsia="仿宋" w:cs="仿宋"/>
          <w:color w:val="auto"/>
          <w:sz w:val="28"/>
          <w:szCs w:val="28"/>
          <w:highlight w:val="none"/>
          <w:lang w:val="en-US" w:eastAsia="zh-CN"/>
        </w:rPr>
      </w:pPr>
    </w:p>
    <w:p>
      <w:pPr>
        <w:adjustRightInd w:val="0"/>
        <w:snapToGrid w:val="0"/>
        <w:spacing w:line="480" w:lineRule="exact"/>
        <w:ind w:firstLine="482"/>
        <w:rPr>
          <w:rFonts w:hint="eastAsia" w:ascii="仿宋" w:hAnsi="仿宋" w:eastAsia="仿宋" w:cs="仿宋"/>
          <w:color w:val="auto"/>
          <w:sz w:val="28"/>
          <w:szCs w:val="28"/>
          <w:highlight w:val="none"/>
        </w:rPr>
      </w:pPr>
    </w:p>
    <w:p>
      <w:pPr>
        <w:rPr>
          <w:rFonts w:ascii="仿宋" w:hAnsi="仿宋" w:eastAsia="仿宋" w:cs="仿宋"/>
          <w:b/>
          <w:color w:val="auto"/>
          <w:kern w:val="1"/>
          <w:sz w:val="28"/>
          <w:szCs w:val="28"/>
          <w:highlight w:val="none"/>
        </w:rPr>
      </w:pPr>
    </w:p>
    <w:p>
      <w:pPr>
        <w:pStyle w:val="24"/>
        <w:spacing w:before="156" w:after="156"/>
        <w:ind w:firstLine="562"/>
        <w:rPr>
          <w:rFonts w:ascii="仿宋" w:hAnsi="仿宋" w:eastAsia="仿宋" w:cs="仿宋"/>
          <w:b/>
          <w:color w:val="auto"/>
          <w:kern w:val="1"/>
          <w:sz w:val="28"/>
          <w:szCs w:val="28"/>
          <w:highlight w:val="none"/>
        </w:rPr>
      </w:pPr>
    </w:p>
    <w:p>
      <w:pPr>
        <w:pStyle w:val="24"/>
        <w:spacing w:before="156" w:after="156"/>
        <w:ind w:firstLine="562"/>
        <w:rPr>
          <w:rFonts w:ascii="仿宋" w:hAnsi="仿宋" w:eastAsia="仿宋" w:cs="仿宋"/>
          <w:b/>
          <w:color w:val="auto"/>
          <w:kern w:val="1"/>
          <w:sz w:val="28"/>
          <w:szCs w:val="28"/>
          <w:highlight w:val="none"/>
        </w:rPr>
      </w:pPr>
    </w:p>
    <w:p>
      <w:pPr>
        <w:pStyle w:val="16"/>
        <w:rPr>
          <w:color w:val="auto"/>
          <w:highlight w:val="none"/>
        </w:rPr>
      </w:pPr>
    </w:p>
    <w:p>
      <w:pPr>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附表一：</w:t>
      </w:r>
    </w:p>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华埠镇城区保洁面积</w:t>
      </w:r>
    </w:p>
    <w:p>
      <w:pPr>
        <w:spacing w:line="480" w:lineRule="exact"/>
        <w:jc w:val="center"/>
        <w:rPr>
          <w:rFonts w:ascii="仿宋" w:hAnsi="仿宋" w:eastAsia="仿宋" w:cs="仿宋"/>
          <w:b/>
          <w:bCs/>
          <w:color w:val="auto"/>
          <w:sz w:val="28"/>
          <w:szCs w:val="28"/>
          <w:highlight w:val="none"/>
        </w:rPr>
      </w:pPr>
    </w:p>
    <w:p>
      <w:pPr>
        <w:spacing w:line="480" w:lineRule="exact"/>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（单位：m²）</w:t>
      </w:r>
    </w:p>
    <w:tbl>
      <w:tblPr>
        <w:tblStyle w:val="41"/>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026"/>
        <w:gridCol w:w="1157"/>
        <w:gridCol w:w="1241"/>
        <w:gridCol w:w="1328"/>
        <w:gridCol w:w="128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70" w:type="pct"/>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区域面积</w:t>
            </w:r>
          </w:p>
        </w:tc>
        <w:tc>
          <w:tcPr>
            <w:tcW w:w="576" w:type="pct"/>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一级路段</w:t>
            </w:r>
          </w:p>
        </w:tc>
        <w:tc>
          <w:tcPr>
            <w:tcW w:w="650" w:type="pct"/>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二级路段</w:t>
            </w:r>
          </w:p>
        </w:tc>
        <w:tc>
          <w:tcPr>
            <w:tcW w:w="697" w:type="pct"/>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三级路段</w:t>
            </w:r>
          </w:p>
        </w:tc>
        <w:tc>
          <w:tcPr>
            <w:tcW w:w="746" w:type="pct"/>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四级路段</w:t>
            </w:r>
          </w:p>
        </w:tc>
        <w:tc>
          <w:tcPr>
            <w:tcW w:w="722" w:type="pct"/>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绿化面积</w:t>
            </w:r>
          </w:p>
        </w:tc>
        <w:tc>
          <w:tcPr>
            <w:tcW w:w="1036" w:type="pct"/>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共计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70"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江东新区</w:t>
            </w:r>
          </w:p>
        </w:tc>
        <w:tc>
          <w:tcPr>
            <w:tcW w:w="576"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21341</w:t>
            </w:r>
          </w:p>
        </w:tc>
        <w:tc>
          <w:tcPr>
            <w:tcW w:w="650"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6507</w:t>
            </w:r>
          </w:p>
        </w:tc>
        <w:tc>
          <w:tcPr>
            <w:tcW w:w="697"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37171</w:t>
            </w:r>
          </w:p>
        </w:tc>
        <w:tc>
          <w:tcPr>
            <w:tcW w:w="746"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25522</w:t>
            </w:r>
          </w:p>
        </w:tc>
        <w:tc>
          <w:tcPr>
            <w:tcW w:w="722"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42767</w:t>
            </w:r>
          </w:p>
        </w:tc>
        <w:tc>
          <w:tcPr>
            <w:tcW w:w="1036"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133308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70"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老城区</w:t>
            </w:r>
          </w:p>
        </w:tc>
        <w:tc>
          <w:tcPr>
            <w:tcW w:w="576"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65862</w:t>
            </w:r>
          </w:p>
        </w:tc>
        <w:tc>
          <w:tcPr>
            <w:tcW w:w="650"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17666</w:t>
            </w:r>
          </w:p>
        </w:tc>
        <w:tc>
          <w:tcPr>
            <w:tcW w:w="697"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33084</w:t>
            </w:r>
          </w:p>
        </w:tc>
        <w:tc>
          <w:tcPr>
            <w:tcW w:w="746"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62710</w:t>
            </w:r>
          </w:p>
        </w:tc>
        <w:tc>
          <w:tcPr>
            <w:tcW w:w="722"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87000（公园）</w:t>
            </w:r>
          </w:p>
        </w:tc>
        <w:tc>
          <w:tcPr>
            <w:tcW w:w="1036"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70"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国省县道</w:t>
            </w:r>
          </w:p>
        </w:tc>
        <w:tc>
          <w:tcPr>
            <w:tcW w:w="576" w:type="pct"/>
            <w:vAlign w:val="center"/>
          </w:tcPr>
          <w:p>
            <w:pPr>
              <w:spacing w:line="480" w:lineRule="exact"/>
              <w:jc w:val="center"/>
              <w:rPr>
                <w:rFonts w:ascii="仿宋" w:hAnsi="仿宋" w:eastAsia="仿宋" w:cs="仿宋"/>
                <w:color w:val="auto"/>
                <w:sz w:val="28"/>
                <w:szCs w:val="28"/>
                <w:highlight w:val="none"/>
              </w:rPr>
            </w:pPr>
          </w:p>
        </w:tc>
        <w:tc>
          <w:tcPr>
            <w:tcW w:w="650" w:type="pct"/>
            <w:vAlign w:val="center"/>
          </w:tcPr>
          <w:p>
            <w:pPr>
              <w:spacing w:line="480" w:lineRule="exact"/>
              <w:jc w:val="center"/>
              <w:rPr>
                <w:rFonts w:hint="eastAsia" w:ascii="仿宋" w:hAnsi="仿宋" w:eastAsia="仿宋" w:cs="仿宋"/>
                <w:color w:val="auto"/>
                <w:sz w:val="28"/>
                <w:szCs w:val="28"/>
                <w:highlight w:val="none"/>
              </w:rPr>
            </w:pPr>
          </w:p>
        </w:tc>
        <w:tc>
          <w:tcPr>
            <w:tcW w:w="697" w:type="pct"/>
            <w:vAlign w:val="center"/>
          </w:tcPr>
          <w:p>
            <w:pPr>
              <w:spacing w:line="480" w:lineRule="exact"/>
              <w:jc w:val="center"/>
              <w:rPr>
                <w:rFonts w:hint="eastAsia" w:ascii="仿宋" w:hAnsi="仿宋" w:eastAsia="仿宋" w:cs="仿宋"/>
                <w:color w:val="auto"/>
                <w:sz w:val="28"/>
                <w:szCs w:val="28"/>
                <w:highlight w:val="none"/>
              </w:rPr>
            </w:pPr>
          </w:p>
        </w:tc>
        <w:tc>
          <w:tcPr>
            <w:tcW w:w="746"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83645</w:t>
            </w:r>
          </w:p>
        </w:tc>
        <w:tc>
          <w:tcPr>
            <w:tcW w:w="722" w:type="pct"/>
            <w:vAlign w:val="center"/>
          </w:tcPr>
          <w:p>
            <w:pPr>
              <w:spacing w:line="480" w:lineRule="exact"/>
              <w:jc w:val="center"/>
              <w:rPr>
                <w:rFonts w:hint="eastAsia" w:ascii="仿宋" w:hAnsi="仿宋" w:eastAsia="仿宋" w:cs="仿宋"/>
                <w:color w:val="auto"/>
                <w:sz w:val="28"/>
                <w:szCs w:val="28"/>
                <w:highlight w:val="none"/>
              </w:rPr>
            </w:pPr>
          </w:p>
        </w:tc>
        <w:tc>
          <w:tcPr>
            <w:tcW w:w="1036"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70"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576" w:type="pc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87203</w:t>
            </w:r>
          </w:p>
        </w:tc>
        <w:tc>
          <w:tcPr>
            <w:tcW w:w="650"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24173</w:t>
            </w:r>
          </w:p>
        </w:tc>
        <w:tc>
          <w:tcPr>
            <w:tcW w:w="697"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70255</w:t>
            </w:r>
          </w:p>
        </w:tc>
        <w:tc>
          <w:tcPr>
            <w:tcW w:w="746"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171797</w:t>
            </w:r>
          </w:p>
        </w:tc>
        <w:tc>
          <w:tcPr>
            <w:tcW w:w="722"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129767</w:t>
            </w:r>
          </w:p>
        </w:tc>
        <w:tc>
          <w:tcPr>
            <w:tcW w:w="1036" w:type="pct"/>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483275</w:t>
            </w:r>
          </w:p>
        </w:tc>
      </w:tr>
    </w:tbl>
    <w:p>
      <w:pPr>
        <w:spacing w:line="480" w:lineRule="exact"/>
        <w:rPr>
          <w:rFonts w:ascii="仿宋" w:hAnsi="仿宋" w:eastAsia="仿宋" w:cs="仿宋"/>
          <w:b/>
          <w:color w:val="auto"/>
          <w:sz w:val="28"/>
          <w:szCs w:val="28"/>
          <w:highlight w:val="none"/>
        </w:rPr>
        <w:sectPr>
          <w:headerReference r:id="rId3" w:type="default"/>
          <w:footerReference r:id="rId4" w:type="default"/>
          <w:pgSz w:w="11906" w:h="16838"/>
          <w:pgMar w:top="1701" w:right="1531" w:bottom="1701" w:left="1531" w:header="851" w:footer="992" w:gutter="0"/>
          <w:pgNumType w:fmt="decimal" w:start="1"/>
          <w:cols w:space="720" w:num="1"/>
          <w:docGrid w:type="lines" w:linePitch="312" w:charSpace="0"/>
        </w:sectPr>
      </w:pP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华埠镇江东新区保洁面积</w:t>
      </w:r>
    </w:p>
    <w:tbl>
      <w:tblPr>
        <w:tblStyle w:val="41"/>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8"/>
        <w:gridCol w:w="3752"/>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道路级别</w:t>
            </w:r>
          </w:p>
        </w:tc>
        <w:tc>
          <w:tcPr>
            <w:tcW w:w="375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名称</w:t>
            </w:r>
          </w:p>
        </w:tc>
        <w:tc>
          <w:tcPr>
            <w:tcW w:w="2030"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面积（m</w:t>
            </w:r>
            <w:r>
              <w:rPr>
                <w:rFonts w:hint="eastAsia" w:ascii="仿宋" w:hAnsi="仿宋" w:eastAsia="仿宋" w:cs="仿宋"/>
                <w:b/>
                <w:bCs/>
                <w:color w:val="auto"/>
                <w:sz w:val="28"/>
                <w:szCs w:val="28"/>
                <w:highlight w:val="none"/>
                <w:vertAlign w:val="superscript"/>
              </w:rPr>
              <w:t>2</w:t>
            </w:r>
            <w:r>
              <w:rPr>
                <w:rFonts w:hint="eastAsia" w:ascii="仿宋" w:hAnsi="仿宋" w:eastAsia="仿宋" w:cs="仿宋"/>
                <w:b/>
                <w:bCs/>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一级路段</w:t>
            </w: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华康路</w:t>
            </w:r>
          </w:p>
        </w:tc>
        <w:tc>
          <w:tcPr>
            <w:tcW w:w="2030" w:type="dxa"/>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二级路段</w:t>
            </w: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龙泰路</w:t>
            </w:r>
          </w:p>
        </w:tc>
        <w:tc>
          <w:tcPr>
            <w:tcW w:w="2030" w:type="dxa"/>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6507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restar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三级路段</w:t>
            </w: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银泰房产</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彩虹东路</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华川路</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名茶一条街</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方园路</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华盛路</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百胜路</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兴盛路</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小计</w:t>
            </w:r>
          </w:p>
        </w:tc>
        <w:tc>
          <w:tcPr>
            <w:tcW w:w="2030"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37171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738" w:type="dxa"/>
            <w:vMerge w:val="restar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四级路段</w:t>
            </w: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坪提斜坡1389+小首阶梯709</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游憩小道</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护堤斜坡+球场</w:t>
            </w:r>
          </w:p>
        </w:tc>
        <w:tc>
          <w:tcPr>
            <w:tcW w:w="2030"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738" w:type="dxa"/>
            <w:vMerge w:val="continue"/>
            <w:vAlign w:val="center"/>
          </w:tcPr>
          <w:p>
            <w:pPr>
              <w:spacing w:line="480" w:lineRule="exact"/>
              <w:jc w:val="center"/>
              <w:rPr>
                <w:rFonts w:ascii="仿宋" w:hAnsi="仿宋" w:eastAsia="仿宋" w:cs="仿宋"/>
                <w:color w:val="auto"/>
                <w:sz w:val="28"/>
                <w:szCs w:val="28"/>
                <w:highlight w:val="none"/>
              </w:rPr>
            </w:pPr>
          </w:p>
        </w:tc>
        <w:tc>
          <w:tcPr>
            <w:tcW w:w="375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小计</w:t>
            </w:r>
          </w:p>
        </w:tc>
        <w:tc>
          <w:tcPr>
            <w:tcW w:w="2030"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17422</w:t>
            </w:r>
          </w:p>
        </w:tc>
      </w:tr>
    </w:tbl>
    <w:p>
      <w:pPr>
        <w:spacing w:line="480" w:lineRule="exact"/>
        <w:rPr>
          <w:rFonts w:ascii="仿宋" w:hAnsi="仿宋" w:eastAsia="仿宋" w:cs="仿宋"/>
          <w:color w:val="auto"/>
          <w:sz w:val="28"/>
          <w:szCs w:val="28"/>
          <w:highlight w:val="none"/>
        </w:rPr>
      </w:pPr>
    </w:p>
    <w:p>
      <w:pPr>
        <w:spacing w:line="480" w:lineRule="exact"/>
        <w:jc w:val="center"/>
        <w:rPr>
          <w:rFonts w:ascii="仿宋" w:hAnsi="仿宋" w:eastAsia="仿宋" w:cs="仿宋"/>
          <w:b/>
          <w:color w:val="auto"/>
          <w:sz w:val="28"/>
          <w:szCs w:val="28"/>
          <w:highlight w:val="none"/>
        </w:rPr>
      </w:pPr>
    </w:p>
    <w:p>
      <w:pPr>
        <w:spacing w:line="480" w:lineRule="exact"/>
        <w:jc w:val="center"/>
        <w:rPr>
          <w:rFonts w:ascii="仿宋" w:hAnsi="仿宋" w:eastAsia="仿宋" w:cs="仿宋"/>
          <w:b/>
          <w:color w:val="auto"/>
          <w:sz w:val="28"/>
          <w:szCs w:val="28"/>
          <w:highlight w:val="none"/>
        </w:rPr>
      </w:pP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华埠镇老城区保洁面积</w:t>
      </w:r>
    </w:p>
    <w:tbl>
      <w:tblPr>
        <w:tblStyle w:val="41"/>
        <w:tblW w:w="8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9"/>
        <w:gridCol w:w="3699"/>
        <w:gridCol w:w="2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道路级别</w:t>
            </w:r>
          </w:p>
        </w:tc>
        <w:tc>
          <w:tcPr>
            <w:tcW w:w="3699"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名称</w:t>
            </w:r>
          </w:p>
        </w:tc>
        <w:tc>
          <w:tcPr>
            <w:tcW w:w="200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面积（m</w:t>
            </w:r>
            <w:r>
              <w:rPr>
                <w:rFonts w:hint="eastAsia" w:ascii="仿宋" w:hAnsi="仿宋" w:eastAsia="仿宋" w:cs="仿宋"/>
                <w:b/>
                <w:bCs/>
                <w:color w:val="auto"/>
                <w:sz w:val="28"/>
                <w:szCs w:val="28"/>
                <w:highlight w:val="none"/>
                <w:vertAlign w:val="superscript"/>
              </w:rPr>
              <w:t>2</w:t>
            </w:r>
            <w:r>
              <w:rPr>
                <w:rFonts w:hint="eastAsia" w:ascii="仿宋" w:hAnsi="仿宋" w:eastAsia="仿宋" w:cs="仿宋"/>
                <w:b/>
                <w:bCs/>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restar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一级路段</w:t>
            </w: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解放路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城南中路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横街</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市场路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华阳路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彩虹路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小计</w:t>
            </w:r>
          </w:p>
        </w:tc>
        <w:tc>
          <w:tcPr>
            <w:tcW w:w="200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65862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restar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二级路段</w:t>
            </w: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华西路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兴华街</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文化路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小计</w:t>
            </w:r>
          </w:p>
        </w:tc>
        <w:tc>
          <w:tcPr>
            <w:tcW w:w="200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17666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restar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三级路段</w:t>
            </w: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解放路（孔桥-华康）</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双桥路+东岸大桥</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江滨路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彩虹二路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城南江滨路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小计</w:t>
            </w:r>
          </w:p>
        </w:tc>
        <w:tc>
          <w:tcPr>
            <w:tcW w:w="200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33084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restart"/>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四级路段</w:t>
            </w: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彩虹公园小路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华埠横街社区保洁面积</w:t>
            </w:r>
          </w:p>
        </w:tc>
        <w:tc>
          <w:tcPr>
            <w:tcW w:w="200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2699" w:type="dxa"/>
            <w:vMerge w:val="continue"/>
            <w:vAlign w:val="center"/>
          </w:tcPr>
          <w:p>
            <w:pPr>
              <w:spacing w:line="480" w:lineRule="exact"/>
              <w:jc w:val="center"/>
              <w:rPr>
                <w:rFonts w:ascii="仿宋" w:hAnsi="仿宋" w:eastAsia="仿宋" w:cs="仿宋"/>
                <w:color w:val="auto"/>
                <w:sz w:val="28"/>
                <w:szCs w:val="28"/>
                <w:highlight w:val="none"/>
              </w:rPr>
            </w:pPr>
          </w:p>
        </w:tc>
        <w:tc>
          <w:tcPr>
            <w:tcW w:w="3699"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小计</w:t>
            </w:r>
          </w:p>
        </w:tc>
        <w:tc>
          <w:tcPr>
            <w:tcW w:w="200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36889</w:t>
            </w:r>
          </w:p>
        </w:tc>
      </w:tr>
    </w:tbl>
    <w:p>
      <w:pPr>
        <w:spacing w:line="480" w:lineRule="exact"/>
        <w:rPr>
          <w:rFonts w:ascii="仿宋" w:hAnsi="仿宋" w:eastAsia="仿宋" w:cs="仿宋"/>
          <w:color w:val="auto"/>
          <w:sz w:val="28"/>
          <w:szCs w:val="28"/>
          <w:highlight w:val="none"/>
        </w:rPr>
      </w:pPr>
    </w:p>
    <w:p>
      <w:pPr>
        <w:spacing w:line="480" w:lineRule="exact"/>
        <w:jc w:val="center"/>
        <w:rPr>
          <w:rFonts w:ascii="仿宋" w:hAnsi="仿宋" w:eastAsia="仿宋" w:cs="仿宋"/>
          <w:b/>
          <w:color w:val="auto"/>
          <w:sz w:val="28"/>
          <w:szCs w:val="28"/>
          <w:highlight w:val="none"/>
        </w:rPr>
      </w:pPr>
    </w:p>
    <w:p>
      <w:pPr>
        <w:spacing w:line="480" w:lineRule="exact"/>
        <w:jc w:val="center"/>
        <w:rPr>
          <w:rFonts w:ascii="仿宋" w:hAnsi="仿宋" w:eastAsia="仿宋" w:cs="仿宋"/>
          <w:b/>
          <w:color w:val="auto"/>
          <w:sz w:val="28"/>
          <w:szCs w:val="28"/>
          <w:highlight w:val="none"/>
        </w:rPr>
      </w:pP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华埠镇社区里弄小巷清扫保洁面积（纳入四级道路）</w:t>
      </w:r>
    </w:p>
    <w:tbl>
      <w:tblPr>
        <w:tblStyle w:val="4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30"/>
        <w:gridCol w:w="223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地址</w:t>
            </w:r>
          </w:p>
        </w:tc>
        <w:tc>
          <w:tcPr>
            <w:tcW w:w="2230" w:type="dxa"/>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面积（m</w:t>
            </w:r>
            <w:r>
              <w:rPr>
                <w:rFonts w:hint="eastAsia" w:ascii="仿宋" w:hAnsi="仿宋" w:eastAsia="仿宋" w:cs="仿宋"/>
                <w:b/>
                <w:color w:val="auto"/>
                <w:sz w:val="28"/>
                <w:szCs w:val="28"/>
                <w:highlight w:val="none"/>
                <w:vertAlign w:val="superscript"/>
              </w:rPr>
              <w:t>2</w:t>
            </w:r>
            <w:r>
              <w:rPr>
                <w:rFonts w:hint="eastAsia" w:ascii="仿宋" w:hAnsi="仿宋" w:eastAsia="仿宋" w:cs="仿宋"/>
                <w:b/>
                <w:color w:val="auto"/>
                <w:sz w:val="28"/>
                <w:szCs w:val="28"/>
                <w:highlight w:val="none"/>
              </w:rPr>
              <w:t>）</w:t>
            </w:r>
          </w:p>
        </w:tc>
        <w:tc>
          <w:tcPr>
            <w:tcW w:w="2230" w:type="dxa"/>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地址</w:t>
            </w:r>
          </w:p>
        </w:tc>
        <w:tc>
          <w:tcPr>
            <w:tcW w:w="2231" w:type="dxa"/>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面积（m</w:t>
            </w:r>
            <w:r>
              <w:rPr>
                <w:rFonts w:hint="eastAsia" w:ascii="仿宋" w:hAnsi="仿宋" w:eastAsia="仿宋" w:cs="仿宋"/>
                <w:b/>
                <w:color w:val="auto"/>
                <w:sz w:val="28"/>
                <w:szCs w:val="28"/>
                <w:highlight w:val="none"/>
                <w:vertAlign w:val="superscript"/>
              </w:rPr>
              <w:t>2</w:t>
            </w:r>
            <w:r>
              <w:rPr>
                <w:rFonts w:hint="eastAsia" w:ascii="仿宋" w:hAnsi="仿宋" w:eastAsia="仿宋" w:cs="仿宋"/>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人民一弄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彩虹一弄</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人民二弄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840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彩虹二弄</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工人弄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270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碾米厂空地</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五一弄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240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文化弄空地</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彩虹路弄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2000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车站宿舍</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供电弄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480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新建弄</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医院弄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2500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工商弄</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汇银家电</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华小弄</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车站新房子</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2000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华西-工商弄</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春江旅馆</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华小-成衣弄</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教堂弄口</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成衣弄-文化路</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花园小区</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400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徽派小区</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盐业仓库弄堂</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华达小区</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丰华饭店弄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造纸厂小区</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塑料厂弄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45</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老糖烟酒后小区</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油库对面</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240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华西街东小区</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城南中路胖子弄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老森工车队</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福星房产弄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750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化肥厂路</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晨光文具弄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750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化肥厂办公区</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29"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华友大卖场弄</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750</w:t>
            </w:r>
          </w:p>
        </w:tc>
        <w:tc>
          <w:tcPr>
            <w:tcW w:w="2230"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化肥厂-华一新村</w:t>
            </w:r>
          </w:p>
        </w:tc>
        <w:tc>
          <w:tcPr>
            <w:tcW w:w="2231" w:type="dxa"/>
            <w:vAlign w:val="center"/>
          </w:tcPr>
          <w:p>
            <w:pPr>
              <w:spacing w:line="48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459" w:type="dxa"/>
            <w:gridSpan w:val="2"/>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合计</w:t>
            </w:r>
          </w:p>
        </w:tc>
        <w:tc>
          <w:tcPr>
            <w:tcW w:w="4461" w:type="dxa"/>
            <w:gridSpan w:val="2"/>
            <w:vAlign w:val="center"/>
          </w:tcPr>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35710</w:t>
            </w:r>
          </w:p>
        </w:tc>
      </w:tr>
    </w:tbl>
    <w:p>
      <w:pPr>
        <w:spacing w:line="480" w:lineRule="exact"/>
        <w:jc w:val="center"/>
        <w:rPr>
          <w:rFonts w:ascii="仿宋" w:hAnsi="仿宋" w:eastAsia="仿宋" w:cs="仿宋"/>
          <w:b/>
          <w:color w:val="auto"/>
          <w:sz w:val="28"/>
          <w:szCs w:val="28"/>
          <w:highlight w:val="none"/>
        </w:rPr>
      </w:pP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华埠镇建成区绿化面积</w:t>
      </w:r>
    </w:p>
    <w:tbl>
      <w:tblPr>
        <w:tblStyle w:val="41"/>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8"/>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名称</w:t>
            </w:r>
          </w:p>
        </w:tc>
        <w:tc>
          <w:tcPr>
            <w:tcW w:w="327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面积（m</w:t>
            </w:r>
            <w:r>
              <w:rPr>
                <w:rFonts w:hint="eastAsia" w:ascii="仿宋" w:hAnsi="仿宋" w:eastAsia="仿宋" w:cs="仿宋"/>
                <w:b/>
                <w:bCs/>
                <w:color w:val="auto"/>
                <w:sz w:val="28"/>
                <w:szCs w:val="28"/>
                <w:highlight w:val="none"/>
                <w:vertAlign w:val="superscript"/>
              </w:rPr>
              <w:t>2</w:t>
            </w:r>
            <w:r>
              <w:rPr>
                <w:rFonts w:hint="eastAsia" w:ascii="仿宋" w:hAnsi="仿宋" w:eastAsia="仿宋" w:cs="仿宋"/>
                <w:b/>
                <w:bCs/>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500" w:type="dxa"/>
            <w:gridSpan w:val="2"/>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银泰房产段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斜坡草皮</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国道边绿化带</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500" w:type="dxa"/>
            <w:gridSpan w:val="2"/>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彩虹桥至渔梁滩大桥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草地</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市民广场绿化</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华康路绿化</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国道边绿化</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老城区江滨路绿化带</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彩虹公园</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彩虹二路绿化</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228"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城南江滨路绿化</w:t>
            </w:r>
          </w:p>
        </w:tc>
        <w:tc>
          <w:tcPr>
            <w:tcW w:w="3272" w:type="dxa"/>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5228"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小计</w:t>
            </w:r>
          </w:p>
        </w:tc>
        <w:tc>
          <w:tcPr>
            <w:tcW w:w="3272" w:type="dxa"/>
            <w:vAlign w:val="center"/>
          </w:tcPr>
          <w:p>
            <w:pPr>
              <w:spacing w:line="48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35325</w:t>
            </w:r>
          </w:p>
        </w:tc>
      </w:tr>
    </w:tbl>
    <w:p>
      <w:pPr>
        <w:spacing w:line="480" w:lineRule="exact"/>
        <w:rPr>
          <w:rFonts w:ascii="仿宋" w:hAnsi="仿宋" w:eastAsia="仿宋" w:cs="仿宋"/>
          <w:color w:val="auto"/>
          <w:sz w:val="28"/>
          <w:szCs w:val="28"/>
          <w:highlight w:val="none"/>
        </w:rPr>
      </w:pPr>
    </w:p>
    <w:p>
      <w:pPr>
        <w:spacing w:line="480" w:lineRule="exact"/>
        <w:jc w:val="center"/>
        <w:rPr>
          <w:rFonts w:ascii="仿宋" w:hAnsi="仿宋" w:eastAsia="仿宋" w:cs="仿宋"/>
          <w:b/>
          <w:color w:val="auto"/>
          <w:sz w:val="28"/>
          <w:szCs w:val="28"/>
          <w:highlight w:val="none"/>
        </w:rPr>
      </w:pPr>
    </w:p>
    <w:p>
      <w:pPr>
        <w:spacing w:line="480" w:lineRule="exact"/>
        <w:jc w:val="center"/>
        <w:rPr>
          <w:rFonts w:ascii="仿宋" w:hAnsi="仿宋" w:eastAsia="仿宋" w:cs="仿宋"/>
          <w:b/>
          <w:color w:val="auto"/>
          <w:sz w:val="28"/>
          <w:szCs w:val="28"/>
          <w:highlight w:val="none"/>
        </w:rPr>
      </w:pPr>
    </w:p>
    <w:p>
      <w:pPr>
        <w:pStyle w:val="16"/>
        <w:spacing w:line="480" w:lineRule="exact"/>
        <w:rPr>
          <w:rFonts w:ascii="仿宋" w:hAnsi="仿宋" w:eastAsia="仿宋" w:cs="仿宋"/>
          <w:b/>
          <w:color w:val="auto"/>
          <w:sz w:val="28"/>
          <w:szCs w:val="28"/>
          <w:highlight w:val="none"/>
        </w:rPr>
      </w:pPr>
    </w:p>
    <w:p>
      <w:pPr>
        <w:pStyle w:val="16"/>
        <w:spacing w:line="480" w:lineRule="exact"/>
        <w:rPr>
          <w:rFonts w:ascii="仿宋" w:hAnsi="仿宋" w:eastAsia="仿宋" w:cs="仿宋"/>
          <w:color w:val="auto"/>
          <w:sz w:val="28"/>
          <w:szCs w:val="28"/>
          <w:highlight w:val="none"/>
        </w:rPr>
      </w:pPr>
    </w:p>
    <w:p>
      <w:pPr>
        <w:spacing w:line="480" w:lineRule="exact"/>
        <w:jc w:val="center"/>
        <w:rPr>
          <w:rFonts w:ascii="仿宋" w:hAnsi="仿宋" w:eastAsia="仿宋" w:cs="仿宋"/>
          <w:b/>
          <w:color w:val="auto"/>
          <w:sz w:val="28"/>
          <w:szCs w:val="28"/>
          <w:highlight w:val="none"/>
        </w:rPr>
      </w:pPr>
    </w:p>
    <w:p>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国道省道县道长效保洁路段</w:t>
      </w:r>
    </w:p>
    <w:p>
      <w:pPr>
        <w:spacing w:line="480" w:lineRule="exact"/>
        <w:jc w:val="left"/>
        <w:rPr>
          <w:rFonts w:ascii="仿宋" w:hAnsi="仿宋" w:eastAsia="仿宋" w:cs="仿宋"/>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一、城华线开化三中段-华西护堤</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面积：15645m²</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二、华埠石化加油站—东岸桥头</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面积：1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000 m²</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三、华殿线</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面积：16000 m²</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四</w:t>
      </w:r>
      <w:r>
        <w:rPr>
          <w:rFonts w:hint="eastAsia" w:ascii="仿宋" w:hAnsi="仿宋" w:eastAsia="仿宋" w:cs="仿宋"/>
          <w:color w:val="auto"/>
          <w:kern w:val="0"/>
          <w:sz w:val="28"/>
          <w:szCs w:val="28"/>
          <w:highlight w:val="none"/>
        </w:rPr>
        <w:t>、317省道</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面积：40000 m²</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合计：</w:t>
      </w:r>
      <w:r>
        <w:rPr>
          <w:rFonts w:hint="eastAsia" w:ascii="仿宋" w:hAnsi="仿宋" w:eastAsia="仿宋" w:cs="仿宋"/>
          <w:color w:val="auto"/>
          <w:kern w:val="0"/>
          <w:sz w:val="28"/>
          <w:szCs w:val="28"/>
          <w:highlight w:val="none"/>
          <w:lang w:val="en-US" w:eastAsia="zh-CN"/>
        </w:rPr>
        <w:t>83</w:t>
      </w:r>
      <w:r>
        <w:rPr>
          <w:rFonts w:hint="eastAsia" w:ascii="仿宋" w:hAnsi="仿宋" w:eastAsia="仿宋" w:cs="仿宋"/>
          <w:color w:val="auto"/>
          <w:kern w:val="0"/>
          <w:sz w:val="28"/>
          <w:szCs w:val="28"/>
          <w:highlight w:val="none"/>
        </w:rPr>
        <w:t>645 m²</w:t>
      </w:r>
    </w:p>
    <w:p>
      <w:pPr>
        <w:spacing w:line="480" w:lineRule="exact"/>
        <w:rPr>
          <w:rFonts w:ascii="仿宋" w:hAnsi="仿宋" w:eastAsia="仿宋" w:cs="仿宋"/>
          <w:color w:val="auto"/>
          <w:sz w:val="28"/>
          <w:szCs w:val="28"/>
          <w:highlight w:val="none"/>
        </w:rPr>
      </w:pPr>
    </w:p>
    <w:p>
      <w:pPr>
        <w:pStyle w:val="16"/>
        <w:spacing w:line="480" w:lineRule="exact"/>
        <w:rPr>
          <w:rFonts w:ascii="仿宋" w:hAnsi="仿宋" w:eastAsia="仿宋" w:cs="仿宋"/>
          <w:color w:val="auto"/>
          <w:sz w:val="28"/>
          <w:szCs w:val="28"/>
          <w:highlight w:val="none"/>
        </w:rPr>
      </w:pPr>
    </w:p>
    <w:p>
      <w:pPr>
        <w:pStyle w:val="38"/>
        <w:ind w:firstLine="560"/>
        <w:rPr>
          <w:rFonts w:ascii="仿宋" w:hAnsi="仿宋" w:eastAsia="仿宋" w:cs="仿宋"/>
          <w:color w:val="auto"/>
          <w:sz w:val="28"/>
          <w:szCs w:val="28"/>
          <w:highlight w:val="none"/>
        </w:rPr>
      </w:pPr>
    </w:p>
    <w:p>
      <w:pPr>
        <w:pStyle w:val="30"/>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pStyle w:val="16"/>
        <w:rPr>
          <w:rFonts w:ascii="仿宋" w:hAnsi="仿宋" w:eastAsia="仿宋" w:cs="仿宋"/>
          <w:color w:val="auto"/>
          <w:sz w:val="28"/>
          <w:szCs w:val="28"/>
          <w:highlight w:val="none"/>
        </w:rPr>
      </w:pPr>
    </w:p>
    <w:p>
      <w:pPr>
        <w:pStyle w:val="38"/>
        <w:ind w:firstLine="600"/>
        <w:rPr>
          <w:color w:val="auto"/>
          <w:highlight w:val="none"/>
        </w:rPr>
      </w:pPr>
    </w:p>
    <w:p>
      <w:pPr>
        <w:rPr>
          <w:color w:val="auto"/>
          <w:highlight w:val="none"/>
        </w:rPr>
      </w:pPr>
    </w:p>
    <w:p>
      <w:pPr>
        <w:pStyle w:val="16"/>
        <w:rPr>
          <w:color w:val="auto"/>
          <w:highlight w:val="none"/>
        </w:rPr>
      </w:pPr>
    </w:p>
    <w:p>
      <w:pPr>
        <w:pStyle w:val="38"/>
        <w:rPr>
          <w:color w:val="auto"/>
          <w:highlight w:val="none"/>
        </w:rPr>
      </w:pPr>
    </w:p>
    <w:p>
      <w:pPr>
        <w:spacing w:line="480" w:lineRule="exact"/>
        <w:rPr>
          <w:rFonts w:ascii="仿宋" w:hAnsi="仿宋" w:eastAsia="仿宋" w:cs="仿宋"/>
          <w:color w:val="auto"/>
          <w:sz w:val="28"/>
          <w:szCs w:val="28"/>
          <w:highlight w:val="none"/>
        </w:rPr>
      </w:pPr>
    </w:p>
    <w:tbl>
      <w:tblPr>
        <w:tblStyle w:val="41"/>
        <w:tblW w:w="8720" w:type="dxa"/>
        <w:jc w:val="center"/>
        <w:tblLayout w:type="autofit"/>
        <w:tblCellMar>
          <w:top w:w="0" w:type="dxa"/>
          <w:left w:w="108" w:type="dxa"/>
          <w:bottom w:w="0" w:type="dxa"/>
          <w:right w:w="108" w:type="dxa"/>
        </w:tblCellMar>
      </w:tblPr>
      <w:tblGrid>
        <w:gridCol w:w="1036"/>
        <w:gridCol w:w="5525"/>
        <w:gridCol w:w="2159"/>
      </w:tblGrid>
      <w:tr>
        <w:tblPrEx>
          <w:tblCellMar>
            <w:top w:w="0" w:type="dxa"/>
            <w:left w:w="108" w:type="dxa"/>
            <w:bottom w:w="0" w:type="dxa"/>
            <w:right w:w="108" w:type="dxa"/>
          </w:tblCellMar>
        </w:tblPrEx>
        <w:trPr>
          <w:trHeight w:val="890" w:hRule="atLeast"/>
          <w:jc w:val="center"/>
        </w:trPr>
        <w:tc>
          <w:tcPr>
            <w:tcW w:w="0" w:type="auto"/>
            <w:gridSpan w:val="3"/>
            <w:tcBorders>
              <w:top w:val="nil"/>
              <w:left w:val="nil"/>
              <w:bottom w:val="nil"/>
              <w:right w:val="nil"/>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华埠镇城区新增清扫保洁面积</w:t>
            </w:r>
          </w:p>
        </w:tc>
      </w:tr>
      <w:tr>
        <w:tblPrEx>
          <w:tblCellMar>
            <w:top w:w="0" w:type="dxa"/>
            <w:left w:w="108" w:type="dxa"/>
            <w:bottom w:w="0" w:type="dxa"/>
            <w:right w:w="108" w:type="dxa"/>
          </w:tblCellMar>
        </w:tblPrEx>
        <w:trPr>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地址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Style w:val="108"/>
                <w:rFonts w:ascii="仿宋" w:hAnsi="仿宋" w:eastAsia="仿宋" w:cs="仿宋"/>
                <w:color w:val="auto"/>
                <w:sz w:val="28"/>
                <w:szCs w:val="28"/>
                <w:highlight w:val="none"/>
              </w:rPr>
              <w:t>面积（</w:t>
            </w:r>
            <w:r>
              <w:rPr>
                <w:rStyle w:val="218"/>
                <w:rFonts w:hint="eastAsia" w:ascii="仿宋" w:hAnsi="仿宋" w:eastAsia="仿宋" w:cs="仿宋"/>
                <w:color w:val="auto"/>
                <w:highlight w:val="none"/>
              </w:rPr>
              <w:t>㎡</w:t>
            </w:r>
            <w:r>
              <w:rPr>
                <w:rStyle w:val="108"/>
                <w:rFonts w:ascii="仿宋" w:hAnsi="仿宋" w:eastAsia="仿宋" w:cs="仿宋"/>
                <w:color w:val="auto"/>
                <w:sz w:val="28"/>
                <w:szCs w:val="28"/>
                <w:highlight w:val="none"/>
              </w:rPr>
              <w:t>）</w:t>
            </w:r>
          </w:p>
        </w:tc>
      </w:tr>
      <w:tr>
        <w:tblPrEx>
          <w:tblCellMar>
            <w:top w:w="0" w:type="dxa"/>
            <w:left w:w="108" w:type="dxa"/>
            <w:bottom w:w="0" w:type="dxa"/>
            <w:right w:w="108" w:type="dxa"/>
          </w:tblCellMar>
        </w:tblPrEx>
        <w:trPr>
          <w:trHeight w:val="67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老华小停车场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3196</w:t>
            </w:r>
          </w:p>
        </w:tc>
      </w:tr>
      <w:tr>
        <w:tblPrEx>
          <w:tblCellMar>
            <w:top w:w="0" w:type="dxa"/>
            <w:left w:w="108" w:type="dxa"/>
            <w:bottom w:w="0" w:type="dxa"/>
            <w:right w:w="108" w:type="dxa"/>
          </w:tblCellMar>
        </w:tblPrEx>
        <w:trPr>
          <w:trHeight w:val="67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森工车队停车场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6164</w:t>
            </w:r>
          </w:p>
        </w:tc>
      </w:tr>
      <w:tr>
        <w:tblPrEx>
          <w:tblCellMar>
            <w:top w:w="0" w:type="dxa"/>
            <w:left w:w="108" w:type="dxa"/>
            <w:bottom w:w="0" w:type="dxa"/>
            <w:right w:w="108" w:type="dxa"/>
          </w:tblCellMar>
        </w:tblPrEx>
        <w:trPr>
          <w:trHeight w:val="67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老电影院停车场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3438</w:t>
            </w:r>
          </w:p>
        </w:tc>
      </w:tr>
      <w:tr>
        <w:tblPrEx>
          <w:tblCellMar>
            <w:top w:w="0" w:type="dxa"/>
            <w:left w:w="108" w:type="dxa"/>
            <w:bottom w:w="0" w:type="dxa"/>
            <w:right w:w="108" w:type="dxa"/>
          </w:tblCellMar>
        </w:tblPrEx>
        <w:trPr>
          <w:trHeight w:val="67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御景园道路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1632</w:t>
            </w:r>
          </w:p>
        </w:tc>
      </w:tr>
      <w:tr>
        <w:tblPrEx>
          <w:tblCellMar>
            <w:top w:w="0" w:type="dxa"/>
            <w:left w:w="108" w:type="dxa"/>
            <w:bottom w:w="0" w:type="dxa"/>
            <w:right w:w="108" w:type="dxa"/>
          </w:tblCellMar>
        </w:tblPrEx>
        <w:trPr>
          <w:trHeight w:val="67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御景园防洪堤绿化及道路旁绿化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7442</w:t>
            </w:r>
          </w:p>
        </w:tc>
      </w:tr>
      <w:tr>
        <w:tblPrEx>
          <w:tblCellMar>
            <w:top w:w="0" w:type="dxa"/>
            <w:left w:w="108" w:type="dxa"/>
            <w:bottom w:w="0" w:type="dxa"/>
            <w:right w:w="108" w:type="dxa"/>
          </w:tblCellMar>
        </w:tblPrEx>
        <w:trPr>
          <w:trHeight w:val="68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21872</w:t>
            </w:r>
          </w:p>
        </w:tc>
      </w:tr>
    </w:tbl>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pStyle w:val="16"/>
        <w:rPr>
          <w:rFonts w:ascii="仿宋" w:hAnsi="仿宋" w:eastAsia="仿宋" w:cs="仿宋"/>
          <w:b/>
          <w:color w:val="auto"/>
          <w:sz w:val="28"/>
          <w:szCs w:val="28"/>
          <w:highlight w:val="none"/>
        </w:rPr>
      </w:pPr>
    </w:p>
    <w:p>
      <w:pPr>
        <w:pStyle w:val="38"/>
        <w:ind w:firstLine="562"/>
        <w:rPr>
          <w:rFonts w:ascii="仿宋" w:hAnsi="仿宋" w:eastAsia="仿宋" w:cs="仿宋"/>
          <w:b/>
          <w:color w:val="auto"/>
          <w:sz w:val="28"/>
          <w:szCs w:val="28"/>
          <w:highlight w:val="none"/>
        </w:rPr>
      </w:pPr>
    </w:p>
    <w:p>
      <w:pPr>
        <w:pStyle w:val="30"/>
        <w:rPr>
          <w:rFonts w:ascii="仿宋" w:hAnsi="仿宋" w:eastAsia="仿宋" w:cs="仿宋"/>
          <w:b/>
          <w:color w:val="auto"/>
          <w:sz w:val="28"/>
          <w:szCs w:val="28"/>
          <w:highlight w:val="none"/>
        </w:rPr>
      </w:pPr>
    </w:p>
    <w:p>
      <w:pPr>
        <w:rPr>
          <w:rFonts w:ascii="仿宋" w:hAnsi="仿宋" w:eastAsia="仿宋" w:cs="仿宋"/>
          <w:b/>
          <w:color w:val="auto"/>
          <w:sz w:val="28"/>
          <w:szCs w:val="28"/>
          <w:highlight w:val="none"/>
        </w:rPr>
      </w:pPr>
    </w:p>
    <w:p>
      <w:pPr>
        <w:pStyle w:val="16"/>
        <w:rPr>
          <w:rFonts w:ascii="仿宋" w:hAnsi="仿宋" w:eastAsia="仿宋" w:cs="仿宋"/>
          <w:b/>
          <w:color w:val="auto"/>
          <w:sz w:val="28"/>
          <w:szCs w:val="28"/>
          <w:highlight w:val="none"/>
        </w:rPr>
      </w:pPr>
    </w:p>
    <w:p>
      <w:pPr>
        <w:pStyle w:val="38"/>
        <w:ind w:firstLine="562"/>
        <w:rPr>
          <w:rFonts w:ascii="仿宋" w:hAnsi="仿宋" w:eastAsia="仿宋" w:cs="仿宋"/>
          <w:b/>
          <w:color w:val="auto"/>
          <w:sz w:val="28"/>
          <w:szCs w:val="28"/>
          <w:highlight w:val="none"/>
        </w:rPr>
      </w:pPr>
    </w:p>
    <w:p>
      <w:pPr>
        <w:pStyle w:val="30"/>
        <w:rPr>
          <w:rFonts w:ascii="仿宋" w:hAnsi="仿宋" w:eastAsia="仿宋" w:cs="仿宋"/>
          <w:b/>
          <w:color w:val="auto"/>
          <w:sz w:val="28"/>
          <w:szCs w:val="28"/>
          <w:highlight w:val="none"/>
        </w:rPr>
      </w:pPr>
    </w:p>
    <w:p>
      <w:pPr>
        <w:rPr>
          <w:rFonts w:ascii="仿宋" w:hAnsi="仿宋" w:eastAsia="仿宋" w:cs="仿宋"/>
          <w:b/>
          <w:color w:val="auto"/>
          <w:sz w:val="28"/>
          <w:szCs w:val="28"/>
          <w:highlight w:val="none"/>
        </w:rPr>
      </w:pPr>
    </w:p>
    <w:p>
      <w:pPr>
        <w:pStyle w:val="16"/>
        <w:rPr>
          <w:rFonts w:ascii="仿宋" w:hAnsi="仿宋" w:eastAsia="仿宋" w:cs="仿宋"/>
          <w:b/>
          <w:color w:val="auto"/>
          <w:sz w:val="28"/>
          <w:szCs w:val="28"/>
          <w:highlight w:val="none"/>
        </w:rPr>
      </w:pPr>
    </w:p>
    <w:p>
      <w:pPr>
        <w:pStyle w:val="38"/>
        <w:ind w:firstLine="562"/>
        <w:rPr>
          <w:rFonts w:ascii="仿宋" w:hAnsi="仿宋" w:eastAsia="仿宋" w:cs="仿宋"/>
          <w:b/>
          <w:color w:val="auto"/>
          <w:sz w:val="28"/>
          <w:szCs w:val="28"/>
          <w:highlight w:val="none"/>
        </w:rPr>
      </w:pPr>
    </w:p>
    <w:p>
      <w:pPr>
        <w:pStyle w:val="30"/>
        <w:rPr>
          <w:rFonts w:ascii="仿宋" w:hAnsi="仿宋" w:eastAsia="仿宋" w:cs="仿宋"/>
          <w:b/>
          <w:color w:val="auto"/>
          <w:sz w:val="28"/>
          <w:szCs w:val="28"/>
          <w:highlight w:val="none"/>
        </w:rPr>
      </w:pPr>
    </w:p>
    <w:p>
      <w:pPr>
        <w:rPr>
          <w:rFonts w:ascii="仿宋" w:hAnsi="仿宋" w:eastAsia="仿宋" w:cs="仿宋"/>
          <w:b/>
          <w:color w:val="auto"/>
          <w:sz w:val="28"/>
          <w:szCs w:val="28"/>
          <w:highlight w:val="none"/>
        </w:rPr>
      </w:pPr>
    </w:p>
    <w:p>
      <w:pPr>
        <w:pStyle w:val="16"/>
        <w:rPr>
          <w:color w:val="auto"/>
          <w:highlight w:val="none"/>
        </w:rPr>
      </w:pPr>
    </w:p>
    <w:tbl>
      <w:tblPr>
        <w:tblStyle w:val="41"/>
        <w:tblW w:w="5000" w:type="pct"/>
        <w:jc w:val="center"/>
        <w:tblLayout w:type="autofit"/>
        <w:tblCellMar>
          <w:top w:w="0" w:type="dxa"/>
          <w:left w:w="108" w:type="dxa"/>
          <w:bottom w:w="0" w:type="dxa"/>
          <w:right w:w="108" w:type="dxa"/>
        </w:tblCellMar>
      </w:tblPr>
      <w:tblGrid>
        <w:gridCol w:w="7128"/>
        <w:gridCol w:w="2386"/>
      </w:tblGrid>
      <w:tr>
        <w:tblPrEx>
          <w:tblCellMar>
            <w:top w:w="0" w:type="dxa"/>
            <w:left w:w="108" w:type="dxa"/>
            <w:bottom w:w="0" w:type="dxa"/>
            <w:right w:w="108" w:type="dxa"/>
          </w:tblCellMar>
        </w:tblPrEx>
        <w:trPr>
          <w:trHeight w:val="767"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横街社区里弄小巷及小区清扫保洁面积（新纳入）</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地址</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面积（m²）</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车站宿舍</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575</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华阳路17号</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华阳路60号</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华阳路87号</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华阳路93号</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华阳路32号</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w:t>
            </w:r>
          </w:p>
        </w:tc>
      </w:tr>
      <w:tr>
        <w:tblPrEx>
          <w:tblCellMar>
            <w:top w:w="0" w:type="dxa"/>
            <w:left w:w="108" w:type="dxa"/>
            <w:bottom w:w="0" w:type="dxa"/>
            <w:right w:w="108" w:type="dxa"/>
          </w:tblCellMar>
        </w:tblPrEx>
        <w:trPr>
          <w:trHeight w:val="42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华阳路69号</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300</w:t>
            </w:r>
          </w:p>
        </w:tc>
      </w:tr>
      <w:tr>
        <w:tblPrEx>
          <w:tblCellMar>
            <w:top w:w="0" w:type="dxa"/>
            <w:left w:w="108" w:type="dxa"/>
            <w:bottom w:w="0" w:type="dxa"/>
            <w:right w:w="108" w:type="dxa"/>
          </w:tblCellMar>
        </w:tblPrEx>
        <w:trPr>
          <w:trHeight w:val="56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解放路348号（荣昌超市后面空地）</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300</w:t>
            </w:r>
          </w:p>
        </w:tc>
      </w:tr>
      <w:tr>
        <w:tblPrEx>
          <w:tblCellMar>
            <w:top w:w="0" w:type="dxa"/>
            <w:left w:w="108" w:type="dxa"/>
            <w:bottom w:w="0" w:type="dxa"/>
            <w:right w:w="108" w:type="dxa"/>
          </w:tblCellMar>
        </w:tblPrEx>
        <w:trPr>
          <w:trHeight w:val="500" w:hRule="atLeast"/>
          <w:jc w:val="center"/>
        </w:trPr>
        <w:tc>
          <w:tcPr>
            <w:tcW w:w="3746"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华阳路28号（御清池 音乐田后面）</w:t>
            </w:r>
          </w:p>
        </w:tc>
        <w:tc>
          <w:tcPr>
            <w:tcW w:w="1253" w:type="pc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jc w:val="center"/>
        </w:trPr>
        <w:tc>
          <w:tcPr>
            <w:tcW w:w="3746" w:type="pct"/>
            <w:tcBorders>
              <w:top w:val="nil"/>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合计</w:t>
            </w:r>
          </w:p>
        </w:tc>
        <w:tc>
          <w:tcPr>
            <w:tcW w:w="1253" w:type="pct"/>
            <w:tcBorders>
              <w:top w:val="nil"/>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2081</w:t>
            </w:r>
          </w:p>
        </w:tc>
      </w:tr>
    </w:tbl>
    <w:tbl>
      <w:tblPr>
        <w:tblStyle w:val="41"/>
        <w:tblpPr w:leftFromText="180" w:rightFromText="180" w:vertAnchor="text" w:horzAnchor="page" w:tblpX="1681" w:tblpY="5420"/>
        <w:tblOverlap w:val="never"/>
        <w:tblW w:w="9029" w:type="dxa"/>
        <w:tblInd w:w="0" w:type="dxa"/>
        <w:tblLayout w:type="fixed"/>
        <w:tblCellMar>
          <w:top w:w="0" w:type="dxa"/>
          <w:left w:w="108" w:type="dxa"/>
          <w:bottom w:w="0" w:type="dxa"/>
          <w:right w:w="108" w:type="dxa"/>
        </w:tblCellMar>
      </w:tblPr>
      <w:tblGrid>
        <w:gridCol w:w="806"/>
        <w:gridCol w:w="1868"/>
        <w:gridCol w:w="2200"/>
        <w:gridCol w:w="2976"/>
        <w:gridCol w:w="1179"/>
      </w:tblGrid>
      <w:tr>
        <w:tblPrEx>
          <w:tblCellMar>
            <w:top w:w="0" w:type="dxa"/>
            <w:left w:w="108" w:type="dxa"/>
            <w:bottom w:w="0" w:type="dxa"/>
            <w:right w:w="108" w:type="dxa"/>
          </w:tblCellMar>
        </w:tblPrEx>
        <w:trPr>
          <w:trHeight w:val="840" w:hRule="atLeast"/>
        </w:trPr>
        <w:tc>
          <w:tcPr>
            <w:tcW w:w="9029" w:type="dxa"/>
            <w:gridSpan w:val="5"/>
            <w:tcBorders>
              <w:top w:val="nil"/>
              <w:left w:val="nil"/>
              <w:bottom w:val="nil"/>
              <w:right w:val="nil"/>
            </w:tcBorders>
            <w:noWrap/>
            <w:vAlign w:val="center"/>
          </w:tcPr>
          <w:p>
            <w:pPr>
              <w:widowControl/>
              <w:spacing w:line="480" w:lineRule="exact"/>
              <w:textAlignment w:val="center"/>
              <w:rPr>
                <w:rFonts w:ascii="仿宋" w:hAnsi="仿宋" w:eastAsia="仿宋" w:cs="仿宋"/>
                <w:color w:val="auto"/>
                <w:kern w:val="0"/>
                <w:sz w:val="28"/>
                <w:szCs w:val="28"/>
                <w:highlight w:val="none"/>
              </w:rPr>
            </w:pPr>
          </w:p>
          <w:p>
            <w:pPr>
              <w:widowControl/>
              <w:spacing w:line="480" w:lineRule="exact"/>
              <w:jc w:val="center"/>
              <w:textAlignment w:val="center"/>
              <w:rPr>
                <w:rFonts w:ascii="仿宋" w:hAnsi="仿宋" w:eastAsia="仿宋" w:cs="仿宋"/>
                <w:color w:val="auto"/>
                <w:kern w:val="0"/>
                <w:sz w:val="28"/>
                <w:szCs w:val="28"/>
                <w:highlight w:val="none"/>
              </w:rPr>
            </w:pPr>
          </w:p>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枫树底社区开放小区里弄小巷及小区清扫保洁面积（新纳入）</w:t>
            </w: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社区名称</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住宅小区名称</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地址</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Style w:val="84"/>
                <w:rFonts w:ascii="仿宋" w:hAnsi="仿宋" w:eastAsia="仿宋" w:cs="仿宋"/>
                <w:color w:val="auto"/>
                <w:sz w:val="28"/>
                <w:szCs w:val="28"/>
                <w:highlight w:val="none"/>
              </w:rPr>
              <w:t>面积（</w:t>
            </w:r>
            <w:r>
              <w:rPr>
                <w:rStyle w:val="96"/>
                <w:rFonts w:ascii="仿宋" w:hAnsi="仿宋" w:eastAsia="仿宋" w:cs="仿宋"/>
                <w:color w:val="auto"/>
                <w:sz w:val="28"/>
                <w:szCs w:val="28"/>
                <w:highlight w:val="none"/>
              </w:rPr>
              <w:t>㎡</w:t>
            </w:r>
            <w:r>
              <w:rPr>
                <w:rStyle w:val="84"/>
                <w:rFonts w:ascii="仿宋" w:hAnsi="仿宋" w:eastAsia="仿宋" w:cs="仿宋"/>
                <w:color w:val="auto"/>
                <w:sz w:val="28"/>
                <w:szCs w:val="28"/>
                <w:highlight w:val="none"/>
              </w:rPr>
              <w:t>）</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兴华街90号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兴华街90号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230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华小弄21号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华小弄21号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165</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华小弄16号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华小弄16号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75</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华小弄14号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华小弄14号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210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5</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新建弄21号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新建弄21号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7</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解放路200号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解放路200号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8</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医院宿舍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文化弄16号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9</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原二运宿舍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文化弄34号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220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老华小宿舍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解放路119号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11</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原二运宿舍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解放路137-143号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12</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木器厂宿舍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解放路101号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13</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原保险公司宿舍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解放路103号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14</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原木材厂宿舍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解放路43号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原信用社宿舍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解放路29号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16</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原电影公司宿舍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双桥路17号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17</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原工商所宿舍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双桥路21号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18</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原日杂公司宿舍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双桥路32号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19</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原医药公司宿舍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双桥路38号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80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解放路202号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解放路202号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21</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解放路210号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解放路210号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22</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解放路234号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解放路234号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23</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解放路240号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解放路240号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24</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解放路242号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解放路242号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25</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解放路250号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解放路250号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26</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解放路256号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解放路256号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27</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解放路256号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解放路256号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28</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解放路256号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解放路256号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29</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华园路2号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华园路2号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30</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华园路3号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华园路3号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31</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棉花厂化肥厂合并区</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华工路9号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32</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香料厂宿舍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华工路11~13号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33</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糖烟酒宿舍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华工路12号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34</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滨江景苑小区</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滨江景苑</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35</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兴华街26号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兴华街26号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36</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兴华街40号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兴华街40号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37</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华西街37号、兴华街60号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华西街37号、兴华街60号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38</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原造纸厂宿舍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兴华街65号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800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39</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原木材公司宿舍周边</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华西街73号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40</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居民新村</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居民新村</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41</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书店弄24号</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书店弄24号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42</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银杏园小区</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兴华街111号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200</w:t>
            </w:r>
          </w:p>
        </w:tc>
      </w:tr>
      <w:tr>
        <w:tblPrEx>
          <w:tblCellMar>
            <w:top w:w="0" w:type="dxa"/>
            <w:left w:w="108" w:type="dxa"/>
            <w:bottom w:w="0" w:type="dxa"/>
            <w:right w:w="108" w:type="dxa"/>
          </w:tblCellMar>
        </w:tblPrEx>
        <w:trPr>
          <w:trHeight w:val="9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43</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江滨小区</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华西街82-84.兴华街139.141.143.145.157.189.209.211号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1500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44</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食品厂宿舍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兴华街129.131号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45</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老百货公司宿舍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兴华街147.149号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80</w:t>
            </w:r>
          </w:p>
        </w:tc>
      </w:tr>
      <w:tr>
        <w:tblPrEx>
          <w:tblCellMar>
            <w:top w:w="0" w:type="dxa"/>
            <w:left w:w="108" w:type="dxa"/>
            <w:bottom w:w="0" w:type="dxa"/>
            <w:right w:w="108" w:type="dxa"/>
          </w:tblCellMar>
        </w:tblPrEx>
        <w:trPr>
          <w:trHeight w:val="50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46</w:t>
            </w:r>
          </w:p>
        </w:tc>
        <w:tc>
          <w:tcPr>
            <w:tcW w:w="1868"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枫树底社区</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糖烟酒宿舍</w:t>
            </w:r>
          </w:p>
        </w:tc>
        <w:tc>
          <w:tcPr>
            <w:tcW w:w="297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兴华街183号</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80</w:t>
            </w:r>
          </w:p>
        </w:tc>
      </w:tr>
      <w:tr>
        <w:tblPrEx>
          <w:tblCellMar>
            <w:top w:w="0" w:type="dxa"/>
            <w:left w:w="108" w:type="dxa"/>
            <w:bottom w:w="0" w:type="dxa"/>
            <w:right w:w="108" w:type="dxa"/>
          </w:tblCellMar>
        </w:tblPrEx>
        <w:trPr>
          <w:trHeight w:val="500" w:hRule="atLeast"/>
        </w:trPr>
        <w:tc>
          <w:tcPr>
            <w:tcW w:w="806" w:type="dxa"/>
            <w:tcBorders>
              <w:top w:val="nil"/>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合计</w:t>
            </w:r>
          </w:p>
        </w:tc>
        <w:tc>
          <w:tcPr>
            <w:tcW w:w="1868" w:type="dxa"/>
            <w:tcBorders>
              <w:top w:val="nil"/>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p>
        </w:tc>
        <w:tc>
          <w:tcPr>
            <w:tcW w:w="2200" w:type="dxa"/>
            <w:tcBorders>
              <w:top w:val="nil"/>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p>
        </w:tc>
        <w:tc>
          <w:tcPr>
            <w:tcW w:w="2976" w:type="dxa"/>
            <w:tcBorders>
              <w:top w:val="nil"/>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p>
        </w:tc>
        <w:tc>
          <w:tcPr>
            <w:tcW w:w="1179" w:type="dxa"/>
            <w:tcBorders>
              <w:top w:val="nil"/>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9310</w:t>
            </w:r>
          </w:p>
        </w:tc>
      </w:tr>
    </w:tbl>
    <w:tbl>
      <w:tblPr>
        <w:tblStyle w:val="41"/>
        <w:tblW w:w="0" w:type="auto"/>
        <w:tblInd w:w="93" w:type="dxa"/>
        <w:tblLayout w:type="fixed"/>
        <w:tblCellMar>
          <w:top w:w="0" w:type="dxa"/>
          <w:left w:w="108" w:type="dxa"/>
          <w:bottom w:w="0" w:type="dxa"/>
          <w:right w:w="108" w:type="dxa"/>
        </w:tblCellMar>
      </w:tblPr>
      <w:tblGrid>
        <w:gridCol w:w="1056"/>
        <w:gridCol w:w="3132"/>
        <w:gridCol w:w="1665"/>
        <w:gridCol w:w="3114"/>
      </w:tblGrid>
      <w:tr>
        <w:tblPrEx>
          <w:tblCellMar>
            <w:top w:w="0" w:type="dxa"/>
            <w:left w:w="108" w:type="dxa"/>
            <w:bottom w:w="0" w:type="dxa"/>
            <w:right w:w="108" w:type="dxa"/>
          </w:tblCellMar>
        </w:tblPrEx>
        <w:trPr>
          <w:trHeight w:val="800" w:hRule="atLeast"/>
        </w:trPr>
        <w:tc>
          <w:tcPr>
            <w:tcW w:w="8967" w:type="dxa"/>
            <w:gridSpan w:val="4"/>
            <w:tcBorders>
              <w:top w:val="nil"/>
              <w:left w:val="nil"/>
              <w:bottom w:val="nil"/>
              <w:right w:val="nil"/>
            </w:tcBorders>
            <w:noWrap/>
            <w:vAlign w:val="center"/>
          </w:tcPr>
          <w:p>
            <w:pPr>
              <w:widowControl/>
              <w:spacing w:line="480" w:lineRule="exact"/>
              <w:jc w:val="center"/>
              <w:textAlignment w:val="center"/>
              <w:rPr>
                <w:rFonts w:ascii="仿宋" w:hAnsi="仿宋" w:eastAsia="仿宋" w:cs="仿宋"/>
                <w:color w:val="auto"/>
                <w:kern w:val="0"/>
                <w:sz w:val="28"/>
                <w:szCs w:val="28"/>
                <w:highlight w:val="none"/>
              </w:rPr>
            </w:pPr>
          </w:p>
          <w:p>
            <w:pPr>
              <w:pStyle w:val="16"/>
              <w:spacing w:line="480" w:lineRule="exact"/>
              <w:rPr>
                <w:rFonts w:ascii="仿宋" w:hAnsi="仿宋" w:eastAsia="仿宋" w:cs="仿宋"/>
                <w:color w:val="auto"/>
                <w:kern w:val="0"/>
                <w:sz w:val="28"/>
                <w:szCs w:val="28"/>
                <w:highlight w:val="none"/>
              </w:rPr>
            </w:pPr>
          </w:p>
          <w:p>
            <w:pPr>
              <w:pStyle w:val="38"/>
              <w:spacing w:line="480" w:lineRule="exact"/>
              <w:ind w:firstLine="560"/>
              <w:rPr>
                <w:rFonts w:ascii="仿宋" w:hAnsi="仿宋" w:eastAsia="仿宋" w:cs="仿宋"/>
                <w:color w:val="auto"/>
                <w:sz w:val="28"/>
                <w:szCs w:val="28"/>
                <w:highlight w:val="none"/>
              </w:rPr>
            </w:pPr>
          </w:p>
          <w:p>
            <w:pPr>
              <w:widowControl/>
              <w:spacing w:line="480" w:lineRule="exact"/>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东岸社区里弄小巷及小区清扫保洁面积</w:t>
            </w:r>
          </w:p>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（新纳入江东新区四级道路）</w:t>
            </w:r>
          </w:p>
        </w:tc>
      </w:tr>
      <w:tr>
        <w:tblPrEx>
          <w:tblCellMar>
            <w:top w:w="0" w:type="dxa"/>
            <w:left w:w="108" w:type="dxa"/>
            <w:bottom w:w="0" w:type="dxa"/>
            <w:right w:w="108" w:type="dxa"/>
          </w:tblCellMar>
        </w:tblPrEx>
        <w:trPr>
          <w:trHeight w:val="80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3132"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地址</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面积㎡</w:t>
            </w:r>
          </w:p>
        </w:tc>
        <w:tc>
          <w:tcPr>
            <w:tcW w:w="3114"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备注</w:t>
            </w:r>
          </w:p>
        </w:tc>
      </w:tr>
      <w:tr>
        <w:tblPrEx>
          <w:tblCellMar>
            <w:top w:w="0" w:type="dxa"/>
            <w:left w:w="108" w:type="dxa"/>
            <w:bottom w:w="0" w:type="dxa"/>
            <w:right w:w="108" w:type="dxa"/>
          </w:tblCellMar>
        </w:tblPrEx>
        <w:trPr>
          <w:trHeight w:val="80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3132"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彩虹公园</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1500</w:t>
            </w:r>
          </w:p>
        </w:tc>
        <w:tc>
          <w:tcPr>
            <w:tcW w:w="3114"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包含绿化带</w:t>
            </w:r>
          </w:p>
        </w:tc>
      </w:tr>
      <w:tr>
        <w:tblPrEx>
          <w:tblCellMar>
            <w:top w:w="0" w:type="dxa"/>
            <w:left w:w="108" w:type="dxa"/>
            <w:bottom w:w="0" w:type="dxa"/>
            <w:right w:w="108" w:type="dxa"/>
          </w:tblCellMar>
        </w:tblPrEx>
        <w:trPr>
          <w:trHeight w:val="80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w:t>
            </w:r>
          </w:p>
        </w:tc>
        <w:tc>
          <w:tcPr>
            <w:tcW w:w="3132"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东岸电厂</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3500</w:t>
            </w:r>
          </w:p>
        </w:tc>
        <w:tc>
          <w:tcPr>
            <w:tcW w:w="311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116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w:t>
            </w:r>
          </w:p>
        </w:tc>
        <w:tc>
          <w:tcPr>
            <w:tcW w:w="3132"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阳光南区7号楼周边</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1500</w:t>
            </w:r>
          </w:p>
        </w:tc>
        <w:tc>
          <w:tcPr>
            <w:tcW w:w="3114"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包含菜场周围及南区1.2号楼前小路</w:t>
            </w:r>
          </w:p>
        </w:tc>
      </w:tr>
      <w:tr>
        <w:tblPrEx>
          <w:tblCellMar>
            <w:top w:w="0" w:type="dxa"/>
            <w:left w:w="108" w:type="dxa"/>
            <w:bottom w:w="0" w:type="dxa"/>
            <w:right w:w="108" w:type="dxa"/>
          </w:tblCellMar>
        </w:tblPrEx>
        <w:trPr>
          <w:trHeight w:val="80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w:t>
            </w:r>
          </w:p>
        </w:tc>
        <w:tc>
          <w:tcPr>
            <w:tcW w:w="3132"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车站对面</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1600</w:t>
            </w:r>
          </w:p>
        </w:tc>
        <w:tc>
          <w:tcPr>
            <w:tcW w:w="311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80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合计</w:t>
            </w:r>
          </w:p>
        </w:tc>
        <w:tc>
          <w:tcPr>
            <w:tcW w:w="3132"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sz w:val="28"/>
                <w:szCs w:val="28"/>
                <w:highlight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8100</w:t>
            </w:r>
          </w:p>
        </w:tc>
        <w:tc>
          <w:tcPr>
            <w:tcW w:w="311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rPr>
                <w:rFonts w:ascii="仿宋" w:hAnsi="仿宋" w:eastAsia="仿宋" w:cs="仿宋"/>
                <w:color w:val="auto"/>
                <w:sz w:val="28"/>
                <w:szCs w:val="28"/>
                <w:highlight w:val="none"/>
              </w:rPr>
            </w:pPr>
          </w:p>
        </w:tc>
      </w:tr>
    </w:tbl>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spacing w:line="480" w:lineRule="exact"/>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附件二：</w:t>
      </w:r>
    </w:p>
    <w:p>
      <w:pPr>
        <w:spacing w:line="480" w:lineRule="exact"/>
        <w:jc w:val="center"/>
        <w:rPr>
          <w:rFonts w:ascii="仿宋" w:hAnsi="仿宋" w:eastAsia="仿宋" w:cs="仿宋"/>
          <w:b/>
          <w:color w:val="auto"/>
          <w:kern w:val="1"/>
          <w:sz w:val="28"/>
          <w:szCs w:val="28"/>
          <w:highlight w:val="none"/>
          <w:lang w:val="zh-CN"/>
        </w:rPr>
      </w:pPr>
      <w:r>
        <w:rPr>
          <w:rFonts w:hint="eastAsia" w:ascii="仿宋" w:hAnsi="仿宋" w:eastAsia="仿宋" w:cs="仿宋"/>
          <w:b/>
          <w:color w:val="auto"/>
          <w:kern w:val="1"/>
          <w:sz w:val="28"/>
          <w:szCs w:val="28"/>
          <w:highlight w:val="none"/>
        </w:rPr>
        <w:t>城市环境卫生作业规范</w:t>
      </w:r>
    </w:p>
    <w:p>
      <w:pPr>
        <w:spacing w:line="480" w:lineRule="exact"/>
        <w:ind w:firstLine="422"/>
        <w:rPr>
          <w:rFonts w:ascii="仿宋" w:hAnsi="仿宋" w:eastAsia="仿宋" w:cs="仿宋"/>
          <w:b/>
          <w:color w:val="auto"/>
          <w:kern w:val="1"/>
          <w:sz w:val="28"/>
          <w:szCs w:val="28"/>
          <w:highlight w:val="none"/>
          <w:lang w:val="zh-CN"/>
        </w:rPr>
      </w:pPr>
      <w:r>
        <w:rPr>
          <w:rFonts w:hint="eastAsia" w:ascii="仿宋" w:hAnsi="仿宋" w:eastAsia="仿宋" w:cs="仿宋"/>
          <w:b/>
          <w:color w:val="auto"/>
          <w:kern w:val="1"/>
          <w:sz w:val="28"/>
          <w:szCs w:val="28"/>
          <w:highlight w:val="none"/>
          <w:lang w:val="zh-CN"/>
        </w:rPr>
        <w:t>1、定义</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bCs/>
          <w:color w:val="auto"/>
          <w:kern w:val="1"/>
          <w:sz w:val="28"/>
          <w:szCs w:val="28"/>
          <w:highlight w:val="none"/>
          <w:lang w:val="zh-CN"/>
        </w:rPr>
        <w:t>1.1</w:t>
      </w:r>
      <w:r>
        <w:rPr>
          <w:rFonts w:hint="eastAsia" w:ascii="仿宋" w:hAnsi="仿宋" w:eastAsia="仿宋" w:cs="仿宋"/>
          <w:color w:val="auto"/>
          <w:kern w:val="1"/>
          <w:sz w:val="28"/>
          <w:szCs w:val="28"/>
          <w:highlight w:val="none"/>
          <w:lang w:val="zh-CN"/>
        </w:rPr>
        <w:t>普扫</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对机动车道、非机动车道、人行道等城市道路进行的全面清扫。</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bCs/>
          <w:color w:val="auto"/>
          <w:kern w:val="1"/>
          <w:sz w:val="28"/>
          <w:szCs w:val="28"/>
          <w:highlight w:val="none"/>
          <w:lang w:val="zh-CN"/>
        </w:rPr>
        <w:t>1.2</w:t>
      </w:r>
      <w:r>
        <w:rPr>
          <w:rFonts w:hint="eastAsia" w:ascii="仿宋" w:hAnsi="仿宋" w:eastAsia="仿宋" w:cs="仿宋"/>
          <w:color w:val="auto"/>
          <w:kern w:val="1"/>
          <w:sz w:val="28"/>
          <w:szCs w:val="28"/>
          <w:highlight w:val="none"/>
          <w:lang w:val="zh-CN"/>
        </w:rPr>
        <w:t>保洁</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为保持城市道路、绿地以及公共场所整洁，在统扫之后进行的巡回不间断清扫，做到随脏随扫。</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bCs/>
          <w:color w:val="auto"/>
          <w:kern w:val="1"/>
          <w:sz w:val="28"/>
          <w:szCs w:val="28"/>
          <w:highlight w:val="none"/>
          <w:lang w:val="zh-CN"/>
        </w:rPr>
        <w:t>1.3</w:t>
      </w:r>
      <w:r>
        <w:rPr>
          <w:rFonts w:hint="eastAsia" w:ascii="仿宋" w:hAnsi="仿宋" w:eastAsia="仿宋" w:cs="仿宋"/>
          <w:color w:val="auto"/>
          <w:kern w:val="1"/>
          <w:sz w:val="28"/>
          <w:szCs w:val="28"/>
          <w:highlight w:val="none"/>
          <w:lang w:val="zh-CN"/>
        </w:rPr>
        <w:t>道路人流量</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单位时间内通过道路某一断面的行人数量。</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bCs/>
          <w:color w:val="auto"/>
          <w:sz w:val="28"/>
          <w:szCs w:val="28"/>
          <w:highlight w:val="none"/>
          <w:lang w:val="zh-CN"/>
        </w:rPr>
        <w:t xml:space="preserve">1.4 </w:t>
      </w:r>
      <w:r>
        <w:rPr>
          <w:rFonts w:hint="eastAsia" w:ascii="仿宋" w:hAnsi="仿宋" w:eastAsia="仿宋" w:cs="仿宋"/>
          <w:color w:val="auto"/>
          <w:sz w:val="28"/>
          <w:szCs w:val="28"/>
          <w:highlight w:val="none"/>
          <w:lang w:val="zh-CN"/>
        </w:rPr>
        <w:t>道路机动车流量</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指单位时间内通过道路某一断面的机动车辆数量。</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1.5 喇叭口</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居民住宅区、单位的出入口与道路衔接部位。</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bCs/>
          <w:color w:val="auto"/>
          <w:kern w:val="1"/>
          <w:sz w:val="28"/>
          <w:szCs w:val="28"/>
          <w:highlight w:val="none"/>
          <w:lang w:val="zh-CN"/>
        </w:rPr>
        <w:t>1.6</w:t>
      </w:r>
      <w:r>
        <w:rPr>
          <w:rFonts w:hint="eastAsia" w:ascii="仿宋" w:hAnsi="仿宋" w:eastAsia="仿宋" w:cs="仿宋"/>
          <w:color w:val="auto"/>
          <w:kern w:val="1"/>
          <w:sz w:val="28"/>
          <w:szCs w:val="28"/>
          <w:highlight w:val="none"/>
          <w:lang w:val="zh-CN"/>
        </w:rPr>
        <w:t>交通护栏、隔离墩</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交通管理部门设置在机动车道与非机动车道之间的隔离带，车行道与人行道之间的隔离带，高架道路的隔离带，人行道路面隔离墩等交通管理设施。</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bCs/>
          <w:color w:val="auto"/>
          <w:kern w:val="1"/>
          <w:sz w:val="28"/>
          <w:szCs w:val="28"/>
          <w:highlight w:val="none"/>
          <w:lang w:val="zh-CN"/>
        </w:rPr>
        <w:t xml:space="preserve">1.7 </w:t>
      </w:r>
      <w:r>
        <w:rPr>
          <w:rFonts w:hint="eastAsia" w:ascii="仿宋" w:hAnsi="仿宋" w:eastAsia="仿宋" w:cs="仿宋"/>
          <w:color w:val="auto"/>
          <w:kern w:val="1"/>
          <w:sz w:val="28"/>
          <w:szCs w:val="28"/>
          <w:highlight w:val="none"/>
          <w:lang w:val="zh-CN"/>
        </w:rPr>
        <w:t>垃圾中转站</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垃圾清运最终运输地点。</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bCs/>
          <w:color w:val="auto"/>
          <w:kern w:val="1"/>
          <w:sz w:val="28"/>
          <w:szCs w:val="28"/>
          <w:highlight w:val="none"/>
          <w:lang w:val="zh-CN"/>
        </w:rPr>
        <w:t>1.9</w:t>
      </w:r>
      <w:r>
        <w:rPr>
          <w:rFonts w:hint="eastAsia" w:ascii="仿宋" w:hAnsi="仿宋" w:eastAsia="仿宋" w:cs="仿宋"/>
          <w:color w:val="auto"/>
          <w:kern w:val="1"/>
          <w:sz w:val="28"/>
          <w:szCs w:val="28"/>
          <w:highlight w:val="none"/>
          <w:lang w:val="zh-CN"/>
        </w:rPr>
        <w:t>外环境</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环卫设施的周围环境。</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1.10 公厕</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保洁范围内的所有公共厕所。</w:t>
      </w:r>
    </w:p>
    <w:p>
      <w:pPr>
        <w:spacing w:line="480" w:lineRule="exact"/>
        <w:ind w:firstLine="422"/>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2、基本要求</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sz w:val="28"/>
          <w:szCs w:val="28"/>
          <w:highlight w:val="none"/>
          <w:lang w:val="zh-CN"/>
        </w:rPr>
        <w:t>2.1 作业时</w:t>
      </w:r>
      <w:r>
        <w:rPr>
          <w:rFonts w:hint="eastAsia" w:ascii="仿宋" w:hAnsi="仿宋" w:eastAsia="仿宋" w:cs="仿宋"/>
          <w:color w:val="auto"/>
          <w:kern w:val="1"/>
          <w:sz w:val="28"/>
          <w:szCs w:val="28"/>
          <w:highlight w:val="none"/>
          <w:lang w:val="zh-CN"/>
        </w:rPr>
        <w:t xml:space="preserve">应做到文明、清洁、安全和有序，最大限度地减少对环境的污染和对公众生活的影响。 </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2.2 环卫作业单位应建立健全安全生产管理制度和落实安全生产责任人，并有完整的作业和检查记录。</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2.3 道路清扫保洁人员（含机扫车司机、随车的人工辅助清扫人员）作业时须穿工作服、反光背心，并保持着装干净、整洁。其他环卫作业人员也须按规定统一着装和佩证。</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2.4 清扫作业间隙，清扫工具摆放整齐、密闭存放。</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2.5 清洁工人要根据本路段的人、车流情况，合理安排作业时间和方式，主动避开行人和车流高峰，以免发生意外。在统扫和保洁作业时，清扫机动车道中央分隔栏路面时要注意安全，注意来往车辆。道路大面积污染需要集中清扫时，需得到交警部门的配合，距清扫点来车方向近100m处设置醒目的警示牌。</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2.6 环卫各类作业车辆（机动车）出车前必须进行检查，确保车况良好方可进行环卫作业。</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sz w:val="28"/>
          <w:szCs w:val="28"/>
          <w:highlight w:val="none"/>
          <w:lang w:val="zh-CN"/>
        </w:rPr>
        <w:t>2.7 严格遵守交通规则，环卫作业车辆尽量避开交通高峰时段作业。机扫车、洒水车</w:t>
      </w:r>
      <w:r>
        <w:rPr>
          <w:rFonts w:hint="eastAsia" w:ascii="仿宋" w:hAnsi="仿宋" w:eastAsia="仿宋" w:cs="仿宋"/>
          <w:color w:val="auto"/>
          <w:kern w:val="1"/>
          <w:sz w:val="28"/>
          <w:szCs w:val="28"/>
          <w:highlight w:val="none"/>
        </w:rPr>
        <w:t>车尾应有反光标志（或加贴反光膜），作业时须亮警示灯。</w:t>
      </w:r>
      <w:r>
        <w:rPr>
          <w:rFonts w:hint="eastAsia" w:ascii="仿宋" w:hAnsi="仿宋" w:eastAsia="仿宋" w:cs="仿宋"/>
          <w:color w:val="auto"/>
          <w:kern w:val="1"/>
          <w:sz w:val="28"/>
          <w:szCs w:val="28"/>
          <w:highlight w:val="none"/>
          <w:lang w:val="zh-CN"/>
        </w:rPr>
        <w:t>夜间作业时</w:t>
      </w:r>
      <w:r>
        <w:rPr>
          <w:rFonts w:hint="eastAsia" w:ascii="仿宋" w:hAnsi="仿宋" w:eastAsia="仿宋" w:cs="仿宋"/>
          <w:color w:val="auto"/>
          <w:sz w:val="28"/>
          <w:szCs w:val="28"/>
          <w:highlight w:val="none"/>
          <w:lang w:val="zh-CN"/>
        </w:rPr>
        <w:t>还须开启示宽灯，</w:t>
      </w:r>
      <w:r>
        <w:rPr>
          <w:rFonts w:hint="eastAsia" w:ascii="仿宋" w:hAnsi="仿宋" w:eastAsia="仿宋" w:cs="仿宋"/>
          <w:color w:val="auto"/>
          <w:kern w:val="1"/>
          <w:sz w:val="28"/>
          <w:szCs w:val="28"/>
          <w:highlight w:val="none"/>
          <w:lang w:val="zh-CN"/>
        </w:rPr>
        <w:t>降低或关闭提示音乐。洒水车需在规定取水栓取水。</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sz w:val="28"/>
          <w:szCs w:val="28"/>
          <w:highlight w:val="none"/>
          <w:lang w:val="zh-CN"/>
        </w:rPr>
        <w:t xml:space="preserve">2.8  </w:t>
      </w:r>
      <w:r>
        <w:rPr>
          <w:rFonts w:hint="eastAsia" w:ascii="仿宋" w:hAnsi="仿宋" w:eastAsia="仿宋" w:cs="仿宋"/>
          <w:color w:val="auto"/>
          <w:kern w:val="1"/>
          <w:sz w:val="28"/>
          <w:szCs w:val="28"/>
          <w:highlight w:val="none"/>
          <w:lang w:val="zh-CN"/>
        </w:rPr>
        <w:t xml:space="preserve">清扫保洁垃圾收集车必须紧靠路边或人行道停放，不影响其他车辆、行人通行，不占盲道。在距公交车站50m内路段上禁止停放。 </w:t>
      </w:r>
    </w:p>
    <w:p>
      <w:pPr>
        <w:spacing w:line="480" w:lineRule="exact"/>
        <w:ind w:firstLine="422"/>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3  城市道路和主要公共场所清扫保洁</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3.1  城市道路分类见表1。</w:t>
      </w:r>
    </w:p>
    <w:p>
      <w:pPr>
        <w:spacing w:line="480" w:lineRule="exact"/>
        <w:jc w:val="center"/>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表1 城市道路分类</w:t>
      </w:r>
    </w:p>
    <w:tbl>
      <w:tblPr>
        <w:tblStyle w:val="41"/>
        <w:tblW w:w="0" w:type="auto"/>
        <w:jc w:val="center"/>
        <w:tblLayout w:type="fixed"/>
        <w:tblCellMar>
          <w:top w:w="0" w:type="dxa"/>
          <w:left w:w="108" w:type="dxa"/>
          <w:bottom w:w="0" w:type="dxa"/>
          <w:right w:w="108" w:type="dxa"/>
        </w:tblCellMar>
      </w:tblPr>
      <w:tblGrid>
        <w:gridCol w:w="1369"/>
        <w:gridCol w:w="7836"/>
      </w:tblGrid>
      <w:tr>
        <w:tblPrEx>
          <w:tblCellMar>
            <w:top w:w="0" w:type="dxa"/>
            <w:left w:w="108" w:type="dxa"/>
            <w:bottom w:w="0" w:type="dxa"/>
            <w:right w:w="108" w:type="dxa"/>
          </w:tblCellMar>
        </w:tblPrEx>
        <w:trPr>
          <w:trHeight w:val="505" w:hRule="atLeast"/>
          <w:jc w:val="center"/>
        </w:trPr>
        <w:tc>
          <w:tcPr>
            <w:tcW w:w="1369"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保洁等级</w:t>
            </w:r>
          </w:p>
        </w:tc>
        <w:tc>
          <w:tcPr>
            <w:tcW w:w="7836"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道路清扫保洁等级划分依据</w:t>
            </w:r>
          </w:p>
        </w:tc>
      </w:tr>
      <w:tr>
        <w:tblPrEx>
          <w:tblCellMar>
            <w:top w:w="0" w:type="dxa"/>
            <w:left w:w="108" w:type="dxa"/>
            <w:bottom w:w="0" w:type="dxa"/>
            <w:right w:w="108" w:type="dxa"/>
          </w:tblCellMar>
        </w:tblPrEx>
        <w:trPr>
          <w:trHeight w:val="1560" w:hRule="atLeast"/>
          <w:jc w:val="center"/>
        </w:trPr>
        <w:tc>
          <w:tcPr>
            <w:tcW w:w="1369"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一级</w:t>
            </w:r>
          </w:p>
        </w:tc>
        <w:tc>
          <w:tcPr>
            <w:tcW w:w="7836"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1、商业网点集中的繁华闹市路段；</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2、主要旅游点和大型文化、娱乐、体育、展览等公共场所所在地路段，城市的主干道及进出口路段，步行商业街；</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3、人流量大和公共交通线路多的路段；</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4、主要领导机关、外事机构所在地道路。</w:t>
            </w:r>
          </w:p>
        </w:tc>
      </w:tr>
      <w:tr>
        <w:tblPrEx>
          <w:tblCellMar>
            <w:top w:w="0" w:type="dxa"/>
            <w:left w:w="108" w:type="dxa"/>
            <w:bottom w:w="0" w:type="dxa"/>
            <w:right w:w="108" w:type="dxa"/>
          </w:tblCellMar>
        </w:tblPrEx>
        <w:trPr>
          <w:trHeight w:val="1055" w:hRule="atLeast"/>
          <w:jc w:val="center"/>
        </w:trPr>
        <w:tc>
          <w:tcPr>
            <w:tcW w:w="1369"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二级</w:t>
            </w:r>
          </w:p>
        </w:tc>
        <w:tc>
          <w:tcPr>
            <w:tcW w:w="7836"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1、城市主次干道；</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2、商业网点较集中的路段和公共文化娱乐场所所在地路段；</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3、人流量较大和车流量较多的路段。</w:t>
            </w:r>
          </w:p>
        </w:tc>
      </w:tr>
      <w:tr>
        <w:tblPrEx>
          <w:tblCellMar>
            <w:top w:w="0" w:type="dxa"/>
            <w:left w:w="108" w:type="dxa"/>
            <w:bottom w:w="0" w:type="dxa"/>
            <w:right w:w="108" w:type="dxa"/>
          </w:tblCellMar>
        </w:tblPrEx>
        <w:trPr>
          <w:trHeight w:val="1200" w:hRule="atLeast"/>
          <w:jc w:val="center"/>
        </w:trPr>
        <w:tc>
          <w:tcPr>
            <w:tcW w:w="1369"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三级</w:t>
            </w:r>
          </w:p>
        </w:tc>
        <w:tc>
          <w:tcPr>
            <w:tcW w:w="7836"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1、商业网点较少的路段；</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2、居民区和单位相间的路段；</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3、城郊结合部的主要交通路段；</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4、人流量、车流量一般的路段。</w:t>
            </w:r>
          </w:p>
        </w:tc>
      </w:tr>
      <w:tr>
        <w:tblPrEx>
          <w:tblCellMar>
            <w:top w:w="0" w:type="dxa"/>
            <w:left w:w="108" w:type="dxa"/>
            <w:bottom w:w="0" w:type="dxa"/>
            <w:right w:w="108" w:type="dxa"/>
          </w:tblCellMar>
        </w:tblPrEx>
        <w:trPr>
          <w:trHeight w:val="760" w:hRule="atLeast"/>
          <w:jc w:val="center"/>
        </w:trPr>
        <w:tc>
          <w:tcPr>
            <w:tcW w:w="1369"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四级</w:t>
            </w:r>
          </w:p>
        </w:tc>
        <w:tc>
          <w:tcPr>
            <w:tcW w:w="7836"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1、人流量、车流量较少的路段；</w:t>
            </w:r>
          </w:p>
          <w:p>
            <w:pPr>
              <w:autoSpaceDN w:val="0"/>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2、城郊结合部的支路。</w:t>
            </w:r>
          </w:p>
        </w:tc>
      </w:tr>
    </w:tbl>
    <w:p>
      <w:pPr>
        <w:spacing w:line="480" w:lineRule="exact"/>
        <w:ind w:firstLine="280" w:firstLineChars="10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3.2 道路清扫、保洁范围</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车行道、人行道、位于</w:t>
      </w:r>
      <w:r>
        <w:rPr>
          <w:rFonts w:hint="eastAsia" w:ascii="仿宋" w:hAnsi="仿宋" w:eastAsia="仿宋" w:cs="仿宋"/>
          <w:color w:val="auto"/>
          <w:kern w:val="1"/>
          <w:sz w:val="28"/>
          <w:szCs w:val="28"/>
          <w:highlight w:val="none"/>
          <w:lang w:val="zh-CN"/>
        </w:rPr>
        <w:t>主要道路上的各厂、学校、市场、村庄、医院出入口连接处</w:t>
      </w:r>
      <w:r>
        <w:rPr>
          <w:rFonts w:hint="eastAsia" w:ascii="仿宋" w:hAnsi="仿宋" w:eastAsia="仿宋" w:cs="仿宋"/>
          <w:color w:val="auto"/>
          <w:sz w:val="28"/>
          <w:szCs w:val="28"/>
          <w:highlight w:val="none"/>
          <w:lang w:val="zh-CN"/>
        </w:rPr>
        <w:t xml:space="preserve">、各旅游景点交汇口、交通隔离带，及垃圾箱、果壳箱等相关公共设施。      </w:t>
      </w:r>
    </w:p>
    <w:p>
      <w:pPr>
        <w:pStyle w:val="87"/>
        <w:spacing w:line="480" w:lineRule="exact"/>
        <w:ind w:firstLine="56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道路清扫、保洁必须作业到两边建筑物基石（有明确责任单位保洁区域除外），机扫、洒水到道路两边侧石，道路岔道、喇叭口清扫向外延伸5米。</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3.3 清扫保洁、洒水冲洗次数和时间</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3.3.1 统扫作业时间应符合下列要求：</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a）城市道路统扫作业每日不少于2次。</w:t>
      </w:r>
    </w:p>
    <w:p>
      <w:pPr>
        <w:spacing w:line="480" w:lineRule="exact"/>
        <w:ind w:firstLine="42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zh-CN"/>
        </w:rPr>
        <w:t>b）统扫完成时间：</w:t>
      </w:r>
      <w:r>
        <w:rPr>
          <w:rFonts w:hint="eastAsia" w:ascii="仿宋" w:hAnsi="仿宋" w:eastAsia="仿宋" w:cs="仿宋"/>
          <w:color w:val="auto"/>
          <w:kern w:val="1"/>
          <w:sz w:val="28"/>
          <w:szCs w:val="28"/>
          <w:highlight w:val="none"/>
        </w:rPr>
        <w:t>按规定时间内完成第一遍统扫。1月、2月、12月每日上午7：30前完成普扫，其他月份每日上午7：00前完成普扫；第二遍统扫以下午上班时间的半小时前统扫完毕；结束后做好巡回保洁工作。</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3.3.2 清扫保洁时间应符合下列要求：</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a）一级道路清扫保洁时间每日不少于18小时</w:t>
      </w:r>
      <w:r>
        <w:rPr>
          <w:rFonts w:hint="eastAsia" w:ascii="仿宋" w:hAnsi="仿宋" w:eastAsia="仿宋" w:cs="仿宋"/>
          <w:color w:val="auto"/>
          <w:kern w:val="1"/>
          <w:sz w:val="28"/>
          <w:szCs w:val="28"/>
          <w:highlight w:val="none"/>
        </w:rPr>
        <w:t>（4:00点-22:00点）(7、8、9、10月份延迟一小时，中午补休息一小时)</w:t>
      </w:r>
      <w:r>
        <w:rPr>
          <w:rFonts w:hint="eastAsia" w:ascii="仿宋" w:hAnsi="仿宋" w:eastAsia="仿宋" w:cs="仿宋"/>
          <w:color w:val="auto"/>
          <w:kern w:val="1"/>
          <w:sz w:val="28"/>
          <w:szCs w:val="28"/>
          <w:highlight w:val="none"/>
          <w:lang w:val="zh-CN"/>
        </w:rPr>
        <w:t>。</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b）</w:t>
      </w:r>
      <w:r>
        <w:rPr>
          <w:rFonts w:hint="eastAsia" w:ascii="仿宋" w:hAnsi="仿宋" w:eastAsia="仿宋" w:cs="仿宋"/>
          <w:color w:val="auto"/>
          <w:spacing w:val="-2"/>
          <w:sz w:val="28"/>
          <w:szCs w:val="28"/>
          <w:highlight w:val="none"/>
        </w:rPr>
        <w:t>二级</w:t>
      </w:r>
      <w:r>
        <w:rPr>
          <w:rFonts w:hint="eastAsia" w:ascii="仿宋" w:hAnsi="仿宋" w:eastAsia="仿宋" w:cs="仿宋"/>
          <w:color w:val="auto"/>
          <w:kern w:val="1"/>
          <w:sz w:val="28"/>
          <w:szCs w:val="28"/>
          <w:highlight w:val="none"/>
          <w:lang w:val="zh-CN"/>
        </w:rPr>
        <w:t>道路清扫保洁时间每日不少于16小时</w:t>
      </w:r>
      <w:r>
        <w:rPr>
          <w:rFonts w:hint="eastAsia" w:ascii="仿宋" w:hAnsi="仿宋" w:eastAsia="仿宋" w:cs="仿宋"/>
          <w:color w:val="auto"/>
          <w:kern w:val="1"/>
          <w:sz w:val="28"/>
          <w:szCs w:val="28"/>
          <w:highlight w:val="none"/>
        </w:rPr>
        <w:t>（上午4:00点-11:30点， 13:00点-21:30点）(7、8、9、10月份延迟半小时，中午补休息半小时)</w:t>
      </w:r>
      <w:r>
        <w:rPr>
          <w:rFonts w:hint="eastAsia" w:ascii="仿宋" w:hAnsi="仿宋" w:eastAsia="仿宋" w:cs="仿宋"/>
          <w:color w:val="auto"/>
          <w:kern w:val="1"/>
          <w:sz w:val="28"/>
          <w:szCs w:val="28"/>
          <w:highlight w:val="none"/>
          <w:lang w:val="zh-CN"/>
        </w:rPr>
        <w:t>。</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C）三级道路清扫保洁时间每日不少于10小时</w:t>
      </w:r>
      <w:r>
        <w:rPr>
          <w:rFonts w:hint="eastAsia" w:ascii="仿宋" w:hAnsi="仿宋" w:eastAsia="仿宋" w:cs="仿宋"/>
          <w:color w:val="auto"/>
          <w:kern w:val="1"/>
          <w:sz w:val="28"/>
          <w:szCs w:val="28"/>
          <w:highlight w:val="none"/>
        </w:rPr>
        <w:t>（上午6:00点-11:00点，13:00点18:00点）</w:t>
      </w:r>
      <w:r>
        <w:rPr>
          <w:rFonts w:hint="eastAsia" w:ascii="仿宋" w:hAnsi="仿宋" w:eastAsia="仿宋" w:cs="仿宋"/>
          <w:color w:val="auto"/>
          <w:kern w:val="1"/>
          <w:sz w:val="28"/>
          <w:szCs w:val="28"/>
          <w:highlight w:val="none"/>
          <w:lang w:val="zh-CN"/>
        </w:rPr>
        <w:t>。</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d）四级道路清扫保洁时间每日不少于8小时</w:t>
      </w:r>
      <w:r>
        <w:rPr>
          <w:rFonts w:hint="eastAsia" w:ascii="仿宋" w:hAnsi="仿宋" w:eastAsia="仿宋" w:cs="仿宋"/>
          <w:color w:val="auto"/>
          <w:kern w:val="1"/>
          <w:sz w:val="28"/>
          <w:szCs w:val="28"/>
          <w:highlight w:val="none"/>
        </w:rPr>
        <w:t>（上午6:00点-10:00点，13:00点-17:00点）</w:t>
      </w:r>
      <w:r>
        <w:rPr>
          <w:rFonts w:hint="eastAsia" w:ascii="仿宋" w:hAnsi="仿宋" w:eastAsia="仿宋" w:cs="仿宋"/>
          <w:color w:val="auto"/>
          <w:kern w:val="1"/>
          <w:sz w:val="28"/>
          <w:szCs w:val="28"/>
          <w:highlight w:val="none"/>
          <w:lang w:val="zh-CN"/>
        </w:rPr>
        <w:t>。</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3.3.3 机械和人工配合清扫作业要求</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应符合“机械清扫作业规范”和“人工清扫作业规范”要求。</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3.3.4 洒水（清洗）次数和时间应符合下列要求：</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a）统扫作业前，应先对路面进行洒水。</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b）一级道路每日洒水不少于2次，</w:t>
      </w:r>
      <w:r>
        <w:rPr>
          <w:rFonts w:hint="eastAsia" w:ascii="仿宋" w:hAnsi="仿宋" w:eastAsia="仿宋" w:cs="仿宋"/>
          <w:color w:val="auto"/>
          <w:spacing w:val="-2"/>
          <w:sz w:val="28"/>
          <w:szCs w:val="28"/>
          <w:highlight w:val="none"/>
        </w:rPr>
        <w:t>二级</w:t>
      </w:r>
      <w:r>
        <w:rPr>
          <w:rFonts w:hint="eastAsia" w:ascii="仿宋" w:hAnsi="仿宋" w:eastAsia="仿宋" w:cs="仿宋"/>
          <w:color w:val="auto"/>
          <w:kern w:val="1"/>
          <w:sz w:val="28"/>
          <w:szCs w:val="28"/>
          <w:highlight w:val="none"/>
          <w:lang w:val="zh-CN"/>
        </w:rPr>
        <w:t xml:space="preserve">道路每日洒水2次。 </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c）气温35 ℃时以上，一级道路洒水不少于3次，</w:t>
      </w:r>
      <w:r>
        <w:rPr>
          <w:rFonts w:hint="eastAsia" w:ascii="仿宋" w:hAnsi="仿宋" w:eastAsia="仿宋" w:cs="仿宋"/>
          <w:color w:val="auto"/>
          <w:spacing w:val="-2"/>
          <w:sz w:val="28"/>
          <w:szCs w:val="28"/>
          <w:highlight w:val="none"/>
        </w:rPr>
        <w:t>二级</w:t>
      </w:r>
      <w:r>
        <w:rPr>
          <w:rFonts w:hint="eastAsia" w:ascii="仿宋" w:hAnsi="仿宋" w:eastAsia="仿宋" w:cs="仿宋"/>
          <w:color w:val="auto"/>
          <w:kern w:val="1"/>
          <w:sz w:val="28"/>
          <w:szCs w:val="28"/>
          <w:highlight w:val="none"/>
          <w:lang w:val="zh-CN"/>
        </w:rPr>
        <w:t>道路不少于3次；最低气温为2 ℃时及以下时暂停洒水（清洗）。结冰期禁止洒水（清洗）。</w:t>
      </w:r>
    </w:p>
    <w:p>
      <w:pPr>
        <w:spacing w:line="480" w:lineRule="exact"/>
        <w:ind w:firstLine="420"/>
        <w:rPr>
          <w:rFonts w:hint="eastAsia"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d）一、</w:t>
      </w:r>
      <w:r>
        <w:rPr>
          <w:rFonts w:hint="eastAsia" w:ascii="仿宋" w:hAnsi="仿宋" w:eastAsia="仿宋" w:cs="仿宋"/>
          <w:color w:val="auto"/>
          <w:spacing w:val="-2"/>
          <w:sz w:val="28"/>
          <w:szCs w:val="28"/>
          <w:highlight w:val="none"/>
        </w:rPr>
        <w:t>二级</w:t>
      </w:r>
      <w:r>
        <w:rPr>
          <w:rFonts w:hint="eastAsia" w:ascii="仿宋" w:hAnsi="仿宋" w:eastAsia="仿宋" w:cs="仿宋"/>
          <w:color w:val="auto"/>
          <w:kern w:val="1"/>
          <w:sz w:val="28"/>
          <w:szCs w:val="28"/>
          <w:highlight w:val="none"/>
          <w:lang w:val="zh-CN"/>
        </w:rPr>
        <w:t>道路的车行道、人行道路面清洗每月清洗不少于一次。当路面污染情况较为严重时，应立即组织清洗并清除污迹。</w:t>
      </w:r>
    </w:p>
    <w:p>
      <w:pPr>
        <w:spacing w:line="480" w:lineRule="exact"/>
        <w:ind w:firstLine="42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zh-CN"/>
        </w:rPr>
        <w:t>e）</w:t>
      </w:r>
      <w:r>
        <w:rPr>
          <w:rFonts w:hint="eastAsia" w:ascii="仿宋" w:hAnsi="仿宋" w:eastAsia="仿宋" w:cs="仿宋"/>
          <w:color w:val="auto"/>
          <w:kern w:val="0"/>
          <w:sz w:val="28"/>
          <w:szCs w:val="28"/>
          <w:highlight w:val="none"/>
        </w:rPr>
        <w:t>道路交通护栏、隔离墩每月组织1次清洗，并保持随脏随洗。</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3.4 作业规范</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3.4.1  洒水（清洗）作业规范</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a) 路面作业时，洒水车车速：25km/h～30km/h；高压冲洗车车速：5km/h～10km/h。</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b) 洒水时不得漏洒（漏冲），注意调整高度和水压，作业结束后，应做到路面、侧石、交通隔离带以及道路相关公共设施周围无泥沙和积水。</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c) 清洗作业时水压调整适当，洒水车、机扫车、人工洗刷相互配合，以消除路面的积泥、沙石、污迹。清洗被严重污染的路面时，须反复冲洗 ，直至路面见本色。</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d) 清洗人行道时，洒水车须调整好水流幅宽，并配以人工洗刷路面，清洗被油污污染较为严重的路面时，可适当添加洗洁精等清洁液，反复冲洗，直至路面见本色。</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e) 洒水车不得倒车洒水。</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3.4.2 人工清扫作业规范</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a) 统扫时，应按人行道路面、树穴及周边、车行道路面、窨井口的顺序进行全面清扫。</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b）归拢的垃圾靠边打堆，及时清运，不漏收。清扫道路时不得将垃圾扫入窨井、喇叭口、绿地，并疏通窨井口。</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c）清扫道路时须小心执扫，不得漏扫、甩扫，控制扬尘，避免妨碍行人。</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d）保洁时，巡回走动，用小扫把、钳子等工具及时清除路面的垃圾。</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e) 有义务对随地乱扔垃圾的行为进行劝阻。发现路面被严重污染时，应马上向管理部门汇报, 并立即组织清理。</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3.5 清扫保洁质量要求（含绿地卫生保洁）</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3.5.1 道路清扫保洁</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1"/>
          <w:sz w:val="28"/>
          <w:szCs w:val="28"/>
          <w:highlight w:val="none"/>
          <w:lang w:val="zh-CN"/>
        </w:rPr>
        <w:t>各类道路路面应做到</w:t>
      </w:r>
      <w:r>
        <w:rPr>
          <w:rFonts w:hint="eastAsia" w:ascii="仿宋" w:hAnsi="仿宋" w:eastAsia="仿宋" w:cs="仿宋"/>
          <w:color w:val="auto"/>
          <w:sz w:val="28"/>
          <w:szCs w:val="28"/>
          <w:highlight w:val="none"/>
        </w:rPr>
        <w:t>四无四净，即无白色垃圾、无果皮纸屑、无土石杂草、无泥堆积物，路面干净、边角侧石干净、窨井盖沟干净、环卫设施整齐干净等。</w:t>
      </w:r>
    </w:p>
    <w:p>
      <w:pPr>
        <w:spacing w:line="480" w:lineRule="exact"/>
        <w:ind w:firstLine="280" w:firstLineChars="10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a）道路路面干净、地面无痰迹、道路侧石无积泥、污迹、晴天地面无积水、窨井口畅通、果壳箱等公共设施干净整洁。</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B）道路路面废弃物控制指标应符合表2规定。但在同一单位长度内，不得超过各单项废弃物总数的50%。</w:t>
      </w:r>
    </w:p>
    <w:p>
      <w:pPr>
        <w:spacing w:line="480" w:lineRule="exact"/>
        <w:jc w:val="center"/>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表2  路面废弃物控制指标</w:t>
      </w:r>
    </w:p>
    <w:tbl>
      <w:tblPr>
        <w:tblStyle w:val="41"/>
        <w:tblW w:w="0" w:type="auto"/>
        <w:tblInd w:w="0" w:type="dxa"/>
        <w:tblLayout w:type="fixed"/>
        <w:tblCellMar>
          <w:top w:w="0" w:type="dxa"/>
          <w:left w:w="108" w:type="dxa"/>
          <w:bottom w:w="0" w:type="dxa"/>
          <w:right w:w="108" w:type="dxa"/>
        </w:tblCellMar>
      </w:tblPr>
      <w:tblGrid>
        <w:gridCol w:w="1209"/>
        <w:gridCol w:w="1594"/>
        <w:gridCol w:w="1383"/>
        <w:gridCol w:w="1317"/>
        <w:gridCol w:w="1440"/>
        <w:gridCol w:w="1440"/>
        <w:gridCol w:w="1260"/>
      </w:tblGrid>
      <w:tr>
        <w:tblPrEx>
          <w:tblCellMar>
            <w:top w:w="0" w:type="dxa"/>
            <w:left w:w="108" w:type="dxa"/>
            <w:bottom w:w="0" w:type="dxa"/>
            <w:right w:w="108" w:type="dxa"/>
          </w:tblCellMar>
        </w:tblPrEx>
        <w:trPr>
          <w:trHeight w:val="566"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保洁等级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果皮</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(片/1000㎡)</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纸屑塑模</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(片/1000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烟蒂</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(个/1000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痰迹</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(处/1000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污水</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w:t>
            </w:r>
            <w:r>
              <w:rPr>
                <w:rFonts w:hint="eastAsia" w:ascii="仿宋" w:hAnsi="仿宋" w:eastAsia="仿宋" w:cs="仿宋"/>
                <w:color w:val="auto"/>
                <w:sz w:val="28"/>
                <w:szCs w:val="28"/>
                <w:highlight w:val="none"/>
              </w:rPr>
              <w:t>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其他</w:t>
            </w:r>
          </w:p>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(处/1000</w:t>
            </w:r>
            <w:r>
              <w:rPr>
                <w:rFonts w:hint="eastAsia" w:ascii="仿宋" w:hAnsi="仿宋" w:eastAsia="仿宋" w:cs="仿宋"/>
                <w:color w:val="auto"/>
                <w:sz w:val="28"/>
                <w:szCs w:val="28"/>
                <w:highlight w:val="none"/>
              </w:rPr>
              <w:t xml:space="preserve">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kern w:val="1"/>
                <w:sz w:val="28"/>
                <w:szCs w:val="28"/>
                <w:highlight w:val="none"/>
              </w:rPr>
              <w:t>)</w:t>
            </w:r>
          </w:p>
        </w:tc>
      </w:tr>
      <w:tr>
        <w:tblPrEx>
          <w:tblCellMar>
            <w:top w:w="0" w:type="dxa"/>
            <w:left w:w="108" w:type="dxa"/>
            <w:bottom w:w="0" w:type="dxa"/>
            <w:right w:w="108" w:type="dxa"/>
          </w:tblCellMar>
        </w:tblPrEx>
        <w:trPr>
          <w:trHeight w:val="369"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一级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≤4</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无</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无</w:t>
            </w:r>
          </w:p>
        </w:tc>
      </w:tr>
      <w:tr>
        <w:tblPrEx>
          <w:tblCellMar>
            <w:top w:w="0" w:type="dxa"/>
            <w:left w:w="108" w:type="dxa"/>
            <w:bottom w:w="0" w:type="dxa"/>
            <w:right w:w="108" w:type="dxa"/>
          </w:tblCellMar>
        </w:tblPrEx>
        <w:trPr>
          <w:trHeight w:val="370"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二级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≤6</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≤6</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≤0.5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≤2</w:t>
            </w:r>
          </w:p>
        </w:tc>
      </w:tr>
      <w:tr>
        <w:tblPrEx>
          <w:tblCellMar>
            <w:top w:w="0" w:type="dxa"/>
            <w:left w:w="108" w:type="dxa"/>
            <w:bottom w:w="0" w:type="dxa"/>
            <w:right w:w="108" w:type="dxa"/>
          </w:tblCellMar>
        </w:tblPrEx>
        <w:trPr>
          <w:trHeight w:val="369"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三级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≤6</w:t>
            </w:r>
          </w:p>
        </w:tc>
      </w:tr>
      <w:tr>
        <w:tblPrEx>
          <w:tblCellMar>
            <w:top w:w="0" w:type="dxa"/>
            <w:left w:w="108" w:type="dxa"/>
            <w:bottom w:w="0" w:type="dxa"/>
            <w:right w:w="108" w:type="dxa"/>
          </w:tblCellMar>
        </w:tblPrEx>
        <w:trPr>
          <w:trHeight w:val="370" w:hRule="atLeast"/>
        </w:trPr>
        <w:tc>
          <w:tcPr>
            <w:tcW w:w="1209"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四级</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≤10</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≤12</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≤15</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≤15</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≤2.0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rPr>
                <w:rFonts w:ascii="仿宋" w:hAnsi="仿宋" w:eastAsia="仿宋" w:cs="仿宋"/>
                <w:color w:val="auto"/>
                <w:kern w:val="1"/>
                <w:sz w:val="28"/>
                <w:szCs w:val="28"/>
                <w:highlight w:val="none"/>
              </w:rPr>
            </w:pPr>
            <w:r>
              <w:rPr>
                <w:rFonts w:hint="eastAsia" w:ascii="仿宋" w:hAnsi="仿宋" w:eastAsia="仿宋" w:cs="仿宋"/>
                <w:color w:val="auto"/>
                <w:sz w:val="28"/>
                <w:szCs w:val="28"/>
                <w:highlight w:val="none"/>
              </w:rPr>
              <w:t>≤8</w:t>
            </w:r>
          </w:p>
        </w:tc>
      </w:tr>
    </w:tbl>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c）主要道路与各企业、村庄、小区、市场、学校、工地连接口所产生的垃圾以及行驶、停泊在主要道路上的各类车辆产生的垃圾，及时收集，禁止任意排放。</w:t>
      </w:r>
    </w:p>
    <w:p>
      <w:pPr>
        <w:spacing w:line="480" w:lineRule="exact"/>
        <w:ind w:firstLine="420"/>
        <w:rPr>
          <w:rFonts w:ascii="仿宋" w:hAnsi="仿宋" w:eastAsia="仿宋" w:cs="仿宋"/>
          <w:b/>
          <w:color w:val="auto"/>
          <w:kern w:val="1"/>
          <w:sz w:val="28"/>
          <w:szCs w:val="28"/>
          <w:highlight w:val="none"/>
          <w:lang w:val="zh-CN"/>
        </w:rPr>
      </w:pPr>
      <w:r>
        <w:rPr>
          <w:rFonts w:hint="eastAsia" w:ascii="仿宋" w:hAnsi="仿宋" w:eastAsia="仿宋" w:cs="仿宋"/>
          <w:color w:val="auto"/>
          <w:kern w:val="1"/>
          <w:sz w:val="28"/>
          <w:szCs w:val="28"/>
          <w:highlight w:val="none"/>
          <w:lang w:val="zh-CN"/>
        </w:rPr>
        <w:t>d）桥梁环境卫生质量参照本规范同等级道路标准。</w:t>
      </w:r>
    </w:p>
    <w:p>
      <w:pPr>
        <w:spacing w:line="480" w:lineRule="exact"/>
        <w:ind w:firstLine="413"/>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4 垃圾清运和垃圾容器维护</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bCs/>
          <w:color w:val="auto"/>
          <w:sz w:val="28"/>
          <w:szCs w:val="28"/>
          <w:highlight w:val="none"/>
          <w:lang w:val="zh-CN"/>
        </w:rPr>
        <w:t>4.1</w:t>
      </w:r>
      <w:r>
        <w:rPr>
          <w:rFonts w:hint="eastAsia" w:ascii="仿宋" w:hAnsi="仿宋" w:eastAsia="仿宋" w:cs="仿宋"/>
          <w:color w:val="auto"/>
          <w:kern w:val="1"/>
          <w:sz w:val="28"/>
          <w:szCs w:val="28"/>
          <w:highlight w:val="none"/>
          <w:lang w:val="zh-CN"/>
        </w:rPr>
        <w:t xml:space="preserve"> 垃圾清运范围</w:t>
      </w:r>
    </w:p>
    <w:p>
      <w:pPr>
        <w:pStyle w:val="87"/>
        <w:spacing w:line="480" w:lineRule="exact"/>
        <w:ind w:firstLine="56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本项目服务范围内所有沿街道路两侧商铺产生的垃圾以及清扫人员每天清扫产生的垃圾，南至车管所，东以芹江以界，北至桃溪村，西至205国道沿边所有清运点。</w:t>
      </w:r>
    </w:p>
    <w:p>
      <w:pPr>
        <w:pStyle w:val="87"/>
        <w:spacing w:line="480" w:lineRule="exact"/>
        <w:ind w:firstLine="560"/>
        <w:rPr>
          <w:rFonts w:ascii="仿宋" w:hAnsi="仿宋" w:eastAsia="仿宋" w:cs="仿宋"/>
          <w:color w:val="auto"/>
          <w:kern w:val="0"/>
          <w:sz w:val="28"/>
          <w:szCs w:val="28"/>
          <w:highlight w:val="none"/>
        </w:rPr>
      </w:pPr>
      <w:r>
        <w:rPr>
          <w:rFonts w:hint="eastAsia" w:ascii="仿宋" w:hAnsi="仿宋" w:eastAsia="仿宋" w:cs="仿宋"/>
          <w:bCs/>
          <w:color w:val="auto"/>
          <w:kern w:val="0"/>
          <w:sz w:val="28"/>
          <w:szCs w:val="28"/>
          <w:highlight w:val="none"/>
          <w:lang w:val="zh-CN"/>
        </w:rPr>
        <w:t>4.2</w:t>
      </w:r>
      <w:r>
        <w:rPr>
          <w:rFonts w:hint="eastAsia" w:ascii="仿宋" w:hAnsi="仿宋" w:eastAsia="仿宋" w:cs="仿宋"/>
          <w:color w:val="auto"/>
          <w:kern w:val="0"/>
          <w:sz w:val="28"/>
          <w:szCs w:val="28"/>
          <w:highlight w:val="none"/>
        </w:rPr>
        <w:t>垃圾收集、清运规范及要求</w:t>
      </w:r>
    </w:p>
    <w:p>
      <w:pPr>
        <w:pStyle w:val="87"/>
        <w:spacing w:line="480" w:lineRule="exact"/>
        <w:ind w:firstLine="56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zh-CN"/>
        </w:rPr>
        <w:t>a）</w:t>
      </w:r>
      <w:r>
        <w:rPr>
          <w:rFonts w:hint="eastAsia" w:ascii="仿宋" w:hAnsi="仿宋" w:eastAsia="仿宋" w:cs="仿宋"/>
          <w:color w:val="auto"/>
          <w:kern w:val="0"/>
          <w:sz w:val="28"/>
          <w:szCs w:val="28"/>
          <w:highlight w:val="none"/>
        </w:rPr>
        <w:t>分类区域的生活垃圾必须按垃圾分类工作要求分类收集，并在规定时间内统一运至指定地点进行处理。</w:t>
      </w:r>
    </w:p>
    <w:p>
      <w:pPr>
        <w:pStyle w:val="87"/>
        <w:spacing w:line="480" w:lineRule="exact"/>
        <w:ind w:firstLine="56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b）垃圾收集清运执行垃圾不落地原则，使用专用作业车辆密闭运输，无垃圾抛洒、无污水滴漏。</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c）移动垃圾箱、固定垃圾房、果壳箱垃圾收集或清运春秋冬季（10—5月份）每天不少于2次，夏季（6—9月份）每天不少于3次，每天第一遍垃圾清运必须在早上8：30前完成，并做好巡回检查，发现垃圾满溢及时清理。</w:t>
      </w:r>
    </w:p>
    <w:p>
      <w:pPr>
        <w:pStyle w:val="87"/>
        <w:spacing w:line="480" w:lineRule="exact"/>
        <w:ind w:firstLine="56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zh-CN"/>
        </w:rPr>
        <w:t>d）垃圾日产日清。每天按时清除垃圾，无积压，无堆积、无腐烂发臭；收集点无陈旧垃圾和污水外流现象，周边地面整洁，无臭，无杂物堆放。</w:t>
      </w:r>
    </w:p>
    <w:p>
      <w:pPr>
        <w:pStyle w:val="87"/>
        <w:spacing w:line="480" w:lineRule="exact"/>
        <w:ind w:firstLine="56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zh-CN"/>
        </w:rPr>
        <w:t>e）工业垃圾、有毒有害垃圾、建筑垃圾、废旧家具、家用电器以及居民住宅装潢垃圾，必须与生活垃圾分开，定点定时收集。医疗垃圾，必须通知专业部门处置。</w:t>
      </w:r>
    </w:p>
    <w:p>
      <w:pPr>
        <w:pStyle w:val="87"/>
        <w:spacing w:line="480" w:lineRule="exact"/>
        <w:ind w:firstLine="56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zh-CN"/>
        </w:rPr>
        <w:t>f）垃圾箱（房）离居民住宅区较近时，应合理安排清运时间，尽量避免噪声影响居民生活，并应有防止粉尘飘散和垃圾飞扬的措施。</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g）</w:t>
      </w:r>
      <w:r>
        <w:rPr>
          <w:rFonts w:hint="eastAsia" w:ascii="仿宋" w:hAnsi="仿宋" w:eastAsia="仿宋" w:cs="仿宋"/>
          <w:color w:val="auto"/>
          <w:sz w:val="28"/>
          <w:szCs w:val="28"/>
          <w:highlight w:val="none"/>
        </w:rPr>
        <w:t>沿街道路两侧商铺产生的垃圾，必须做到上门收集。</w:t>
      </w:r>
      <w:r>
        <w:rPr>
          <w:rFonts w:hint="eastAsia" w:ascii="仿宋" w:hAnsi="仿宋" w:eastAsia="仿宋" w:cs="仿宋"/>
          <w:color w:val="auto"/>
          <w:kern w:val="1"/>
          <w:sz w:val="28"/>
          <w:szCs w:val="28"/>
          <w:highlight w:val="none"/>
          <w:lang w:val="zh-CN"/>
        </w:rPr>
        <w:t>收集或清运的垃圾要统一运至垃圾中转站处理，不得随意乱倒、乱卸垃圾、焚烧垃圾。</w:t>
      </w:r>
    </w:p>
    <w:p>
      <w:pPr>
        <w:spacing w:line="480" w:lineRule="exact"/>
        <w:ind w:firstLine="42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4.3 </w:t>
      </w:r>
      <w:r>
        <w:rPr>
          <w:rFonts w:hint="eastAsia" w:ascii="仿宋" w:hAnsi="仿宋" w:eastAsia="仿宋" w:cs="仿宋"/>
          <w:color w:val="auto"/>
          <w:kern w:val="1"/>
          <w:sz w:val="28"/>
          <w:szCs w:val="28"/>
          <w:highlight w:val="none"/>
          <w:lang w:val="zh-CN"/>
        </w:rPr>
        <w:t>环卫设施维护、清洗、消杀</w:t>
      </w:r>
      <w:r>
        <w:rPr>
          <w:rFonts w:hint="eastAsia" w:ascii="仿宋" w:hAnsi="仿宋" w:eastAsia="仿宋" w:cs="仿宋"/>
          <w:color w:val="auto"/>
          <w:sz w:val="28"/>
          <w:szCs w:val="28"/>
          <w:highlight w:val="none"/>
          <w:lang w:val="zh-CN"/>
        </w:rPr>
        <w:t>要求</w:t>
      </w:r>
    </w:p>
    <w:p>
      <w:pPr>
        <w:pStyle w:val="87"/>
        <w:spacing w:line="480" w:lineRule="exact"/>
        <w:ind w:firstLine="56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a）垃圾收集作业完成后，</w:t>
      </w:r>
      <w:r>
        <w:rPr>
          <w:rFonts w:hint="eastAsia" w:ascii="仿宋" w:hAnsi="仿宋" w:eastAsia="仿宋" w:cs="仿宋"/>
          <w:color w:val="auto"/>
          <w:kern w:val="0"/>
          <w:sz w:val="28"/>
          <w:szCs w:val="28"/>
          <w:highlight w:val="none"/>
        </w:rPr>
        <w:t>垃圾桶、果壳箱、垃圾房</w:t>
      </w:r>
      <w:r>
        <w:rPr>
          <w:rFonts w:hint="eastAsia" w:ascii="仿宋" w:hAnsi="仿宋" w:eastAsia="仿宋" w:cs="仿宋"/>
          <w:color w:val="auto"/>
          <w:sz w:val="28"/>
          <w:szCs w:val="28"/>
          <w:highlight w:val="none"/>
        </w:rPr>
        <w:t>保持完好、整齐、密闭，垃圾房内设垃圾桶的必须入房，并</w:t>
      </w:r>
      <w:r>
        <w:rPr>
          <w:rFonts w:hint="eastAsia" w:ascii="仿宋" w:hAnsi="仿宋" w:eastAsia="仿宋" w:cs="仿宋"/>
          <w:color w:val="auto"/>
          <w:sz w:val="28"/>
          <w:szCs w:val="28"/>
          <w:highlight w:val="none"/>
          <w:lang w:val="zh-CN"/>
        </w:rPr>
        <w:t>对场地周边、垃圾桶进行清洗，做到收集点周边环境整洁，垃圾容器无明显污迹、积尘。</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b）</w:t>
      </w:r>
      <w:r>
        <w:rPr>
          <w:rFonts w:hint="eastAsia" w:ascii="仿宋" w:hAnsi="仿宋" w:eastAsia="仿宋" w:cs="仿宋"/>
          <w:color w:val="auto"/>
          <w:sz w:val="28"/>
          <w:szCs w:val="28"/>
          <w:highlight w:val="none"/>
        </w:rPr>
        <w:t>垃圾桶、果壳箱、垃圾房随时保持整洁，</w:t>
      </w:r>
      <w:r>
        <w:rPr>
          <w:rFonts w:hint="eastAsia" w:ascii="仿宋" w:hAnsi="仿宋" w:eastAsia="仿宋" w:cs="仿宋"/>
          <w:color w:val="auto"/>
          <w:kern w:val="1"/>
          <w:sz w:val="28"/>
          <w:szCs w:val="28"/>
          <w:highlight w:val="none"/>
          <w:lang w:val="zh-CN"/>
        </w:rPr>
        <w:t>清（擦）洗每天不少于1次，做到随脏随洗。</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c）每周不少于一次给垃圾容器及收集点喷洒消毒、灭蚊蝇药物，控制蝇的孳生，蝇、蚊孳生季节，做到每天一次消杀。</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d）作业单位的垃圾清运车辆必须保持车容整洁和完好，有统一外观和编号，且服务于指定的一个地方；每日清扫车垃圾必须统一运往垃圾填埋处理。</w:t>
      </w:r>
    </w:p>
    <w:p>
      <w:pPr>
        <w:spacing w:line="480" w:lineRule="exact"/>
        <w:ind w:firstLine="420"/>
        <w:rPr>
          <w:rFonts w:ascii="仿宋" w:hAnsi="仿宋" w:eastAsia="仿宋" w:cs="仿宋"/>
          <w:b/>
          <w:bCs/>
          <w:color w:val="auto"/>
          <w:kern w:val="1"/>
          <w:sz w:val="28"/>
          <w:szCs w:val="28"/>
          <w:highlight w:val="none"/>
          <w:lang w:val="zh-CN"/>
        </w:rPr>
      </w:pPr>
      <w:r>
        <w:rPr>
          <w:rFonts w:hint="eastAsia" w:ascii="仿宋" w:hAnsi="仿宋" w:eastAsia="仿宋" w:cs="仿宋"/>
          <w:b/>
          <w:bCs/>
          <w:color w:val="auto"/>
          <w:kern w:val="1"/>
          <w:sz w:val="28"/>
          <w:szCs w:val="28"/>
          <w:highlight w:val="none"/>
          <w:lang w:val="zh-CN"/>
        </w:rPr>
        <w:t>5.公厕管理</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 xml:space="preserve">5.1 公共厕所必须有专人管理，保持清洁卫生，即地面无积水，无纸屑、烟头、痰迹和杂物，大便器内无积粪，小便器（糟）内不积存尿液，无尿垢、杂物，墙壁、顶棚整洁。 </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5.2 水冲式公共厕所贮粪池的粪便应及时掏取，粪池内的粪便不得超过粪池容积的四分之三。</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5.3 对公共厕所应经常进行卫生消毒。在有肠道传染病流行时，应按传染病防治法实施办法的规定，对公共厕所的粪便进行消毒处理。</w:t>
      </w:r>
    </w:p>
    <w:p>
      <w:pPr>
        <w:spacing w:line="480" w:lineRule="exact"/>
        <w:ind w:firstLine="420"/>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zh-CN"/>
        </w:rPr>
        <w:t>5.4公共厕所的周围应适当绿化、美化。</w:t>
      </w:r>
    </w:p>
    <w:p>
      <w:pPr>
        <w:spacing w:line="480" w:lineRule="exact"/>
        <w:rPr>
          <w:rFonts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rPr>
        <w:t xml:space="preserve">   5.5</w:t>
      </w:r>
      <w:r>
        <w:rPr>
          <w:rFonts w:hint="eastAsia" w:ascii="仿宋" w:hAnsi="仿宋" w:eastAsia="仿宋" w:cs="仿宋"/>
          <w:color w:val="auto"/>
          <w:kern w:val="1"/>
          <w:sz w:val="28"/>
          <w:szCs w:val="28"/>
          <w:highlight w:val="none"/>
          <w:lang w:val="zh-CN"/>
        </w:rPr>
        <w:t>公厕保洁以“十无、七净、两通、两完好”为标准。</w:t>
      </w:r>
    </w:p>
    <w:p>
      <w:p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十无即：无纸片、无烟蒂、无粪迹、无痰迹、无积灰、无臭味、无苍蝇、无蛛网、无粪便满溢、地无积水。</w:t>
      </w:r>
    </w:p>
    <w:p>
      <w:p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七净即：环境净、屋顶净、门窗净、墙壁净、蹲位净、小便器净、设备净。</w:t>
      </w:r>
    </w:p>
    <w:p>
      <w:p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两通即：水电通、排粪便管道通。</w:t>
      </w:r>
    </w:p>
    <w:p>
      <w:pPr>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两完好即：建筑屋完好、设备完好。</w:t>
      </w:r>
    </w:p>
    <w:p>
      <w:pPr>
        <w:pStyle w:val="24"/>
        <w:spacing w:before="156" w:after="156" w:line="480" w:lineRule="exact"/>
        <w:ind w:firstLine="562"/>
        <w:rPr>
          <w:rFonts w:hint="default" w:ascii="仿宋" w:hAnsi="仿宋" w:eastAsia="仿宋" w:cs="仿宋"/>
          <w:b/>
          <w:bCs/>
          <w:color w:val="auto"/>
          <w:kern w:val="1"/>
          <w:sz w:val="28"/>
          <w:szCs w:val="28"/>
          <w:highlight w:val="none"/>
          <w:lang w:val="en-US" w:eastAsia="zh-CN" w:bidi="ar-SA"/>
        </w:rPr>
      </w:pPr>
      <w:r>
        <w:rPr>
          <w:rFonts w:hint="eastAsia" w:ascii="仿宋" w:hAnsi="仿宋" w:eastAsia="仿宋" w:cs="仿宋"/>
          <w:b/>
          <w:bCs/>
          <w:color w:val="auto"/>
          <w:kern w:val="1"/>
          <w:sz w:val="28"/>
          <w:szCs w:val="28"/>
          <w:highlight w:val="none"/>
          <w:lang w:val="en-US" w:eastAsia="zh-CN" w:bidi="ar-SA"/>
        </w:rPr>
        <w:t>6.华埠城区及205国道沿线餐厨垃圾收集、清运</w:t>
      </w:r>
    </w:p>
    <w:p>
      <w:pPr>
        <w:spacing w:line="480" w:lineRule="exact"/>
        <w:ind w:firstLine="420"/>
        <w:rPr>
          <w:rFonts w:hint="eastAsia"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lang w:val="en-US" w:eastAsia="zh-CN"/>
        </w:rPr>
        <w:t>6.1</w:t>
      </w:r>
      <w:r>
        <w:rPr>
          <w:rFonts w:hint="eastAsia" w:ascii="仿宋" w:hAnsi="仿宋" w:eastAsia="仿宋" w:cs="仿宋"/>
          <w:color w:val="auto"/>
          <w:kern w:val="1"/>
          <w:sz w:val="28"/>
          <w:szCs w:val="28"/>
          <w:highlight w:val="none"/>
          <w:lang w:val="zh-CN"/>
        </w:rPr>
        <w:t>车辆设置统一的餐厨垃圾收运标识，公布公司名称与监督电话</w:t>
      </w:r>
      <w:r>
        <w:rPr>
          <w:rFonts w:hint="eastAsia" w:ascii="仿宋" w:hAnsi="仿宋" w:eastAsia="仿宋" w:cs="仿宋"/>
          <w:color w:val="auto"/>
          <w:kern w:val="1"/>
          <w:sz w:val="28"/>
          <w:szCs w:val="28"/>
          <w:highlight w:val="none"/>
          <w:lang w:val="zh-CN" w:eastAsia="zh-CN"/>
        </w:rPr>
        <w:t>。</w:t>
      </w:r>
    </w:p>
    <w:p>
      <w:pPr>
        <w:spacing w:line="480" w:lineRule="exact"/>
        <w:ind w:firstLine="420"/>
        <w:rPr>
          <w:rFonts w:hint="eastAsia"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lang w:val="en-US" w:eastAsia="zh-CN"/>
        </w:rPr>
        <w:t>6.2</w:t>
      </w:r>
      <w:r>
        <w:rPr>
          <w:rFonts w:hint="eastAsia" w:ascii="仿宋" w:hAnsi="仿宋" w:eastAsia="仿宋" w:cs="仿宋"/>
          <w:color w:val="auto"/>
          <w:kern w:val="1"/>
          <w:sz w:val="28"/>
          <w:szCs w:val="28"/>
          <w:highlight w:val="none"/>
          <w:lang w:val="zh-CN"/>
        </w:rPr>
        <w:t>收运车辆具有的全密闭和防滴漏装置完好，无滴漏撒现象</w:t>
      </w:r>
      <w:r>
        <w:rPr>
          <w:rFonts w:hint="eastAsia" w:ascii="仿宋" w:hAnsi="仿宋" w:eastAsia="仿宋" w:cs="仿宋"/>
          <w:color w:val="auto"/>
          <w:kern w:val="1"/>
          <w:sz w:val="28"/>
          <w:szCs w:val="28"/>
          <w:highlight w:val="none"/>
          <w:lang w:val="zh-CN" w:eastAsia="zh-CN"/>
        </w:rPr>
        <w:t>。</w:t>
      </w:r>
    </w:p>
    <w:p>
      <w:pPr>
        <w:spacing w:line="480" w:lineRule="exact"/>
        <w:ind w:firstLine="420"/>
        <w:rPr>
          <w:rFonts w:hint="eastAsia"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lang w:val="en-US" w:eastAsia="zh-CN"/>
        </w:rPr>
        <w:t>6.3</w:t>
      </w:r>
      <w:r>
        <w:rPr>
          <w:rFonts w:hint="eastAsia" w:ascii="仿宋" w:hAnsi="仿宋" w:eastAsia="仿宋" w:cs="仿宋"/>
          <w:color w:val="auto"/>
          <w:kern w:val="1"/>
          <w:sz w:val="28"/>
          <w:szCs w:val="28"/>
          <w:highlight w:val="none"/>
          <w:lang w:val="zh-CN"/>
        </w:rPr>
        <w:t>收运过程中车辆停靠不得妨碍道路交通，收运过程中车辆须文明驾驶，遵守交通规则</w:t>
      </w:r>
      <w:r>
        <w:rPr>
          <w:rFonts w:hint="eastAsia" w:ascii="仿宋" w:hAnsi="仿宋" w:eastAsia="仿宋" w:cs="仿宋"/>
          <w:color w:val="auto"/>
          <w:kern w:val="1"/>
          <w:sz w:val="28"/>
          <w:szCs w:val="28"/>
          <w:highlight w:val="none"/>
          <w:lang w:val="zh-CN" w:eastAsia="zh-CN"/>
        </w:rPr>
        <w:t>。</w:t>
      </w:r>
    </w:p>
    <w:p>
      <w:pPr>
        <w:spacing w:line="480" w:lineRule="exact"/>
        <w:ind w:firstLine="420"/>
        <w:rPr>
          <w:rFonts w:hint="eastAsia" w:ascii="仿宋" w:hAnsi="仿宋" w:eastAsia="仿宋" w:cs="仿宋"/>
          <w:color w:val="auto"/>
          <w:kern w:val="1"/>
          <w:sz w:val="28"/>
          <w:szCs w:val="28"/>
          <w:highlight w:val="none"/>
          <w:lang w:val="zh-CN"/>
        </w:rPr>
      </w:pPr>
      <w:r>
        <w:rPr>
          <w:rFonts w:hint="eastAsia" w:ascii="仿宋" w:hAnsi="仿宋" w:eastAsia="仿宋" w:cs="仿宋"/>
          <w:color w:val="auto"/>
          <w:kern w:val="1"/>
          <w:sz w:val="28"/>
          <w:szCs w:val="28"/>
          <w:highlight w:val="none"/>
          <w:lang w:val="en-US" w:eastAsia="zh-CN"/>
        </w:rPr>
        <w:t>6.4餐厨垃圾日产日清，</w:t>
      </w:r>
      <w:r>
        <w:rPr>
          <w:rFonts w:hint="eastAsia" w:ascii="仿宋" w:hAnsi="仿宋" w:eastAsia="仿宋" w:cs="仿宋"/>
          <w:color w:val="auto"/>
          <w:kern w:val="1"/>
          <w:sz w:val="28"/>
          <w:szCs w:val="28"/>
          <w:highlight w:val="none"/>
          <w:lang w:val="zh-CN"/>
        </w:rPr>
        <w:t>禁止一天内出现10家以上餐厨垃圾未被收运。</w:t>
      </w:r>
    </w:p>
    <w:p>
      <w:pPr>
        <w:spacing w:line="480" w:lineRule="exact"/>
        <w:ind w:firstLine="420"/>
        <w:rPr>
          <w:rFonts w:hint="default"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lang w:val="en-US" w:eastAsia="zh-CN"/>
        </w:rPr>
        <w:t>6.5</w:t>
      </w:r>
      <w:r>
        <w:rPr>
          <w:rFonts w:hint="eastAsia" w:ascii="仿宋" w:hAnsi="仿宋" w:eastAsia="仿宋" w:cs="仿宋"/>
          <w:color w:val="auto"/>
          <w:kern w:val="1"/>
          <w:sz w:val="28"/>
          <w:szCs w:val="28"/>
          <w:highlight w:val="none"/>
          <w:lang w:val="zh-CN"/>
        </w:rPr>
        <w:t>服从市、区管理部门对于重大活动期间餐厨垃圾管理工作的统一安排。</w:t>
      </w: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pStyle w:val="24"/>
        <w:spacing w:before="156" w:after="156" w:line="480" w:lineRule="exact"/>
        <w:ind w:firstLine="562"/>
        <w:rPr>
          <w:rFonts w:ascii="仿宋" w:hAnsi="仿宋" w:eastAsia="仿宋" w:cs="仿宋"/>
          <w:b/>
          <w:color w:val="auto"/>
          <w:sz w:val="28"/>
          <w:szCs w:val="28"/>
          <w:highlight w:val="none"/>
        </w:rPr>
      </w:pPr>
    </w:p>
    <w:p>
      <w:pPr>
        <w:widowControl/>
        <w:spacing w:beforeLines="30" w:afterLines="30"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附件三：</w:t>
      </w:r>
    </w:p>
    <w:p>
      <w:pPr>
        <w:spacing w:line="480" w:lineRule="exact"/>
        <w:jc w:val="center"/>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华埠镇城市道路市场化运作保洁管理考核办法</w:t>
      </w:r>
    </w:p>
    <w:p>
      <w:pPr>
        <w:spacing w:line="480" w:lineRule="exact"/>
        <w:ind w:firstLine="544" w:firstLineChars="200"/>
        <w:rPr>
          <w:rFonts w:ascii="仿宋" w:hAnsi="仿宋" w:eastAsia="仿宋" w:cs="仿宋"/>
          <w:color w:val="auto"/>
          <w:spacing w:val="-4"/>
          <w:kern w:val="21"/>
          <w:sz w:val="28"/>
          <w:szCs w:val="28"/>
          <w:highlight w:val="none"/>
        </w:rPr>
      </w:pPr>
      <w:r>
        <w:rPr>
          <w:rFonts w:hint="eastAsia" w:ascii="仿宋" w:hAnsi="仿宋" w:eastAsia="仿宋" w:cs="仿宋"/>
          <w:color w:val="auto"/>
          <w:spacing w:val="-4"/>
          <w:kern w:val="21"/>
          <w:sz w:val="28"/>
          <w:szCs w:val="28"/>
          <w:highlight w:val="none"/>
        </w:rPr>
        <w:t>为切实提高城市道路环境卫生质量，提升环卫管理水平，完善城区环境卫生长效管理机制，依照华埠镇城市道路市场化运作保洁分类管理考核评分细则（见附件），制订该考核办法。</w:t>
      </w:r>
    </w:p>
    <w:p>
      <w:pPr>
        <w:spacing w:line="480" w:lineRule="exact"/>
        <w:ind w:firstLine="420"/>
        <w:rPr>
          <w:rFonts w:ascii="仿宋" w:hAnsi="仿宋" w:eastAsia="仿宋" w:cs="仿宋"/>
          <w:b/>
          <w:color w:val="auto"/>
          <w:kern w:val="1"/>
          <w:sz w:val="28"/>
          <w:szCs w:val="28"/>
          <w:highlight w:val="none"/>
        </w:rPr>
      </w:pPr>
      <w:r>
        <w:rPr>
          <w:rFonts w:hint="eastAsia" w:ascii="仿宋" w:hAnsi="仿宋" w:eastAsia="仿宋" w:cs="仿宋"/>
          <w:color w:val="auto"/>
          <w:kern w:val="1"/>
          <w:sz w:val="28"/>
          <w:szCs w:val="28"/>
          <w:highlight w:val="none"/>
        </w:rPr>
        <w:t>一、</w:t>
      </w:r>
      <w:r>
        <w:rPr>
          <w:rFonts w:hint="eastAsia" w:ascii="仿宋" w:hAnsi="仿宋" w:eastAsia="仿宋" w:cs="仿宋"/>
          <w:b/>
          <w:color w:val="auto"/>
          <w:kern w:val="1"/>
          <w:sz w:val="28"/>
          <w:szCs w:val="28"/>
          <w:highlight w:val="none"/>
        </w:rPr>
        <w:t>考核范围及对象</w:t>
      </w:r>
    </w:p>
    <w:p>
      <w:pPr>
        <w:spacing w:line="480" w:lineRule="exact"/>
        <w:ind w:firstLine="420"/>
        <w:rPr>
          <w:rFonts w:ascii="仿宋" w:hAnsi="仿宋" w:eastAsia="仿宋" w:cs="仿宋"/>
          <w:color w:val="auto"/>
          <w:spacing w:val="-4"/>
          <w:kern w:val="21"/>
          <w:sz w:val="28"/>
          <w:szCs w:val="28"/>
          <w:highlight w:val="none"/>
        </w:rPr>
      </w:pPr>
      <w:r>
        <w:rPr>
          <w:rFonts w:hint="eastAsia" w:ascii="仿宋" w:hAnsi="仿宋" w:eastAsia="仿宋" w:cs="仿宋"/>
          <w:color w:val="auto"/>
          <w:spacing w:val="-4"/>
          <w:kern w:val="21"/>
          <w:sz w:val="28"/>
          <w:szCs w:val="28"/>
          <w:highlight w:val="none"/>
          <w:lang w:eastAsia="zh-CN"/>
        </w:rPr>
        <w:t>开化县华埠镇城区环卫作业一体化服务采购项目</w:t>
      </w:r>
      <w:r>
        <w:rPr>
          <w:rFonts w:hint="eastAsia" w:ascii="仿宋" w:hAnsi="仿宋" w:eastAsia="仿宋" w:cs="仿宋"/>
          <w:color w:val="auto"/>
          <w:spacing w:val="-4"/>
          <w:kern w:val="21"/>
          <w:sz w:val="28"/>
          <w:szCs w:val="28"/>
          <w:highlight w:val="none"/>
        </w:rPr>
        <w:t>所包含的所有保洁区域以及本次招标的中标人。</w:t>
      </w:r>
    </w:p>
    <w:p>
      <w:pPr>
        <w:spacing w:line="480" w:lineRule="exact"/>
        <w:ind w:firstLine="422"/>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二、考核内容</w:t>
      </w:r>
    </w:p>
    <w:p>
      <w:pPr>
        <w:pStyle w:val="87"/>
        <w:spacing w:before="0" w:line="480" w:lineRule="exact"/>
        <w:ind w:firstLine="56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依据《华埠镇城市道路保洁分类管理考核评分标准》、《城市环境卫生作业规范》和招标合同的相关规定，针对道路作业指标、清扫保洁质量情况、环卫设施管理情况、作业规范执行情况、安全管理落实情况、管理指标落实情况、监督管理落实情况等进行考核，考核分值直接与清扫保洁经费核拨挂钩，依据检查考核结果核减相应保洁经费。</w:t>
      </w:r>
    </w:p>
    <w:p>
      <w:pPr>
        <w:pStyle w:val="87"/>
        <w:spacing w:before="0" w:line="480" w:lineRule="exact"/>
        <w:ind w:firstLine="56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1.成交供应商在合同期内必须达到规定的人员及设备配置要求。</w:t>
      </w:r>
    </w:p>
    <w:p>
      <w:pPr>
        <w:pStyle w:val="87"/>
        <w:spacing w:before="0" w:line="480" w:lineRule="exact"/>
        <w:ind w:firstLine="56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2.华埠镇江东新区、老城区、国道省道县道等地段道路、路面干净整洁，无暴露垃圾、污水、污迹、渣土、烟蒂、纸屑、果皮等，路面见本色。交接部，路面树穴、花坛、绿化带、绿化地要保持整洁干净，无卫生死角，无垃圾过夜。</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3.道路上设置的窑井盖、集水井盖、阴沟要保持整洁卫生，出现堵塞，要及时上报、疏通。</w:t>
      </w:r>
    </w:p>
    <w:p>
      <w:pPr>
        <w:pStyle w:val="87"/>
        <w:spacing w:before="0" w:line="480" w:lineRule="exact"/>
        <w:ind w:firstLine="56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4.保持道路面环卫设施完好整洁，人行道路面果壳箱、垃圾桶等垃圾容器要保持清洁卫生，完好无损。出现破旧、污染或丢失的要及时修复、清洗更换。</w:t>
      </w:r>
    </w:p>
    <w:p>
      <w:pPr>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5.清扫保洁工作要按时清扫保洁，并要统一穿着反光工作服、佩戴上岗证上路清扫保洁，作业机具要保持外观整洁。</w:t>
      </w:r>
    </w:p>
    <w:p>
      <w:pPr>
        <w:pStyle w:val="87"/>
        <w:spacing w:before="0" w:line="480" w:lineRule="exact"/>
        <w:ind w:firstLine="56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6.沿街道路两侧商铺产生的垃圾，必须做到每天不少于2次上门收集。委托垃圾清运服务单位及沿街垃圾桶、果壳箱、垃圾房的生活垃圾，做到每天不少于二次清运，即满即清，确保垃圾无满溢、无堆积，收集的垃圾必须运至规定垃圾</w:t>
      </w:r>
      <w:r>
        <w:rPr>
          <w:rFonts w:hint="eastAsia" w:ascii="仿宋" w:hAnsi="仿宋" w:eastAsia="仿宋" w:cs="仿宋"/>
          <w:color w:val="auto"/>
          <w:kern w:val="1"/>
          <w:sz w:val="28"/>
          <w:szCs w:val="28"/>
          <w:highlight w:val="none"/>
          <w:lang w:eastAsia="zh-CN"/>
        </w:rPr>
        <w:t>中转站</w:t>
      </w:r>
      <w:r>
        <w:rPr>
          <w:rFonts w:hint="eastAsia" w:ascii="仿宋" w:hAnsi="仿宋" w:eastAsia="仿宋" w:cs="仿宋"/>
          <w:color w:val="auto"/>
          <w:kern w:val="1"/>
          <w:sz w:val="28"/>
          <w:szCs w:val="28"/>
          <w:highlight w:val="none"/>
        </w:rPr>
        <w:t>处理，不得随意倾倒、焚烧垃圾。成交供应商不得私自向沿街商铺和个人收取任何有偿服务费用。</w:t>
      </w:r>
    </w:p>
    <w:p>
      <w:pPr>
        <w:pStyle w:val="87"/>
        <w:spacing w:before="0" w:line="480" w:lineRule="exact"/>
        <w:ind w:firstLine="560"/>
        <w:rPr>
          <w:rFonts w:hint="eastAsia" w:ascii="仿宋" w:hAnsi="仿宋" w:eastAsia="宋体" w:cs="仿宋"/>
          <w:color w:val="auto"/>
          <w:kern w:val="1"/>
          <w:sz w:val="28"/>
          <w:szCs w:val="28"/>
          <w:highlight w:val="none"/>
          <w:lang w:eastAsia="zh-CN"/>
        </w:rPr>
      </w:pPr>
      <w:r>
        <w:rPr>
          <w:rFonts w:hint="eastAsia" w:ascii="仿宋" w:hAnsi="仿宋" w:eastAsia="仿宋" w:cs="仿宋"/>
          <w:color w:val="auto"/>
          <w:kern w:val="1"/>
          <w:sz w:val="28"/>
          <w:szCs w:val="28"/>
          <w:highlight w:val="none"/>
        </w:rPr>
        <w:t>7.</w:t>
      </w:r>
      <w:r>
        <w:rPr>
          <w:rFonts w:hint="eastAsia" w:ascii="仿宋" w:hAnsi="仿宋" w:eastAsia="仿宋" w:cs="仿宋"/>
          <w:color w:val="auto"/>
          <w:kern w:val="1"/>
          <w:sz w:val="28"/>
          <w:szCs w:val="28"/>
          <w:highlight w:val="none"/>
          <w:lang w:val="en-US" w:eastAsia="zh-CN"/>
        </w:rPr>
        <w:t>华埠城区及205国道沿线</w:t>
      </w:r>
      <w:r>
        <w:rPr>
          <w:rFonts w:hint="eastAsia" w:ascii="仿宋" w:hAnsi="仿宋" w:eastAsia="仿宋" w:cs="仿宋"/>
          <w:color w:val="auto"/>
          <w:kern w:val="1"/>
          <w:sz w:val="28"/>
          <w:szCs w:val="28"/>
          <w:highlight w:val="none"/>
          <w:lang w:eastAsia="zh-CN"/>
        </w:rPr>
        <w:t>餐厨、厨余垃圾</w:t>
      </w:r>
      <w:r>
        <w:rPr>
          <w:rFonts w:hint="eastAsia" w:ascii="仿宋" w:hAnsi="仿宋" w:eastAsia="仿宋" w:cs="仿宋"/>
          <w:color w:val="auto"/>
          <w:kern w:val="1"/>
          <w:sz w:val="28"/>
          <w:szCs w:val="28"/>
          <w:highlight w:val="none"/>
        </w:rPr>
        <w:t>收集运输作业服务</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rPr>
        <w:t>成交供应商不得私自向沿街商铺和个人收取任何有偿服务费用。</w:t>
      </w:r>
    </w:p>
    <w:p>
      <w:pPr>
        <w:pStyle w:val="87"/>
        <w:spacing w:before="0" w:line="480" w:lineRule="exact"/>
        <w:ind w:firstLine="56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8.</w:t>
      </w:r>
      <w:r>
        <w:rPr>
          <w:rFonts w:hint="eastAsia" w:ascii="仿宋" w:hAnsi="仿宋" w:eastAsia="仿宋" w:cs="仿宋"/>
          <w:color w:val="auto"/>
          <w:kern w:val="1"/>
          <w:sz w:val="28"/>
          <w:szCs w:val="28"/>
          <w:highlight w:val="none"/>
        </w:rPr>
        <w:t>必须做好标段内重大活动、各项检查及突发应急事件的卫生保障方案。</w:t>
      </w:r>
    </w:p>
    <w:p>
      <w:pPr>
        <w:pStyle w:val="22"/>
        <w:spacing w:line="480" w:lineRule="exact"/>
        <w:ind w:firstLine="420"/>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四、考核方式</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由发包人组织实施考核。考核评分采取百分制，按照日常考核、定期考核和不定期检查相结合的方式进行，定期考核每周组织一次，不定期检查每月不少于一次，如需中标人配合的，将提前一小时通知该单位派人员参加。</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日常考核：由发包人开展日常现场巡查工作，发现存在问题当场记录，即时通知作业服务单位赴现场确认并落实整改；发现严重问题除拍照外，还应要求其现场签名确认，并书面告知，形成检查记录，同时根据考核评分标准予以相应扣分，按月度进行评分。</w:t>
      </w:r>
    </w:p>
    <w:p>
      <w:pPr>
        <w:snapToGrid w:val="0"/>
        <w:spacing w:line="480" w:lineRule="exact"/>
        <w:ind w:firstLine="560" w:firstLineChars="200"/>
        <w:rPr>
          <w:rFonts w:ascii="仿宋" w:hAnsi="仿宋" w:eastAsia="仿宋" w:cs="仿宋"/>
          <w:color w:val="auto"/>
          <w:kern w:val="1"/>
          <w:sz w:val="28"/>
          <w:szCs w:val="28"/>
          <w:highlight w:val="none"/>
        </w:rPr>
      </w:pPr>
      <w:r>
        <w:rPr>
          <w:rFonts w:hint="eastAsia" w:ascii="仿宋" w:hAnsi="仿宋" w:eastAsia="仿宋" w:cs="仿宋"/>
          <w:color w:val="auto"/>
          <w:kern w:val="56"/>
          <w:sz w:val="28"/>
          <w:szCs w:val="28"/>
          <w:highlight w:val="none"/>
          <w:shd w:val="clear" w:color="auto" w:fill="FFFFFF"/>
        </w:rPr>
        <w:t>2.月度考核：由发包人组织考核组对承包作业单位每项作业内容按照一定的比例随机抽查，定期考核不少于</w:t>
      </w:r>
      <w:r>
        <w:rPr>
          <w:rFonts w:hint="eastAsia" w:ascii="仿宋" w:hAnsi="仿宋" w:eastAsia="仿宋" w:cs="仿宋"/>
          <w:color w:val="auto"/>
          <w:kern w:val="56"/>
          <w:sz w:val="28"/>
          <w:szCs w:val="28"/>
          <w:highlight w:val="none"/>
          <w:shd w:val="clear" w:color="auto" w:fill="FFFFFF"/>
          <w:lang w:eastAsia="zh-CN"/>
        </w:rPr>
        <w:t>一</w:t>
      </w:r>
      <w:r>
        <w:rPr>
          <w:rFonts w:hint="eastAsia" w:ascii="仿宋" w:hAnsi="仿宋" w:eastAsia="仿宋" w:cs="仿宋"/>
          <w:color w:val="auto"/>
          <w:kern w:val="56"/>
          <w:sz w:val="28"/>
          <w:szCs w:val="28"/>
          <w:highlight w:val="none"/>
          <w:shd w:val="clear" w:color="auto" w:fill="FFFFFF"/>
        </w:rPr>
        <w:t>次，对照环卫作业考核要求和扣分标准进行考核评分，并出具月度考核通报。</w:t>
      </w:r>
    </w:p>
    <w:p>
      <w:pPr>
        <w:spacing w:line="480" w:lineRule="exact"/>
        <w:ind w:firstLine="420"/>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五、检查考核流程</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1.组织现场检查。检查组赴现场进行检查，对发现的问题检查人员在统一格式的检查表格上如实、详细、准确地登记。</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2.检查考核计分。每次检查，各级检查组根据考核评分标准现场进行评分，检查组成员签字确认。</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3.汇总检查资料。</w:t>
      </w:r>
      <w:r>
        <w:rPr>
          <w:rFonts w:hint="eastAsia" w:ascii="仿宋" w:hAnsi="仿宋" w:eastAsia="仿宋" w:cs="仿宋"/>
          <w:color w:val="auto"/>
          <w:kern w:val="56"/>
          <w:sz w:val="28"/>
          <w:szCs w:val="28"/>
          <w:highlight w:val="none"/>
          <w:shd w:val="clear" w:color="auto" w:fill="FFFFFF"/>
          <w:lang w:eastAsia="zh-CN"/>
        </w:rPr>
        <w:t>考核组</w:t>
      </w:r>
      <w:r>
        <w:rPr>
          <w:rFonts w:hint="eastAsia" w:ascii="仿宋" w:hAnsi="仿宋" w:eastAsia="仿宋" w:cs="仿宋"/>
          <w:color w:val="auto"/>
          <w:kern w:val="56"/>
          <w:sz w:val="28"/>
          <w:szCs w:val="28"/>
          <w:highlight w:val="none"/>
          <w:shd w:val="clear" w:color="auto" w:fill="FFFFFF"/>
        </w:rPr>
        <w:t>对当天检查考核结果应制成两份，一份自行保管，一份报送所办存档；综合检查考核小组考核结果及所领导督查考核情况由所办统一存档。</w:t>
      </w:r>
      <w:r>
        <w:rPr>
          <w:rFonts w:hint="eastAsia" w:ascii="仿宋" w:hAnsi="仿宋" w:eastAsia="仿宋" w:cs="仿宋"/>
          <w:color w:val="auto"/>
          <w:kern w:val="56"/>
          <w:sz w:val="28"/>
          <w:szCs w:val="28"/>
          <w:highlight w:val="none"/>
          <w:shd w:val="clear" w:color="auto" w:fill="FFFFFF"/>
          <w:lang w:eastAsia="zh-CN"/>
        </w:rPr>
        <w:t>集镇办</w:t>
      </w:r>
      <w:r>
        <w:rPr>
          <w:rFonts w:hint="eastAsia" w:ascii="仿宋" w:hAnsi="仿宋" w:eastAsia="仿宋" w:cs="仿宋"/>
          <w:color w:val="auto"/>
          <w:kern w:val="56"/>
          <w:sz w:val="28"/>
          <w:szCs w:val="28"/>
          <w:highlight w:val="none"/>
          <w:shd w:val="clear" w:color="auto" w:fill="FFFFFF"/>
        </w:rPr>
        <w:t>对每月所有考核结果进行登记核实，汇总扣分情况，核定作业公司保洁经费。</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4.反馈检查情况。考核组于次日将前一日检查考核中发现的问题以书面形式或电子文档形式告知保洁公司落实整改；所综合检查考核小组于检查结束后二个工作日内将检查考核中发现的问题以书面形式或电子文档形式告知保洁公司落实整改；</w:t>
      </w:r>
      <w:r>
        <w:rPr>
          <w:rFonts w:hint="eastAsia" w:ascii="仿宋" w:hAnsi="仿宋" w:eastAsia="仿宋" w:cs="仿宋"/>
          <w:color w:val="auto"/>
          <w:kern w:val="56"/>
          <w:sz w:val="28"/>
          <w:szCs w:val="28"/>
          <w:highlight w:val="none"/>
          <w:shd w:val="clear" w:color="auto" w:fill="FFFFFF"/>
          <w:lang w:eastAsia="zh-CN"/>
        </w:rPr>
        <w:t>集镇办</w:t>
      </w:r>
      <w:r>
        <w:rPr>
          <w:rFonts w:hint="eastAsia" w:ascii="仿宋" w:hAnsi="仿宋" w:eastAsia="仿宋" w:cs="仿宋"/>
          <w:color w:val="auto"/>
          <w:kern w:val="56"/>
          <w:sz w:val="28"/>
          <w:szCs w:val="28"/>
          <w:highlight w:val="none"/>
          <w:shd w:val="clear" w:color="auto" w:fill="FFFFFF"/>
        </w:rPr>
        <w:t>每月月</w:t>
      </w:r>
      <w:r>
        <w:rPr>
          <w:rFonts w:hint="eastAsia" w:ascii="仿宋" w:hAnsi="仿宋" w:eastAsia="仿宋" w:cs="仿宋"/>
          <w:color w:val="auto"/>
          <w:kern w:val="56"/>
          <w:sz w:val="28"/>
          <w:szCs w:val="28"/>
          <w:highlight w:val="none"/>
          <w:shd w:val="clear" w:color="auto" w:fill="FFFFFF"/>
          <w:lang w:eastAsia="zh-CN"/>
        </w:rPr>
        <w:t>初</w:t>
      </w:r>
      <w:r>
        <w:rPr>
          <w:rFonts w:hint="eastAsia" w:ascii="仿宋" w:hAnsi="仿宋" w:eastAsia="仿宋" w:cs="仿宋"/>
          <w:color w:val="auto"/>
          <w:kern w:val="56"/>
          <w:sz w:val="28"/>
          <w:szCs w:val="28"/>
          <w:highlight w:val="none"/>
          <w:shd w:val="clear" w:color="auto" w:fill="FFFFFF"/>
        </w:rPr>
        <w:t>召开一次情况分析会，通报本月检查情况和所存在问题，落实整改措施。</w:t>
      </w:r>
    </w:p>
    <w:p>
      <w:pPr>
        <w:spacing w:line="480" w:lineRule="exact"/>
        <w:ind w:firstLine="420"/>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 xml:space="preserve">六、考核计分计费方法 </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月考核得分值＝100－（市容管理科考核总扣分值的平均分＋所综合检查考核小组考核总扣分值的平均分+所领导督查考核总扣分值的平均分）。月保洁经费按当月考核结果核算拨付。</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 xml:space="preserve">考核分达到97分（含）的为优秀，95分（含）以上为优良，91分（含）以上为达标，85分（含）以上为合格，85以下为不合格。 </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1.月考核97分（含97分）以上</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给予每分奖励1000元-2000元；</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2.月考核96-95分（含95分）</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环卫作业一体化服务经费不奖不罚。</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3.月考核94—91分（含91分）</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每下降1分扣除环卫作业一体化服务经费500元。</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4.月考核90—88分（含88分）</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每下降1分扣除环卫作业一体化服务经费1000元</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5.月考核87—85分（含85分）</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每下降1分扣除环卫作业一体化服务经费3000元。</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6.月考核85分以下</w:t>
      </w:r>
    </w:p>
    <w:p>
      <w:pPr>
        <w:snapToGrid w:val="0"/>
        <w:spacing w:line="48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扣除环卫作业一体化服务经费</w:t>
      </w:r>
      <w:r>
        <w:rPr>
          <w:rFonts w:hint="eastAsia" w:ascii="仿宋" w:hAnsi="仿宋" w:eastAsia="仿宋" w:cs="仿宋"/>
          <w:color w:val="auto"/>
          <w:kern w:val="56"/>
          <w:sz w:val="28"/>
          <w:szCs w:val="28"/>
          <w:highlight w:val="none"/>
          <w:shd w:val="clear" w:color="auto" w:fill="FFFFFF"/>
          <w:lang w:val="en-US" w:eastAsia="zh-CN"/>
        </w:rPr>
        <w:t>3</w:t>
      </w:r>
      <w:r>
        <w:rPr>
          <w:rFonts w:hint="eastAsia" w:ascii="仿宋" w:hAnsi="仿宋" w:eastAsia="仿宋" w:cs="仿宋"/>
          <w:color w:val="auto"/>
          <w:kern w:val="56"/>
          <w:sz w:val="28"/>
          <w:szCs w:val="28"/>
          <w:highlight w:val="none"/>
          <w:shd w:val="clear" w:color="auto" w:fill="FFFFFF"/>
        </w:rPr>
        <w:t>0000元。</w:t>
      </w:r>
    </w:p>
    <w:p>
      <w:pPr>
        <w:spacing w:line="480" w:lineRule="exact"/>
        <w:ind w:firstLine="420"/>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七、奖惩措施</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1"/>
          <w:sz w:val="28"/>
          <w:szCs w:val="28"/>
          <w:highlight w:val="none"/>
        </w:rPr>
        <w:t>1.1.对月考核在70分以下（含70分）的、一年内连续2次月考核在85分以下的、一年内累计3次月考核在85分以下的</w:t>
      </w:r>
      <w:r>
        <w:rPr>
          <w:rFonts w:hint="eastAsia" w:ascii="仿宋" w:hAnsi="仿宋" w:eastAsia="仿宋" w:cs="仿宋"/>
          <w:color w:val="auto"/>
          <w:sz w:val="28"/>
          <w:szCs w:val="28"/>
          <w:highlight w:val="none"/>
        </w:rPr>
        <w:t>或在上级检查活动因中标人原因被通报批评或造成严重恶劣不良影响的，采购人有权终止承包合同，</w:t>
      </w:r>
      <w:r>
        <w:rPr>
          <w:rFonts w:hint="eastAsia" w:ascii="仿宋" w:hAnsi="仿宋" w:eastAsia="仿宋" w:cs="仿宋"/>
          <w:color w:val="auto"/>
          <w:kern w:val="1"/>
          <w:sz w:val="28"/>
          <w:szCs w:val="28"/>
          <w:highlight w:val="none"/>
        </w:rPr>
        <w:t>并没收履约保证金。</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2.在承包期内发生重大安全事故的（非正常的人员死亡或负全责的重大车祸等），将取消承包合同。</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3.承包方必须按照发包方的要求时限进场，如达不到要求，将取消承包合同。</w:t>
      </w:r>
    </w:p>
    <w:p>
      <w:pPr>
        <w:spacing w:line="480" w:lineRule="exact"/>
        <w:ind w:firstLine="420"/>
        <w:rPr>
          <w:rFonts w:ascii="仿宋" w:hAnsi="仿宋" w:eastAsia="仿宋" w:cs="仿宋"/>
          <w:b/>
          <w:color w:val="auto"/>
          <w:kern w:val="1"/>
          <w:sz w:val="28"/>
          <w:szCs w:val="28"/>
          <w:highlight w:val="none"/>
        </w:rPr>
      </w:pPr>
      <w:r>
        <w:rPr>
          <w:rFonts w:hint="eastAsia" w:ascii="仿宋" w:hAnsi="仿宋" w:eastAsia="仿宋" w:cs="仿宋"/>
          <w:b/>
          <w:color w:val="auto"/>
          <w:kern w:val="1"/>
          <w:sz w:val="28"/>
          <w:szCs w:val="28"/>
          <w:highlight w:val="none"/>
        </w:rPr>
        <w:t>八、保障措施</w:t>
      </w:r>
    </w:p>
    <w:p>
      <w:pPr>
        <w:spacing w:line="480" w:lineRule="exact"/>
        <w:ind w:firstLine="42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1.纪律监督。检查考核人员要做到廉洁自律，秉公办事，文明工作，严格检查考核纪律，严格执行检查考核操作规程。做到检查考核工作客观、透明、公正。</w:t>
      </w:r>
    </w:p>
    <w:p>
      <w:pPr>
        <w:spacing w:line="480" w:lineRule="exact"/>
        <w:ind w:firstLine="42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2.信息查询。检查考核的信息和结果公开透明，接受监督和查询。</w:t>
      </w:r>
    </w:p>
    <w:p>
      <w:pPr>
        <w:spacing w:line="480" w:lineRule="exact"/>
        <w:ind w:firstLine="42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3.本《考核办法》由发包人负责解释和督办实施，发包人有权对本《考核方法》进行调整和修改。</w:t>
      </w: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pStyle w:val="19"/>
        <w:spacing w:line="480" w:lineRule="exact"/>
        <w:ind w:left="0" w:leftChars="0"/>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pStyle w:val="50"/>
        <w:rPr>
          <w:rFonts w:ascii="仿宋" w:hAnsi="仿宋" w:eastAsia="仿宋" w:cs="仿宋"/>
          <w:b/>
          <w:color w:val="auto"/>
          <w:sz w:val="28"/>
          <w:szCs w:val="28"/>
          <w:highlight w:val="none"/>
        </w:rPr>
      </w:pPr>
    </w:p>
    <w:p>
      <w:pPr>
        <w:pStyle w:val="50"/>
        <w:rPr>
          <w:rFonts w:ascii="仿宋" w:hAnsi="仿宋" w:eastAsia="仿宋" w:cs="仿宋"/>
          <w:b/>
          <w:color w:val="auto"/>
          <w:sz w:val="28"/>
          <w:szCs w:val="28"/>
          <w:highlight w:val="none"/>
        </w:rPr>
      </w:pPr>
    </w:p>
    <w:p>
      <w:pPr>
        <w:pStyle w:val="16"/>
        <w:spacing w:line="480" w:lineRule="exact"/>
        <w:rPr>
          <w:rFonts w:ascii="仿宋" w:hAnsi="仿宋" w:eastAsia="仿宋" w:cs="仿宋"/>
          <w:b/>
          <w:color w:val="auto"/>
          <w:sz w:val="28"/>
          <w:szCs w:val="28"/>
          <w:highlight w:val="none"/>
        </w:rPr>
      </w:pPr>
    </w:p>
    <w:p>
      <w:pPr>
        <w:pStyle w:val="38"/>
        <w:spacing w:line="480" w:lineRule="exact"/>
        <w:ind w:firstLine="562"/>
        <w:rPr>
          <w:rFonts w:ascii="仿宋" w:hAnsi="仿宋" w:eastAsia="仿宋" w:cs="仿宋"/>
          <w:b/>
          <w:color w:val="auto"/>
          <w:sz w:val="28"/>
          <w:szCs w:val="28"/>
          <w:highlight w:val="none"/>
        </w:rPr>
      </w:pPr>
    </w:p>
    <w:p>
      <w:pPr>
        <w:rPr>
          <w:color w:val="auto"/>
          <w:highlight w:val="none"/>
        </w:rPr>
      </w:pPr>
    </w:p>
    <w:p>
      <w:pPr>
        <w:pStyle w:val="30"/>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pStyle w:val="16"/>
        <w:spacing w:line="480" w:lineRule="exact"/>
        <w:rPr>
          <w:rFonts w:ascii="仿宋" w:hAnsi="仿宋" w:eastAsia="仿宋" w:cs="仿宋"/>
          <w:color w:val="auto"/>
          <w:sz w:val="28"/>
          <w:szCs w:val="28"/>
          <w:highlight w:val="none"/>
        </w:rPr>
      </w:pPr>
    </w:p>
    <w:p>
      <w:pPr>
        <w:pStyle w:val="30"/>
        <w:spacing w:line="480" w:lineRule="exact"/>
        <w:rPr>
          <w:rFonts w:ascii="仿宋" w:hAnsi="仿宋" w:eastAsia="仿宋" w:cs="仿宋"/>
          <w:b/>
          <w:color w:val="auto"/>
          <w:sz w:val="28"/>
          <w:szCs w:val="28"/>
          <w:highlight w:val="none"/>
        </w:rPr>
      </w:pPr>
    </w:p>
    <w:p>
      <w:pPr>
        <w:spacing w:line="480" w:lineRule="exact"/>
        <w:rPr>
          <w:rFonts w:ascii="仿宋" w:hAnsi="仿宋" w:eastAsia="仿宋" w:cs="仿宋"/>
          <w:b/>
          <w:color w:val="auto"/>
          <w:sz w:val="28"/>
          <w:szCs w:val="28"/>
          <w:highlight w:val="none"/>
        </w:rPr>
      </w:pPr>
    </w:p>
    <w:p>
      <w:pPr>
        <w:pStyle w:val="16"/>
        <w:rPr>
          <w:color w:val="auto"/>
          <w:highlight w:val="none"/>
        </w:rPr>
      </w:pPr>
    </w:p>
    <w:p>
      <w:pPr>
        <w:pStyle w:val="19"/>
        <w:spacing w:line="440" w:lineRule="exact"/>
        <w:jc w:val="both"/>
        <w:rPr>
          <w:rFonts w:hint="eastAsia"/>
          <w:b/>
          <w:color w:val="auto"/>
          <w:sz w:val="28"/>
          <w:szCs w:val="28"/>
          <w:highlight w:val="none"/>
        </w:rPr>
      </w:pPr>
      <w:r>
        <w:rPr>
          <w:b/>
          <w:color w:val="auto"/>
          <w:sz w:val="28"/>
          <w:szCs w:val="28"/>
          <w:highlight w:val="none"/>
        </w:rPr>
        <w:t>附件</w:t>
      </w:r>
      <w:r>
        <w:rPr>
          <w:rFonts w:hint="eastAsia"/>
          <w:b/>
          <w:color w:val="auto"/>
          <w:sz w:val="28"/>
          <w:szCs w:val="28"/>
          <w:highlight w:val="none"/>
        </w:rPr>
        <w:t>四：</w:t>
      </w:r>
    </w:p>
    <w:p>
      <w:pPr>
        <w:pStyle w:val="19"/>
        <w:spacing w:line="440" w:lineRule="exact"/>
        <w:jc w:val="center"/>
        <w:rPr>
          <w:b/>
          <w:color w:val="auto"/>
          <w:sz w:val="28"/>
          <w:szCs w:val="28"/>
          <w:highlight w:val="none"/>
        </w:rPr>
      </w:pPr>
      <w:r>
        <w:rPr>
          <w:rFonts w:hint="eastAsia"/>
          <w:b/>
          <w:color w:val="auto"/>
          <w:sz w:val="28"/>
          <w:szCs w:val="28"/>
          <w:highlight w:val="none"/>
        </w:rPr>
        <w:t>华埠镇城市道路保洁分类管理考核评分标准</w:t>
      </w:r>
    </w:p>
    <w:tbl>
      <w:tblPr>
        <w:tblStyle w:val="41"/>
        <w:tblpPr w:leftFromText="180" w:rightFromText="180" w:vertAnchor="text" w:horzAnchor="page" w:tblpX="1300" w:tblpY="540"/>
        <w:tblOverlap w:val="never"/>
        <w:tblW w:w="5000" w:type="pct"/>
        <w:tblInd w:w="0" w:type="dxa"/>
        <w:tblLayout w:type="fixed"/>
        <w:tblCellMar>
          <w:top w:w="0" w:type="dxa"/>
          <w:left w:w="57" w:type="dxa"/>
          <w:bottom w:w="0" w:type="dxa"/>
          <w:right w:w="57" w:type="dxa"/>
        </w:tblCellMar>
      </w:tblPr>
      <w:tblGrid>
        <w:gridCol w:w="745"/>
        <w:gridCol w:w="507"/>
        <w:gridCol w:w="1084"/>
        <w:gridCol w:w="6409"/>
        <w:gridCol w:w="667"/>
      </w:tblGrid>
      <w:tr>
        <w:tblPrEx>
          <w:tblCellMar>
            <w:top w:w="0" w:type="dxa"/>
            <w:left w:w="57" w:type="dxa"/>
            <w:bottom w:w="0" w:type="dxa"/>
            <w:right w:w="57" w:type="dxa"/>
          </w:tblCellMar>
        </w:tblPrEx>
        <w:tc>
          <w:tcPr>
            <w:tcW w:w="39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检 查</w:t>
            </w:r>
          </w:p>
          <w:p>
            <w:pPr>
              <w:spacing w:line="44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项 目</w:t>
            </w:r>
          </w:p>
        </w:tc>
        <w:tc>
          <w:tcPr>
            <w:tcW w:w="269"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检查</w:t>
            </w:r>
          </w:p>
          <w:p>
            <w:pPr>
              <w:spacing w:line="44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方式</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管理作业标准</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评分标准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考核人员</w:t>
            </w:r>
          </w:p>
        </w:tc>
      </w:tr>
      <w:tr>
        <w:tblPrEx>
          <w:tblCellMar>
            <w:top w:w="0" w:type="dxa"/>
            <w:left w:w="57" w:type="dxa"/>
            <w:bottom w:w="0" w:type="dxa"/>
            <w:right w:w="57" w:type="dxa"/>
          </w:tblCellMar>
        </w:tblPrEx>
        <w:trPr>
          <w:trHeight w:val="922" w:hRule="atLeast"/>
        </w:trPr>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（一）</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作业</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规范</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管理</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落实</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情况</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台</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帐</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检</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查</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保洁方案</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4"/>
                <w:kern w:val="21"/>
                <w:sz w:val="24"/>
                <w:highlight w:val="none"/>
              </w:rPr>
            </w:pPr>
            <w:r>
              <w:rPr>
                <w:rFonts w:hint="eastAsia" w:ascii="仿宋" w:hAnsi="仿宋" w:eastAsia="仿宋" w:cs="仿宋"/>
                <w:color w:val="auto"/>
                <w:spacing w:val="-4"/>
                <w:kern w:val="21"/>
                <w:sz w:val="24"/>
                <w:highlight w:val="none"/>
              </w:rPr>
              <w:t>1、各项整治、重大活动时未制定工作方案的每项每次扣1分。扣分值作当月累加。未按招标要求落实路面分类保洁标准的，每岗位每次扣2分。经督查还未落实的每处扣5分，扣分值作当月累加并给予警告。</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spacing w:val="-4"/>
                <w:kern w:val="21"/>
                <w:sz w:val="24"/>
                <w:highlight w:val="none"/>
              </w:rPr>
            </w:pPr>
            <w:r>
              <w:rPr>
                <w:rFonts w:hint="eastAsia" w:ascii="仿宋" w:hAnsi="仿宋" w:eastAsia="仿宋" w:cs="仿宋"/>
                <w:color w:val="auto"/>
                <w:kern w:val="21"/>
                <w:sz w:val="24"/>
                <w:highlight w:val="none"/>
              </w:rPr>
              <w:t>集镇办、社区</w:t>
            </w:r>
          </w:p>
        </w:tc>
      </w:tr>
      <w:tr>
        <w:tblPrEx>
          <w:tblCellMar>
            <w:top w:w="0" w:type="dxa"/>
            <w:left w:w="57" w:type="dxa"/>
            <w:bottom w:w="0" w:type="dxa"/>
            <w:right w:w="57" w:type="dxa"/>
          </w:tblCellMar>
        </w:tblPrEx>
        <w:trPr>
          <w:trHeight w:val="363"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人员结构</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2、保洁作业人员数量及年龄未达到招标要求的，每次扣1分。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657"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设备配置</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3、未按投标要求落实配置设备的，每少一辆车扣1分。经督查还未落实的扣2分，扣分值作当月累加并给予警告。</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824"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数据台账</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4、</w:t>
            </w:r>
            <w:r>
              <w:rPr>
                <w:rFonts w:hint="eastAsia" w:ascii="仿宋" w:hAnsi="仿宋" w:eastAsia="仿宋" w:cs="仿宋"/>
                <w:color w:val="auto"/>
                <w:sz w:val="24"/>
                <w:szCs w:val="24"/>
                <w:highlight w:val="none"/>
                <w:lang w:val="en-US" w:eastAsia="zh-CN"/>
              </w:rPr>
              <w:t>按要求做好作业台账、安全生产台账、创文创卫台账等，单项台账不完善的酌情扣1分，对单项台账缺失的每项扣3分。</w:t>
            </w:r>
            <w:r>
              <w:rPr>
                <w:rFonts w:hint="eastAsia" w:ascii="仿宋" w:hAnsi="仿宋" w:eastAsia="仿宋" w:cs="仿宋"/>
                <w:color w:val="auto"/>
                <w:kern w:val="1"/>
                <w:sz w:val="24"/>
                <w:highlight w:val="none"/>
              </w:rPr>
              <w:t>未及时上报作业计划、保洁、清运、机械化作业等数据台账及重大活动工作方案，每项每次扣0.5分，经督查还未上报的扣1分。扣分值作当月累加并给予警告。</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950"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安全生产</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4"/>
                <w:kern w:val="21"/>
                <w:sz w:val="24"/>
                <w:highlight w:val="none"/>
              </w:rPr>
            </w:pPr>
            <w:r>
              <w:rPr>
                <w:rFonts w:hint="eastAsia" w:ascii="仿宋" w:hAnsi="仿宋" w:eastAsia="仿宋" w:cs="仿宋"/>
                <w:color w:val="auto"/>
                <w:spacing w:val="-4"/>
                <w:kern w:val="21"/>
                <w:sz w:val="24"/>
                <w:highlight w:val="none"/>
              </w:rPr>
              <w:t>5、未按规定时间完成一线道路保洁员安全生产全面轮训的每次扣3分，未按时上报轮训记录的每次扣1.5分，未对新录用环卫工人进行安全生产培训就安排上岗的每次扣1分，未按时上报培训情况的扣0.5分。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spacing w:val="-4"/>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894"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2"/>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2"/>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用工制度</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6、未按要求跟</w:t>
            </w:r>
            <w:r>
              <w:rPr>
                <w:rFonts w:hint="eastAsia" w:ascii="仿宋" w:hAnsi="仿宋" w:eastAsia="仿宋" w:cs="仿宋"/>
                <w:color w:val="auto"/>
                <w:sz w:val="24"/>
                <w:highlight w:val="none"/>
              </w:rPr>
              <w:t>服务范围</w:t>
            </w:r>
            <w:r>
              <w:rPr>
                <w:rFonts w:hint="eastAsia" w:ascii="仿宋" w:hAnsi="仿宋" w:eastAsia="仿宋" w:cs="仿宋"/>
                <w:color w:val="auto"/>
                <w:kern w:val="1"/>
                <w:sz w:val="24"/>
                <w:highlight w:val="none"/>
              </w:rPr>
              <w:t>内所有员工签订劳动合同的或发放员工工资低于本县最低保障工资标准的，每发现一人次扣1分，扣分值作当月累加。经管理部门督查作业单位仍未改正的，终止合同没收履约保证金。</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（二）</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环卫</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设施</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管理</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落实</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情况</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现</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场</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检</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查</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垃圾容器（果壳箱）摆放规范</w:t>
            </w:r>
          </w:p>
        </w:tc>
        <w:tc>
          <w:tcPr>
            <w:tcW w:w="3404" w:type="pct"/>
            <w:tcBorders>
              <w:top w:val="single" w:color="000000" w:sz="4" w:space="0"/>
              <w:left w:val="single" w:color="000000" w:sz="4" w:space="0"/>
              <w:bottom w:val="single" w:color="000000" w:sz="4" w:space="0"/>
              <w:right w:val="single" w:color="000000" w:sz="4" w:space="0"/>
            </w:tcBorders>
            <w:noWrap/>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7、果壳箱倾斜的，每只扣0.5分，未按操作规范作业造成破损的扣1分。垃圾容器不整洁有污垢的，每处扣0.5分，环卫容器缺失、垃圾桶不入房，每处扣0.5分。果壳箱内胆、垃圾桶未摆放原位每处扣0.5分；果壳箱、垃圾桶、房未密闭，每处扣0.1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集镇办、社区</w:t>
            </w:r>
          </w:p>
        </w:tc>
      </w:tr>
      <w:tr>
        <w:tblPrEx>
          <w:tblCellMar>
            <w:top w:w="0" w:type="dxa"/>
            <w:left w:w="57" w:type="dxa"/>
            <w:bottom w:w="0" w:type="dxa"/>
            <w:right w:w="57" w:type="dxa"/>
          </w:tblCellMar>
        </w:tblPrEx>
        <w:trPr>
          <w:trHeight w:val="811"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垃圾容器清洗、消杀</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8、垃圾容器损坏、丢失应在半个工作日之内，书面形式上报</w:t>
            </w:r>
            <w:r>
              <w:rPr>
                <w:rFonts w:hint="eastAsia" w:ascii="仿宋" w:hAnsi="仿宋" w:eastAsia="仿宋" w:cs="仿宋"/>
                <w:color w:val="auto"/>
                <w:kern w:val="1"/>
                <w:sz w:val="24"/>
                <w:highlight w:val="none"/>
                <w:lang w:eastAsia="zh-CN"/>
              </w:rPr>
              <w:t>华埠镇集镇办</w:t>
            </w:r>
            <w:r>
              <w:rPr>
                <w:rFonts w:hint="eastAsia" w:ascii="仿宋" w:hAnsi="仿宋" w:eastAsia="仿宋" w:cs="仿宋"/>
                <w:color w:val="auto"/>
                <w:kern w:val="1"/>
                <w:sz w:val="24"/>
                <w:highlight w:val="none"/>
              </w:rPr>
              <w:t>进行更换、修复，未及时上报的，每处每次扣1分。未按要求定期做好清洗、消杀的，每处每次扣1分。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1104"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环卫作业车辆（含机动车、非机动车）规范</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9、环卫专用车辆外观不洁、积尘、破损、车身油漆剥落（剥落面积大于15cm×15cm），每发现一次扣0.5分；环卫专用车辆</w:t>
            </w:r>
            <w:r>
              <w:rPr>
                <w:rFonts w:hint="eastAsia" w:ascii="仿宋" w:hAnsi="仿宋" w:eastAsia="仿宋" w:cs="仿宋"/>
                <w:color w:val="auto"/>
                <w:sz w:val="24"/>
                <w:highlight w:val="none"/>
              </w:rPr>
              <w:t>无统一编号、监督电话、责任单位</w:t>
            </w:r>
            <w:r>
              <w:rPr>
                <w:rFonts w:hint="eastAsia" w:ascii="仿宋" w:hAnsi="仿宋" w:eastAsia="仿宋" w:cs="仿宋"/>
                <w:color w:val="auto"/>
                <w:kern w:val="1"/>
                <w:sz w:val="24"/>
                <w:highlight w:val="none"/>
              </w:rPr>
              <w:t>的，每发现一次扣0.5分；车厢外有吊挂的，每发现一次扣0.5分；</w:t>
            </w:r>
            <w:r>
              <w:rPr>
                <w:rFonts w:hint="eastAsia" w:ascii="仿宋" w:hAnsi="仿宋" w:eastAsia="仿宋" w:cs="仿宋"/>
                <w:color w:val="auto"/>
                <w:sz w:val="24"/>
                <w:highlight w:val="none"/>
              </w:rPr>
              <w:t>未按规定进行停放的，</w:t>
            </w:r>
            <w:r>
              <w:rPr>
                <w:rFonts w:hint="eastAsia" w:ascii="仿宋" w:hAnsi="仿宋" w:eastAsia="仿宋" w:cs="仿宋"/>
                <w:color w:val="auto"/>
                <w:kern w:val="1"/>
                <w:sz w:val="24"/>
                <w:highlight w:val="none"/>
              </w:rPr>
              <w:t>每发现一次扣0.5分</w:t>
            </w:r>
            <w:r>
              <w:rPr>
                <w:rFonts w:hint="eastAsia" w:ascii="仿宋" w:hAnsi="仿宋" w:eastAsia="仿宋" w:cs="仿宋"/>
                <w:color w:val="auto"/>
                <w:sz w:val="24"/>
                <w:highlight w:val="none"/>
              </w:rPr>
              <w:t>。</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461"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8"/>
                <w:kern w:val="1"/>
                <w:sz w:val="24"/>
                <w:highlight w:val="none"/>
              </w:rPr>
            </w:pPr>
            <w:r>
              <w:rPr>
                <w:rFonts w:hint="eastAsia" w:ascii="仿宋" w:hAnsi="仿宋" w:eastAsia="仿宋" w:cs="仿宋"/>
                <w:color w:val="auto"/>
                <w:sz w:val="24"/>
                <w:highlight w:val="none"/>
                <w:lang w:val="zh-CN"/>
              </w:rPr>
              <w:t>工具规范</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8"/>
                <w:kern w:val="1"/>
                <w:sz w:val="24"/>
                <w:highlight w:val="none"/>
              </w:rPr>
            </w:pPr>
            <w:r>
              <w:rPr>
                <w:rFonts w:hint="eastAsia" w:ascii="仿宋" w:hAnsi="仿宋" w:eastAsia="仿宋" w:cs="仿宋"/>
                <w:color w:val="auto"/>
                <w:sz w:val="24"/>
                <w:highlight w:val="none"/>
                <w:lang w:val="zh-CN"/>
              </w:rPr>
              <w:t>10、摆放不规范、随意放置的，每发现一次扣0.2分。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sz w:val="24"/>
                <w:highlight w:val="none"/>
                <w:lang w:val="zh-CN"/>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615" w:hRule="atLeast"/>
        </w:trPr>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tabs>
                <w:tab w:val="left" w:pos="380"/>
                <w:tab w:val="center" w:pos="522"/>
              </w:tabs>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（三）</w:t>
            </w:r>
          </w:p>
          <w:p>
            <w:pPr>
              <w:tabs>
                <w:tab w:val="left" w:pos="380"/>
                <w:tab w:val="center" w:pos="522"/>
              </w:tabs>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人员</w:t>
            </w:r>
          </w:p>
          <w:p>
            <w:pPr>
              <w:tabs>
                <w:tab w:val="left" w:pos="380"/>
                <w:tab w:val="center" w:pos="522"/>
              </w:tabs>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管理</w:t>
            </w:r>
          </w:p>
          <w:p>
            <w:pPr>
              <w:tabs>
                <w:tab w:val="left" w:pos="380"/>
                <w:tab w:val="center" w:pos="522"/>
              </w:tabs>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指标</w:t>
            </w:r>
          </w:p>
          <w:p>
            <w:pPr>
              <w:tabs>
                <w:tab w:val="left" w:pos="380"/>
                <w:tab w:val="center" w:pos="522"/>
              </w:tabs>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落实</w:t>
            </w:r>
          </w:p>
          <w:p>
            <w:pPr>
              <w:tabs>
                <w:tab w:val="left" w:pos="380"/>
                <w:tab w:val="center" w:pos="522"/>
              </w:tabs>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情况</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现</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场</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检</w:t>
            </w:r>
          </w:p>
          <w:p>
            <w:pPr>
              <w:tabs>
                <w:tab w:val="left" w:pos="380"/>
                <w:tab w:val="center" w:pos="522"/>
              </w:tabs>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查</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人员落实</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11、未按规定落实保洁人员的或发现同一名保洁人员兼二班作业的，每次扣0.5分。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2171"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8"/>
                <w:kern w:val="1"/>
                <w:sz w:val="24"/>
                <w:highlight w:val="none"/>
              </w:rPr>
            </w:pPr>
            <w:r>
              <w:rPr>
                <w:rFonts w:hint="eastAsia" w:ascii="仿宋" w:hAnsi="仿宋" w:eastAsia="仿宋" w:cs="仿宋"/>
                <w:color w:val="auto"/>
                <w:kern w:val="1"/>
                <w:sz w:val="24"/>
                <w:highlight w:val="none"/>
              </w:rPr>
              <w:t>日常管理</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hint="eastAsia" w:ascii="仿宋" w:hAnsi="仿宋" w:eastAsia="仿宋" w:cs="仿宋"/>
                <w:color w:val="auto"/>
                <w:kern w:val="1"/>
                <w:sz w:val="24"/>
                <w:highlight w:val="none"/>
                <w:lang w:eastAsia="zh-CN"/>
              </w:rPr>
            </w:pPr>
            <w:r>
              <w:rPr>
                <w:rFonts w:hint="eastAsia" w:ascii="仿宋" w:hAnsi="仿宋" w:eastAsia="仿宋" w:cs="仿宋"/>
                <w:color w:val="auto"/>
                <w:kern w:val="1"/>
                <w:sz w:val="24"/>
                <w:highlight w:val="none"/>
              </w:rPr>
              <w:t>12、日常保洁作业人员有不穿制服，每人扣0.2分。在限定的时间内仍未到位，每少扣0.5分。作业期间清扫保洁人员有扎堆聊天、立岗、坐岗等做跟保洁无关事情的每项每次扣0.3分，有脱岗的扣0.5分。捡拾废品（垃圾）每人扣0.5分</w:t>
            </w:r>
            <w:r>
              <w:rPr>
                <w:rFonts w:hint="eastAsia" w:ascii="仿宋" w:hAnsi="仿宋" w:eastAsia="仿宋" w:cs="仿宋"/>
                <w:color w:val="auto"/>
                <w:kern w:val="1"/>
                <w:sz w:val="24"/>
                <w:highlight w:val="none"/>
                <w:lang w:eastAsia="zh-CN"/>
              </w:rPr>
              <w:t>。</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集镇办、社区</w:t>
            </w:r>
          </w:p>
        </w:tc>
      </w:tr>
      <w:tr>
        <w:tblPrEx>
          <w:tblCellMar>
            <w:top w:w="0" w:type="dxa"/>
            <w:left w:w="57" w:type="dxa"/>
            <w:bottom w:w="0" w:type="dxa"/>
            <w:right w:w="57" w:type="dxa"/>
          </w:tblCellMar>
        </w:tblPrEx>
        <w:trPr>
          <w:trHeight w:val="917" w:hRule="atLeast"/>
        </w:trPr>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（四）垃圾清运</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垃圾清运</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13、垃圾未分类收集、清运，每发现一次，扣0.5分；</w:t>
            </w:r>
            <w:r>
              <w:rPr>
                <w:rFonts w:ascii="仿宋" w:hAnsi="仿宋" w:eastAsia="仿宋" w:cs="仿宋"/>
                <w:color w:val="auto"/>
                <w:spacing w:val="-3"/>
                <w:sz w:val="24"/>
                <w:szCs w:val="24"/>
                <w:highlight w:val="none"/>
              </w:rPr>
              <w:t>垃圾混杂处理的，</w:t>
            </w:r>
            <w:r>
              <w:rPr>
                <w:rFonts w:hint="eastAsia" w:ascii="仿宋" w:hAnsi="仿宋" w:eastAsia="仿宋" w:cs="仿宋"/>
                <w:color w:val="auto"/>
                <w:kern w:val="1"/>
                <w:sz w:val="24"/>
                <w:highlight w:val="none"/>
              </w:rPr>
              <w:t>每发现一次，扣0.5分</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垃圾收集清运车未实行密闭运输，每发现一次，扣0.5分；发生抛洒滴漏污染路面、车厢外有吊挂的，每发生1次扣1分。未在规定时间内完成第一遍垃圾收集、清运的，每处果壳箱、移动垃圾箱、固定垃圾房扣1分。清运不彻底的扣0.5分。未做到垃圾日产日清，晚上保洁结束前垃圾容器内垃圾超过50%的，每处扣0.5分。果壳箱、移动垃圾箱、垃圾房垃圾</w:t>
            </w:r>
            <w:r>
              <w:rPr>
                <w:rFonts w:hint="eastAsia" w:ascii="仿宋" w:hAnsi="仿宋" w:eastAsia="仿宋" w:cs="仿宋"/>
                <w:color w:val="auto"/>
                <w:spacing w:val="-8"/>
                <w:kern w:val="1"/>
                <w:sz w:val="24"/>
                <w:highlight w:val="none"/>
              </w:rPr>
              <w:t>清运不及时，垃圾超出垃圾容器投放口平面的或</w:t>
            </w:r>
            <w:r>
              <w:rPr>
                <w:rFonts w:hint="eastAsia" w:ascii="仿宋" w:hAnsi="仿宋" w:eastAsia="仿宋" w:cs="仿宋"/>
                <w:color w:val="auto"/>
                <w:kern w:val="1"/>
                <w:sz w:val="24"/>
                <w:highlight w:val="none"/>
              </w:rPr>
              <w:t>满溢的每处扣0.5分。</w:t>
            </w:r>
            <w:r>
              <w:rPr>
                <w:rFonts w:hint="eastAsia" w:ascii="仿宋" w:hAnsi="仿宋" w:eastAsia="仿宋" w:cs="仿宋"/>
                <w:color w:val="auto"/>
                <w:sz w:val="24"/>
                <w:highlight w:val="none"/>
              </w:rPr>
              <w:t>严禁工人翻、捡、撕袋装垃圾造成二次污染，发现一个工人违规的扣 0.5 分。保洁垃圾不按规定收运和处置，乱放乱倒或就地焚烧的，每次扣 1 分；情节严重的，予以加倍扣分。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综合执法、集镇办、妇联</w:t>
            </w:r>
          </w:p>
        </w:tc>
      </w:tr>
      <w:tr>
        <w:tblPrEx>
          <w:tblCellMar>
            <w:top w:w="0" w:type="dxa"/>
            <w:left w:w="57" w:type="dxa"/>
            <w:bottom w:w="0" w:type="dxa"/>
            <w:right w:w="57" w:type="dxa"/>
          </w:tblCellMar>
        </w:tblPrEx>
        <w:trPr>
          <w:trHeight w:val="769"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垃圾处置</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14、焚烧垃圾、树叶、杂物的每次扣1分；垃圾收集车内的垃圾未直接运往垃圾</w:t>
            </w:r>
            <w:r>
              <w:rPr>
                <w:rFonts w:hint="eastAsia" w:ascii="仿宋" w:hAnsi="仿宋" w:eastAsia="仿宋" w:cs="仿宋"/>
                <w:color w:val="auto"/>
                <w:kern w:val="1"/>
                <w:sz w:val="24"/>
                <w:highlight w:val="none"/>
                <w:lang w:eastAsia="zh-CN"/>
              </w:rPr>
              <w:t>中转站</w:t>
            </w:r>
            <w:r>
              <w:rPr>
                <w:rFonts w:hint="eastAsia" w:ascii="仿宋" w:hAnsi="仿宋" w:eastAsia="仿宋" w:cs="仿宋"/>
                <w:color w:val="auto"/>
                <w:kern w:val="1"/>
                <w:sz w:val="24"/>
                <w:highlight w:val="none"/>
              </w:rPr>
              <w:t>倾倒，随意倾倒的每次扣2分；在垃圾</w:t>
            </w:r>
            <w:r>
              <w:rPr>
                <w:rFonts w:hint="eastAsia" w:ascii="仿宋" w:hAnsi="仿宋" w:eastAsia="仿宋" w:cs="仿宋"/>
                <w:color w:val="auto"/>
                <w:kern w:val="1"/>
                <w:sz w:val="24"/>
                <w:highlight w:val="none"/>
                <w:lang w:eastAsia="zh-CN"/>
              </w:rPr>
              <w:t>中转站</w:t>
            </w:r>
            <w:r>
              <w:rPr>
                <w:rFonts w:hint="eastAsia" w:ascii="仿宋" w:hAnsi="仿宋" w:eastAsia="仿宋" w:cs="仿宋"/>
                <w:color w:val="auto"/>
                <w:kern w:val="1"/>
                <w:sz w:val="24"/>
                <w:highlight w:val="none"/>
              </w:rPr>
              <w:t>倾倒垃圾不服从</w:t>
            </w:r>
            <w:r>
              <w:rPr>
                <w:rFonts w:hint="eastAsia" w:ascii="仿宋" w:hAnsi="仿宋" w:eastAsia="仿宋" w:cs="仿宋"/>
                <w:color w:val="auto"/>
                <w:kern w:val="1"/>
                <w:sz w:val="24"/>
                <w:highlight w:val="none"/>
                <w:lang w:eastAsia="zh-CN"/>
              </w:rPr>
              <w:t>中转站</w:t>
            </w:r>
            <w:r>
              <w:rPr>
                <w:rFonts w:hint="eastAsia" w:ascii="仿宋" w:hAnsi="仿宋" w:eastAsia="仿宋" w:cs="仿宋"/>
                <w:color w:val="auto"/>
                <w:kern w:val="1"/>
                <w:sz w:val="24"/>
                <w:highlight w:val="none"/>
              </w:rPr>
              <w:t>管理员调度、指挥的，每次扣1分。</w:t>
            </w:r>
            <w:r>
              <w:rPr>
                <w:rFonts w:hint="eastAsia" w:ascii="仿宋" w:hAnsi="仿宋" w:eastAsia="仿宋" w:cs="仿宋"/>
                <w:color w:val="auto"/>
                <w:sz w:val="24"/>
                <w:highlight w:val="none"/>
              </w:rPr>
              <w:t>作业服务范围内的垃圾、杂物应及时清运至垃圾中转站，建筑垃圾、装修和大件垃圾应及时清运至指定处置点进行处置，做到垃圾日产日清。因垃圾无法及时转运造成垃圾积压的，每处扣 0.5 分。擅自设置垃圾堆放点分捡垃圾、废品的，每处扣 0.5 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综合执法、集镇办</w:t>
            </w:r>
          </w:p>
        </w:tc>
      </w:tr>
      <w:tr>
        <w:tblPrEx>
          <w:tblCellMar>
            <w:top w:w="0" w:type="dxa"/>
            <w:left w:w="57" w:type="dxa"/>
            <w:bottom w:w="0" w:type="dxa"/>
            <w:right w:w="57" w:type="dxa"/>
          </w:tblCellMar>
        </w:tblPrEx>
        <w:trPr>
          <w:trHeight w:val="1468" w:hRule="atLeast"/>
        </w:trPr>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（五）清扫</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管理</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指标</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落实</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情况</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现</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场</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检</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查</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全面普扫</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15、按规定时间内完成每天第一遍统扫，1月、2月、12月每日上午7：30前完成普扫，其他月份每日上午7：00前完成普扫；第二遍统扫以下午上班时间的半小时前完毕；未在规定时间内完成普扫的，每岗位扣1分；未普扫的每岗位扣3分；经督查仍未按要求进行补扫的，扣5分并给予警告。</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漏扫反扫</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16、道路、人行道漏扫、反扫的每岗位扣0.2分，垃圾归拢、归堆未清除的每岗位扣0.5分，清除不彻底的每处扣0.2分，垃圾扫入窨井、河道、道路两侧的每次扣0.5分。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绿地保洁</w:t>
            </w:r>
          </w:p>
        </w:tc>
        <w:tc>
          <w:tcPr>
            <w:tcW w:w="3404" w:type="pct"/>
            <w:tcBorders>
              <w:top w:val="single" w:color="000000" w:sz="4" w:space="0"/>
              <w:left w:val="single" w:color="000000" w:sz="4" w:space="0"/>
              <w:bottom w:val="single" w:color="000000" w:sz="4" w:space="0"/>
              <w:right w:val="single" w:color="000000" w:sz="4" w:space="0"/>
            </w:tcBorders>
            <w:noWrap/>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17、巡回保洁未到位，绿化带有</w:t>
            </w:r>
            <w:r>
              <w:rPr>
                <w:rFonts w:hint="eastAsia" w:ascii="仿宋" w:hAnsi="仿宋" w:eastAsia="仿宋" w:cs="仿宋"/>
                <w:color w:val="auto"/>
                <w:kern w:val="1"/>
                <w:sz w:val="24"/>
                <w:highlight w:val="none"/>
                <w:lang w:eastAsia="zh-CN"/>
              </w:rPr>
              <w:t>烟头等</w:t>
            </w:r>
            <w:r>
              <w:rPr>
                <w:rFonts w:hint="eastAsia" w:ascii="仿宋" w:hAnsi="仿宋" w:eastAsia="仿宋" w:cs="仿宋"/>
                <w:color w:val="auto"/>
                <w:kern w:val="1"/>
                <w:sz w:val="24"/>
                <w:highlight w:val="none"/>
              </w:rPr>
              <w:t>零星垃圾的每处扣0.5分，可视范围内有多处零星垃圾（≥5处）的扣1分；道路、树穴、空地路面＜3㎡内有零星垃圾、杂物的每处扣0.2分，可视范围内有多处零星垃圾（≥5处）的每处扣0.5分，有成堆暴露垃圾的每处扣1分；无主建筑垃圾清运不及时，＜0.5立方米的每处扣0.5分，≥0.5立方米的每处扣1分；交通隔离栏（墩）下有积尘＜5米的每处扣0.5分，≥5米的每处扣1分；每个花架有三处扣0.2分。将保洁垃圾扫入绿化平台、绿化带、排水渠、雨水口、窨井、河道、边沟的，每次扣 0.5 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1342"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8"/>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8"/>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长效保洁</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18、清扫保洁人员将清扫收集的垃圾倒入沿街果壳箱、移动垃圾桶、垃圾房内的，每发现一次扣0.5分。路面＜3㎡内有零星垃圾、杂物的每处扣0.2分，可视范围内有多处零星垃圾（≥5处）的每处扣0.5分，发现动物排泄物每处扣0.5分，有成堆暴露垃圾的每处扣,0.5分；道路市场保洁责任制不到位，环境卫生脏乱差的，每发生一次扣2分。垃圾容器外有</w:t>
            </w:r>
            <w:r>
              <w:rPr>
                <w:rFonts w:hint="eastAsia" w:ascii="仿宋" w:hAnsi="仿宋" w:eastAsia="仿宋" w:cs="仿宋"/>
                <w:color w:val="auto"/>
                <w:kern w:val="1"/>
                <w:sz w:val="24"/>
                <w:highlight w:val="none"/>
                <w:lang w:eastAsia="zh-CN"/>
              </w:rPr>
              <w:t>垃圾</w:t>
            </w:r>
            <w:r>
              <w:rPr>
                <w:rFonts w:hint="eastAsia" w:ascii="仿宋" w:hAnsi="仿宋" w:eastAsia="仿宋" w:cs="仿宋"/>
                <w:color w:val="auto"/>
                <w:kern w:val="1"/>
                <w:sz w:val="24"/>
                <w:highlight w:val="none"/>
              </w:rPr>
              <w:t>或污水的每处扣0.5分。</w:t>
            </w:r>
            <w:r>
              <w:rPr>
                <w:rFonts w:hint="eastAsia" w:ascii="仿宋" w:hAnsi="仿宋" w:eastAsia="仿宋" w:cs="仿宋"/>
                <w:color w:val="auto"/>
                <w:sz w:val="24"/>
                <w:szCs w:val="24"/>
                <w:highlight w:val="none"/>
              </w:rPr>
              <w:t>路面零星垃圾滞留时间20分钟以上（重大活动时间为15分钟）</w:t>
            </w:r>
            <w:r>
              <w:rPr>
                <w:rFonts w:hint="eastAsia" w:ascii="仿宋" w:hAnsi="仿宋" w:eastAsia="仿宋" w:cs="仿宋"/>
                <w:color w:val="auto"/>
                <w:sz w:val="24"/>
                <w:szCs w:val="24"/>
                <w:highlight w:val="none"/>
                <w:lang w:eastAsia="zh-CN"/>
              </w:rPr>
              <w:t>加倍扣分</w:t>
            </w:r>
            <w:r>
              <w:rPr>
                <w:rFonts w:hint="eastAsia" w:ascii="仿宋" w:hAnsi="仿宋" w:eastAsia="仿宋" w:cs="仿宋"/>
                <w:color w:val="auto"/>
                <w:sz w:val="24"/>
                <w:szCs w:val="24"/>
                <w:highlight w:val="none"/>
              </w:rPr>
              <w:t>。明显成堆垃圾留存时间超过30分钟，每处扣0.5分。发现装潢垃圾及其它污染物要及时处理，如不及时处理，每处扣0.5分。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集镇办、社区</w:t>
            </w:r>
          </w:p>
        </w:tc>
      </w:tr>
      <w:tr>
        <w:tblPrEx>
          <w:tblCellMar>
            <w:top w:w="0" w:type="dxa"/>
            <w:left w:w="57" w:type="dxa"/>
            <w:bottom w:w="0" w:type="dxa"/>
            <w:right w:w="57" w:type="dxa"/>
          </w:tblCellMar>
        </w:tblPrEx>
        <w:trPr>
          <w:trHeight w:val="1160" w:hRule="atLeast"/>
        </w:trPr>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（六）机械化作业</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管理</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指标</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落实</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情况</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现</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场</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检</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查</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keepLines/>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道路机扫作业</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19、</w:t>
            </w:r>
            <w:r>
              <w:rPr>
                <w:rFonts w:hint="eastAsia" w:ascii="仿宋" w:hAnsi="仿宋" w:eastAsia="仿宋" w:cs="仿宋"/>
                <w:color w:val="auto"/>
                <w:sz w:val="24"/>
                <w:highlight w:val="none"/>
              </w:rPr>
              <w:t>环卫专用车辆外观不整洁的，每车扣 0.5 分。不得悬挂一切与工作无关的物品，</w:t>
            </w:r>
            <w:r>
              <w:rPr>
                <w:rFonts w:hint="eastAsia" w:ascii="仿宋" w:hAnsi="仿宋" w:eastAsia="仿宋" w:cs="仿宋"/>
                <w:color w:val="auto"/>
                <w:kern w:val="1"/>
                <w:sz w:val="24"/>
                <w:highlight w:val="none"/>
              </w:rPr>
              <w:t>每</w:t>
            </w:r>
            <w:r>
              <w:rPr>
                <w:rFonts w:hint="eastAsia" w:ascii="仿宋" w:hAnsi="仿宋" w:eastAsia="仿宋" w:cs="仿宋"/>
                <w:color w:val="auto"/>
                <w:sz w:val="24"/>
                <w:highlight w:val="none"/>
              </w:rPr>
              <w:t>发现一次扣0.5分。车辆不符合密闭要求的，每辆车扣1分。不遵守交通规则的，未发生事故的，每次扣1分，发生交通事故的视情节轻重扣5-10分。</w:t>
            </w:r>
            <w:r>
              <w:rPr>
                <w:rFonts w:hint="eastAsia" w:ascii="仿宋" w:hAnsi="仿宋" w:eastAsia="仿宋" w:cs="仿宋"/>
                <w:color w:val="auto"/>
                <w:kern w:val="1"/>
                <w:sz w:val="24"/>
                <w:highlight w:val="none"/>
              </w:rPr>
              <w:t>机扫车作业时未喷水压尘、作业扬尘的、漏扫，每发生1次，每次扣1分；机扫路面应干净,清扫后垃圾未吸净而有成条或小堆的，每处扣1分；机扫车作业超过规定车速的，每发生1次扣0.5分，首次普扫未落实扫路车清扫的，每发生1次，扣0.5分。</w:t>
            </w:r>
            <w:r>
              <w:rPr>
                <w:rFonts w:hint="eastAsia" w:ascii="仿宋" w:hAnsi="仿宋" w:eastAsia="仿宋" w:cs="仿宋"/>
                <w:color w:val="auto"/>
                <w:sz w:val="24"/>
                <w:highlight w:val="none"/>
              </w:rPr>
              <w:t>随意倾倒垃圾的，每车次扣5分。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1160" w:hRule="atLeast"/>
        </w:trPr>
        <w:tc>
          <w:tcPr>
            <w:tcW w:w="395" w:type="pct"/>
            <w:vMerge w:val="continue"/>
            <w:tcBorders>
              <w:left w:val="single" w:color="000000" w:sz="4" w:space="0"/>
              <w:right w:val="single" w:color="000000" w:sz="4" w:space="0"/>
            </w:tcBorders>
            <w:noWrap/>
            <w:vAlign w:val="center"/>
          </w:tcPr>
          <w:p>
            <w:pPr>
              <w:spacing w:line="440" w:lineRule="exact"/>
              <w:jc w:val="center"/>
              <w:rPr>
                <w:rFonts w:hint="eastAsia" w:ascii="仿宋" w:hAnsi="仿宋" w:eastAsia="仿宋" w:cs="仿宋"/>
                <w:color w:val="auto"/>
                <w:kern w:val="1"/>
                <w:sz w:val="24"/>
                <w:highlight w:val="none"/>
              </w:rPr>
            </w:pPr>
          </w:p>
        </w:tc>
        <w:tc>
          <w:tcPr>
            <w:tcW w:w="269" w:type="pct"/>
            <w:vMerge w:val="continue"/>
            <w:tcBorders>
              <w:left w:val="single" w:color="000000" w:sz="4" w:space="0"/>
              <w:right w:val="single" w:color="000000" w:sz="4" w:space="0"/>
            </w:tcBorders>
            <w:noWrap/>
            <w:vAlign w:val="center"/>
          </w:tcPr>
          <w:p>
            <w:pPr>
              <w:spacing w:line="440" w:lineRule="exact"/>
              <w:jc w:val="center"/>
              <w:rPr>
                <w:rFonts w:hint="eastAsia"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highlight w:val="none"/>
              </w:rPr>
              <w:t>道路洒水</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highlight w:val="none"/>
              </w:rPr>
              <w:t>20、道路洒水频次未达到规定要求的，每少1次，扣1分，作业未完成整个频次或未覆盖全路段的，每发生1次，扣1分；道路洒水空驶的，每发生1次，扣1.5分。凌晨普扫前未安排洒水作业的，每发生1次，扣1分，交通高峰时期安排洒水作业的，每发生1次，扣1分；洒水车未安装提示音乐音量调节装置或警示灯缺失、破损的，每车扣1分。在22:00-7:00期间洒水作业时仍播放大声提示音乐或未启用警示灯光的，每发生1次扣2分。</w:t>
            </w:r>
            <w:r>
              <w:rPr>
                <w:rFonts w:hint="eastAsia" w:ascii="仿宋" w:hAnsi="仿宋" w:eastAsia="仿宋" w:cs="仿宋"/>
                <w:color w:val="auto"/>
                <w:sz w:val="24"/>
                <w:highlight w:val="none"/>
              </w:rPr>
              <w:t>洒水车作业时车速超过规定要求的，</w:t>
            </w:r>
            <w:r>
              <w:rPr>
                <w:rFonts w:hint="eastAsia" w:ascii="仿宋" w:hAnsi="仿宋" w:eastAsia="仿宋" w:cs="仿宋"/>
                <w:color w:val="auto"/>
                <w:kern w:val="1"/>
                <w:sz w:val="24"/>
                <w:highlight w:val="none"/>
              </w:rPr>
              <w:t>每发生1次扣0.5分。车辆洒水不到边，每发现一次，扣0.5分；冬季洒水使路面结冰发生责任安全事故的，扣1分。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21"/>
                <w:sz w:val="24"/>
                <w:highlight w:val="none"/>
              </w:rPr>
              <w:t>集镇办、社区</w:t>
            </w:r>
          </w:p>
        </w:tc>
      </w:tr>
      <w:tr>
        <w:tblPrEx>
          <w:tblCellMar>
            <w:top w:w="0" w:type="dxa"/>
            <w:left w:w="57" w:type="dxa"/>
            <w:bottom w:w="0" w:type="dxa"/>
            <w:right w:w="57" w:type="dxa"/>
          </w:tblCellMar>
        </w:tblPrEx>
        <w:trPr>
          <w:trHeight w:val="90"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szCs w:val="24"/>
                <w:highlight w:val="none"/>
                <w:lang w:val="zh-CN" w:eastAsia="zh-CN" w:bidi="ar-SA"/>
              </w:rPr>
            </w:pPr>
            <w:r>
              <w:rPr>
                <w:rFonts w:hint="eastAsia" w:ascii="仿宋" w:hAnsi="仿宋" w:eastAsia="仿宋" w:cs="仿宋"/>
                <w:color w:val="auto"/>
                <w:kern w:val="1"/>
                <w:sz w:val="24"/>
                <w:highlight w:val="none"/>
              </w:rPr>
              <w:t>道路清洗</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highlight w:val="none"/>
              </w:rPr>
              <w:t>21、道路及护栏清洗工作不落实，每发生一次扣3分</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扣分值作当月累加；道路及护栏清洗未覆盖全路段的，每发生1次，扣1分；清洗作业不规范，清洗质量不达标，清洗后路面有油污、污垢、积水的，每发生一处扣0.5分。清洗后护栏、隔离墩留有污垢的，≤10米的，每处扣0.2分；≥10米的，每处扣0.5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21"/>
                <w:sz w:val="24"/>
                <w:highlight w:val="none"/>
              </w:rPr>
              <w:t>集镇办、社区</w:t>
            </w:r>
          </w:p>
        </w:tc>
      </w:tr>
      <w:tr>
        <w:tblPrEx>
          <w:tblCellMar>
            <w:top w:w="0" w:type="dxa"/>
            <w:left w:w="57" w:type="dxa"/>
            <w:bottom w:w="0" w:type="dxa"/>
            <w:right w:w="57" w:type="dxa"/>
          </w:tblCellMar>
        </w:tblPrEx>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hint="eastAsia" w:ascii="仿宋" w:hAnsi="仿宋" w:eastAsia="仿宋" w:cs="仿宋"/>
                <w:color w:val="auto"/>
                <w:kern w:val="1"/>
                <w:sz w:val="24"/>
                <w:highlight w:val="none"/>
                <w:lang w:val="zh-CN"/>
              </w:rPr>
            </w:pPr>
            <w:r>
              <w:rPr>
                <w:rFonts w:hint="eastAsia" w:ascii="仿宋" w:hAnsi="仿宋" w:eastAsia="仿宋" w:cs="仿宋"/>
                <w:color w:val="auto"/>
                <w:kern w:val="1"/>
                <w:sz w:val="24"/>
                <w:highlight w:val="none"/>
                <w:lang w:val="zh-CN"/>
              </w:rPr>
              <w:t>餐厨垃圾收运</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22、</w:t>
            </w:r>
            <w:r>
              <w:rPr>
                <w:rFonts w:hint="eastAsia" w:ascii="仿宋" w:hAnsi="仿宋" w:eastAsia="仿宋" w:cs="仿宋"/>
                <w:color w:val="auto"/>
                <w:kern w:val="1"/>
                <w:sz w:val="24"/>
                <w:highlight w:val="none"/>
              </w:rPr>
              <w:t>收运过程中车辆停靠妨碍道路交通，每发生一次扣</w:t>
            </w:r>
            <w:r>
              <w:rPr>
                <w:rFonts w:hint="eastAsia" w:ascii="仿宋" w:hAnsi="仿宋" w:eastAsia="仿宋" w:cs="仿宋"/>
                <w:color w:val="auto"/>
                <w:kern w:val="1"/>
                <w:sz w:val="24"/>
                <w:highlight w:val="none"/>
                <w:lang w:val="en-US" w:eastAsia="zh-CN"/>
              </w:rPr>
              <w:t>0.5</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一天内有10家以上的产生单位餐厨垃圾未被收运</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每发生一次扣</w:t>
            </w:r>
            <w:r>
              <w:rPr>
                <w:rFonts w:hint="eastAsia" w:ascii="仿宋" w:hAnsi="仿宋" w:eastAsia="仿宋" w:cs="仿宋"/>
                <w:color w:val="auto"/>
                <w:kern w:val="1"/>
                <w:sz w:val="24"/>
                <w:highlight w:val="none"/>
                <w:lang w:val="en-US" w:eastAsia="zh-CN"/>
              </w:rPr>
              <w:t>1</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鼓动或暗示餐厨垃圾产生</w:t>
            </w:r>
            <w:r>
              <w:rPr>
                <w:rFonts w:hint="eastAsia" w:ascii="仿宋" w:hAnsi="仿宋" w:eastAsia="仿宋" w:cs="仿宋"/>
                <w:color w:val="auto"/>
                <w:kern w:val="1"/>
                <w:sz w:val="24"/>
                <w:highlight w:val="none"/>
                <w:lang w:eastAsia="zh-CN"/>
              </w:rPr>
              <w:t>单位</w:t>
            </w:r>
            <w:r>
              <w:rPr>
                <w:rFonts w:hint="eastAsia" w:ascii="仿宋" w:hAnsi="仿宋" w:eastAsia="仿宋" w:cs="仿宋"/>
                <w:color w:val="auto"/>
                <w:kern w:val="1"/>
                <w:sz w:val="24"/>
                <w:highlight w:val="none"/>
              </w:rPr>
              <w:t>自行违规处置餐厨垃圾</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每发生一次扣</w:t>
            </w:r>
            <w:r>
              <w:rPr>
                <w:rFonts w:hint="eastAsia" w:ascii="仿宋" w:hAnsi="仿宋" w:eastAsia="仿宋" w:cs="仿宋"/>
                <w:color w:val="auto"/>
                <w:kern w:val="1"/>
                <w:sz w:val="24"/>
                <w:highlight w:val="none"/>
                <w:lang w:val="en-US" w:eastAsia="zh-CN"/>
              </w:rPr>
              <w:t>1</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将收集的餐厨垃圾或废弃食用油脂提供给未经取得行政许可资格的单位或个人</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每发生一次扣</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将收集或加工后的废弃食用油脂作为食用油使用或者销售</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每发生一次扣</w:t>
            </w:r>
            <w:r>
              <w:rPr>
                <w:rFonts w:hint="eastAsia" w:ascii="仿宋" w:hAnsi="仿宋" w:eastAsia="仿宋" w:cs="仿宋"/>
                <w:color w:val="auto"/>
                <w:kern w:val="1"/>
                <w:sz w:val="24"/>
                <w:highlight w:val="none"/>
                <w:lang w:val="en-US" w:eastAsia="zh-CN"/>
              </w:rPr>
              <w:t>5</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c>
          <w:tcPr>
            <w:tcW w:w="39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（七）</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公厕管理指标</w:t>
            </w:r>
          </w:p>
        </w:tc>
        <w:tc>
          <w:tcPr>
            <w:tcW w:w="269"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现场</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检查</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公厕保洁</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pacing w:val="-4"/>
                <w:kern w:val="21"/>
                <w:sz w:val="24"/>
                <w:highlight w:val="none"/>
              </w:rPr>
            </w:pPr>
            <w:r>
              <w:rPr>
                <w:rFonts w:hint="eastAsia" w:ascii="仿宋" w:hAnsi="仿宋" w:eastAsia="仿宋" w:cs="仿宋"/>
                <w:color w:val="auto"/>
                <w:kern w:val="1"/>
                <w:sz w:val="24"/>
                <w:highlight w:val="none"/>
              </w:rPr>
              <w:t>2</w:t>
            </w:r>
            <w:r>
              <w:rPr>
                <w:rFonts w:hint="eastAsia" w:ascii="仿宋" w:hAnsi="仿宋" w:eastAsia="仿宋" w:cs="仿宋"/>
                <w:color w:val="auto"/>
                <w:kern w:val="1"/>
                <w:sz w:val="24"/>
                <w:highlight w:val="none"/>
                <w:lang w:val="en-US" w:eastAsia="zh-CN"/>
              </w:rPr>
              <w:t>3</w:t>
            </w:r>
            <w:r>
              <w:rPr>
                <w:rFonts w:hint="eastAsia" w:ascii="仿宋" w:hAnsi="仿宋" w:eastAsia="仿宋" w:cs="仿宋"/>
                <w:color w:val="auto"/>
                <w:kern w:val="1"/>
                <w:sz w:val="24"/>
                <w:highlight w:val="none"/>
              </w:rPr>
              <w:t>、</w:t>
            </w:r>
            <w:r>
              <w:rPr>
                <w:rFonts w:hint="eastAsia" w:ascii="仿宋" w:hAnsi="仿宋" w:eastAsia="仿宋" w:cs="仿宋"/>
                <w:color w:val="auto"/>
                <w:sz w:val="24"/>
                <w:highlight w:val="none"/>
              </w:rPr>
              <w:t>承包作业单位应在合同要求的框架下落实公厕专人保洁制度。未设专人管理的，每座扣1分。承包作业单位的公厕管理人员不得缺员，如发现缺员一次扣0.5分。地面有痰涕、纸屑、烟头、污泥、积水、墙壁、房顶有蛛网，每发现一处扣0.2分；便池、池斗有严重便迹、尿渍，蹲位、挡墙（板）脏、厕内乱堆放杂物等，每发现一处扣0.5分；有乱涂画、张贴，每发现一处扣1分；有明显臭味扣1分。公厕周围责任区内有垃圾、杂物的＜0.5㎡扣 0.2分；＞0.5㎡每处扣0.5分；污水横流，乱放杂物、乱搭建每处扣0.5分。严格按公厕卫生保洁质量控制指标要求，做好消杀措施，发现苍蝇、活蛆，每次扣0.5分。保洁员应统一着装、佩证上岗；做到规范保洁，随脏随保。未穿工作服或佩带上岗证，每发现一次扣0.5分。工作人员未按规范保洁，随脏随保的，每次扣0.2分。</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c>
          <w:tcPr>
            <w:tcW w:w="39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（八）</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安全</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生产</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管理</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落实</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情况</w:t>
            </w:r>
          </w:p>
        </w:tc>
        <w:tc>
          <w:tcPr>
            <w:tcW w:w="269"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台账现场检查</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安全生产</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2</w:t>
            </w:r>
            <w:r>
              <w:rPr>
                <w:rFonts w:hint="eastAsia" w:ascii="仿宋" w:hAnsi="仿宋" w:eastAsia="仿宋" w:cs="仿宋"/>
                <w:color w:val="auto"/>
                <w:kern w:val="1"/>
                <w:sz w:val="24"/>
                <w:highlight w:val="none"/>
                <w:lang w:val="en-US" w:eastAsia="zh-CN"/>
              </w:rPr>
              <w:t>4</w:t>
            </w:r>
            <w:r>
              <w:rPr>
                <w:rFonts w:hint="eastAsia" w:ascii="仿宋" w:hAnsi="仿宋" w:eastAsia="仿宋" w:cs="仿宋"/>
                <w:color w:val="auto"/>
                <w:kern w:val="1"/>
                <w:sz w:val="24"/>
                <w:highlight w:val="none"/>
              </w:rPr>
              <w:t>、保洁人员作业时未穿反光安全环卫工作服的每人次扣0.5分，未佩证上岗的每人次扣0.1分。环卫作业专用车辆的前部、后部、两侧处未设置规范的荧光交通警示标志的每车每次扣1分。每发生一起安全责任事故的扣3分；有人员伤亡事故扣5分；未及时（2小时内）上报安全责任事故原因的扣3分，不妥善处理事故，造成影响的扣5分，以上扣分值作当月累计。发生重大安全责任事故终止合同并没收履约保证金。清除大片污染时，组织不周密或交通安全防护措施不落实的，每发现1次扣2分。未做好防台风、防暑降温等自然灾害的预案和预防工作，每发生一次扣2分；发生人员伤亡的每发生一次扣5分，扣分值作当月累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629" w:hRule="atLeast"/>
        </w:trPr>
        <w:tc>
          <w:tcPr>
            <w:tcW w:w="395"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（九）</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监督</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管理</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落实</w:t>
            </w:r>
          </w:p>
          <w:p>
            <w:pPr>
              <w:spacing w:line="440" w:lineRule="exact"/>
              <w:jc w:val="cente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情况</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履行承诺</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2</w:t>
            </w:r>
            <w:r>
              <w:rPr>
                <w:rFonts w:hint="eastAsia" w:ascii="仿宋" w:hAnsi="仿宋" w:eastAsia="仿宋" w:cs="仿宋"/>
                <w:color w:val="auto"/>
                <w:kern w:val="1"/>
                <w:sz w:val="24"/>
                <w:highlight w:val="none"/>
                <w:lang w:val="en-US" w:eastAsia="zh-CN"/>
              </w:rPr>
              <w:t>5</w:t>
            </w:r>
            <w:r>
              <w:rPr>
                <w:rFonts w:hint="eastAsia" w:ascii="仿宋" w:hAnsi="仿宋" w:eastAsia="仿宋" w:cs="仿宋"/>
                <w:color w:val="auto"/>
                <w:kern w:val="1"/>
                <w:sz w:val="24"/>
                <w:highlight w:val="none"/>
              </w:rPr>
              <w:t>、未履行采购文件承诺及附加服务项目的，每次扣3分，扣分值作当月累计。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1090"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投诉（包括电话、信访等）</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2</w:t>
            </w:r>
            <w:r>
              <w:rPr>
                <w:rFonts w:hint="eastAsia" w:ascii="仿宋" w:hAnsi="仿宋" w:eastAsia="仿宋" w:cs="仿宋"/>
                <w:color w:val="auto"/>
                <w:kern w:val="1"/>
                <w:sz w:val="24"/>
                <w:highlight w:val="none"/>
                <w:lang w:val="en-US" w:eastAsia="zh-CN"/>
              </w:rPr>
              <w:t>6</w:t>
            </w:r>
            <w:r>
              <w:rPr>
                <w:rFonts w:hint="eastAsia" w:ascii="仿宋" w:hAnsi="仿宋" w:eastAsia="仿宋" w:cs="仿宋"/>
                <w:color w:val="auto"/>
                <w:kern w:val="1"/>
                <w:sz w:val="24"/>
                <w:highlight w:val="none"/>
              </w:rPr>
              <w:t>、出现一次有责投诉扣2分，不及时处理的扣3分，扣分值作当月累计</w:t>
            </w:r>
            <w:r>
              <w:rPr>
                <w:rFonts w:hint="eastAsia" w:ascii="仿宋" w:hAnsi="仿宋" w:eastAsia="仿宋" w:cs="仿宋"/>
                <w:color w:val="auto"/>
                <w:sz w:val="24"/>
                <w:highlight w:val="none"/>
              </w:rPr>
              <w:t>，因管理不善、违反《劳动法》等法规，</w:t>
            </w:r>
            <w:r>
              <w:rPr>
                <w:rFonts w:hint="eastAsia" w:ascii="仿宋" w:hAnsi="仿宋" w:eastAsia="仿宋" w:cs="仿宋"/>
                <w:color w:val="auto"/>
                <w:kern w:val="1"/>
                <w:sz w:val="24"/>
                <w:highlight w:val="none"/>
              </w:rPr>
              <w:t>发生环卫工人群体性事件的，未及时上报的扣5分，扣分值作当月累计；</w:t>
            </w:r>
            <w:r>
              <w:rPr>
                <w:rFonts w:hint="eastAsia" w:ascii="仿宋" w:hAnsi="仿宋" w:eastAsia="仿宋" w:cs="仿宋"/>
                <w:color w:val="auto"/>
                <w:sz w:val="24"/>
                <w:highlight w:val="none"/>
              </w:rPr>
              <w:t>造成恶劣影响的</w:t>
            </w:r>
            <w:r>
              <w:rPr>
                <w:rFonts w:hint="eastAsia" w:ascii="仿宋" w:hAnsi="仿宋" w:eastAsia="仿宋" w:cs="仿宋"/>
                <w:color w:val="auto"/>
                <w:kern w:val="1"/>
                <w:sz w:val="24"/>
                <w:highlight w:val="none"/>
              </w:rPr>
              <w:t>，终止合同并没收履约保证金。</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615"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新闻媒体曝光</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numPr>
                <w:ilvl w:val="0"/>
                <w:numId w:val="3"/>
              </w:num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lang w:eastAsia="zh-CN"/>
              </w:rPr>
              <w:t>县级</w:t>
            </w:r>
            <w:r>
              <w:rPr>
                <w:rFonts w:hint="eastAsia" w:ascii="仿宋" w:hAnsi="仿宋" w:eastAsia="仿宋" w:cs="仿宋"/>
                <w:color w:val="auto"/>
                <w:kern w:val="1"/>
                <w:sz w:val="24"/>
                <w:highlight w:val="none"/>
              </w:rPr>
              <w:t>新闻媒体（电台、报纸、网络微信）曝光查实有责的每次扣</w:t>
            </w:r>
            <w:r>
              <w:rPr>
                <w:rFonts w:hint="eastAsia" w:ascii="仿宋" w:hAnsi="仿宋" w:eastAsia="仿宋" w:cs="仿宋"/>
                <w:color w:val="auto"/>
                <w:kern w:val="1"/>
                <w:sz w:val="24"/>
                <w:highlight w:val="none"/>
                <w:lang w:val="en-US" w:eastAsia="zh-CN"/>
              </w:rPr>
              <w:t>1</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扣当月承包款1万元</w:t>
            </w:r>
            <w:r>
              <w:rPr>
                <w:rFonts w:hint="eastAsia" w:ascii="仿宋" w:hAnsi="仿宋" w:eastAsia="仿宋" w:cs="仿宋"/>
                <w:color w:val="auto"/>
                <w:kern w:val="1"/>
                <w:sz w:val="24"/>
                <w:highlight w:val="none"/>
              </w:rPr>
              <w:t>，不及时处理的扣</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扣当月承包款2万元</w:t>
            </w:r>
            <w:r>
              <w:rPr>
                <w:rFonts w:hint="eastAsia" w:ascii="仿宋" w:hAnsi="仿宋" w:eastAsia="仿宋" w:cs="仿宋"/>
                <w:color w:val="auto"/>
                <w:kern w:val="1"/>
                <w:sz w:val="24"/>
                <w:highlight w:val="none"/>
              </w:rPr>
              <w:t>，扣分值作当月累计</w:t>
            </w:r>
            <w:r>
              <w:rPr>
                <w:rFonts w:hint="eastAsia" w:ascii="仿宋" w:hAnsi="仿宋" w:eastAsia="仿宋" w:cs="仿宋"/>
                <w:color w:val="auto"/>
                <w:kern w:val="1"/>
                <w:sz w:val="24"/>
                <w:highlight w:val="none"/>
                <w:lang w:eastAsia="zh-CN"/>
              </w:rPr>
              <w:t>；市级</w:t>
            </w:r>
            <w:r>
              <w:rPr>
                <w:rFonts w:hint="eastAsia" w:ascii="仿宋" w:hAnsi="仿宋" w:eastAsia="仿宋" w:cs="仿宋"/>
                <w:color w:val="auto"/>
                <w:kern w:val="1"/>
                <w:sz w:val="24"/>
                <w:highlight w:val="none"/>
              </w:rPr>
              <w:t>新闻媒体（电台、报纸、网络微信）曝光查实有责的每次扣2分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扣当月承包款2万元</w:t>
            </w:r>
            <w:r>
              <w:rPr>
                <w:rFonts w:hint="eastAsia" w:ascii="仿宋" w:hAnsi="仿宋" w:eastAsia="仿宋" w:cs="仿宋"/>
                <w:color w:val="auto"/>
                <w:kern w:val="1"/>
                <w:sz w:val="24"/>
                <w:highlight w:val="none"/>
              </w:rPr>
              <w:t>，不及时处理的扣</w:t>
            </w:r>
            <w:r>
              <w:rPr>
                <w:rFonts w:hint="eastAsia" w:ascii="仿宋" w:hAnsi="仿宋" w:eastAsia="仿宋" w:cs="仿宋"/>
                <w:color w:val="auto"/>
                <w:kern w:val="1"/>
                <w:sz w:val="24"/>
                <w:highlight w:val="none"/>
                <w:lang w:val="en-US" w:eastAsia="zh-CN"/>
              </w:rPr>
              <w:t>4</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扣当月承包款3万元</w:t>
            </w:r>
            <w:r>
              <w:rPr>
                <w:rFonts w:hint="eastAsia" w:ascii="仿宋" w:hAnsi="仿宋" w:eastAsia="仿宋" w:cs="仿宋"/>
                <w:color w:val="auto"/>
                <w:kern w:val="1"/>
                <w:sz w:val="24"/>
                <w:highlight w:val="none"/>
              </w:rPr>
              <w:t>，扣分值作当月累计</w:t>
            </w:r>
            <w:r>
              <w:rPr>
                <w:rFonts w:hint="eastAsia" w:ascii="仿宋" w:hAnsi="仿宋" w:eastAsia="仿宋" w:cs="仿宋"/>
                <w:color w:val="auto"/>
                <w:kern w:val="1"/>
                <w:sz w:val="24"/>
                <w:highlight w:val="none"/>
                <w:lang w:eastAsia="zh-CN"/>
              </w:rPr>
              <w:t>；省级</w:t>
            </w:r>
            <w:r>
              <w:rPr>
                <w:rFonts w:hint="eastAsia" w:ascii="仿宋" w:hAnsi="仿宋" w:eastAsia="仿宋" w:cs="仿宋"/>
                <w:color w:val="auto"/>
                <w:kern w:val="1"/>
                <w:sz w:val="24"/>
                <w:highlight w:val="none"/>
              </w:rPr>
              <w:t>新闻媒体（电台、报纸、网络微信）曝光查实有责的每次扣</w:t>
            </w:r>
            <w:r>
              <w:rPr>
                <w:rFonts w:hint="eastAsia" w:ascii="仿宋" w:hAnsi="仿宋" w:eastAsia="仿宋" w:cs="仿宋"/>
                <w:color w:val="auto"/>
                <w:kern w:val="1"/>
                <w:sz w:val="24"/>
                <w:highlight w:val="none"/>
                <w:lang w:val="en-US" w:eastAsia="zh-CN"/>
              </w:rPr>
              <w:t>3</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扣当月承包款3万元</w:t>
            </w:r>
            <w:r>
              <w:rPr>
                <w:rFonts w:hint="eastAsia" w:ascii="仿宋" w:hAnsi="仿宋" w:eastAsia="仿宋" w:cs="仿宋"/>
                <w:color w:val="auto"/>
                <w:kern w:val="1"/>
                <w:sz w:val="24"/>
                <w:highlight w:val="none"/>
              </w:rPr>
              <w:t>，不及时处理的扣</w:t>
            </w:r>
            <w:r>
              <w:rPr>
                <w:rFonts w:hint="eastAsia" w:ascii="仿宋" w:hAnsi="仿宋" w:eastAsia="仿宋" w:cs="仿宋"/>
                <w:color w:val="auto"/>
                <w:kern w:val="1"/>
                <w:sz w:val="24"/>
                <w:highlight w:val="none"/>
                <w:lang w:val="en-US" w:eastAsia="zh-CN"/>
              </w:rPr>
              <w:t>5</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扣当月承包款6万元</w:t>
            </w:r>
            <w:r>
              <w:rPr>
                <w:rFonts w:hint="eastAsia" w:ascii="仿宋" w:hAnsi="仿宋" w:eastAsia="仿宋" w:cs="仿宋"/>
                <w:color w:val="auto"/>
                <w:kern w:val="1"/>
                <w:sz w:val="24"/>
                <w:highlight w:val="none"/>
              </w:rPr>
              <w:t>，扣分值作当月累计</w:t>
            </w:r>
            <w:r>
              <w:rPr>
                <w:rFonts w:hint="eastAsia" w:ascii="仿宋" w:hAnsi="仿宋" w:eastAsia="仿宋" w:cs="仿宋"/>
                <w:color w:val="auto"/>
                <w:kern w:val="1"/>
                <w:sz w:val="24"/>
                <w:highlight w:val="none"/>
                <w:lang w:eastAsia="zh-CN"/>
              </w:rPr>
              <w:t>；国家</w:t>
            </w:r>
            <w:r>
              <w:rPr>
                <w:rFonts w:hint="eastAsia" w:ascii="仿宋" w:hAnsi="仿宋" w:eastAsia="仿宋" w:cs="仿宋"/>
                <w:color w:val="auto"/>
                <w:kern w:val="1"/>
                <w:sz w:val="24"/>
                <w:highlight w:val="none"/>
              </w:rPr>
              <w:t>新闻媒体（电台、报纸、网络微信）曝光查实有责的每次扣</w:t>
            </w:r>
            <w:r>
              <w:rPr>
                <w:rFonts w:hint="eastAsia" w:ascii="仿宋" w:hAnsi="仿宋" w:eastAsia="仿宋" w:cs="仿宋"/>
                <w:color w:val="auto"/>
                <w:kern w:val="1"/>
                <w:sz w:val="24"/>
                <w:highlight w:val="none"/>
                <w:lang w:val="en-US" w:eastAsia="zh-CN"/>
              </w:rPr>
              <w:t>5</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扣当月承包款5万元</w:t>
            </w:r>
            <w:r>
              <w:rPr>
                <w:rFonts w:hint="eastAsia" w:ascii="仿宋" w:hAnsi="仿宋" w:eastAsia="仿宋" w:cs="仿宋"/>
                <w:color w:val="auto"/>
                <w:kern w:val="1"/>
                <w:sz w:val="24"/>
                <w:highlight w:val="none"/>
              </w:rPr>
              <w:t>，不及时处理的扣</w:t>
            </w:r>
            <w:r>
              <w:rPr>
                <w:rFonts w:hint="eastAsia" w:ascii="仿宋" w:hAnsi="仿宋" w:eastAsia="仿宋" w:cs="仿宋"/>
                <w:color w:val="auto"/>
                <w:kern w:val="1"/>
                <w:sz w:val="24"/>
                <w:highlight w:val="none"/>
                <w:lang w:val="en-US" w:eastAsia="zh-CN"/>
              </w:rPr>
              <w:t>8</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w:t>
            </w:r>
            <w:r>
              <w:rPr>
                <w:rFonts w:hint="eastAsia" w:ascii="仿宋" w:hAnsi="仿宋" w:eastAsia="仿宋" w:cs="仿宋"/>
                <w:color w:val="auto"/>
                <w:kern w:val="1"/>
                <w:sz w:val="24"/>
                <w:szCs w:val="24"/>
                <w:highlight w:val="none"/>
                <w:lang w:val="en-US" w:eastAsia="zh-CN" w:bidi="ar-SA"/>
              </w:rPr>
              <w:t>扣当月承包款10万元</w:t>
            </w:r>
            <w:r>
              <w:rPr>
                <w:rFonts w:hint="eastAsia" w:ascii="仿宋" w:hAnsi="仿宋" w:eastAsia="仿宋" w:cs="仿宋"/>
                <w:color w:val="auto"/>
                <w:kern w:val="1"/>
                <w:sz w:val="24"/>
                <w:highlight w:val="none"/>
              </w:rPr>
              <w:t>，扣分值作当月累计。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rPr>
          <w:trHeight w:val="1090"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重大活动</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pStyle w:val="22"/>
              <w:spacing w:line="440" w:lineRule="exact"/>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 xml:space="preserve">28、遇上级有关部门考核检查、重大活动等突发应急事件时，路面需增加频次清洗的，人员由乙方自行组织，如不组织人员每次扣5分，并由甲方组织人员对道路进行清洗，一切费用在乙方的承包款中扣除。 </w:t>
            </w:r>
          </w:p>
          <w:p>
            <w:pPr>
              <w:pStyle w:val="22"/>
              <w:spacing w:line="440" w:lineRule="exact"/>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在每月创文（卫）县级检查中，每扣1分，扣当月承包款0.5万元；在每季创文（卫）市级有礼指数测评中，每扣1分，扣当月承包款2万元；在每次创文（卫）省级检查中，每扣1分，扣当月承包款5万元；在每次创文（卫）国家级检查中，每扣1分，扣当月承包款10万元。</w:t>
            </w:r>
          </w:p>
          <w:p>
            <w:pPr>
              <w:pStyle w:val="22"/>
              <w:spacing w:line="440" w:lineRule="exact"/>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因保障不力、责任失分，造成检查未通过的，终止合同并没收履约保证金。</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集镇办、社区</w:t>
            </w:r>
          </w:p>
        </w:tc>
      </w:tr>
      <w:tr>
        <w:tblPrEx>
          <w:tblCellMar>
            <w:top w:w="0" w:type="dxa"/>
            <w:left w:w="57" w:type="dxa"/>
            <w:bottom w:w="0" w:type="dxa"/>
            <w:right w:w="57" w:type="dxa"/>
          </w:tblCellMar>
        </w:tblPrEx>
        <w:trPr>
          <w:trHeight w:val="587"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政府督办</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numPr>
                <w:ilvl w:val="0"/>
                <w:numId w:val="3"/>
              </w:numPr>
              <w:spacing w:line="440" w:lineRule="exact"/>
              <w:ind w:left="0" w:leftChars="0" w:firstLine="0" w:firstLineChars="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eastAsia="zh-CN"/>
              </w:rPr>
              <w:t>被县级部门检查通报督办的，每宗扣</w:t>
            </w:r>
            <w:r>
              <w:rPr>
                <w:rFonts w:hint="eastAsia" w:ascii="仿宋" w:hAnsi="仿宋" w:eastAsia="仿宋" w:cs="仿宋"/>
                <w:color w:val="auto"/>
                <w:kern w:val="1"/>
                <w:sz w:val="24"/>
                <w:highlight w:val="none"/>
                <w:lang w:val="en-US" w:eastAsia="zh-CN"/>
              </w:rPr>
              <w:t>1分，</w:t>
            </w:r>
            <w:r>
              <w:rPr>
                <w:rFonts w:hint="eastAsia" w:ascii="仿宋" w:hAnsi="仿宋" w:eastAsia="仿宋" w:cs="仿宋"/>
                <w:color w:val="auto"/>
                <w:kern w:val="1"/>
                <w:sz w:val="24"/>
                <w:highlight w:val="none"/>
                <w:lang w:eastAsia="zh-CN"/>
              </w:rPr>
              <w:t>并扣当月承包款</w:t>
            </w:r>
            <w:r>
              <w:rPr>
                <w:rFonts w:hint="eastAsia" w:ascii="仿宋" w:hAnsi="仿宋" w:eastAsia="仿宋" w:cs="仿宋"/>
                <w:color w:val="auto"/>
                <w:kern w:val="1"/>
                <w:sz w:val="24"/>
                <w:highlight w:val="none"/>
                <w:lang w:val="en-US" w:eastAsia="zh-CN"/>
              </w:rPr>
              <w:t>1万元</w:t>
            </w:r>
            <w:r>
              <w:rPr>
                <w:rFonts w:hint="eastAsia" w:ascii="仿宋" w:hAnsi="仿宋" w:eastAsia="仿宋" w:cs="仿宋"/>
                <w:color w:val="auto"/>
                <w:kern w:val="1"/>
                <w:sz w:val="24"/>
                <w:highlight w:val="none"/>
              </w:rPr>
              <w:t>；拒不整改或整改不力的，扣2</w:t>
            </w:r>
            <w:r>
              <w:rPr>
                <w:rFonts w:hint="eastAsia" w:ascii="仿宋" w:hAnsi="仿宋" w:eastAsia="仿宋" w:cs="仿宋"/>
                <w:color w:val="auto"/>
                <w:kern w:val="1"/>
                <w:sz w:val="24"/>
                <w:highlight w:val="none"/>
                <w:lang w:val="en-US" w:eastAsia="zh-CN"/>
              </w:rPr>
              <w:t>-3</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，并扣当月承包款</w:t>
            </w:r>
            <w:r>
              <w:rPr>
                <w:rFonts w:hint="eastAsia" w:ascii="仿宋" w:hAnsi="仿宋" w:eastAsia="仿宋" w:cs="仿宋"/>
                <w:color w:val="auto"/>
                <w:kern w:val="1"/>
                <w:sz w:val="24"/>
                <w:highlight w:val="none"/>
                <w:lang w:val="en-US" w:eastAsia="zh-CN"/>
              </w:rPr>
              <w:t>2-3万元</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被</w:t>
            </w:r>
            <w:r>
              <w:rPr>
                <w:rFonts w:hint="eastAsia" w:ascii="仿宋" w:hAnsi="仿宋" w:eastAsia="仿宋" w:cs="仿宋"/>
                <w:color w:val="auto"/>
                <w:kern w:val="1"/>
                <w:sz w:val="24"/>
                <w:highlight w:val="none"/>
                <w:lang w:eastAsia="zh-CN"/>
              </w:rPr>
              <w:t>市级部门检查</w:t>
            </w:r>
            <w:r>
              <w:rPr>
                <w:rFonts w:hint="eastAsia" w:ascii="仿宋" w:hAnsi="仿宋" w:eastAsia="仿宋" w:cs="仿宋"/>
                <w:color w:val="auto"/>
                <w:kern w:val="1"/>
                <w:sz w:val="24"/>
                <w:highlight w:val="none"/>
              </w:rPr>
              <w:t xml:space="preserve">督办的，每宗扣 </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 xml:space="preserve"> 分</w:t>
            </w:r>
            <w:r>
              <w:rPr>
                <w:rFonts w:hint="eastAsia" w:ascii="仿宋" w:hAnsi="仿宋" w:eastAsia="仿宋" w:cs="仿宋"/>
                <w:color w:val="auto"/>
                <w:kern w:val="1"/>
                <w:sz w:val="24"/>
                <w:highlight w:val="none"/>
                <w:lang w:eastAsia="zh-CN"/>
              </w:rPr>
              <w:t>，并扣当月承包款</w:t>
            </w:r>
            <w:r>
              <w:rPr>
                <w:rFonts w:hint="eastAsia" w:ascii="仿宋" w:hAnsi="仿宋" w:eastAsia="仿宋" w:cs="仿宋"/>
                <w:color w:val="auto"/>
                <w:kern w:val="1"/>
                <w:sz w:val="24"/>
                <w:highlight w:val="none"/>
                <w:lang w:val="en-US" w:eastAsia="zh-CN"/>
              </w:rPr>
              <w:t>2万元</w:t>
            </w:r>
            <w:r>
              <w:rPr>
                <w:rFonts w:hint="eastAsia" w:ascii="仿宋" w:hAnsi="仿宋" w:eastAsia="仿宋" w:cs="仿宋"/>
                <w:color w:val="auto"/>
                <w:kern w:val="1"/>
                <w:sz w:val="24"/>
                <w:highlight w:val="none"/>
              </w:rPr>
              <w:t>；拒不整改或整改不力的，扣</w:t>
            </w:r>
            <w:r>
              <w:rPr>
                <w:rFonts w:hint="eastAsia" w:ascii="仿宋" w:hAnsi="仿宋" w:eastAsia="仿宋" w:cs="仿宋"/>
                <w:color w:val="auto"/>
                <w:kern w:val="1"/>
                <w:sz w:val="24"/>
                <w:highlight w:val="none"/>
                <w:lang w:val="en-US" w:eastAsia="zh-CN"/>
              </w:rPr>
              <w:t>3-5</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，并扣当月承包款</w:t>
            </w:r>
            <w:r>
              <w:rPr>
                <w:rFonts w:hint="eastAsia" w:ascii="仿宋" w:hAnsi="仿宋" w:eastAsia="仿宋" w:cs="仿宋"/>
                <w:color w:val="auto"/>
                <w:kern w:val="1"/>
                <w:sz w:val="24"/>
                <w:highlight w:val="none"/>
                <w:lang w:val="en-US" w:eastAsia="zh-CN"/>
              </w:rPr>
              <w:t>3-5万元</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被</w:t>
            </w:r>
            <w:r>
              <w:rPr>
                <w:rFonts w:hint="eastAsia" w:ascii="仿宋" w:hAnsi="仿宋" w:eastAsia="仿宋" w:cs="仿宋"/>
                <w:color w:val="auto"/>
                <w:kern w:val="1"/>
                <w:sz w:val="24"/>
                <w:highlight w:val="none"/>
                <w:lang w:eastAsia="zh-CN"/>
              </w:rPr>
              <w:t>省级及以上部门检查</w:t>
            </w:r>
            <w:r>
              <w:rPr>
                <w:rFonts w:hint="eastAsia" w:ascii="仿宋" w:hAnsi="仿宋" w:eastAsia="仿宋" w:cs="仿宋"/>
                <w:color w:val="auto"/>
                <w:kern w:val="1"/>
                <w:sz w:val="24"/>
                <w:highlight w:val="none"/>
              </w:rPr>
              <w:t xml:space="preserve">督办的，每宗扣 </w:t>
            </w:r>
            <w:r>
              <w:rPr>
                <w:rFonts w:hint="eastAsia" w:ascii="仿宋" w:hAnsi="仿宋" w:eastAsia="仿宋" w:cs="仿宋"/>
                <w:color w:val="auto"/>
                <w:kern w:val="1"/>
                <w:sz w:val="24"/>
                <w:highlight w:val="none"/>
                <w:lang w:val="en-US" w:eastAsia="zh-CN"/>
              </w:rPr>
              <w:t>3</w:t>
            </w:r>
            <w:r>
              <w:rPr>
                <w:rFonts w:hint="eastAsia" w:ascii="仿宋" w:hAnsi="仿宋" w:eastAsia="仿宋" w:cs="仿宋"/>
                <w:color w:val="auto"/>
                <w:kern w:val="1"/>
                <w:sz w:val="24"/>
                <w:highlight w:val="none"/>
              </w:rPr>
              <w:t xml:space="preserve"> 分</w:t>
            </w:r>
            <w:r>
              <w:rPr>
                <w:rFonts w:hint="eastAsia" w:ascii="仿宋" w:hAnsi="仿宋" w:eastAsia="仿宋" w:cs="仿宋"/>
                <w:color w:val="auto"/>
                <w:kern w:val="1"/>
                <w:sz w:val="24"/>
                <w:highlight w:val="none"/>
                <w:lang w:eastAsia="zh-CN"/>
              </w:rPr>
              <w:t>，并扣当月承包款</w:t>
            </w:r>
            <w:r>
              <w:rPr>
                <w:rFonts w:hint="eastAsia" w:ascii="仿宋" w:hAnsi="仿宋" w:eastAsia="仿宋" w:cs="仿宋"/>
                <w:color w:val="auto"/>
                <w:kern w:val="1"/>
                <w:sz w:val="24"/>
                <w:highlight w:val="none"/>
                <w:lang w:val="en-US" w:eastAsia="zh-CN"/>
              </w:rPr>
              <w:t>3万元</w:t>
            </w:r>
            <w:r>
              <w:rPr>
                <w:rFonts w:hint="eastAsia" w:ascii="仿宋" w:hAnsi="仿宋" w:eastAsia="仿宋" w:cs="仿宋"/>
                <w:color w:val="auto"/>
                <w:kern w:val="1"/>
                <w:sz w:val="24"/>
                <w:highlight w:val="none"/>
              </w:rPr>
              <w:t>；拒不整改或整改不力的，扣</w:t>
            </w:r>
            <w:r>
              <w:rPr>
                <w:rFonts w:hint="eastAsia" w:ascii="仿宋" w:hAnsi="仿宋" w:eastAsia="仿宋" w:cs="仿宋"/>
                <w:color w:val="auto"/>
                <w:kern w:val="1"/>
                <w:sz w:val="24"/>
                <w:highlight w:val="none"/>
                <w:lang w:val="en-US" w:eastAsia="zh-CN"/>
              </w:rPr>
              <w:t>4-6</w:t>
            </w:r>
            <w:r>
              <w:rPr>
                <w:rFonts w:hint="eastAsia" w:ascii="仿宋" w:hAnsi="仿宋" w:eastAsia="仿宋" w:cs="仿宋"/>
                <w:color w:val="auto"/>
                <w:kern w:val="1"/>
                <w:sz w:val="24"/>
                <w:highlight w:val="none"/>
              </w:rPr>
              <w:t>分</w:t>
            </w:r>
            <w:r>
              <w:rPr>
                <w:rFonts w:hint="eastAsia" w:ascii="仿宋" w:hAnsi="仿宋" w:eastAsia="仿宋" w:cs="仿宋"/>
                <w:color w:val="auto"/>
                <w:kern w:val="1"/>
                <w:sz w:val="24"/>
                <w:highlight w:val="none"/>
                <w:lang w:eastAsia="zh-CN"/>
              </w:rPr>
              <w:t>，并扣当月承包款</w:t>
            </w:r>
            <w:r>
              <w:rPr>
                <w:rFonts w:hint="eastAsia" w:ascii="仿宋" w:hAnsi="仿宋" w:eastAsia="仿宋" w:cs="仿宋"/>
                <w:color w:val="auto"/>
                <w:kern w:val="1"/>
                <w:sz w:val="24"/>
                <w:highlight w:val="none"/>
                <w:lang w:val="en-US" w:eastAsia="zh-CN"/>
              </w:rPr>
              <w:t>4-6万元</w:t>
            </w:r>
            <w:r>
              <w:rPr>
                <w:rFonts w:hint="eastAsia" w:ascii="仿宋" w:hAnsi="仿宋" w:eastAsia="仿宋" w:cs="仿宋"/>
                <w:color w:val="auto"/>
                <w:kern w:val="1"/>
                <w:sz w:val="24"/>
                <w:highlight w:val="none"/>
              </w:rPr>
              <w:t>。</w:t>
            </w:r>
          </w:p>
          <w:p>
            <w:pPr>
              <w:numPr>
                <w:ilvl w:val="0"/>
                <w:numId w:val="0"/>
              </w:numPr>
              <w:spacing w:line="440" w:lineRule="exact"/>
              <w:ind w:leftChars="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同一问题被多次督办的，每宗每次额外加扣5分</w:t>
            </w:r>
            <w:r>
              <w:rPr>
                <w:rFonts w:hint="eastAsia" w:ascii="仿宋" w:hAnsi="仿宋" w:eastAsia="仿宋" w:cs="仿宋"/>
                <w:color w:val="auto"/>
                <w:kern w:val="1"/>
                <w:sz w:val="24"/>
                <w:highlight w:val="none"/>
                <w:lang w:eastAsia="zh-CN"/>
              </w:rPr>
              <w:t>，并再加扣当月承包款</w:t>
            </w:r>
            <w:r>
              <w:rPr>
                <w:rFonts w:hint="eastAsia" w:ascii="仿宋" w:hAnsi="仿宋" w:eastAsia="仿宋" w:cs="仿宋"/>
                <w:color w:val="auto"/>
                <w:kern w:val="1"/>
                <w:sz w:val="24"/>
                <w:highlight w:val="none"/>
                <w:lang w:val="en-US" w:eastAsia="zh-CN"/>
              </w:rPr>
              <w:t>5万元。</w:t>
            </w:r>
            <w:r>
              <w:rPr>
                <w:rFonts w:hint="eastAsia" w:ascii="仿宋" w:hAnsi="仿宋" w:eastAsia="仿宋" w:cs="仿宋"/>
                <w:color w:val="auto"/>
                <w:kern w:val="1"/>
                <w:sz w:val="24"/>
                <w:highlight w:val="none"/>
              </w:rPr>
              <w:t>（扣分值</w:t>
            </w:r>
            <w:r>
              <w:rPr>
                <w:rFonts w:hint="eastAsia" w:ascii="仿宋" w:hAnsi="仿宋" w:eastAsia="仿宋" w:cs="仿宋"/>
                <w:color w:val="auto"/>
                <w:kern w:val="1"/>
                <w:sz w:val="24"/>
                <w:highlight w:val="none"/>
                <w:lang w:eastAsia="zh-CN"/>
              </w:rPr>
              <w:t>按</w:t>
            </w:r>
            <w:r>
              <w:rPr>
                <w:rFonts w:hint="eastAsia" w:ascii="仿宋" w:hAnsi="仿宋" w:eastAsia="仿宋" w:cs="仿宋"/>
                <w:color w:val="auto"/>
                <w:kern w:val="1"/>
                <w:sz w:val="24"/>
                <w:highlight w:val="none"/>
              </w:rPr>
              <w:t>月累计）。</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r>
        <w:tblPrEx>
          <w:tblCellMar>
            <w:top w:w="0" w:type="dxa"/>
            <w:left w:w="57" w:type="dxa"/>
            <w:bottom w:w="0" w:type="dxa"/>
            <w:right w:w="57" w:type="dxa"/>
          </w:tblCellMar>
        </w:tblPrEx>
        <w:trPr>
          <w:trHeight w:val="1908"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p>
        </w:tc>
        <w:tc>
          <w:tcPr>
            <w:tcW w:w="575"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新增保洁、清运</w:t>
            </w:r>
          </w:p>
        </w:tc>
        <w:tc>
          <w:tcPr>
            <w:tcW w:w="340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30</w:t>
            </w:r>
            <w:r>
              <w:rPr>
                <w:rFonts w:hint="eastAsia" w:ascii="仿宋" w:hAnsi="仿宋" w:eastAsia="仿宋" w:cs="仿宋"/>
                <w:color w:val="auto"/>
                <w:kern w:val="1"/>
                <w:sz w:val="24"/>
                <w:highlight w:val="none"/>
              </w:rPr>
              <w:t>、拒不接收新增保洁范围的，扣5分并给予警告；新增保洁范围未按保洁配置要求安排人员的，每少一人扣1分；因工作不到位，造成委托垃圾清运服务单位投诉的，每次扣1分；督办后仍不处理的，扣2分（扣分值作当月累计）；造成委托垃圾清运服务单位终止协议的，扣3分（扣分值作当月累计），并按实际扣除损失金额。</w:t>
            </w:r>
          </w:p>
        </w:tc>
        <w:tc>
          <w:tcPr>
            <w:tcW w:w="354"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仿宋" w:hAnsi="仿宋" w:eastAsia="仿宋" w:cs="仿宋"/>
                <w:color w:val="auto"/>
                <w:kern w:val="21"/>
                <w:sz w:val="24"/>
                <w:highlight w:val="none"/>
              </w:rPr>
            </w:pPr>
            <w:r>
              <w:rPr>
                <w:rFonts w:hint="eastAsia" w:ascii="仿宋" w:hAnsi="仿宋" w:eastAsia="仿宋" w:cs="仿宋"/>
                <w:color w:val="auto"/>
                <w:kern w:val="21"/>
                <w:sz w:val="24"/>
                <w:highlight w:val="none"/>
              </w:rPr>
              <w:t>集镇办</w:t>
            </w:r>
          </w:p>
        </w:tc>
      </w:tr>
    </w:tbl>
    <w:p>
      <w:pPr>
        <w:widowControl/>
        <w:spacing w:line="440" w:lineRule="exact"/>
        <w:rPr>
          <w:b/>
          <w:color w:val="auto"/>
          <w:sz w:val="28"/>
          <w:szCs w:val="28"/>
          <w:highlight w:val="none"/>
        </w:rPr>
      </w:pPr>
      <w:r>
        <w:rPr>
          <w:rFonts w:hint="eastAsia" w:cs="宋体"/>
          <w:b/>
          <w:color w:val="auto"/>
          <w:sz w:val="28"/>
          <w:szCs w:val="28"/>
          <w:highlight w:val="none"/>
        </w:rPr>
        <w:t>注</w:t>
      </w:r>
      <w:r>
        <w:rPr>
          <w:rFonts w:hint="eastAsia"/>
          <w:b/>
          <w:color w:val="auto"/>
          <w:sz w:val="28"/>
          <w:szCs w:val="28"/>
          <w:highlight w:val="none"/>
        </w:rPr>
        <w:t>：</w:t>
      </w:r>
      <w:r>
        <w:rPr>
          <w:rFonts w:cs="宋体"/>
          <w:b/>
          <w:color w:val="auto"/>
          <w:sz w:val="28"/>
          <w:szCs w:val="28"/>
          <w:highlight w:val="none"/>
        </w:rPr>
        <w:t>对未尽事项，根据实际情况扣分</w:t>
      </w:r>
    </w:p>
    <w:p>
      <w:pPr>
        <w:spacing w:line="440" w:lineRule="exact"/>
        <w:outlineLvl w:val="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firstLine="560"/>
        <w:rPr>
          <w:rFonts w:eastAsia="黑体"/>
          <w:color w:val="auto"/>
          <w:kern w:val="0"/>
          <w:sz w:val="28"/>
          <w:szCs w:val="28"/>
          <w:highlight w:val="none"/>
        </w:rPr>
      </w:pPr>
    </w:p>
    <w:p>
      <w:pPr>
        <w:pStyle w:val="24"/>
        <w:spacing w:before="156" w:after="156"/>
        <w:ind w:left="0" w:leftChars="0" w:firstLine="0" w:firstLineChars="0"/>
        <w:rPr>
          <w:rFonts w:eastAsia="黑体"/>
          <w:color w:val="auto"/>
          <w:kern w:val="0"/>
          <w:sz w:val="28"/>
          <w:szCs w:val="28"/>
          <w:highlight w:val="none"/>
        </w:rPr>
      </w:pPr>
    </w:p>
    <w:p>
      <w:pPr>
        <w:pStyle w:val="36"/>
        <w:jc w:val="both"/>
        <w:outlineLvl w:val="0"/>
        <w:rPr>
          <w:rFonts w:ascii="黑体" w:eastAsia="黑体"/>
          <w:color w:val="auto"/>
          <w:sz w:val="36"/>
          <w:szCs w:val="36"/>
          <w:highlight w:val="none"/>
        </w:rPr>
      </w:pPr>
    </w:p>
    <w:p>
      <w:pPr>
        <w:pStyle w:val="36"/>
        <w:outlineLvl w:val="0"/>
        <w:rPr>
          <w:rFonts w:ascii="黑体" w:eastAsia="黑体"/>
          <w:color w:val="auto"/>
          <w:sz w:val="36"/>
          <w:szCs w:val="36"/>
          <w:highlight w:val="none"/>
        </w:rPr>
      </w:pPr>
      <w:r>
        <w:rPr>
          <w:rFonts w:hint="eastAsia" w:ascii="黑体" w:eastAsia="黑体"/>
          <w:color w:val="auto"/>
          <w:sz w:val="36"/>
          <w:szCs w:val="36"/>
          <w:highlight w:val="none"/>
        </w:rPr>
        <w:t>第五章  投标文件格式</w:t>
      </w: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jc w:val="center"/>
        <w:rPr>
          <w:rFonts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未提供格式的由投标人自拟</w:t>
      </w: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p>
      <w:pPr>
        <w:autoSpaceDE w:val="0"/>
        <w:autoSpaceDN w:val="0"/>
        <w:adjustRightInd w:val="0"/>
        <w:spacing w:line="400" w:lineRule="exact"/>
        <w:rPr>
          <w:rFonts w:ascii="宋体" w:hAnsi="宋体"/>
          <w:bCs/>
          <w:color w:val="auto"/>
          <w:sz w:val="28"/>
          <w:szCs w:val="28"/>
          <w:highlight w:val="none"/>
          <w:lang w:val="zh-CN"/>
        </w:rPr>
      </w:pPr>
    </w:p>
    <w:bookmarkEnd w:id="45"/>
    <w:bookmarkEnd w:id="46"/>
    <w:bookmarkEnd w:id="47"/>
    <w:p>
      <w:pPr>
        <w:spacing w:beforeLines="100" w:line="440" w:lineRule="atLeast"/>
        <w:jc w:val="center"/>
        <w:outlineLvl w:val="1"/>
        <w:rPr>
          <w:rFonts w:ascii="宋体" w:hAnsi="宋体"/>
          <w:b/>
          <w:color w:val="auto"/>
          <w:sz w:val="28"/>
          <w:szCs w:val="28"/>
          <w:highlight w:val="none"/>
        </w:rPr>
      </w:pPr>
      <w:bookmarkStart w:id="67" w:name="_Toc387831502"/>
      <w:bookmarkStart w:id="68" w:name="_Toc392080785"/>
      <w:bookmarkStart w:id="69" w:name="_Toc393201727"/>
      <w:bookmarkStart w:id="70" w:name="_Toc30165"/>
      <w:bookmarkStart w:id="71" w:name="_Toc336331380"/>
    </w:p>
    <w:p>
      <w:pPr>
        <w:pStyle w:val="50"/>
        <w:rPr>
          <w:color w:val="auto"/>
          <w:highlight w:val="none"/>
        </w:rPr>
      </w:pPr>
    </w:p>
    <w:p>
      <w:pPr>
        <w:spacing w:beforeLines="100" w:line="440" w:lineRule="atLeast"/>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资格证明文件</w:t>
      </w:r>
      <w:bookmarkEnd w:id="67"/>
      <w:bookmarkEnd w:id="68"/>
      <w:bookmarkEnd w:id="69"/>
      <w:bookmarkEnd w:id="70"/>
      <w:bookmarkEnd w:id="71"/>
    </w:p>
    <w:p>
      <w:pPr>
        <w:spacing w:line="440" w:lineRule="atLeast"/>
        <w:jc w:val="center"/>
        <w:rPr>
          <w:rFonts w:ascii="宋体" w:hAnsi="宋体" w:cs="宋体"/>
          <w:color w:val="auto"/>
          <w:kern w:val="0"/>
          <w:sz w:val="28"/>
          <w:szCs w:val="28"/>
          <w:highlight w:val="none"/>
        </w:rPr>
      </w:pPr>
    </w:p>
    <w:p>
      <w:pPr>
        <w:spacing w:line="440" w:lineRule="atLeast"/>
        <w:jc w:val="center"/>
        <w:rPr>
          <w:rFonts w:ascii="宋体" w:hAnsi="宋体"/>
          <w:color w:val="auto"/>
          <w:sz w:val="28"/>
          <w:szCs w:val="28"/>
          <w:highlight w:val="none"/>
        </w:rPr>
      </w:pPr>
    </w:p>
    <w:p>
      <w:pPr>
        <w:spacing w:line="440" w:lineRule="atLeast"/>
        <w:jc w:val="center"/>
        <w:rPr>
          <w:rFonts w:ascii="宋体" w:hAnsi="宋体"/>
          <w:color w:val="auto"/>
          <w:sz w:val="28"/>
          <w:szCs w:val="28"/>
          <w:highlight w:val="none"/>
        </w:rPr>
      </w:pPr>
    </w:p>
    <w:p>
      <w:pPr>
        <w:spacing w:line="440" w:lineRule="atLeast"/>
        <w:jc w:val="center"/>
        <w:rPr>
          <w:rFonts w:ascii="仿宋" w:hAnsi="仿宋" w:eastAsia="仿宋" w:cs="仿宋"/>
          <w:color w:val="auto"/>
          <w:sz w:val="28"/>
          <w:szCs w:val="28"/>
          <w:highlight w:val="none"/>
        </w:rPr>
      </w:pPr>
    </w:p>
    <w:p>
      <w:pPr>
        <w:snapToGrid w:val="0"/>
        <w:spacing w:line="440" w:lineRule="atLeast"/>
        <w:ind w:left="2101" w:leftChars="334" w:hanging="1400" w:hangingChars="500"/>
        <w:rPr>
          <w:rFonts w:hint="default" w:ascii="仿宋" w:hAnsi="仿宋" w:eastAsia="仿宋" w:cs="仿宋"/>
          <w:color w:val="auto"/>
          <w:sz w:val="28"/>
          <w:szCs w:val="28"/>
          <w:highlight w:val="none"/>
          <w:u w:val="single"/>
          <w:lang w:val="en-US" w:eastAsia="zh-CN"/>
        </w:rPr>
      </w:pPr>
      <w:bookmarkStart w:id="72" w:name="_Toc340582347"/>
      <w:r>
        <w:rPr>
          <w:rFonts w:hint="eastAsia" w:ascii="仿宋" w:hAnsi="仿宋" w:eastAsia="仿宋" w:cs="仿宋"/>
          <w:color w:val="auto"/>
          <w:sz w:val="28"/>
          <w:szCs w:val="28"/>
          <w:highlight w:val="none"/>
        </w:rPr>
        <w:t>项目名称：</w:t>
      </w:r>
      <w:bookmarkEnd w:id="72"/>
      <w:r>
        <w:rPr>
          <w:rFonts w:hint="eastAsia" w:ascii="仿宋" w:hAnsi="仿宋" w:eastAsia="仿宋" w:cs="仿宋"/>
          <w:color w:val="auto"/>
          <w:spacing w:val="-6"/>
          <w:sz w:val="28"/>
          <w:szCs w:val="28"/>
          <w:highlight w:val="none"/>
          <w:u w:val="single"/>
          <w:lang w:eastAsia="zh-CN"/>
        </w:rPr>
        <w:t>开化县华埠镇城区环卫作业一体化服务采购项目</w:t>
      </w:r>
      <w:r>
        <w:rPr>
          <w:rFonts w:hint="eastAsia" w:ascii="仿宋" w:hAnsi="仿宋" w:eastAsia="仿宋" w:cs="仿宋"/>
          <w:color w:val="auto"/>
          <w:spacing w:val="-6"/>
          <w:sz w:val="28"/>
          <w:szCs w:val="28"/>
          <w:highlight w:val="none"/>
          <w:u w:val="single"/>
          <w:lang w:val="en-US" w:eastAsia="zh-CN"/>
        </w:rPr>
        <w:t xml:space="preserve">      </w:t>
      </w:r>
    </w:p>
    <w:p>
      <w:pPr>
        <w:snapToGrid w:val="0"/>
        <w:spacing w:line="440" w:lineRule="atLeast"/>
        <w:rPr>
          <w:rFonts w:ascii="仿宋" w:hAnsi="仿宋" w:eastAsia="仿宋" w:cs="仿宋"/>
          <w:color w:val="auto"/>
          <w:sz w:val="28"/>
          <w:szCs w:val="28"/>
          <w:highlight w:val="none"/>
        </w:rPr>
      </w:pPr>
    </w:p>
    <w:p>
      <w:pPr>
        <w:snapToGrid w:val="0"/>
        <w:spacing w:line="440" w:lineRule="atLeast"/>
        <w:ind w:firstLine="700" w:firstLineChars="250"/>
        <w:rPr>
          <w:rFonts w:hint="default" w:ascii="仿宋" w:hAnsi="仿宋" w:eastAsia="仿宋" w:cs="仿宋"/>
          <w:color w:val="auto"/>
          <w:sz w:val="28"/>
          <w:szCs w:val="28"/>
          <w:highlight w:val="none"/>
          <w:lang w:val="en-US" w:eastAsia="zh-CN"/>
        </w:rPr>
      </w:pPr>
      <w:bookmarkStart w:id="73" w:name="_Toc340582348"/>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ab/>
      </w:r>
      <w:bookmarkEnd w:id="73"/>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QQZXFSCG-2022-03</w:t>
      </w:r>
      <w:r>
        <w:rPr>
          <w:rFonts w:hint="eastAsia" w:ascii="仿宋" w:hAnsi="仿宋" w:eastAsia="仿宋" w:cs="仿宋"/>
          <w:color w:val="auto"/>
          <w:sz w:val="28"/>
          <w:szCs w:val="28"/>
          <w:highlight w:val="none"/>
          <w:u w:val="single"/>
          <w:lang w:val="en-US" w:eastAsia="zh-CN"/>
        </w:rPr>
        <w:t xml:space="preserve">                  </w:t>
      </w:r>
    </w:p>
    <w:p>
      <w:pPr>
        <w:spacing w:line="440" w:lineRule="atLeast"/>
        <w:rPr>
          <w:rFonts w:ascii="仿宋" w:hAnsi="仿宋" w:eastAsia="仿宋" w:cs="仿宋"/>
          <w:color w:val="auto"/>
          <w:sz w:val="28"/>
          <w:szCs w:val="28"/>
          <w:highlight w:val="none"/>
        </w:rPr>
      </w:pPr>
    </w:p>
    <w:p>
      <w:pPr>
        <w:spacing w:line="440" w:lineRule="atLeast"/>
        <w:ind w:firstLine="700" w:firstLineChars="250"/>
        <w:jc w:val="left"/>
        <w:rPr>
          <w:rFonts w:hint="default" w:ascii="仿宋" w:hAnsi="仿宋" w:eastAsia="仿宋" w:cs="仿宋"/>
          <w:color w:val="auto"/>
          <w:sz w:val="28"/>
          <w:szCs w:val="28"/>
          <w:highlight w:val="none"/>
          <w:lang w:val="en-US" w:eastAsia="zh-CN"/>
        </w:rPr>
      </w:pPr>
      <w:bookmarkStart w:id="74" w:name="_Toc340582350"/>
      <w:r>
        <w:rPr>
          <w:rFonts w:hint="eastAsia" w:ascii="仿宋" w:hAnsi="仿宋" w:eastAsia="仿宋" w:cs="仿宋"/>
          <w:color w:val="auto"/>
          <w:sz w:val="28"/>
          <w:szCs w:val="28"/>
          <w:highlight w:val="none"/>
        </w:rPr>
        <w:t>投标人名称：</w:t>
      </w:r>
      <w:bookmarkEnd w:id="74"/>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 xml:space="preserve"> （电子签章）</w:t>
      </w:r>
      <w:r>
        <w:rPr>
          <w:rFonts w:hint="eastAsia" w:ascii="仿宋" w:hAnsi="仿宋" w:eastAsia="仿宋" w:cs="仿宋"/>
          <w:color w:val="auto"/>
          <w:sz w:val="28"/>
          <w:szCs w:val="28"/>
          <w:highlight w:val="none"/>
          <w:u w:val="single"/>
          <w:lang w:val="en-US" w:eastAsia="zh-CN"/>
        </w:rPr>
        <w:t xml:space="preserve">      </w:t>
      </w:r>
    </w:p>
    <w:p>
      <w:pPr>
        <w:spacing w:line="440" w:lineRule="atLeast"/>
        <w:ind w:firstLine="560" w:firstLineChars="200"/>
        <w:jc w:val="left"/>
        <w:rPr>
          <w:rFonts w:ascii="仿宋" w:hAnsi="仿宋" w:eastAsia="仿宋" w:cs="仿宋"/>
          <w:color w:val="auto"/>
          <w:sz w:val="28"/>
          <w:szCs w:val="28"/>
          <w:highlight w:val="none"/>
          <w:u w:val="single"/>
        </w:rPr>
      </w:pPr>
    </w:p>
    <w:p>
      <w:pPr>
        <w:spacing w:line="440" w:lineRule="atLeast"/>
        <w:ind w:firstLine="560" w:firstLineChars="200"/>
        <w:jc w:val="left"/>
        <w:rPr>
          <w:rFonts w:ascii="仿宋" w:hAnsi="仿宋" w:eastAsia="仿宋" w:cs="仿宋"/>
          <w:color w:val="auto"/>
          <w:sz w:val="28"/>
          <w:szCs w:val="28"/>
          <w:highlight w:val="none"/>
        </w:rPr>
      </w:pPr>
    </w:p>
    <w:p>
      <w:pPr>
        <w:spacing w:line="440" w:lineRule="atLeast"/>
        <w:ind w:firstLine="560" w:firstLineChars="200"/>
        <w:jc w:val="left"/>
        <w:rPr>
          <w:rFonts w:ascii="仿宋" w:hAnsi="仿宋" w:eastAsia="仿宋" w:cs="仿宋"/>
          <w:color w:val="auto"/>
          <w:sz w:val="28"/>
          <w:szCs w:val="28"/>
          <w:highlight w:val="none"/>
        </w:rPr>
      </w:pPr>
    </w:p>
    <w:p>
      <w:pPr>
        <w:spacing w:line="440" w:lineRule="atLeast"/>
        <w:jc w:val="center"/>
        <w:rPr>
          <w:rFonts w:ascii="仿宋" w:hAnsi="仿宋" w:eastAsia="仿宋" w:cs="仿宋"/>
          <w:color w:val="auto"/>
          <w:sz w:val="28"/>
          <w:szCs w:val="28"/>
          <w:highlight w:val="none"/>
        </w:rPr>
      </w:pPr>
    </w:p>
    <w:p>
      <w:pPr>
        <w:spacing w:beforeLines="100" w:afterLines="100" w:line="440" w:lineRule="atLeast"/>
        <w:ind w:firstLine="3640" w:firstLineChars="1300"/>
        <w:rPr>
          <w:rFonts w:ascii="宋体" w:hAnsi="宋体"/>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w:t>
      </w:r>
    </w:p>
    <w:p>
      <w:pPr>
        <w:spacing w:beforeLines="100" w:afterLines="100" w:line="440" w:lineRule="atLeast"/>
        <w:rPr>
          <w:rFonts w:ascii="宋体" w:hAnsi="宋体"/>
          <w:color w:val="auto"/>
          <w:sz w:val="28"/>
          <w:szCs w:val="28"/>
          <w:highlight w:val="none"/>
        </w:rPr>
      </w:pPr>
    </w:p>
    <w:p>
      <w:pPr>
        <w:pStyle w:val="50"/>
        <w:rPr>
          <w:color w:val="auto"/>
          <w:highlight w:val="none"/>
        </w:rPr>
      </w:pPr>
    </w:p>
    <w:p>
      <w:pPr>
        <w:spacing w:beforeLines="100" w:afterLines="100" w:line="440" w:lineRule="atLeast"/>
        <w:jc w:val="center"/>
        <w:rPr>
          <w:rFonts w:ascii="宋体" w:hAnsi="宋体"/>
          <w:b/>
          <w:color w:val="auto"/>
          <w:sz w:val="28"/>
          <w:szCs w:val="28"/>
          <w:highlight w:val="none"/>
        </w:rPr>
      </w:pPr>
    </w:p>
    <w:p>
      <w:pPr>
        <w:pStyle w:val="50"/>
        <w:rPr>
          <w:color w:val="auto"/>
          <w:highlight w:val="none"/>
        </w:rPr>
      </w:pPr>
    </w:p>
    <w:p>
      <w:pPr>
        <w:spacing w:beforeLines="100" w:afterLines="100" w:line="440" w:lineRule="atLeast"/>
        <w:jc w:val="center"/>
        <w:rPr>
          <w:rFonts w:ascii="宋体" w:hAnsi="宋体"/>
          <w:b/>
          <w:color w:val="auto"/>
          <w:sz w:val="36"/>
          <w:szCs w:val="36"/>
          <w:highlight w:val="none"/>
        </w:rPr>
      </w:pPr>
      <w:r>
        <w:rPr>
          <w:rFonts w:hint="eastAsia" w:ascii="宋体" w:hAnsi="宋体"/>
          <w:b/>
          <w:color w:val="auto"/>
          <w:sz w:val="36"/>
          <w:szCs w:val="36"/>
          <w:highlight w:val="none"/>
        </w:rPr>
        <w:t>资格证明文件目录</w:t>
      </w:r>
    </w:p>
    <w:p>
      <w:pPr>
        <w:widowControl/>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一、投标声明书（格式附后）</w:t>
      </w:r>
    </w:p>
    <w:p>
      <w:pPr>
        <w:pStyle w:val="219"/>
        <w:spacing w:line="50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二、最近一年度</w:t>
      </w:r>
      <w:r>
        <w:rPr>
          <w:rFonts w:hint="eastAsia" w:ascii="仿宋" w:hAnsi="仿宋" w:eastAsia="仿宋" w:cs="仿宋"/>
          <w:b/>
          <w:bCs/>
          <w:color w:val="auto"/>
          <w:sz w:val="28"/>
          <w:szCs w:val="28"/>
          <w:highlight w:val="none"/>
        </w:rPr>
        <w:t>投标人</w:t>
      </w:r>
      <w:r>
        <w:rPr>
          <w:rFonts w:hint="eastAsia" w:ascii="仿宋" w:hAnsi="仿宋" w:eastAsia="仿宋" w:cs="仿宋"/>
          <w:color w:val="auto"/>
          <w:kern w:val="2"/>
          <w:sz w:val="28"/>
          <w:szCs w:val="28"/>
          <w:highlight w:val="none"/>
        </w:rPr>
        <w:t>财务状况报告扫描件（投标人若是新注册成立的，无法提供财务状况报告，请提供情况说明）</w:t>
      </w:r>
    </w:p>
    <w:p>
      <w:pPr>
        <w:widowControl/>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三、截至开标前6个月内</w:t>
      </w:r>
      <w:r>
        <w:rPr>
          <w:rFonts w:hint="eastAsia" w:ascii="仿宋" w:hAnsi="仿宋" w:eastAsia="仿宋" w:cs="仿宋"/>
          <w:b/>
          <w:bCs/>
          <w:color w:val="auto"/>
          <w:sz w:val="28"/>
          <w:szCs w:val="28"/>
          <w:highlight w:val="none"/>
        </w:rPr>
        <w:t>投标人</w:t>
      </w:r>
      <w:r>
        <w:rPr>
          <w:rFonts w:hint="eastAsia" w:ascii="仿宋" w:hAnsi="仿宋" w:eastAsia="仿宋" w:cs="仿宋"/>
          <w:color w:val="auto"/>
          <w:sz w:val="28"/>
          <w:szCs w:val="28"/>
          <w:highlight w:val="none"/>
        </w:rPr>
        <w:t>依法缴纳税收的证明或依法免税证明</w:t>
      </w:r>
    </w:p>
    <w:p>
      <w:pPr>
        <w:widowControl/>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(完税凭证扫描件或税务部门出具的证明扫描件，至少提供一个月）</w:t>
      </w:r>
    </w:p>
    <w:p>
      <w:pPr>
        <w:widowControl/>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四、法人或者其他组织的营业执照等证明文件扫描件</w:t>
      </w:r>
    </w:p>
    <w:p>
      <w:pPr>
        <w:widowControl/>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eastAsia="zh-CN"/>
        </w:rPr>
        <w:t>法定代表人身份证明及身份证（正、反面）扫描件（格式附后）</w:t>
      </w:r>
    </w:p>
    <w:p>
      <w:pPr>
        <w:widowControl/>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六、法定代表人授权委托书（如为授权委托人参加投标，格式附后）</w:t>
      </w:r>
    </w:p>
    <w:p>
      <w:pPr>
        <w:widowControl/>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七、截至开标前6个月内投标人为员工缴纳的社会保障资金证明（缴纳凭证扫描件或人社部门出具的证明扫描件，至少提供一个月；且若</w:t>
      </w:r>
      <w:r>
        <w:rPr>
          <w:rFonts w:hint="eastAsia" w:ascii="仿宋" w:hAnsi="仿宋" w:eastAsia="仿宋" w:cs="仿宋"/>
          <w:b/>
          <w:bCs/>
          <w:color w:val="auto"/>
          <w:sz w:val="28"/>
          <w:szCs w:val="28"/>
          <w:highlight w:val="none"/>
        </w:rPr>
        <w:t>授权委托人参与投标</w:t>
      </w:r>
      <w:r>
        <w:rPr>
          <w:rFonts w:hint="eastAsia" w:ascii="仿宋" w:hAnsi="仿宋" w:eastAsia="仿宋" w:cs="仿宋"/>
          <w:color w:val="auto"/>
          <w:sz w:val="28"/>
          <w:szCs w:val="28"/>
          <w:highlight w:val="none"/>
        </w:rPr>
        <w:t>，则提供的社会保障资金证明须体现投标人为</w:t>
      </w:r>
      <w:r>
        <w:rPr>
          <w:rFonts w:hint="eastAsia" w:ascii="仿宋" w:hAnsi="仿宋" w:eastAsia="仿宋" w:cs="仿宋"/>
          <w:b/>
          <w:bCs/>
          <w:color w:val="auto"/>
          <w:sz w:val="28"/>
          <w:szCs w:val="28"/>
          <w:highlight w:val="none"/>
        </w:rPr>
        <w:t>授权委托人</w:t>
      </w:r>
      <w:r>
        <w:rPr>
          <w:rFonts w:hint="eastAsia" w:ascii="仿宋" w:hAnsi="仿宋" w:eastAsia="仿宋" w:cs="仿宋"/>
          <w:color w:val="auto"/>
          <w:sz w:val="28"/>
          <w:szCs w:val="28"/>
          <w:highlight w:val="none"/>
        </w:rPr>
        <w:t>缴纳的社保情况，投标人若是新注册成立的，无法提供社保证明的，请提供情况说明）；</w:t>
      </w:r>
    </w:p>
    <w:p>
      <w:pPr>
        <w:widowControl/>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八、开标前三年内在经营活动中没有重大违法记录的承诺书</w:t>
      </w:r>
    </w:p>
    <w:p>
      <w:pPr>
        <w:widowControl/>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九、投标人需要说明的其他文件和说明（格式自拟）</w:t>
      </w:r>
    </w:p>
    <w:p>
      <w:pPr>
        <w:widowControl/>
        <w:spacing w:line="360" w:lineRule="auto"/>
        <w:jc w:val="center"/>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both"/>
        <w:rPr>
          <w:rFonts w:ascii="宋体" w:hAnsi="宋体"/>
          <w:b/>
          <w:color w:val="auto"/>
          <w:sz w:val="28"/>
          <w:szCs w:val="28"/>
          <w:highlight w:val="none"/>
        </w:rPr>
      </w:pPr>
    </w:p>
    <w:p>
      <w:pPr>
        <w:pStyle w:val="2"/>
        <w:rPr>
          <w:rFonts w:ascii="宋体" w:hAnsi="宋体"/>
          <w:b/>
          <w:color w:val="auto"/>
          <w:sz w:val="28"/>
          <w:szCs w:val="28"/>
          <w:highlight w:val="none"/>
        </w:rPr>
      </w:pPr>
    </w:p>
    <w:p>
      <w:pPr>
        <w:rPr>
          <w:rFonts w:ascii="宋体" w:hAnsi="宋体"/>
          <w:b/>
          <w:color w:val="auto"/>
          <w:sz w:val="28"/>
          <w:szCs w:val="28"/>
          <w:highlight w:val="none"/>
        </w:rPr>
      </w:pPr>
    </w:p>
    <w:p>
      <w:pPr>
        <w:pStyle w:val="2"/>
        <w:rPr>
          <w:color w:val="auto"/>
          <w:highlight w:val="none"/>
        </w:rPr>
      </w:pPr>
    </w:p>
    <w:p>
      <w:pPr>
        <w:widowControl/>
        <w:spacing w:line="500" w:lineRule="exact"/>
        <w:jc w:val="center"/>
        <w:outlineLvl w:val="2"/>
        <w:rPr>
          <w:rFonts w:ascii="仿宋" w:hAnsi="仿宋" w:eastAsia="仿宋" w:cs="仿宋"/>
          <w:b/>
          <w:color w:val="auto"/>
          <w:kern w:val="0"/>
          <w:sz w:val="28"/>
          <w:szCs w:val="28"/>
          <w:highlight w:val="none"/>
        </w:rPr>
      </w:pPr>
      <w:bookmarkStart w:id="75" w:name="_Toc21616"/>
      <w:bookmarkStart w:id="76" w:name="_Toc4395"/>
      <w:bookmarkStart w:id="77" w:name="_Toc3005"/>
      <w:bookmarkStart w:id="78" w:name="_Toc15632"/>
      <w:bookmarkStart w:id="79" w:name="_Toc9450"/>
      <w:bookmarkStart w:id="80" w:name="_Toc26060"/>
      <w:bookmarkStart w:id="81" w:name="_Toc28557"/>
      <w:bookmarkStart w:id="82" w:name="_Toc19088"/>
      <w:bookmarkStart w:id="83" w:name="_Toc6319297"/>
      <w:bookmarkStart w:id="84" w:name="_Toc2552"/>
      <w:bookmarkStart w:id="85" w:name="_Toc17901"/>
      <w:bookmarkStart w:id="86" w:name="_Toc12915"/>
      <w:bookmarkStart w:id="87" w:name="_Toc13000"/>
      <w:r>
        <w:rPr>
          <w:rFonts w:hint="eastAsia" w:ascii="仿宋" w:hAnsi="仿宋" w:eastAsia="仿宋" w:cs="仿宋"/>
          <w:b/>
          <w:color w:val="auto"/>
          <w:kern w:val="0"/>
          <w:sz w:val="28"/>
          <w:szCs w:val="28"/>
          <w:highlight w:val="none"/>
        </w:rPr>
        <w:t>一、投标声明书</w:t>
      </w:r>
      <w:bookmarkEnd w:id="75"/>
      <w:bookmarkEnd w:id="76"/>
      <w:bookmarkEnd w:id="77"/>
      <w:bookmarkEnd w:id="78"/>
      <w:bookmarkEnd w:id="79"/>
      <w:bookmarkEnd w:id="80"/>
      <w:bookmarkEnd w:id="81"/>
      <w:bookmarkEnd w:id="82"/>
      <w:bookmarkEnd w:id="83"/>
      <w:bookmarkEnd w:id="84"/>
      <w:bookmarkEnd w:id="85"/>
      <w:bookmarkEnd w:id="86"/>
      <w:bookmarkEnd w:id="87"/>
    </w:p>
    <w:p>
      <w:pPr>
        <w:widowControl/>
        <w:spacing w:line="500" w:lineRule="exact"/>
        <w:jc w:val="center"/>
        <w:outlineLvl w:val="2"/>
        <w:rPr>
          <w:rFonts w:ascii="仿宋" w:hAnsi="仿宋" w:eastAsia="仿宋" w:cs="仿宋"/>
          <w:b/>
          <w:color w:val="auto"/>
          <w:kern w:val="0"/>
          <w:sz w:val="28"/>
          <w:szCs w:val="28"/>
          <w:highlight w:val="none"/>
        </w:rPr>
      </w:pPr>
    </w:p>
    <w:p>
      <w:pPr>
        <w:pStyle w:val="22"/>
        <w:spacing w:line="5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致嘉兴市千秋工程咨询有限公司：</w:t>
      </w:r>
    </w:p>
    <w:p>
      <w:pPr>
        <w:pStyle w:val="22"/>
        <w:spacing w:line="500" w:lineRule="exact"/>
        <w:ind w:firstLine="700" w:firstLineChars="25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u w:val="single"/>
          <w:lang w:eastAsia="zh-CN"/>
        </w:rPr>
        <w:t>投标人名称</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rPr>
        <w:t xml:space="preserve">系中华人民共和国合法企业，经营地址。我 </w:t>
      </w:r>
      <w:r>
        <w:rPr>
          <w:rFonts w:hint="eastAsia" w:ascii="仿宋" w:hAnsi="仿宋" w:eastAsia="仿宋" w:cs="仿宋"/>
          <w:color w:val="auto"/>
          <w:kern w:val="0"/>
          <w:sz w:val="28"/>
          <w:szCs w:val="28"/>
          <w:highlight w:val="none"/>
          <w:u w:val="single"/>
        </w:rPr>
        <w:t xml:space="preserve">    （姓名）</w:t>
      </w:r>
      <w:r>
        <w:rPr>
          <w:rFonts w:hint="eastAsia" w:ascii="仿宋" w:hAnsi="仿宋" w:eastAsia="仿宋" w:cs="仿宋"/>
          <w:color w:val="auto"/>
          <w:kern w:val="0"/>
          <w:sz w:val="28"/>
          <w:szCs w:val="28"/>
          <w:highlight w:val="none"/>
        </w:rPr>
        <w:t>系</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eastAsia="zh-CN"/>
        </w:rPr>
        <w:t>投标人名称</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rPr>
        <w:t>的法定代表人，我方愿意参加贵方组织的</w:t>
      </w:r>
      <w:r>
        <w:rPr>
          <w:rFonts w:hint="eastAsia" w:ascii="仿宋" w:hAnsi="仿宋" w:eastAsia="仿宋" w:cs="仿宋"/>
          <w:color w:val="auto"/>
          <w:kern w:val="0"/>
          <w:sz w:val="28"/>
          <w:szCs w:val="28"/>
          <w:highlight w:val="none"/>
          <w:u w:val="single"/>
        </w:rPr>
        <w:t xml:space="preserve">    （采购项目名称）（项目编号为      ）</w:t>
      </w:r>
      <w:r>
        <w:rPr>
          <w:rFonts w:hint="eastAsia" w:ascii="仿宋" w:hAnsi="仿宋" w:eastAsia="仿宋" w:cs="仿宋"/>
          <w:color w:val="auto"/>
          <w:kern w:val="0"/>
          <w:sz w:val="28"/>
          <w:szCs w:val="28"/>
          <w:highlight w:val="none"/>
        </w:rPr>
        <w:t>的投标，为此，我方就本次投标有关事项郑重声明如下：</w:t>
      </w:r>
    </w:p>
    <w:p>
      <w:pPr>
        <w:pStyle w:val="22"/>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1.我方已详细审查全部招标文件，同意招标文件的各项要求。</w:t>
      </w:r>
    </w:p>
    <w:p>
      <w:pPr>
        <w:pStyle w:val="22"/>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2.我方向贵方提交的所有投标文件、资料都是准确的和真实的。</w:t>
      </w:r>
    </w:p>
    <w:p>
      <w:pPr>
        <w:pStyle w:val="22"/>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3.我们已详细审核全部招标文件、参考资料及有关附件，我们知道必须放弃提出含糊不清或误解问题的权利。</w:t>
      </w:r>
    </w:p>
    <w:p>
      <w:pPr>
        <w:pStyle w:val="22"/>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4.若中标，我方将按招标文件规定履行合同责任和义务。</w:t>
      </w:r>
    </w:p>
    <w:p>
      <w:pPr>
        <w:pStyle w:val="22"/>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5.我方不是采购人的附属机构；在获知本项目采购信息后，与采购人聘请的为此项目提供咨询服务的公司及其附属机构没有任何联系。</w:t>
      </w:r>
    </w:p>
    <w:p>
      <w:pPr>
        <w:pStyle w:val="22"/>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6.投标文件自开标日起有效期为</w:t>
      </w:r>
      <w:r>
        <w:rPr>
          <w:rFonts w:hint="eastAsia" w:ascii="仿宋" w:hAnsi="仿宋" w:eastAsia="仿宋" w:cs="仿宋"/>
          <w:color w:val="auto"/>
          <w:kern w:val="0"/>
          <w:sz w:val="28"/>
          <w:szCs w:val="28"/>
          <w:highlight w:val="none"/>
          <w:u w:val="single"/>
        </w:rPr>
        <w:t>90</w:t>
      </w:r>
      <w:r>
        <w:rPr>
          <w:rFonts w:hint="eastAsia" w:ascii="仿宋" w:hAnsi="仿宋" w:eastAsia="仿宋" w:cs="仿宋"/>
          <w:color w:val="auto"/>
          <w:kern w:val="0"/>
          <w:sz w:val="28"/>
          <w:szCs w:val="28"/>
          <w:highlight w:val="none"/>
        </w:rPr>
        <w:t>日。</w:t>
      </w:r>
    </w:p>
    <w:p>
      <w:pPr>
        <w:snapToGrid w:val="0"/>
        <w:spacing w:line="500" w:lineRule="exact"/>
        <w:ind w:firstLine="548" w:firstLineChars="196"/>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7.我方参与本项目前3年内的经营活动中没有重大违法记录；</w:t>
      </w:r>
    </w:p>
    <w:p>
      <w:pPr>
        <w:snapToGrid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8.我方通过“信用中国”网站（www.creditchina.gov.cn）、中国政府采购网（www.ccgp.gov.cn）等查询，未被列入失信被执行人、重大税收违法案件当事人名单、政府采购严重违法失信行为记录名单。</w:t>
      </w:r>
    </w:p>
    <w:p>
      <w:pPr>
        <w:pStyle w:val="22"/>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9.以上事项如有虚假或隐瞒，我方愿意承担一切后果，并不再寻求任何旨在减轻或免除法律责任的辩解。</w:t>
      </w:r>
    </w:p>
    <w:p>
      <w:pPr>
        <w:pStyle w:val="22"/>
        <w:spacing w:line="500" w:lineRule="exact"/>
        <w:rPr>
          <w:rFonts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adjustRightInd/>
        <w:spacing w:line="500" w:lineRule="exact"/>
        <w:ind w:firstLine="4480" w:firstLineChars="1600"/>
        <w:rPr>
          <w:rFonts w:hint="eastAsia" w:ascii="仿宋" w:hAnsi="仿宋" w:eastAsia="仿宋" w:cs="仿宋"/>
          <w:strike w:val="0"/>
          <w:dstrike w:val="0"/>
          <w:color w:val="auto"/>
          <w:sz w:val="28"/>
          <w:szCs w:val="28"/>
          <w:highlight w:val="none"/>
        </w:rPr>
      </w:pPr>
      <w:bookmarkStart w:id="88" w:name="_Toc25803"/>
      <w:bookmarkStart w:id="89" w:name="_Toc32124"/>
      <w:bookmarkStart w:id="90" w:name="_Toc31973"/>
      <w:bookmarkStart w:id="91" w:name="_Toc15752"/>
      <w:bookmarkStart w:id="92" w:name="_Toc14279"/>
      <w:bookmarkStart w:id="93" w:name="_Toc6236"/>
      <w:bookmarkStart w:id="94" w:name="_Toc27890"/>
      <w:bookmarkStart w:id="95" w:name="_Toc6319298"/>
      <w:bookmarkStart w:id="96" w:name="_Toc471819741"/>
      <w:bookmarkStart w:id="97" w:name="_Toc433882654"/>
      <w:bookmarkStart w:id="98" w:name="_Toc463851851"/>
      <w:bookmarkStart w:id="99" w:name="_Toc470269892"/>
      <w:bookmarkStart w:id="100" w:name="_Toc468954259"/>
      <w:bookmarkStart w:id="101" w:name="_Toc437331312"/>
      <w:bookmarkStart w:id="102" w:name="_Toc424199683"/>
      <w:bookmarkStart w:id="103" w:name="_Toc467572541"/>
      <w:bookmarkStart w:id="104" w:name="_Toc471819801"/>
      <w:bookmarkStart w:id="105" w:name="_Toc435706552"/>
      <w:bookmarkStart w:id="106" w:name="_Toc437509334"/>
      <w:bookmarkStart w:id="107" w:name="_Toc470270008"/>
      <w:bookmarkStart w:id="108" w:name="_Toc437504037"/>
      <w:bookmarkStart w:id="109" w:name="_Toc437331623"/>
      <w:bookmarkStart w:id="110" w:name="_Toc469475476"/>
      <w:r>
        <w:rPr>
          <w:rFonts w:hint="eastAsia" w:ascii="仿宋" w:hAnsi="仿宋" w:eastAsia="仿宋" w:cs="仿宋"/>
          <w:strike w:val="0"/>
          <w:dstrike w:val="0"/>
          <w:color w:val="auto"/>
          <w:sz w:val="28"/>
          <w:szCs w:val="28"/>
          <w:highlight w:val="none"/>
          <w:lang w:eastAsia="zh-CN"/>
        </w:rPr>
        <w:t>投标人全称（电子签章）</w:t>
      </w:r>
      <w:r>
        <w:rPr>
          <w:rFonts w:hint="eastAsia" w:ascii="仿宋" w:hAnsi="仿宋" w:eastAsia="仿宋" w:cs="仿宋"/>
          <w:strike w:val="0"/>
          <w:dstrike w:val="0"/>
          <w:color w:val="auto"/>
          <w:sz w:val="28"/>
          <w:szCs w:val="28"/>
          <w:highlight w:val="none"/>
        </w:rPr>
        <w:t xml:space="preserve">： </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 xml:space="preserve">            </w:t>
      </w:r>
    </w:p>
    <w:p>
      <w:pPr>
        <w:keepNext w:val="0"/>
        <w:keepLines w:val="0"/>
        <w:pageBreakBefore w:val="0"/>
        <w:widowControl/>
        <w:kinsoku/>
        <w:wordWrap/>
        <w:overflowPunct/>
        <w:topLinePunct w:val="0"/>
        <w:autoSpaceDE/>
        <w:autoSpaceDN/>
        <w:bidi w:val="0"/>
        <w:adjustRightInd/>
        <w:snapToGrid w:val="0"/>
        <w:spacing w:line="500" w:lineRule="exact"/>
        <w:ind w:firstLine="4480" w:firstLineChars="1600"/>
        <w:textAlignment w:val="baseline"/>
        <w:rPr>
          <w:rFonts w:hint="eastAsia" w:ascii="仿宋" w:hAnsi="仿宋" w:eastAsia="仿宋" w:cs="仿宋"/>
          <w:b/>
          <w:strike w:val="0"/>
          <w:dstrike w:val="0"/>
          <w:color w:val="auto"/>
          <w:kern w:val="0"/>
          <w:sz w:val="28"/>
          <w:szCs w:val="28"/>
          <w:highlight w:val="none"/>
        </w:rPr>
      </w:pPr>
      <w:r>
        <w:rPr>
          <w:rFonts w:hint="eastAsia" w:ascii="仿宋" w:hAnsi="仿宋" w:eastAsia="仿宋" w:cs="仿宋"/>
          <w:strike w:val="0"/>
          <w:dstrike w:val="0"/>
          <w:color w:val="auto"/>
          <w:sz w:val="28"/>
          <w:szCs w:val="28"/>
          <w:highlight w:val="none"/>
        </w:rPr>
        <w:t>日 期：</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u w:val="single"/>
          <w:lang w:val="en-US" w:eastAsia="zh-CN"/>
        </w:rPr>
        <w:t xml:space="preserve"> </w:t>
      </w:r>
      <w:r>
        <w:rPr>
          <w:rFonts w:hint="eastAsia" w:ascii="仿宋" w:hAnsi="仿宋" w:eastAsia="仿宋" w:cs="仿宋"/>
          <w:strike w:val="0"/>
          <w:dstrike w:val="0"/>
          <w:color w:val="auto"/>
          <w:sz w:val="28"/>
          <w:szCs w:val="28"/>
          <w:highlight w:val="none"/>
          <w:u w:val="single"/>
        </w:rPr>
        <w:t xml:space="preserve">                         </w:t>
      </w:r>
    </w:p>
    <w:p>
      <w:pPr>
        <w:pStyle w:val="219"/>
        <w:spacing w:line="500" w:lineRule="exact"/>
        <w:rPr>
          <w:rFonts w:ascii="仿宋" w:hAnsi="仿宋" w:eastAsia="仿宋" w:cs="仿宋"/>
          <w:color w:val="auto"/>
          <w:sz w:val="28"/>
          <w:szCs w:val="28"/>
          <w:highlight w:val="none"/>
        </w:rPr>
      </w:pPr>
    </w:p>
    <w:p>
      <w:pPr>
        <w:pStyle w:val="16"/>
        <w:spacing w:line="500" w:lineRule="exact"/>
        <w:rPr>
          <w:rFonts w:ascii="仿宋" w:hAnsi="仿宋" w:eastAsia="仿宋" w:cs="仿宋"/>
          <w:color w:val="auto"/>
          <w:sz w:val="28"/>
          <w:szCs w:val="28"/>
          <w:highlight w:val="none"/>
        </w:rPr>
      </w:pPr>
    </w:p>
    <w:p>
      <w:pPr>
        <w:widowControl/>
        <w:spacing w:line="500" w:lineRule="exact"/>
        <w:outlineLvl w:val="2"/>
        <w:rPr>
          <w:rFonts w:ascii="仿宋" w:hAnsi="仿宋" w:eastAsia="仿宋" w:cs="仿宋"/>
          <w:b/>
          <w:color w:val="auto"/>
          <w:kern w:val="0"/>
          <w:sz w:val="28"/>
          <w:szCs w:val="28"/>
          <w:highlight w:val="none"/>
        </w:rPr>
      </w:pPr>
      <w:bookmarkStart w:id="111" w:name="_Toc20212"/>
      <w:bookmarkStart w:id="112" w:name="_Toc31199"/>
      <w:bookmarkStart w:id="113" w:name="_Toc30707"/>
      <w:bookmarkStart w:id="114" w:name="_Toc18664"/>
      <w:bookmarkStart w:id="115" w:name="_Toc2925"/>
    </w:p>
    <w:p>
      <w:pPr>
        <w:widowControl/>
        <w:spacing w:line="500" w:lineRule="exact"/>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w:t>
      </w:r>
      <w:bookmarkEnd w:id="111"/>
      <w:bookmarkEnd w:id="112"/>
      <w:bookmarkEnd w:id="113"/>
      <w:bookmarkEnd w:id="114"/>
      <w:bookmarkEnd w:id="115"/>
      <w:r>
        <w:rPr>
          <w:rFonts w:hint="eastAsia" w:ascii="仿宋" w:hAnsi="仿宋" w:eastAsia="仿宋" w:cs="仿宋"/>
          <w:b/>
          <w:color w:val="auto"/>
          <w:kern w:val="0"/>
          <w:sz w:val="28"/>
          <w:szCs w:val="28"/>
          <w:highlight w:val="none"/>
        </w:rPr>
        <w:t>最近一年度投标人财务状况报告扫描件（投标人若是新注册成立的，无法提供财务状况报告，请提供情况说明）</w:t>
      </w: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pStyle w:val="16"/>
        <w:rPr>
          <w:color w:val="auto"/>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pStyle w:val="219"/>
        <w:spacing w:line="500" w:lineRule="exact"/>
        <w:rPr>
          <w:rFonts w:ascii="仿宋" w:hAnsi="仿宋" w:eastAsia="仿宋" w:cs="仿宋"/>
          <w:color w:val="auto"/>
          <w:sz w:val="28"/>
          <w:szCs w:val="28"/>
          <w:highlight w:val="none"/>
        </w:rPr>
      </w:pPr>
    </w:p>
    <w:p>
      <w:pPr>
        <w:pStyle w:val="16"/>
        <w:spacing w:line="500" w:lineRule="exact"/>
        <w:rPr>
          <w:rFonts w:ascii="仿宋" w:hAnsi="仿宋" w:eastAsia="仿宋" w:cs="仿宋"/>
          <w:color w:val="auto"/>
          <w:sz w:val="28"/>
          <w:szCs w:val="28"/>
          <w:highlight w:val="none"/>
        </w:rPr>
      </w:pPr>
    </w:p>
    <w:p>
      <w:pPr>
        <w:spacing w:line="500" w:lineRule="exact"/>
        <w:rPr>
          <w:rFonts w:ascii="仿宋" w:hAnsi="仿宋" w:eastAsia="仿宋" w:cs="仿宋"/>
          <w:color w:val="auto"/>
          <w:sz w:val="28"/>
          <w:szCs w:val="28"/>
          <w:highlight w:val="none"/>
        </w:rPr>
      </w:pPr>
    </w:p>
    <w:p>
      <w:pPr>
        <w:widowControl/>
        <w:spacing w:line="500" w:lineRule="exact"/>
        <w:outlineLvl w:val="2"/>
        <w:rPr>
          <w:rFonts w:ascii="仿宋" w:hAnsi="仿宋" w:eastAsia="仿宋" w:cs="仿宋"/>
          <w:b/>
          <w:color w:val="auto"/>
          <w:kern w:val="0"/>
          <w:sz w:val="28"/>
          <w:szCs w:val="28"/>
          <w:highlight w:val="none"/>
        </w:rPr>
      </w:pPr>
      <w:bookmarkStart w:id="116" w:name="_Toc13186"/>
      <w:bookmarkStart w:id="117" w:name="_Toc5217"/>
      <w:bookmarkStart w:id="118" w:name="_Toc11907"/>
      <w:bookmarkStart w:id="119" w:name="_Toc22132"/>
      <w:bookmarkStart w:id="120" w:name="_Toc6623"/>
    </w:p>
    <w:bookmarkEnd w:id="88"/>
    <w:bookmarkEnd w:id="89"/>
    <w:bookmarkEnd w:id="90"/>
    <w:bookmarkEnd w:id="91"/>
    <w:bookmarkEnd w:id="92"/>
    <w:bookmarkEnd w:id="93"/>
    <w:bookmarkEnd w:id="94"/>
    <w:bookmarkEnd w:id="95"/>
    <w:bookmarkEnd w:id="116"/>
    <w:bookmarkEnd w:id="117"/>
    <w:bookmarkEnd w:id="118"/>
    <w:bookmarkEnd w:id="119"/>
    <w:bookmarkEnd w:id="120"/>
    <w:p>
      <w:pPr>
        <w:widowControl/>
        <w:spacing w:line="500" w:lineRule="exact"/>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三、截至开标前6个月内投标人依法缴纳税收的证明或依法免税证明</w:t>
      </w:r>
    </w:p>
    <w:p>
      <w:pPr>
        <w:widowControl/>
        <w:spacing w:line="500" w:lineRule="exact"/>
        <w:jc w:val="center"/>
        <w:outlineLvl w:val="2"/>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注：完税凭证扫描件或税务部门出具的证明扫描件，至少提供一个月</w:t>
      </w:r>
    </w:p>
    <w:p>
      <w:pPr>
        <w:pStyle w:val="2"/>
        <w:spacing w:line="500" w:lineRule="exact"/>
        <w:rPr>
          <w:rFonts w:ascii="仿宋" w:hAnsi="仿宋" w:eastAsia="仿宋" w:cs="仿宋"/>
          <w:color w:val="auto"/>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bookmarkStart w:id="121" w:name="_Toc476230648"/>
      <w:bookmarkStart w:id="122" w:name="_Toc476229717"/>
      <w:bookmarkStart w:id="123" w:name="_Toc476230512"/>
      <w:bookmarkStart w:id="124" w:name="_Toc476230924"/>
      <w:bookmarkStart w:id="125" w:name="_Toc495666241"/>
      <w:bookmarkStart w:id="126" w:name="_Toc10597"/>
      <w:bookmarkStart w:id="127" w:name="_Toc4361"/>
    </w:p>
    <w:p>
      <w:pPr>
        <w:pStyle w:val="2"/>
        <w:spacing w:line="500" w:lineRule="exact"/>
        <w:rPr>
          <w:rFonts w:ascii="仿宋" w:hAnsi="仿宋" w:eastAsia="仿宋" w:cs="仿宋"/>
          <w:b w:val="0"/>
          <w:color w:val="auto"/>
          <w:kern w:val="0"/>
          <w:sz w:val="28"/>
          <w:szCs w:val="28"/>
          <w:highlight w:val="none"/>
        </w:rPr>
      </w:pPr>
    </w:p>
    <w:p>
      <w:pPr>
        <w:spacing w:line="500" w:lineRule="exact"/>
        <w:rPr>
          <w:rFonts w:ascii="仿宋" w:hAnsi="仿宋" w:eastAsia="仿宋" w:cs="仿宋"/>
          <w:b/>
          <w:color w:val="auto"/>
          <w:kern w:val="0"/>
          <w:sz w:val="28"/>
          <w:szCs w:val="28"/>
          <w:highlight w:val="none"/>
        </w:rPr>
      </w:pPr>
    </w:p>
    <w:p>
      <w:pPr>
        <w:widowControl/>
        <w:spacing w:line="500" w:lineRule="exact"/>
        <w:outlineLvl w:val="2"/>
        <w:rPr>
          <w:rFonts w:ascii="仿宋" w:hAnsi="仿宋" w:eastAsia="仿宋" w:cs="仿宋"/>
          <w:b/>
          <w:color w:val="auto"/>
          <w:kern w:val="0"/>
          <w:sz w:val="28"/>
          <w:szCs w:val="28"/>
          <w:highlight w:val="none"/>
        </w:rPr>
      </w:pPr>
      <w:bookmarkStart w:id="128" w:name="_Toc28506"/>
      <w:bookmarkStart w:id="129" w:name="_Toc16010"/>
      <w:bookmarkStart w:id="130" w:name="_Toc18030"/>
      <w:bookmarkStart w:id="131" w:name="_Toc18386"/>
      <w:bookmarkStart w:id="132" w:name="_Toc17384"/>
      <w:bookmarkStart w:id="133" w:name="_Toc6319299"/>
    </w:p>
    <w:p>
      <w:pPr>
        <w:pStyle w:val="2"/>
        <w:spacing w:line="500" w:lineRule="exact"/>
        <w:rPr>
          <w:rFonts w:ascii="仿宋" w:hAnsi="仿宋" w:eastAsia="仿宋" w:cs="仿宋"/>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bookmarkStart w:id="134" w:name="_Toc20615"/>
      <w:bookmarkStart w:id="135" w:name="_Toc13932"/>
      <w:bookmarkStart w:id="136" w:name="_Toc27540"/>
      <w:bookmarkStart w:id="137" w:name="_Toc28421"/>
      <w:bookmarkStart w:id="138" w:name="_Toc5542"/>
      <w:bookmarkStart w:id="139" w:name="_Toc19283"/>
      <w:bookmarkStart w:id="140" w:name="_Toc29640"/>
      <w:r>
        <w:rPr>
          <w:rFonts w:hint="eastAsia" w:ascii="仿宋" w:hAnsi="仿宋" w:eastAsia="仿宋" w:cs="仿宋"/>
          <w:b/>
          <w:color w:val="auto"/>
          <w:kern w:val="0"/>
          <w:sz w:val="28"/>
          <w:szCs w:val="28"/>
          <w:highlight w:val="none"/>
        </w:rPr>
        <w:br w:type="page"/>
      </w:r>
      <w:r>
        <w:rPr>
          <w:rFonts w:hint="eastAsia" w:ascii="仿宋" w:hAnsi="仿宋" w:eastAsia="仿宋" w:cs="仿宋"/>
          <w:b/>
          <w:color w:val="auto"/>
          <w:kern w:val="0"/>
          <w:sz w:val="28"/>
          <w:szCs w:val="28"/>
          <w:highlight w:val="none"/>
        </w:rPr>
        <w:t>四、</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b/>
          <w:color w:val="auto"/>
          <w:kern w:val="0"/>
          <w:sz w:val="28"/>
          <w:szCs w:val="28"/>
          <w:highlight w:val="none"/>
        </w:rPr>
        <w:t>法人或者其他组织的营业执照等证明文件扫描件</w:t>
      </w: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pStyle w:val="19"/>
        <w:rPr>
          <w:rFonts w:ascii="仿宋" w:hAnsi="仿宋" w:eastAsia="仿宋" w:cs="仿宋"/>
          <w:b/>
          <w:color w:val="auto"/>
          <w:kern w:val="0"/>
          <w:sz w:val="28"/>
          <w:szCs w:val="28"/>
          <w:highlight w:val="none"/>
        </w:rPr>
      </w:pPr>
    </w:p>
    <w:p>
      <w:pPr>
        <w:rPr>
          <w:color w:val="auto"/>
          <w:highlight w:val="none"/>
        </w:rPr>
      </w:pPr>
    </w:p>
    <w:p>
      <w:pPr>
        <w:widowControl/>
        <w:spacing w:line="500" w:lineRule="exact"/>
        <w:outlineLvl w:val="2"/>
        <w:rPr>
          <w:rFonts w:ascii="仿宋" w:hAnsi="仿宋" w:eastAsia="仿宋" w:cs="仿宋"/>
          <w:b/>
          <w:color w:val="auto"/>
          <w:kern w:val="0"/>
          <w:sz w:val="28"/>
          <w:szCs w:val="28"/>
          <w:highlight w:val="none"/>
        </w:rPr>
      </w:pPr>
    </w:p>
    <w:p>
      <w:pPr>
        <w:pStyle w:val="16"/>
        <w:spacing w:line="500" w:lineRule="exact"/>
        <w:rPr>
          <w:rFonts w:ascii="仿宋" w:hAnsi="仿宋" w:eastAsia="仿宋" w:cs="仿宋"/>
          <w:color w:val="auto"/>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bookmarkStart w:id="141" w:name="_Toc12390"/>
      <w:bookmarkStart w:id="142" w:name="_Toc9877"/>
      <w:bookmarkStart w:id="143" w:name="_Toc495666242"/>
      <w:bookmarkStart w:id="144" w:name="_Toc648"/>
      <w:bookmarkStart w:id="145" w:name="_Toc29456"/>
      <w:bookmarkStart w:id="146" w:name="_Toc476230649"/>
      <w:bookmarkStart w:id="147" w:name="_Toc29390"/>
      <w:bookmarkStart w:id="148" w:name="_Toc1562"/>
      <w:bookmarkStart w:id="149" w:name="_Toc476230513"/>
      <w:bookmarkStart w:id="150" w:name="_Toc6319300"/>
      <w:bookmarkStart w:id="151" w:name="_Toc19616"/>
      <w:bookmarkStart w:id="152" w:name="_Toc25629"/>
      <w:bookmarkStart w:id="153" w:name="_Toc476230925"/>
      <w:bookmarkStart w:id="154" w:name="_Toc24224"/>
      <w:bookmarkStart w:id="155" w:name="_Toc5345"/>
      <w:bookmarkStart w:id="156" w:name="_Toc476229718"/>
      <w:bookmarkStart w:id="157" w:name="_Toc1801"/>
      <w:bookmarkStart w:id="158" w:name="_Toc12825"/>
      <w:bookmarkStart w:id="159" w:name="_Toc9837"/>
    </w:p>
    <w:p>
      <w:pPr>
        <w:widowControl/>
        <w:spacing w:line="500" w:lineRule="exact"/>
        <w:jc w:val="center"/>
        <w:outlineLvl w:val="2"/>
        <w:rPr>
          <w:rFonts w:ascii="仿宋" w:hAnsi="仿宋" w:eastAsia="仿宋" w:cs="仿宋"/>
          <w:b/>
          <w:color w:val="auto"/>
          <w:kern w:val="0"/>
          <w:sz w:val="28"/>
          <w:szCs w:val="28"/>
          <w:highlight w:val="none"/>
        </w:rPr>
      </w:pPr>
      <w:bookmarkStart w:id="160" w:name="_Toc13799"/>
    </w:p>
    <w:p>
      <w:pPr>
        <w:widowControl/>
        <w:spacing w:line="500" w:lineRule="exact"/>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五、</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ascii="仿宋" w:hAnsi="仿宋" w:eastAsia="仿宋" w:cs="仿宋"/>
          <w:b/>
          <w:color w:val="auto"/>
          <w:kern w:val="0"/>
          <w:sz w:val="28"/>
          <w:szCs w:val="28"/>
          <w:highlight w:val="none"/>
          <w:lang w:eastAsia="zh-CN"/>
        </w:rPr>
        <w:t>法定代表人身份证明及身份证（正、反面）扫描件（格式附后）</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spacing w:line="500" w:lineRule="exact"/>
        <w:jc w:val="center"/>
        <w:rPr>
          <w:rFonts w:ascii="仿宋" w:hAnsi="仿宋" w:eastAsia="仿宋" w:cs="仿宋"/>
          <w:b/>
          <w:color w:val="auto"/>
          <w:sz w:val="28"/>
          <w:szCs w:val="28"/>
          <w:highlight w:val="none"/>
        </w:rPr>
      </w:pPr>
    </w:p>
    <w:p>
      <w:pPr>
        <w:widowControl/>
        <w:spacing w:line="500" w:lineRule="exact"/>
        <w:ind w:firstLine="560" w:firstLineChars="200"/>
        <w:jc w:val="left"/>
        <w:rPr>
          <w:rFonts w:ascii="仿宋" w:hAnsi="仿宋" w:eastAsia="仿宋" w:cs="仿宋"/>
          <w:color w:val="auto"/>
          <w:kern w:val="0"/>
          <w:sz w:val="28"/>
          <w:szCs w:val="28"/>
          <w:highlight w:val="none"/>
        </w:rPr>
      </w:pPr>
    </w:p>
    <w:p>
      <w:pPr>
        <w:widowControl/>
        <w:spacing w:line="500" w:lineRule="exact"/>
        <w:jc w:val="center"/>
        <w:rPr>
          <w:rFonts w:ascii="仿宋" w:hAnsi="仿宋" w:eastAsia="仿宋" w:cs="仿宋"/>
          <w:color w:val="auto"/>
          <w:kern w:val="0"/>
          <w:sz w:val="28"/>
          <w:szCs w:val="28"/>
          <w:highlight w:val="none"/>
        </w:rPr>
      </w:pPr>
    </w:p>
    <w:p>
      <w:pPr>
        <w:pStyle w:val="219"/>
        <w:spacing w:line="500" w:lineRule="exact"/>
        <w:rPr>
          <w:rFonts w:ascii="仿宋" w:hAnsi="仿宋" w:eastAsia="仿宋" w:cs="仿宋"/>
          <w:color w:val="auto"/>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pStyle w:val="16"/>
        <w:spacing w:line="500" w:lineRule="exact"/>
        <w:rPr>
          <w:rFonts w:ascii="仿宋" w:hAnsi="仿宋" w:eastAsia="仿宋" w:cs="仿宋"/>
          <w:color w:val="auto"/>
          <w:kern w:val="0"/>
          <w:sz w:val="28"/>
          <w:szCs w:val="28"/>
          <w:highlight w:val="none"/>
        </w:rPr>
      </w:pPr>
    </w:p>
    <w:p>
      <w:pPr>
        <w:widowControl/>
        <w:spacing w:line="500" w:lineRule="exact"/>
        <w:outlineLvl w:val="2"/>
        <w:rPr>
          <w:rFonts w:ascii="仿宋" w:hAnsi="仿宋" w:eastAsia="仿宋" w:cs="仿宋"/>
          <w:b/>
          <w:color w:val="auto"/>
          <w:kern w:val="0"/>
          <w:sz w:val="28"/>
          <w:szCs w:val="28"/>
          <w:highlight w:val="none"/>
        </w:rPr>
      </w:pPr>
      <w:bookmarkStart w:id="161" w:name="_Toc470270009"/>
      <w:bookmarkStart w:id="162" w:name="_Toc433882655"/>
      <w:bookmarkStart w:id="163" w:name="_Toc19176"/>
      <w:bookmarkStart w:id="164" w:name="_Toc30319"/>
      <w:bookmarkStart w:id="165" w:name="_Toc467572542"/>
      <w:bookmarkStart w:id="166" w:name="_Toc437331313"/>
      <w:bookmarkStart w:id="167" w:name="_Toc495666243"/>
      <w:bookmarkStart w:id="168" w:name="_Toc435706553"/>
      <w:bookmarkStart w:id="169" w:name="_Toc469475477"/>
      <w:bookmarkStart w:id="170" w:name="_Toc7413"/>
      <w:bookmarkStart w:id="171" w:name="_Toc437509335"/>
      <w:bookmarkStart w:id="172" w:name="_Toc463851852"/>
      <w:bookmarkStart w:id="173" w:name="_Toc476230926"/>
      <w:bookmarkStart w:id="174" w:name="_Toc12904"/>
      <w:bookmarkStart w:id="175" w:name="_Toc437504038"/>
      <w:bookmarkStart w:id="176" w:name="_Toc471819802"/>
      <w:bookmarkStart w:id="177" w:name="_Toc30835"/>
      <w:bookmarkStart w:id="178" w:name="_Toc424199684"/>
      <w:bookmarkStart w:id="179" w:name="_Toc6319301"/>
      <w:bookmarkStart w:id="180" w:name="_Toc476230514"/>
      <w:bookmarkStart w:id="181" w:name="_Toc28781"/>
      <w:bookmarkStart w:id="182" w:name="_Toc471819742"/>
      <w:bookmarkStart w:id="183" w:name="_Toc470269893"/>
      <w:bookmarkStart w:id="184" w:name="_Toc3284"/>
      <w:bookmarkStart w:id="185" w:name="_Toc468954260"/>
      <w:bookmarkStart w:id="186" w:name="_Toc4680"/>
      <w:bookmarkStart w:id="187" w:name="_Toc476230650"/>
      <w:bookmarkStart w:id="188" w:name="_Toc476229719"/>
      <w:bookmarkStart w:id="189" w:name="_Toc11241"/>
      <w:bookmarkStart w:id="190" w:name="_Toc437331624"/>
      <w:bookmarkStart w:id="191" w:name="_Toc1981"/>
      <w:bookmarkStart w:id="192" w:name="_Toc26431"/>
      <w:bookmarkStart w:id="193" w:name="_Toc15662"/>
      <w:bookmarkStart w:id="194" w:name="_Toc27639"/>
      <w:bookmarkStart w:id="195" w:name="_Toc30189"/>
    </w:p>
    <w:p>
      <w:pPr>
        <w:widowControl/>
        <w:spacing w:line="500" w:lineRule="exact"/>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六、</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b/>
          <w:color w:val="auto"/>
          <w:kern w:val="0"/>
          <w:sz w:val="28"/>
          <w:szCs w:val="28"/>
          <w:highlight w:val="none"/>
        </w:rPr>
        <w:t>法定代表人授权委托书（如为授权委托人参加投标）</w:t>
      </w:r>
    </w:p>
    <w:p>
      <w:pPr>
        <w:widowControl/>
        <w:spacing w:line="500" w:lineRule="exact"/>
        <w:ind w:left="120" w:leftChars="57"/>
        <w:jc w:val="left"/>
        <w:rPr>
          <w:rFonts w:ascii="仿宋" w:hAnsi="仿宋" w:eastAsia="仿宋" w:cs="仿宋"/>
          <w:color w:val="auto"/>
          <w:kern w:val="0"/>
          <w:sz w:val="28"/>
          <w:szCs w:val="28"/>
          <w:highlight w:val="none"/>
        </w:rPr>
      </w:pPr>
    </w:p>
    <w:p>
      <w:pPr>
        <w:snapToGrid w:val="0"/>
        <w:spacing w:line="500" w:lineRule="exact"/>
        <w:ind w:firstLine="840" w:firstLineChars="300"/>
        <w:rPr>
          <w:rFonts w:ascii="仿宋" w:hAnsi="仿宋" w:eastAsia="仿宋" w:cs="仿宋"/>
          <w:color w:val="auto"/>
          <w:sz w:val="28"/>
          <w:szCs w:val="28"/>
          <w:highlight w:val="none"/>
        </w:rPr>
      </w:pPr>
      <w:bookmarkStart w:id="196" w:name="_Toc433882656"/>
      <w:bookmarkStart w:id="197" w:name="_Toc424199685"/>
      <w:r>
        <w:rPr>
          <w:rFonts w:hint="eastAsia" w:ascii="仿宋" w:hAnsi="仿宋" w:eastAsia="仿宋" w:cs="仿宋"/>
          <w:color w:val="auto"/>
          <w:sz w:val="28"/>
          <w:szCs w:val="28"/>
          <w:highlight w:val="none"/>
        </w:rPr>
        <w:t>本授权书声明：</w:t>
      </w:r>
      <w:r>
        <w:rPr>
          <w:rFonts w:hint="eastAsia" w:ascii="仿宋" w:hAnsi="仿宋" w:eastAsia="仿宋" w:cs="宋体"/>
          <w:color w:val="auto"/>
          <w:sz w:val="28"/>
          <w:szCs w:val="28"/>
          <w:highlight w:val="none"/>
        </w:rPr>
        <w:t>我</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（法定代表人姓名、职务）是</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（单位名称）的法人代表，现授权委托本单位在职职工</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 xml:space="preserve">（姓名，被授权人必须为本单位正式在职员工）为全权代表，以我方的名义参加 </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 xml:space="preserve"> （项目名称）</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（项目编号）的投标活动，并代表我方全权办理针对上述项目的投标、开标、评标、签约等具体事务和签署相关文件。我方对全权代表的签名事项负全部责任。</w:t>
      </w:r>
    </w:p>
    <w:p>
      <w:pPr>
        <w:snapToGrid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全权代表无转委托权，特此委托。</w:t>
      </w:r>
    </w:p>
    <w:p>
      <w:pPr>
        <w:spacing w:line="500" w:lineRule="exact"/>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本授权书于</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日签字生效，特此声明。</w:t>
      </w:r>
    </w:p>
    <w:p>
      <w:pPr>
        <w:spacing w:line="500" w:lineRule="exact"/>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法定代表人（签字或盖章）：</w:t>
      </w:r>
      <w:r>
        <w:rPr>
          <w:rFonts w:hint="eastAsia" w:ascii="仿宋" w:hAnsi="仿宋" w:eastAsia="仿宋" w:cs="宋体"/>
          <w:color w:val="auto"/>
          <w:sz w:val="28"/>
          <w:szCs w:val="28"/>
          <w:highlight w:val="none"/>
          <w:u w:val="single"/>
        </w:rPr>
        <w:t xml:space="preserve">                            </w:t>
      </w:r>
    </w:p>
    <w:p>
      <w:pPr>
        <w:spacing w:line="500" w:lineRule="exact"/>
        <w:ind w:firstLine="560" w:firstLineChars="200"/>
        <w:jc w:val="left"/>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授权委托人（签字或盖章）：</w:t>
      </w:r>
      <w:r>
        <w:rPr>
          <w:rFonts w:hint="eastAsia" w:ascii="仿宋" w:hAnsi="仿宋" w:eastAsia="仿宋" w:cs="宋体"/>
          <w:color w:val="auto"/>
          <w:sz w:val="28"/>
          <w:szCs w:val="28"/>
          <w:highlight w:val="none"/>
          <w:u w:val="single"/>
        </w:rPr>
        <w:t xml:space="preserve">                            </w:t>
      </w:r>
    </w:p>
    <w:p>
      <w:pPr>
        <w:spacing w:line="500" w:lineRule="exact"/>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联系电话</w:t>
      </w:r>
      <w:r>
        <w:rPr>
          <w:rFonts w:hint="eastAsia" w:ascii="仿宋" w:hAnsi="仿宋" w:eastAsia="仿宋" w:cs="宋体"/>
          <w:color w:val="auto"/>
          <w:sz w:val="28"/>
          <w:szCs w:val="28"/>
          <w:highlight w:val="none"/>
          <w:u w:val="single"/>
        </w:rPr>
        <w:t xml:space="preserve">：                                      </w:t>
      </w:r>
    </w:p>
    <w:p>
      <w:pPr>
        <w:spacing w:line="500" w:lineRule="exact"/>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投标人全称（电子签章）</w:t>
      </w:r>
      <w:r>
        <w:rPr>
          <w:rFonts w:hint="eastAsia" w:ascii="仿宋" w:hAnsi="仿宋" w:eastAsia="仿宋" w:cs="宋体"/>
          <w:color w:val="auto"/>
          <w:sz w:val="28"/>
          <w:szCs w:val="28"/>
          <w:highlight w:val="none"/>
          <w:u w:val="single"/>
        </w:rPr>
        <w:t xml:space="preserve">                          </w:t>
      </w:r>
    </w:p>
    <w:p>
      <w:pPr>
        <w:spacing w:line="500" w:lineRule="exact"/>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日</w:t>
      </w:r>
      <w:r>
        <w:rPr>
          <w:rFonts w:hint="eastAsia" w:ascii="宋体" w:hAnsi="宋体" w:eastAsia="仿宋" w:cs="宋体"/>
          <w:color w:val="auto"/>
          <w:sz w:val="28"/>
          <w:szCs w:val="28"/>
          <w:highlight w:val="none"/>
        </w:rPr>
        <w:t xml:space="preserve"> </w:t>
      </w:r>
      <w:r>
        <w:rPr>
          <w:rFonts w:hint="eastAsia" w:ascii="仿宋" w:hAnsi="仿宋" w:eastAsia="仿宋" w:cs="宋体"/>
          <w:color w:val="auto"/>
          <w:sz w:val="28"/>
          <w:szCs w:val="28"/>
          <w:highlight w:val="none"/>
        </w:rPr>
        <w:t>期：</w:t>
      </w:r>
      <w:r>
        <w:rPr>
          <w:rFonts w:hint="eastAsia" w:ascii="仿宋" w:hAnsi="仿宋" w:eastAsia="仿宋" w:cs="宋体"/>
          <w:color w:val="auto"/>
          <w:sz w:val="28"/>
          <w:szCs w:val="28"/>
          <w:highlight w:val="none"/>
          <w:u w:val="single"/>
        </w:rPr>
        <w:t xml:space="preserve">                                         </w:t>
      </w:r>
    </w:p>
    <w:p>
      <w:pPr>
        <w:widowControl/>
        <w:spacing w:line="540" w:lineRule="exact"/>
        <w:jc w:val="center"/>
        <w:outlineLvl w:val="2"/>
        <w:rPr>
          <w:rFonts w:hint="eastAsia" w:ascii="仿宋" w:hAnsi="仿宋" w:eastAsia="仿宋"/>
          <w:color w:val="auto"/>
          <w:highlight w:val="none"/>
        </w:rPr>
      </w:pPr>
    </w:p>
    <w:p>
      <w:pPr>
        <w:snapToGrid w:val="0"/>
        <w:spacing w:line="50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附：授权委托人身份证（正、反面）</w:t>
      </w:r>
    </w:p>
    <w:p>
      <w:pPr>
        <w:widowControl/>
        <w:spacing w:line="500" w:lineRule="exact"/>
        <w:jc w:val="center"/>
        <w:outlineLvl w:val="2"/>
        <w:rPr>
          <w:rFonts w:ascii="仿宋" w:hAnsi="仿宋" w:eastAsia="仿宋" w:cs="仿宋"/>
          <w:color w:val="auto"/>
          <w:sz w:val="28"/>
          <w:szCs w:val="28"/>
          <w:highlight w:val="none"/>
        </w:rPr>
      </w:pPr>
    </w:p>
    <w:p>
      <w:pPr>
        <w:widowControl/>
        <w:spacing w:line="500" w:lineRule="exact"/>
        <w:jc w:val="center"/>
        <w:outlineLvl w:val="2"/>
        <w:rPr>
          <w:rFonts w:ascii="仿宋" w:hAnsi="仿宋" w:eastAsia="仿宋" w:cs="仿宋"/>
          <w:color w:val="auto"/>
          <w:sz w:val="28"/>
          <w:szCs w:val="28"/>
          <w:highlight w:val="none"/>
        </w:rPr>
      </w:pPr>
    </w:p>
    <w:p>
      <w:pPr>
        <w:widowControl/>
        <w:spacing w:line="500" w:lineRule="exact"/>
        <w:jc w:val="center"/>
        <w:outlineLvl w:val="2"/>
        <w:rPr>
          <w:rFonts w:ascii="仿宋" w:hAnsi="仿宋" w:eastAsia="仿宋" w:cs="仿宋"/>
          <w:color w:val="auto"/>
          <w:sz w:val="28"/>
          <w:szCs w:val="28"/>
          <w:highlight w:val="none"/>
        </w:rPr>
      </w:pPr>
    </w:p>
    <w:p>
      <w:pPr>
        <w:widowControl/>
        <w:spacing w:line="500" w:lineRule="exact"/>
        <w:jc w:val="center"/>
        <w:outlineLvl w:val="2"/>
        <w:rPr>
          <w:rFonts w:ascii="仿宋" w:hAnsi="仿宋" w:eastAsia="仿宋" w:cs="仿宋"/>
          <w:color w:val="auto"/>
          <w:sz w:val="28"/>
          <w:szCs w:val="28"/>
          <w:highlight w:val="none"/>
        </w:rPr>
      </w:pPr>
    </w:p>
    <w:p>
      <w:pPr>
        <w:widowControl/>
        <w:spacing w:line="500" w:lineRule="exact"/>
        <w:jc w:val="center"/>
        <w:outlineLvl w:val="2"/>
        <w:rPr>
          <w:rFonts w:ascii="仿宋" w:hAnsi="仿宋" w:eastAsia="仿宋" w:cs="仿宋"/>
          <w:color w:val="auto"/>
          <w:sz w:val="28"/>
          <w:szCs w:val="28"/>
          <w:highlight w:val="none"/>
        </w:rPr>
      </w:pPr>
    </w:p>
    <w:p>
      <w:pPr>
        <w:pStyle w:val="2"/>
        <w:spacing w:line="500" w:lineRule="exact"/>
        <w:rPr>
          <w:rFonts w:ascii="仿宋" w:hAnsi="仿宋" w:eastAsia="仿宋" w:cs="仿宋"/>
          <w:color w:val="auto"/>
          <w:sz w:val="28"/>
          <w:szCs w:val="28"/>
          <w:highlight w:val="none"/>
        </w:rPr>
      </w:pPr>
    </w:p>
    <w:bookmarkEnd w:id="196"/>
    <w:bookmarkEnd w:id="197"/>
    <w:p>
      <w:pPr>
        <w:spacing w:beforeLines="100" w:line="500" w:lineRule="exact"/>
        <w:jc w:val="right"/>
        <w:rPr>
          <w:rFonts w:ascii="仿宋" w:hAnsi="仿宋" w:eastAsia="仿宋" w:cs="仿宋"/>
          <w:b/>
          <w:color w:val="auto"/>
          <w:sz w:val="28"/>
          <w:szCs w:val="28"/>
          <w:highlight w:val="none"/>
        </w:rPr>
      </w:pPr>
    </w:p>
    <w:p>
      <w:pPr>
        <w:pStyle w:val="11"/>
        <w:spacing w:line="500" w:lineRule="exact"/>
        <w:ind w:firstLine="562"/>
        <w:rPr>
          <w:rFonts w:ascii="仿宋" w:hAnsi="仿宋" w:eastAsia="仿宋" w:cs="仿宋"/>
          <w:b/>
          <w:color w:val="auto"/>
          <w:sz w:val="28"/>
          <w:szCs w:val="28"/>
          <w:highlight w:val="none"/>
        </w:rPr>
      </w:pPr>
    </w:p>
    <w:p>
      <w:pPr>
        <w:pStyle w:val="11"/>
        <w:spacing w:line="500" w:lineRule="exact"/>
        <w:ind w:firstLine="562"/>
        <w:rPr>
          <w:rFonts w:ascii="仿宋" w:hAnsi="仿宋" w:eastAsia="仿宋" w:cs="仿宋"/>
          <w:b/>
          <w:color w:val="auto"/>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bookmarkStart w:id="198" w:name="_Toc476229720"/>
      <w:bookmarkStart w:id="199" w:name="_Toc22873"/>
      <w:bookmarkStart w:id="200" w:name="_Toc22099"/>
      <w:bookmarkStart w:id="201" w:name="_Toc495666244"/>
      <w:bookmarkStart w:id="202" w:name="_Toc26143"/>
      <w:bookmarkStart w:id="203" w:name="_Toc10392"/>
      <w:bookmarkStart w:id="204" w:name="_Toc476230651"/>
      <w:bookmarkStart w:id="205" w:name="_Toc18027"/>
      <w:bookmarkStart w:id="206" w:name="_Toc22352"/>
      <w:bookmarkStart w:id="207" w:name="_Toc29700"/>
      <w:bookmarkStart w:id="208" w:name="_Toc4608"/>
      <w:bookmarkStart w:id="209" w:name="_Toc235"/>
      <w:bookmarkStart w:id="210" w:name="_Toc9415"/>
      <w:bookmarkStart w:id="211" w:name="_Toc6319302"/>
      <w:bookmarkStart w:id="212" w:name="_Toc12745"/>
      <w:bookmarkStart w:id="213" w:name="_Toc31965"/>
      <w:bookmarkStart w:id="214" w:name="_Toc24529"/>
      <w:bookmarkStart w:id="215" w:name="_Toc476230515"/>
      <w:bookmarkStart w:id="216" w:name="_Toc476230927"/>
      <w:bookmarkStart w:id="217" w:name="_Toc2880"/>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Pr>
        <w:widowControl/>
        <w:spacing w:line="500" w:lineRule="exact"/>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七、截至开标前6个月内投标人为员工缴纳的社会保障资金证明     </w:t>
      </w:r>
    </w:p>
    <w:p>
      <w:pPr>
        <w:widowControl/>
        <w:spacing w:line="500" w:lineRule="exact"/>
        <w:outlineLvl w:val="2"/>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注：缴纳凭证扫描件或人社部门出具的证明扫描件，至少提供一个月；且若授权委托人参与投标，则提供的社会保障资金证明须体现投标人为授权委托人缴纳的社保情况，投标人若是新注册成立的，无法提供社保证明的，请提供情况说明。</w:t>
      </w: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pStyle w:val="2"/>
        <w:spacing w:line="500" w:lineRule="exact"/>
        <w:rPr>
          <w:rFonts w:ascii="仿宋" w:hAnsi="仿宋" w:eastAsia="仿宋" w:cs="仿宋"/>
          <w:color w:val="auto"/>
          <w:kern w:val="0"/>
          <w:sz w:val="28"/>
          <w:szCs w:val="28"/>
          <w:highlight w:val="none"/>
        </w:rPr>
      </w:pPr>
    </w:p>
    <w:p>
      <w:pPr>
        <w:spacing w:line="500" w:lineRule="exact"/>
        <w:rPr>
          <w:rFonts w:ascii="仿宋" w:hAnsi="仿宋" w:eastAsia="仿宋" w:cs="仿宋"/>
          <w:b/>
          <w:color w:val="auto"/>
          <w:kern w:val="0"/>
          <w:sz w:val="28"/>
          <w:szCs w:val="28"/>
          <w:highlight w:val="none"/>
        </w:rPr>
      </w:pPr>
    </w:p>
    <w:p>
      <w:pPr>
        <w:pStyle w:val="2"/>
        <w:spacing w:line="500" w:lineRule="exact"/>
        <w:rPr>
          <w:rFonts w:ascii="仿宋" w:hAnsi="仿宋" w:eastAsia="仿宋" w:cs="仿宋"/>
          <w:color w:val="auto"/>
          <w:kern w:val="0"/>
          <w:sz w:val="28"/>
          <w:szCs w:val="28"/>
          <w:highlight w:val="none"/>
        </w:rPr>
      </w:pPr>
    </w:p>
    <w:p>
      <w:pPr>
        <w:spacing w:line="500" w:lineRule="exact"/>
        <w:rPr>
          <w:rFonts w:ascii="仿宋" w:hAnsi="仿宋" w:eastAsia="仿宋" w:cs="仿宋"/>
          <w:b/>
          <w:color w:val="auto"/>
          <w:kern w:val="0"/>
          <w:sz w:val="28"/>
          <w:szCs w:val="28"/>
          <w:highlight w:val="none"/>
        </w:rPr>
      </w:pPr>
    </w:p>
    <w:p>
      <w:pPr>
        <w:pStyle w:val="2"/>
        <w:spacing w:line="500" w:lineRule="exact"/>
        <w:rPr>
          <w:rFonts w:ascii="仿宋" w:hAnsi="仿宋" w:eastAsia="仿宋" w:cs="仿宋"/>
          <w:color w:val="auto"/>
          <w:kern w:val="0"/>
          <w:sz w:val="28"/>
          <w:szCs w:val="28"/>
          <w:highlight w:val="none"/>
        </w:rPr>
      </w:pPr>
    </w:p>
    <w:p>
      <w:pPr>
        <w:spacing w:line="500" w:lineRule="exact"/>
        <w:rPr>
          <w:rFonts w:ascii="仿宋" w:hAnsi="仿宋" w:eastAsia="仿宋" w:cs="仿宋"/>
          <w:b/>
          <w:color w:val="auto"/>
          <w:kern w:val="0"/>
          <w:sz w:val="28"/>
          <w:szCs w:val="28"/>
          <w:highlight w:val="none"/>
        </w:rPr>
      </w:pPr>
    </w:p>
    <w:p>
      <w:pPr>
        <w:pStyle w:val="2"/>
        <w:spacing w:line="500" w:lineRule="exact"/>
        <w:rPr>
          <w:rFonts w:ascii="仿宋" w:hAnsi="仿宋" w:eastAsia="仿宋" w:cs="仿宋"/>
          <w:color w:val="auto"/>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pStyle w:val="2"/>
        <w:spacing w:line="500" w:lineRule="exact"/>
        <w:rPr>
          <w:rFonts w:ascii="仿宋" w:hAnsi="仿宋" w:eastAsia="仿宋" w:cs="仿宋"/>
          <w:color w:val="auto"/>
          <w:sz w:val="28"/>
          <w:szCs w:val="28"/>
          <w:highlight w:val="none"/>
        </w:rPr>
      </w:pPr>
    </w:p>
    <w:p>
      <w:pPr>
        <w:widowControl/>
        <w:spacing w:line="500" w:lineRule="exact"/>
        <w:outlineLvl w:val="2"/>
        <w:rPr>
          <w:rFonts w:ascii="仿宋" w:hAnsi="仿宋" w:eastAsia="仿宋" w:cs="仿宋"/>
          <w:b/>
          <w:color w:val="auto"/>
          <w:kern w:val="0"/>
          <w:sz w:val="28"/>
          <w:szCs w:val="28"/>
          <w:highlight w:val="none"/>
        </w:rPr>
      </w:pPr>
      <w:bookmarkStart w:id="218" w:name="_Toc476229722"/>
      <w:bookmarkStart w:id="219" w:name="_Toc19624"/>
      <w:bookmarkStart w:id="220" w:name="_Toc32419"/>
      <w:bookmarkStart w:id="221" w:name="_Toc21276"/>
      <w:bookmarkStart w:id="222" w:name="_Toc23036"/>
      <w:bookmarkStart w:id="223" w:name="_Toc14677"/>
      <w:bookmarkStart w:id="224" w:name="_Toc9328"/>
      <w:bookmarkStart w:id="225" w:name="_Toc13627"/>
      <w:bookmarkStart w:id="226" w:name="_Toc26693"/>
      <w:bookmarkStart w:id="227" w:name="_Toc476230653"/>
      <w:bookmarkStart w:id="228" w:name="_Toc495666246"/>
      <w:bookmarkStart w:id="229" w:name="_Toc1373"/>
      <w:bookmarkStart w:id="230" w:name="_Toc10958"/>
      <w:bookmarkStart w:id="231" w:name="_Toc6716"/>
      <w:bookmarkStart w:id="232" w:name="_Toc25223"/>
      <w:bookmarkStart w:id="233" w:name="_Toc476230517"/>
      <w:bookmarkStart w:id="234" w:name="_Toc476230929"/>
      <w:bookmarkStart w:id="235" w:name="_Toc6319304"/>
      <w:bookmarkStart w:id="236" w:name="_Toc17855"/>
      <w:bookmarkStart w:id="237" w:name="_Toc26963"/>
    </w:p>
    <w:p>
      <w:pPr>
        <w:widowControl/>
        <w:spacing w:line="500" w:lineRule="exact"/>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八、</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hint="eastAsia" w:ascii="仿宋" w:hAnsi="仿宋" w:eastAsia="仿宋" w:cs="仿宋"/>
          <w:b/>
          <w:color w:val="auto"/>
          <w:kern w:val="0"/>
          <w:sz w:val="28"/>
          <w:szCs w:val="28"/>
          <w:highlight w:val="none"/>
        </w:rPr>
        <w:t>开标前三年内在经营活动中没有重大违法记录的承诺书</w:t>
      </w: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outlineLvl w:val="2"/>
        <w:rPr>
          <w:rFonts w:ascii="仿宋" w:hAnsi="仿宋" w:eastAsia="仿宋" w:cs="仿宋"/>
          <w:b/>
          <w:color w:val="auto"/>
          <w:kern w:val="0"/>
          <w:sz w:val="28"/>
          <w:szCs w:val="28"/>
          <w:highlight w:val="none"/>
        </w:rPr>
      </w:pPr>
      <w:bookmarkStart w:id="238" w:name="_Toc495666247"/>
      <w:bookmarkStart w:id="239" w:name="_Toc476229723"/>
      <w:bookmarkStart w:id="240" w:name="_Toc476230518"/>
      <w:bookmarkStart w:id="241" w:name="_Toc476230654"/>
      <w:bookmarkStart w:id="242" w:name="_Toc476230930"/>
    </w:p>
    <w:bookmarkEnd w:id="238"/>
    <w:bookmarkEnd w:id="239"/>
    <w:bookmarkEnd w:id="240"/>
    <w:bookmarkEnd w:id="241"/>
    <w:bookmarkEnd w:id="242"/>
    <w:p>
      <w:pPr>
        <w:spacing w:line="540" w:lineRule="exact"/>
        <w:ind w:firstLine="3840" w:firstLineChars="1600"/>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投标人全称（电子签章）：</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xml:space="preserve"> </w:t>
      </w:r>
    </w:p>
    <w:p>
      <w:pPr>
        <w:widowControl/>
        <w:snapToGrid w:val="0"/>
        <w:spacing w:line="540" w:lineRule="exact"/>
        <w:ind w:firstLine="3840" w:firstLineChars="1600"/>
        <w:textAlignment w:val="baseline"/>
        <w:rPr>
          <w:rFonts w:hint="eastAsia" w:ascii="仿宋" w:hAnsi="仿宋" w:eastAsia="仿宋" w:cs="宋体"/>
          <w:b/>
          <w:color w:val="auto"/>
          <w:sz w:val="30"/>
          <w:szCs w:val="30"/>
          <w:highlight w:val="none"/>
        </w:rPr>
      </w:pPr>
      <w:r>
        <w:rPr>
          <w:rFonts w:hint="eastAsia" w:ascii="仿宋" w:hAnsi="仿宋" w:eastAsia="仿宋" w:cs="宋体"/>
          <w:color w:val="auto"/>
          <w:sz w:val="24"/>
          <w:highlight w:val="none"/>
        </w:rPr>
        <w:t>日 期：</w:t>
      </w:r>
      <w:r>
        <w:rPr>
          <w:rFonts w:hint="eastAsia" w:ascii="仿宋" w:hAnsi="仿宋" w:eastAsia="仿宋" w:cs="宋体"/>
          <w:color w:val="auto"/>
          <w:sz w:val="24"/>
          <w:highlight w:val="none"/>
          <w:u w:val="single"/>
        </w:rPr>
        <w:t xml:space="preserve">                                </w:t>
      </w:r>
    </w:p>
    <w:p>
      <w:pPr>
        <w:widowControl/>
        <w:spacing w:line="500" w:lineRule="exact"/>
        <w:jc w:val="center"/>
        <w:outlineLvl w:val="2"/>
        <w:rPr>
          <w:rFonts w:ascii="仿宋" w:hAnsi="仿宋" w:eastAsia="仿宋" w:cs="仿宋"/>
          <w:b/>
          <w:color w:val="auto"/>
          <w:kern w:val="0"/>
          <w:sz w:val="28"/>
          <w:szCs w:val="28"/>
          <w:highlight w:val="none"/>
        </w:rPr>
      </w:pPr>
    </w:p>
    <w:p>
      <w:pPr>
        <w:pStyle w:val="219"/>
        <w:spacing w:line="500" w:lineRule="exact"/>
        <w:rPr>
          <w:rFonts w:ascii="仿宋" w:hAnsi="仿宋" w:eastAsia="仿宋" w:cs="仿宋"/>
          <w:color w:val="auto"/>
          <w:sz w:val="28"/>
          <w:szCs w:val="28"/>
          <w:highlight w:val="none"/>
        </w:rPr>
      </w:pPr>
    </w:p>
    <w:p>
      <w:pPr>
        <w:widowControl/>
        <w:spacing w:line="500" w:lineRule="exact"/>
        <w:outlineLvl w:val="2"/>
        <w:rPr>
          <w:rFonts w:ascii="仿宋" w:hAnsi="仿宋" w:eastAsia="仿宋" w:cs="仿宋"/>
          <w:b/>
          <w:color w:val="auto"/>
          <w:kern w:val="0"/>
          <w:sz w:val="28"/>
          <w:szCs w:val="28"/>
          <w:highlight w:val="none"/>
        </w:rPr>
      </w:pPr>
      <w:bookmarkStart w:id="243" w:name="_Toc6319305"/>
      <w:bookmarkStart w:id="244" w:name="_Toc12726"/>
      <w:bookmarkStart w:id="245" w:name="_Toc476229724"/>
      <w:bookmarkStart w:id="246" w:name="_Toc476230655"/>
      <w:bookmarkStart w:id="247" w:name="_Toc7953"/>
      <w:bookmarkStart w:id="248" w:name="_Toc18459"/>
      <w:bookmarkStart w:id="249" w:name="_Toc27181"/>
      <w:bookmarkStart w:id="250" w:name="_Toc14586"/>
      <w:bookmarkStart w:id="251" w:name="_Toc14431"/>
      <w:bookmarkStart w:id="252" w:name="_Toc10692"/>
      <w:bookmarkStart w:id="253" w:name="_Toc5332"/>
      <w:bookmarkStart w:id="254" w:name="_Toc8505"/>
      <w:bookmarkStart w:id="255" w:name="_Toc18750"/>
      <w:bookmarkStart w:id="256" w:name="_Toc495666249"/>
      <w:bookmarkStart w:id="257" w:name="_Toc476230519"/>
      <w:bookmarkStart w:id="258" w:name="_Toc476230931"/>
      <w:bookmarkStart w:id="259" w:name="_Toc975"/>
      <w:bookmarkStart w:id="260" w:name="_Toc28128"/>
      <w:bookmarkStart w:id="261" w:name="_Toc18690"/>
    </w:p>
    <w:p>
      <w:pPr>
        <w:widowControl/>
        <w:spacing w:line="500" w:lineRule="exact"/>
        <w:jc w:val="center"/>
        <w:outlineLvl w:val="2"/>
        <w:rPr>
          <w:rFonts w:ascii="仿宋" w:hAnsi="仿宋" w:eastAsia="仿宋" w:cs="仿宋"/>
          <w:b/>
          <w:color w:val="auto"/>
          <w:kern w:val="0"/>
          <w:sz w:val="28"/>
          <w:szCs w:val="28"/>
          <w:highlight w:val="none"/>
        </w:rPr>
      </w:pPr>
      <w:bookmarkStart w:id="262" w:name="_Toc29275"/>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pStyle w:val="38"/>
        <w:ind w:left="0" w:leftChars="0" w:firstLine="0" w:firstLineChars="0"/>
        <w:rPr>
          <w:color w:val="auto"/>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九、投标人需要说明的其他文件和说明</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widowControl/>
        <w:spacing w:line="540" w:lineRule="exact"/>
        <w:jc w:val="center"/>
        <w:outlineLvl w:val="2"/>
        <w:rPr>
          <w:rFonts w:ascii="仿宋" w:hAnsi="仿宋" w:eastAsia="仿宋" w:cs="仿宋"/>
          <w:b/>
          <w:color w:val="auto"/>
          <w:kern w:val="0"/>
          <w:sz w:val="28"/>
          <w:szCs w:val="28"/>
          <w:highlight w:val="none"/>
        </w:rPr>
      </w:pPr>
    </w:p>
    <w:p>
      <w:pPr>
        <w:widowControl/>
        <w:spacing w:line="540" w:lineRule="exact"/>
        <w:jc w:val="center"/>
        <w:outlineLvl w:val="2"/>
        <w:rPr>
          <w:rFonts w:ascii="仿宋" w:hAnsi="仿宋" w:eastAsia="仿宋" w:cs="仿宋"/>
          <w:b/>
          <w:color w:val="auto"/>
          <w:kern w:val="0"/>
          <w:sz w:val="28"/>
          <w:szCs w:val="28"/>
          <w:highlight w:val="none"/>
        </w:rPr>
      </w:pPr>
    </w:p>
    <w:p>
      <w:pPr>
        <w:widowControl/>
        <w:spacing w:line="440" w:lineRule="exact"/>
        <w:ind w:firstLine="562" w:firstLineChars="200"/>
        <w:rPr>
          <w:rFonts w:ascii="仿宋" w:hAnsi="仿宋" w:eastAsia="仿宋" w:cs="仿宋"/>
          <w:b/>
          <w:color w:val="auto"/>
          <w:kern w:val="0"/>
          <w:sz w:val="28"/>
          <w:szCs w:val="28"/>
          <w:highlight w:val="none"/>
        </w:rPr>
      </w:pPr>
    </w:p>
    <w:p>
      <w:pPr>
        <w:widowControl/>
        <w:spacing w:line="440" w:lineRule="exact"/>
        <w:ind w:firstLine="562" w:firstLineChars="200"/>
        <w:rPr>
          <w:rFonts w:ascii="仿宋" w:hAnsi="仿宋" w:eastAsia="仿宋" w:cs="仿宋"/>
          <w:b/>
          <w:color w:val="auto"/>
          <w:kern w:val="0"/>
          <w:sz w:val="28"/>
          <w:szCs w:val="28"/>
          <w:highlight w:val="none"/>
        </w:rPr>
      </w:pPr>
    </w:p>
    <w:p>
      <w:pPr>
        <w:widowControl/>
        <w:spacing w:line="440" w:lineRule="exact"/>
        <w:ind w:firstLine="562" w:firstLineChars="200"/>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widowControl/>
        <w:spacing w:line="500" w:lineRule="exact"/>
        <w:jc w:val="center"/>
        <w:outlineLvl w:val="2"/>
        <w:rPr>
          <w:rFonts w:ascii="仿宋" w:hAnsi="仿宋" w:eastAsia="仿宋" w:cs="仿宋"/>
          <w:b/>
          <w:color w:val="auto"/>
          <w:kern w:val="0"/>
          <w:sz w:val="28"/>
          <w:szCs w:val="28"/>
          <w:highlight w:val="none"/>
        </w:rPr>
      </w:pPr>
    </w:p>
    <w:p>
      <w:pPr>
        <w:pStyle w:val="39"/>
        <w:ind w:firstLine="480"/>
        <w:rPr>
          <w:color w:val="auto"/>
          <w:highlight w:val="none"/>
        </w:rPr>
      </w:pPr>
    </w:p>
    <w:p>
      <w:pPr>
        <w:widowControl/>
        <w:spacing w:line="440" w:lineRule="exact"/>
        <w:ind w:firstLine="562" w:firstLineChars="200"/>
        <w:rPr>
          <w:rFonts w:ascii="仿宋" w:hAnsi="仿宋" w:eastAsia="仿宋" w:cs="仿宋"/>
          <w:b/>
          <w:color w:val="auto"/>
          <w:kern w:val="0"/>
          <w:sz w:val="28"/>
          <w:szCs w:val="28"/>
          <w:highlight w:val="none"/>
        </w:rPr>
      </w:pPr>
    </w:p>
    <w:p>
      <w:pPr>
        <w:widowControl/>
        <w:spacing w:line="440" w:lineRule="exact"/>
        <w:ind w:firstLine="562" w:firstLineChars="200"/>
        <w:rPr>
          <w:rFonts w:ascii="仿宋" w:hAnsi="仿宋" w:eastAsia="仿宋" w:cs="仿宋"/>
          <w:b/>
          <w:color w:val="auto"/>
          <w:kern w:val="0"/>
          <w:sz w:val="28"/>
          <w:szCs w:val="28"/>
          <w:highlight w:val="none"/>
        </w:rPr>
      </w:pPr>
    </w:p>
    <w:p>
      <w:pPr>
        <w:widowControl/>
        <w:spacing w:line="540" w:lineRule="exact"/>
        <w:rPr>
          <w:rFonts w:ascii="仿宋" w:hAnsi="仿宋" w:eastAsia="仿宋" w:cs="仿宋"/>
          <w:b/>
          <w:color w:val="auto"/>
          <w:kern w:val="0"/>
          <w:sz w:val="28"/>
          <w:szCs w:val="28"/>
          <w:highlight w:val="none"/>
        </w:rPr>
      </w:pPr>
    </w:p>
    <w:p>
      <w:pPr>
        <w:pStyle w:val="24"/>
        <w:rPr>
          <w:color w:val="auto"/>
          <w:highlight w:val="none"/>
        </w:rPr>
      </w:pPr>
    </w:p>
    <w:p>
      <w:pPr>
        <w:spacing w:beforeLines="100" w:line="440" w:lineRule="atLeast"/>
        <w:jc w:val="center"/>
        <w:outlineLvl w:val="1"/>
        <w:rPr>
          <w:rFonts w:ascii="仿宋" w:hAnsi="仿宋" w:eastAsia="仿宋" w:cs="仿宋"/>
          <w:b/>
          <w:color w:val="auto"/>
          <w:sz w:val="28"/>
          <w:szCs w:val="28"/>
          <w:highlight w:val="none"/>
        </w:rPr>
      </w:pPr>
      <w:bookmarkStart w:id="263" w:name="_Toc15810"/>
      <w:bookmarkStart w:id="264" w:name="_Toc387831518"/>
      <w:bookmarkStart w:id="265" w:name="_Toc392080799"/>
      <w:bookmarkStart w:id="266" w:name="_Toc393201740"/>
      <w:bookmarkStart w:id="267" w:name="_Toc336331381"/>
    </w:p>
    <w:p>
      <w:pPr>
        <w:spacing w:beforeLines="100" w:line="440" w:lineRule="atLeast"/>
        <w:jc w:val="center"/>
        <w:outlineLvl w:val="1"/>
        <w:rPr>
          <w:rFonts w:ascii="仿宋" w:hAnsi="仿宋" w:eastAsia="仿宋" w:cs="仿宋"/>
          <w:b/>
          <w:color w:val="auto"/>
          <w:sz w:val="28"/>
          <w:szCs w:val="28"/>
          <w:highlight w:val="none"/>
        </w:rPr>
      </w:pPr>
    </w:p>
    <w:p>
      <w:pPr>
        <w:spacing w:beforeLines="100" w:line="440" w:lineRule="atLeast"/>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技术商务文件</w:t>
      </w:r>
      <w:bookmarkEnd w:id="263"/>
      <w:bookmarkEnd w:id="264"/>
      <w:bookmarkEnd w:id="265"/>
      <w:bookmarkEnd w:id="266"/>
      <w:bookmarkEnd w:id="267"/>
    </w:p>
    <w:p>
      <w:pPr>
        <w:spacing w:line="440" w:lineRule="atLeast"/>
        <w:rPr>
          <w:rFonts w:ascii="仿宋" w:hAnsi="仿宋" w:eastAsia="仿宋" w:cs="仿宋"/>
          <w:color w:val="auto"/>
          <w:sz w:val="28"/>
          <w:szCs w:val="28"/>
          <w:highlight w:val="none"/>
        </w:rPr>
      </w:pPr>
    </w:p>
    <w:p>
      <w:pPr>
        <w:spacing w:line="440" w:lineRule="atLeast"/>
        <w:rPr>
          <w:rFonts w:ascii="仿宋" w:hAnsi="仿宋" w:eastAsia="仿宋" w:cs="仿宋"/>
          <w:color w:val="auto"/>
          <w:sz w:val="28"/>
          <w:szCs w:val="28"/>
          <w:highlight w:val="none"/>
        </w:rPr>
      </w:pPr>
    </w:p>
    <w:p>
      <w:pPr>
        <w:snapToGrid w:val="0"/>
        <w:spacing w:line="440" w:lineRule="atLeast"/>
        <w:ind w:left="2101" w:leftChars="334" w:hanging="1400" w:hangingChars="5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pacing w:val="-6"/>
          <w:sz w:val="28"/>
          <w:szCs w:val="28"/>
          <w:highlight w:val="none"/>
          <w:u w:val="single"/>
          <w:lang w:eastAsia="zh-CN"/>
        </w:rPr>
        <w:t>开化县华埠镇城区环卫作业一体化服务采购项目</w:t>
      </w:r>
      <w:r>
        <w:rPr>
          <w:rFonts w:hint="eastAsia" w:ascii="仿宋" w:hAnsi="仿宋" w:eastAsia="仿宋" w:cs="仿宋"/>
          <w:color w:val="auto"/>
          <w:spacing w:val="-6"/>
          <w:sz w:val="28"/>
          <w:szCs w:val="28"/>
          <w:highlight w:val="none"/>
          <w:u w:val="single"/>
          <w:lang w:val="en-US" w:eastAsia="zh-CN"/>
        </w:rPr>
        <w:t xml:space="preserve">    </w:t>
      </w:r>
    </w:p>
    <w:p>
      <w:pPr>
        <w:snapToGrid w:val="0"/>
        <w:spacing w:line="440" w:lineRule="atLeast"/>
        <w:ind w:firstLine="700" w:firstLineChars="250"/>
        <w:rPr>
          <w:rFonts w:hint="eastAsia" w:ascii="仿宋" w:hAnsi="仿宋" w:eastAsia="仿宋" w:cs="仿宋"/>
          <w:color w:val="auto"/>
          <w:sz w:val="28"/>
          <w:szCs w:val="28"/>
          <w:highlight w:val="none"/>
          <w:u w:val="single"/>
          <w:lang w:val="en-US" w:eastAsia="zh-CN"/>
        </w:rPr>
      </w:pPr>
    </w:p>
    <w:p>
      <w:pPr>
        <w:snapToGrid w:val="0"/>
        <w:spacing w:line="440" w:lineRule="atLeast"/>
        <w:ind w:firstLine="700" w:firstLineChars="25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QQZXFSCG-2022-03</w:t>
      </w:r>
      <w:r>
        <w:rPr>
          <w:rFonts w:hint="eastAsia" w:ascii="仿宋" w:hAnsi="仿宋" w:eastAsia="仿宋" w:cs="仿宋"/>
          <w:color w:val="auto"/>
          <w:sz w:val="28"/>
          <w:szCs w:val="28"/>
          <w:highlight w:val="none"/>
          <w:u w:val="single"/>
          <w:lang w:val="en-US" w:eastAsia="zh-CN"/>
        </w:rPr>
        <w:t xml:space="preserve">                   </w:t>
      </w:r>
    </w:p>
    <w:p>
      <w:pPr>
        <w:spacing w:line="440" w:lineRule="atLeast"/>
        <w:rPr>
          <w:rFonts w:ascii="仿宋" w:hAnsi="仿宋" w:eastAsia="仿宋" w:cs="仿宋"/>
          <w:color w:val="auto"/>
          <w:sz w:val="28"/>
          <w:szCs w:val="28"/>
          <w:highlight w:val="none"/>
        </w:rPr>
      </w:pPr>
    </w:p>
    <w:p>
      <w:pPr>
        <w:spacing w:line="440" w:lineRule="atLeast"/>
        <w:ind w:firstLine="700" w:firstLineChars="2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投标人名称：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color w:val="auto"/>
          <w:sz w:val="28"/>
          <w:szCs w:val="28"/>
          <w:highlight w:val="none"/>
          <w:u w:val="single"/>
        </w:rPr>
        <w:t>（电子签章）</w:t>
      </w:r>
      <w:r>
        <w:rPr>
          <w:rFonts w:hint="eastAsia" w:ascii="仿宋" w:hAnsi="仿宋" w:eastAsia="仿宋" w:cs="仿宋"/>
          <w:color w:val="auto"/>
          <w:sz w:val="28"/>
          <w:szCs w:val="28"/>
          <w:highlight w:val="none"/>
          <w:u w:val="single"/>
        </w:rPr>
        <w:t xml:space="preserve">  </w:t>
      </w:r>
    </w:p>
    <w:p>
      <w:pPr>
        <w:spacing w:line="440" w:lineRule="atLeast"/>
        <w:jc w:val="left"/>
        <w:rPr>
          <w:rFonts w:ascii="仿宋" w:hAnsi="仿宋" w:eastAsia="仿宋" w:cs="仿宋"/>
          <w:color w:val="auto"/>
          <w:sz w:val="28"/>
          <w:szCs w:val="28"/>
          <w:highlight w:val="none"/>
          <w:u w:val="single"/>
        </w:rPr>
      </w:pPr>
    </w:p>
    <w:p>
      <w:pPr>
        <w:spacing w:line="440" w:lineRule="atLeast"/>
        <w:jc w:val="center"/>
        <w:rPr>
          <w:rFonts w:ascii="仿宋" w:hAnsi="仿宋" w:eastAsia="仿宋" w:cs="仿宋"/>
          <w:color w:val="auto"/>
          <w:sz w:val="28"/>
          <w:szCs w:val="28"/>
          <w:highlight w:val="none"/>
        </w:rPr>
      </w:pPr>
    </w:p>
    <w:p>
      <w:pPr>
        <w:spacing w:before="100" w:beforeAutospacing="1" w:after="100" w:afterAutospacing="1" w:line="440" w:lineRule="atLeast"/>
        <w:rPr>
          <w:rFonts w:ascii="仿宋" w:hAnsi="仿宋" w:eastAsia="仿宋" w:cs="仿宋"/>
          <w:color w:val="auto"/>
          <w:sz w:val="28"/>
          <w:szCs w:val="28"/>
          <w:highlight w:val="none"/>
        </w:rPr>
      </w:pPr>
    </w:p>
    <w:p>
      <w:pPr>
        <w:spacing w:line="440" w:lineRule="atLeast"/>
        <w:ind w:firstLine="3360" w:firstLineChars="1200"/>
        <w:jc w:val="left"/>
        <w:rPr>
          <w:rFonts w:ascii="仿宋" w:hAnsi="仿宋" w:eastAsia="仿宋" w:cs="仿宋"/>
          <w:color w:val="auto"/>
          <w:sz w:val="28"/>
          <w:szCs w:val="28"/>
          <w:highlight w:val="none"/>
          <w:u w:val="single"/>
        </w:rPr>
      </w:pPr>
      <w:bookmarkStart w:id="268" w:name="_Toc332184183"/>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w:t>
      </w:r>
    </w:p>
    <w:p>
      <w:pPr>
        <w:spacing w:line="440" w:lineRule="atLeast"/>
        <w:jc w:val="center"/>
        <w:rPr>
          <w:rFonts w:ascii="仿宋" w:hAnsi="仿宋" w:eastAsia="仿宋" w:cs="仿宋"/>
          <w:color w:val="auto"/>
          <w:sz w:val="28"/>
          <w:szCs w:val="28"/>
          <w:highlight w:val="none"/>
        </w:rPr>
      </w:pPr>
    </w:p>
    <w:p>
      <w:pPr>
        <w:spacing w:before="100" w:beforeAutospacing="1" w:after="100" w:afterAutospacing="1" w:line="440" w:lineRule="atLeast"/>
        <w:rPr>
          <w:rFonts w:ascii="仿宋" w:hAnsi="仿宋" w:eastAsia="仿宋" w:cs="仿宋"/>
          <w:color w:val="auto"/>
          <w:sz w:val="28"/>
          <w:szCs w:val="28"/>
          <w:highlight w:val="none"/>
        </w:rPr>
      </w:pPr>
    </w:p>
    <w:p>
      <w:pPr>
        <w:pStyle w:val="50"/>
        <w:rPr>
          <w:rFonts w:ascii="仿宋" w:hAnsi="仿宋" w:eastAsia="仿宋" w:cs="仿宋"/>
          <w:color w:val="auto"/>
          <w:sz w:val="28"/>
          <w:szCs w:val="28"/>
          <w:highlight w:val="none"/>
        </w:rPr>
      </w:pPr>
    </w:p>
    <w:p>
      <w:pPr>
        <w:pStyle w:val="50"/>
        <w:rPr>
          <w:rFonts w:ascii="仿宋" w:hAnsi="仿宋" w:eastAsia="仿宋" w:cs="仿宋"/>
          <w:color w:val="auto"/>
          <w:sz w:val="28"/>
          <w:szCs w:val="28"/>
          <w:highlight w:val="none"/>
        </w:rPr>
      </w:pPr>
    </w:p>
    <w:p>
      <w:pPr>
        <w:pStyle w:val="50"/>
        <w:rPr>
          <w:rFonts w:ascii="仿宋" w:hAnsi="仿宋" w:eastAsia="仿宋" w:cs="仿宋"/>
          <w:color w:val="auto"/>
          <w:sz w:val="28"/>
          <w:szCs w:val="28"/>
          <w:highlight w:val="none"/>
        </w:rPr>
      </w:pPr>
    </w:p>
    <w:p>
      <w:pPr>
        <w:spacing w:line="440" w:lineRule="atLeast"/>
        <w:jc w:val="right"/>
        <w:rPr>
          <w:rFonts w:ascii="仿宋" w:hAnsi="仿宋" w:eastAsia="仿宋" w:cs="仿宋"/>
          <w:color w:val="auto"/>
          <w:sz w:val="28"/>
          <w:szCs w:val="28"/>
          <w:highlight w:val="none"/>
          <w:u w:val="single"/>
        </w:rPr>
      </w:pPr>
    </w:p>
    <w:p>
      <w:pPr>
        <w:spacing w:line="440" w:lineRule="atLeast"/>
        <w:jc w:val="right"/>
        <w:rPr>
          <w:rFonts w:ascii="仿宋" w:hAnsi="仿宋" w:eastAsia="仿宋" w:cs="仿宋"/>
          <w:color w:val="auto"/>
          <w:sz w:val="28"/>
          <w:szCs w:val="28"/>
          <w:highlight w:val="none"/>
          <w:u w:val="single"/>
        </w:rPr>
      </w:pPr>
    </w:p>
    <w:bookmarkEnd w:id="268"/>
    <w:p>
      <w:pPr>
        <w:spacing w:line="440" w:lineRule="atLeast"/>
        <w:jc w:val="center"/>
        <w:rPr>
          <w:rFonts w:ascii="仿宋" w:hAnsi="仿宋" w:eastAsia="仿宋" w:cs="仿宋"/>
          <w:bCs/>
          <w:smallCaps/>
          <w:color w:val="auto"/>
          <w:kern w:val="0"/>
          <w:sz w:val="28"/>
          <w:szCs w:val="28"/>
          <w:highlight w:val="none"/>
        </w:rPr>
      </w:pPr>
      <w:bookmarkStart w:id="269" w:name="_Toc336678150"/>
      <w:bookmarkStart w:id="270" w:name="_Toc336331391"/>
      <w:bookmarkStart w:id="271" w:name="_Toc336671816"/>
      <w:r>
        <w:rPr>
          <w:rFonts w:hint="eastAsia" w:ascii="仿宋" w:hAnsi="仿宋" w:eastAsia="仿宋" w:cs="仿宋"/>
          <w:b/>
          <w:color w:val="auto"/>
          <w:sz w:val="28"/>
          <w:szCs w:val="28"/>
          <w:highlight w:val="none"/>
        </w:rPr>
        <w:t>技术商务文件目录</w:t>
      </w:r>
    </w:p>
    <w:p>
      <w:pPr>
        <w:tabs>
          <w:tab w:val="center" w:pos="4156"/>
        </w:tabs>
        <w:autoSpaceDE w:val="0"/>
        <w:autoSpaceDN w:val="0"/>
        <w:adjustRightInd w:val="0"/>
        <w:spacing w:line="40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一、供应商技术商务评分索引表</w:t>
      </w:r>
    </w:p>
    <w:p>
      <w:pPr>
        <w:widowControl/>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二、</w:t>
      </w:r>
      <w:r>
        <w:rPr>
          <w:rFonts w:hint="eastAsia" w:ascii="仿宋" w:hAnsi="仿宋" w:eastAsia="仿宋" w:cs="仿宋"/>
          <w:color w:val="auto"/>
          <w:sz w:val="28"/>
          <w:szCs w:val="28"/>
          <w:highlight w:val="none"/>
        </w:rPr>
        <w:t>企业业绩</w:t>
      </w:r>
    </w:p>
    <w:p>
      <w:pPr>
        <w:widowControl/>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企业</w:t>
      </w:r>
      <w:r>
        <w:rPr>
          <w:rFonts w:hint="eastAsia" w:ascii="仿宋" w:hAnsi="仿宋" w:eastAsia="仿宋" w:cs="仿宋"/>
          <w:color w:val="auto"/>
          <w:sz w:val="28"/>
          <w:szCs w:val="28"/>
          <w:highlight w:val="none"/>
          <w:lang w:eastAsia="zh-CN"/>
        </w:rPr>
        <w:t>荣誉</w:t>
      </w:r>
    </w:p>
    <w:p>
      <w:pPr>
        <w:widowControl/>
        <w:spacing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四、企业资信</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五、人员配置</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六、机具配置</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七、管理制度</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八、保洁措施</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九、垃圾收集、分类管理</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十、</w:t>
      </w:r>
      <w:r>
        <w:rPr>
          <w:rFonts w:hint="eastAsia" w:ascii="仿宋" w:hAnsi="仿宋" w:eastAsia="仿宋" w:cs="仿宋"/>
          <w:color w:val="auto"/>
          <w:sz w:val="28"/>
          <w:szCs w:val="28"/>
          <w:highlight w:val="none"/>
        </w:rPr>
        <w:t>公厕管养专项方案</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十一、作业管理方案</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十二、</w:t>
      </w:r>
      <w:r>
        <w:rPr>
          <w:rFonts w:hint="eastAsia" w:ascii="仿宋" w:hAnsi="仿宋" w:eastAsia="仿宋" w:cs="仿宋"/>
          <w:color w:val="auto"/>
          <w:sz w:val="28"/>
          <w:szCs w:val="28"/>
          <w:highlight w:val="none"/>
        </w:rPr>
        <w:t>应急专项方案</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十三、合理化建议</w:t>
      </w:r>
    </w:p>
    <w:p>
      <w:pPr>
        <w:tabs>
          <w:tab w:val="center" w:pos="4156"/>
        </w:tabs>
        <w:autoSpaceDE w:val="0"/>
        <w:autoSpaceDN w:val="0"/>
        <w:adjustRightInd w:val="0"/>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十四、投标人需要提供的其他材料</w:t>
      </w:r>
    </w:p>
    <w:p>
      <w:pPr>
        <w:tabs>
          <w:tab w:val="center" w:pos="4156"/>
        </w:tabs>
        <w:autoSpaceDE w:val="0"/>
        <w:autoSpaceDN w:val="0"/>
        <w:adjustRightInd w:val="0"/>
        <w:spacing w:line="400" w:lineRule="exact"/>
        <w:rPr>
          <w:rFonts w:ascii="仿宋" w:hAnsi="仿宋" w:eastAsia="仿宋" w:cs="仿宋"/>
          <w:b/>
          <w:color w:val="auto"/>
          <w:sz w:val="28"/>
          <w:szCs w:val="28"/>
          <w:highlight w:val="none"/>
        </w:rPr>
      </w:pPr>
    </w:p>
    <w:p>
      <w:pPr>
        <w:spacing w:line="440" w:lineRule="atLeast"/>
        <w:rPr>
          <w:rFonts w:ascii="仿宋" w:hAnsi="仿宋" w:eastAsia="仿宋" w:cs="仿宋"/>
          <w:b/>
          <w:color w:val="auto"/>
          <w:sz w:val="28"/>
          <w:szCs w:val="28"/>
          <w:highlight w:val="none"/>
        </w:rPr>
      </w:pPr>
    </w:p>
    <w:p>
      <w:pPr>
        <w:spacing w:line="440" w:lineRule="atLeast"/>
        <w:rPr>
          <w:rFonts w:ascii="仿宋" w:hAnsi="仿宋" w:eastAsia="仿宋" w:cs="仿宋"/>
          <w:b/>
          <w:color w:val="auto"/>
          <w:sz w:val="28"/>
          <w:szCs w:val="28"/>
          <w:highlight w:val="none"/>
        </w:rPr>
      </w:pPr>
    </w:p>
    <w:p>
      <w:pPr>
        <w:spacing w:line="440" w:lineRule="atLeast"/>
        <w:rPr>
          <w:rFonts w:ascii="仿宋" w:hAnsi="仿宋" w:eastAsia="仿宋" w:cs="仿宋"/>
          <w:b/>
          <w:color w:val="auto"/>
          <w:sz w:val="28"/>
          <w:szCs w:val="28"/>
          <w:highlight w:val="none"/>
        </w:rPr>
      </w:pPr>
    </w:p>
    <w:p>
      <w:pPr>
        <w:spacing w:line="440" w:lineRule="atLeast"/>
        <w:rPr>
          <w:rFonts w:ascii="仿宋" w:hAnsi="仿宋" w:eastAsia="仿宋" w:cs="仿宋"/>
          <w:b/>
          <w:color w:val="auto"/>
          <w:sz w:val="28"/>
          <w:szCs w:val="28"/>
          <w:highlight w:val="none"/>
        </w:rPr>
      </w:pPr>
    </w:p>
    <w:p>
      <w:pPr>
        <w:pStyle w:val="50"/>
        <w:rPr>
          <w:color w:val="auto"/>
          <w:highlight w:val="none"/>
        </w:rPr>
      </w:pPr>
    </w:p>
    <w:p>
      <w:pPr>
        <w:spacing w:line="440" w:lineRule="atLeast"/>
        <w:rPr>
          <w:rFonts w:ascii="仿宋" w:hAnsi="仿宋" w:eastAsia="仿宋" w:cs="仿宋"/>
          <w:b/>
          <w:color w:val="auto"/>
          <w:sz w:val="28"/>
          <w:szCs w:val="28"/>
          <w:highlight w:val="none"/>
        </w:rPr>
      </w:pPr>
    </w:p>
    <w:p>
      <w:pPr>
        <w:snapToGrid w:val="0"/>
        <w:spacing w:line="400" w:lineRule="exact"/>
        <w:jc w:val="center"/>
        <w:rPr>
          <w:rFonts w:ascii="仿宋" w:hAnsi="仿宋" w:eastAsia="仿宋" w:cs="仿宋"/>
          <w:b/>
          <w:color w:val="auto"/>
          <w:kern w:val="0"/>
          <w:sz w:val="28"/>
          <w:szCs w:val="28"/>
          <w:highlight w:val="none"/>
        </w:rPr>
      </w:pPr>
    </w:p>
    <w:p>
      <w:pPr>
        <w:snapToGrid w:val="0"/>
        <w:spacing w:line="400" w:lineRule="exact"/>
        <w:jc w:val="center"/>
        <w:rPr>
          <w:rFonts w:ascii="仿宋" w:hAnsi="仿宋" w:eastAsia="仿宋" w:cs="仿宋"/>
          <w:b/>
          <w:color w:val="auto"/>
          <w:kern w:val="0"/>
          <w:sz w:val="28"/>
          <w:szCs w:val="28"/>
          <w:highlight w:val="none"/>
        </w:rPr>
      </w:pPr>
    </w:p>
    <w:p>
      <w:pPr>
        <w:snapToGrid w:val="0"/>
        <w:spacing w:line="400" w:lineRule="exact"/>
        <w:jc w:val="center"/>
        <w:rPr>
          <w:rFonts w:ascii="仿宋" w:hAnsi="仿宋" w:eastAsia="仿宋" w:cs="仿宋"/>
          <w:b/>
          <w:color w:val="auto"/>
          <w:kern w:val="0"/>
          <w:sz w:val="28"/>
          <w:szCs w:val="28"/>
          <w:highlight w:val="none"/>
        </w:rPr>
      </w:pPr>
    </w:p>
    <w:p>
      <w:pPr>
        <w:snapToGrid w:val="0"/>
        <w:spacing w:line="400" w:lineRule="exact"/>
        <w:jc w:val="center"/>
        <w:rPr>
          <w:rFonts w:ascii="仿宋" w:hAnsi="仿宋" w:eastAsia="仿宋" w:cs="仿宋"/>
          <w:b/>
          <w:color w:val="auto"/>
          <w:kern w:val="0"/>
          <w:sz w:val="28"/>
          <w:szCs w:val="28"/>
          <w:highlight w:val="none"/>
        </w:rPr>
      </w:pPr>
    </w:p>
    <w:p>
      <w:pPr>
        <w:snapToGrid w:val="0"/>
        <w:spacing w:line="400" w:lineRule="exact"/>
        <w:jc w:val="center"/>
        <w:rPr>
          <w:rFonts w:ascii="仿宋" w:hAnsi="仿宋" w:eastAsia="仿宋" w:cs="仿宋"/>
          <w:b/>
          <w:color w:val="auto"/>
          <w:kern w:val="0"/>
          <w:sz w:val="28"/>
          <w:szCs w:val="28"/>
          <w:highlight w:val="none"/>
        </w:rPr>
      </w:pPr>
    </w:p>
    <w:p>
      <w:pPr>
        <w:pStyle w:val="16"/>
        <w:rPr>
          <w:color w:val="auto"/>
          <w:highlight w:val="none"/>
        </w:rPr>
      </w:pPr>
    </w:p>
    <w:p>
      <w:pPr>
        <w:snapToGrid w:val="0"/>
        <w:spacing w:line="400" w:lineRule="exact"/>
        <w:rPr>
          <w:rFonts w:ascii="仿宋" w:hAnsi="仿宋" w:eastAsia="仿宋" w:cs="仿宋"/>
          <w:b/>
          <w:color w:val="auto"/>
          <w:kern w:val="0"/>
          <w:sz w:val="28"/>
          <w:szCs w:val="28"/>
          <w:highlight w:val="none"/>
        </w:rPr>
      </w:pPr>
    </w:p>
    <w:p>
      <w:pPr>
        <w:widowControl/>
        <w:spacing w:line="440" w:lineRule="exact"/>
        <w:ind w:left="2160"/>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一、供应商技术商务评分索引表</w:t>
      </w:r>
    </w:p>
    <w:p>
      <w:pPr>
        <w:tabs>
          <w:tab w:val="center" w:pos="4156"/>
        </w:tabs>
        <w:autoSpaceDE w:val="0"/>
        <w:autoSpaceDN w:val="0"/>
        <w:adjustRightInd w:val="0"/>
        <w:spacing w:line="400" w:lineRule="exact"/>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投标人名称：                                         </w:t>
      </w: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rPr>
      </w:pPr>
    </w:p>
    <w:tbl>
      <w:tblPr>
        <w:tblStyle w:val="4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683"/>
        <w:gridCol w:w="1683"/>
        <w:gridCol w:w="1698"/>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34" w:type="pct"/>
            <w:vAlign w:val="center"/>
          </w:tcPr>
          <w:p>
            <w:pPr>
              <w:spacing w:line="44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411" w:type="pct"/>
            <w:vAlign w:val="center"/>
          </w:tcPr>
          <w:p>
            <w:pPr>
              <w:pStyle w:val="121"/>
              <w:spacing w:line="440" w:lineRule="exact"/>
              <w:ind w:left="0" w:firstLine="0"/>
              <w:jc w:val="center"/>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评审内容</w:t>
            </w:r>
          </w:p>
        </w:tc>
        <w:tc>
          <w:tcPr>
            <w:tcW w:w="885" w:type="pct"/>
            <w:vAlign w:val="center"/>
          </w:tcPr>
          <w:p>
            <w:pPr>
              <w:pStyle w:val="121"/>
              <w:spacing w:line="440" w:lineRule="exact"/>
              <w:ind w:left="0" w:firstLine="0"/>
              <w:jc w:val="center"/>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分值</w:t>
            </w:r>
          </w:p>
        </w:tc>
        <w:tc>
          <w:tcPr>
            <w:tcW w:w="893" w:type="pct"/>
            <w:vAlign w:val="center"/>
          </w:tcPr>
          <w:p>
            <w:pPr>
              <w:pStyle w:val="121"/>
              <w:spacing w:line="440" w:lineRule="exact"/>
              <w:ind w:left="0" w:firstLine="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自评分</w:t>
            </w:r>
          </w:p>
        </w:tc>
        <w:tc>
          <w:tcPr>
            <w:tcW w:w="1474" w:type="pct"/>
            <w:vAlign w:val="center"/>
          </w:tcPr>
          <w:p>
            <w:pPr>
              <w:pStyle w:val="121"/>
              <w:spacing w:line="440" w:lineRule="exact"/>
              <w:ind w:left="0" w:firstLine="0"/>
              <w:jc w:val="cente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lang w:val="zh-CN"/>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34" w:type="pct"/>
            <w:vAlign w:val="center"/>
          </w:tcPr>
          <w:p>
            <w:pPr>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411" w:type="pct"/>
            <w:vAlign w:val="center"/>
          </w:tcPr>
          <w:p>
            <w:pPr>
              <w:adjustRightInd w:val="0"/>
              <w:snapToGrid w:val="0"/>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企业业绩</w:t>
            </w:r>
          </w:p>
        </w:tc>
        <w:tc>
          <w:tcPr>
            <w:tcW w:w="885" w:type="pct"/>
            <w:vAlign w:val="center"/>
          </w:tcPr>
          <w:p>
            <w:pPr>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rPr>
                <w:rFonts w:ascii="仿宋" w:hAnsi="仿宋" w:eastAsia="仿宋" w:cs="仿宋"/>
                <w:color w:val="auto"/>
                <w:sz w:val="28"/>
                <w:szCs w:val="28"/>
                <w:highlight w:val="none"/>
              </w:rPr>
            </w:pP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34" w:type="pct"/>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2</w:t>
            </w:r>
          </w:p>
        </w:tc>
        <w:tc>
          <w:tcPr>
            <w:tcW w:w="1411" w:type="pct"/>
            <w:vAlign w:val="center"/>
          </w:tcPr>
          <w:p>
            <w:pPr>
              <w:adjustRightInd w:val="0"/>
              <w:snapToGrid w:val="0"/>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w:t>
            </w:r>
            <w:r>
              <w:rPr>
                <w:rFonts w:hint="eastAsia" w:ascii="仿宋" w:hAnsi="仿宋" w:eastAsia="仿宋" w:cs="仿宋"/>
                <w:color w:val="auto"/>
                <w:sz w:val="28"/>
                <w:szCs w:val="28"/>
                <w:highlight w:val="none"/>
                <w:lang w:eastAsia="zh-CN"/>
              </w:rPr>
              <w:t>荣誉</w:t>
            </w:r>
          </w:p>
        </w:tc>
        <w:tc>
          <w:tcPr>
            <w:tcW w:w="885" w:type="pct"/>
            <w:vAlign w:val="center"/>
          </w:tcPr>
          <w:p>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rPr>
                <w:rFonts w:ascii="仿宋" w:hAnsi="仿宋" w:eastAsia="仿宋" w:cs="仿宋"/>
                <w:color w:val="auto"/>
                <w:sz w:val="28"/>
                <w:szCs w:val="28"/>
                <w:highlight w:val="none"/>
              </w:rPr>
            </w:pP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34" w:type="pct"/>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p>
        </w:tc>
        <w:tc>
          <w:tcPr>
            <w:tcW w:w="1411" w:type="pct"/>
            <w:vAlign w:val="center"/>
          </w:tcPr>
          <w:p>
            <w:pPr>
              <w:adjustRightInd w:val="0"/>
              <w:snapToGrid w:val="0"/>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企业资信</w:t>
            </w:r>
          </w:p>
        </w:tc>
        <w:tc>
          <w:tcPr>
            <w:tcW w:w="885" w:type="pct"/>
            <w:vAlign w:val="center"/>
          </w:tcPr>
          <w:p>
            <w:pPr>
              <w:spacing w:line="44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rPr>
                <w:rFonts w:ascii="仿宋" w:hAnsi="仿宋" w:eastAsia="仿宋" w:cs="仿宋"/>
                <w:color w:val="auto"/>
                <w:sz w:val="28"/>
                <w:szCs w:val="28"/>
                <w:highlight w:val="none"/>
              </w:rPr>
            </w:pP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34" w:type="pct"/>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人员配置</w:t>
            </w:r>
          </w:p>
        </w:tc>
        <w:tc>
          <w:tcPr>
            <w:tcW w:w="885" w:type="pct"/>
            <w:vAlign w:val="center"/>
          </w:tcPr>
          <w:p>
            <w:pPr>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rPr>
                <w:rFonts w:ascii="仿宋" w:hAnsi="仿宋" w:eastAsia="仿宋" w:cs="仿宋"/>
                <w:color w:val="auto"/>
                <w:sz w:val="28"/>
                <w:szCs w:val="28"/>
                <w:highlight w:val="none"/>
              </w:rPr>
            </w:pP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34" w:type="pct"/>
            <w:vAlign w:val="center"/>
          </w:tcPr>
          <w:p>
            <w:pPr>
              <w:spacing w:line="440" w:lineRule="exact"/>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机具配置</w:t>
            </w:r>
          </w:p>
        </w:tc>
        <w:tc>
          <w:tcPr>
            <w:tcW w:w="885" w:type="pct"/>
            <w:vAlign w:val="center"/>
          </w:tcPr>
          <w:p>
            <w:pPr>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rPr>
                <w:rFonts w:ascii="仿宋" w:hAnsi="仿宋" w:eastAsia="仿宋" w:cs="仿宋"/>
                <w:color w:val="auto"/>
                <w:sz w:val="28"/>
                <w:szCs w:val="28"/>
                <w:highlight w:val="none"/>
              </w:rPr>
            </w:pP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4" w:type="pct"/>
            <w:vAlign w:val="center"/>
          </w:tcPr>
          <w:p>
            <w:pPr>
              <w:spacing w:line="440" w:lineRule="exact"/>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管理制度</w:t>
            </w:r>
          </w:p>
        </w:tc>
        <w:tc>
          <w:tcPr>
            <w:tcW w:w="885" w:type="pct"/>
            <w:vAlign w:val="center"/>
          </w:tcPr>
          <w:p>
            <w:pPr>
              <w:pStyle w:val="221"/>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outlineLvl w:val="2"/>
              <w:rPr>
                <w:rFonts w:ascii="仿宋" w:hAnsi="仿宋" w:eastAsia="仿宋" w:cs="仿宋"/>
                <w:color w:val="auto"/>
                <w:sz w:val="28"/>
                <w:szCs w:val="28"/>
                <w:highlight w:val="none"/>
              </w:rPr>
            </w:pPr>
            <w:r>
              <w:rPr>
                <w:rFonts w:hint="eastAsia" w:ascii="宋体" w:hAnsi="Calibri"/>
                <w:color w:val="auto"/>
                <w:szCs w:val="21"/>
                <w:highlight w:val="none"/>
              </w:rPr>
              <w:t>/</w:t>
            </w: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34" w:type="pct"/>
            <w:vAlign w:val="center"/>
          </w:tcPr>
          <w:p>
            <w:pPr>
              <w:spacing w:line="440" w:lineRule="exact"/>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保洁措施</w:t>
            </w:r>
          </w:p>
        </w:tc>
        <w:tc>
          <w:tcPr>
            <w:tcW w:w="885" w:type="pct"/>
            <w:vAlign w:val="center"/>
          </w:tcPr>
          <w:p>
            <w:pPr>
              <w:pStyle w:val="221"/>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outlineLvl w:val="2"/>
              <w:rPr>
                <w:rFonts w:ascii="仿宋" w:hAnsi="仿宋" w:eastAsia="仿宋" w:cs="仿宋"/>
                <w:color w:val="auto"/>
                <w:sz w:val="28"/>
                <w:szCs w:val="28"/>
                <w:highlight w:val="none"/>
              </w:rPr>
            </w:pPr>
            <w:r>
              <w:rPr>
                <w:rFonts w:hint="eastAsia" w:ascii="宋体" w:hAnsi="Calibri"/>
                <w:color w:val="auto"/>
                <w:szCs w:val="21"/>
                <w:highlight w:val="none"/>
              </w:rPr>
              <w:t>/</w:t>
            </w:r>
          </w:p>
        </w:tc>
        <w:tc>
          <w:tcPr>
            <w:tcW w:w="1474" w:type="pct"/>
            <w:vAlign w:val="center"/>
          </w:tcPr>
          <w:p>
            <w:pPr>
              <w:spacing w:line="440" w:lineRule="exact"/>
              <w:rPr>
                <w:rFonts w:ascii="仿宋" w:hAnsi="仿宋" w:eastAsia="仿宋" w:cs="仿宋"/>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34" w:type="pct"/>
            <w:vAlign w:val="center"/>
          </w:tcPr>
          <w:p>
            <w:pPr>
              <w:spacing w:line="440" w:lineRule="exact"/>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垃圾收集、分类管理</w:t>
            </w:r>
          </w:p>
        </w:tc>
        <w:tc>
          <w:tcPr>
            <w:tcW w:w="885" w:type="pct"/>
            <w:vAlign w:val="center"/>
          </w:tcPr>
          <w:p>
            <w:pPr>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outlineLvl w:val="2"/>
              <w:rPr>
                <w:rFonts w:ascii="仿宋" w:hAnsi="仿宋" w:eastAsia="仿宋" w:cs="仿宋"/>
                <w:color w:val="auto"/>
                <w:sz w:val="28"/>
                <w:szCs w:val="28"/>
                <w:highlight w:val="none"/>
              </w:rPr>
            </w:pPr>
            <w:r>
              <w:rPr>
                <w:rFonts w:hint="eastAsia" w:ascii="宋体" w:hAnsi="Calibri"/>
                <w:color w:val="auto"/>
                <w:szCs w:val="21"/>
                <w:highlight w:val="none"/>
              </w:rPr>
              <w:t>/</w:t>
            </w: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4" w:type="pct"/>
            <w:vAlign w:val="center"/>
          </w:tcPr>
          <w:p>
            <w:pPr>
              <w:spacing w:line="440" w:lineRule="exact"/>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9</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公厕管养专项方案</w:t>
            </w:r>
          </w:p>
        </w:tc>
        <w:tc>
          <w:tcPr>
            <w:tcW w:w="885" w:type="pct"/>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outlineLvl w:val="2"/>
              <w:rPr>
                <w:rFonts w:ascii="仿宋" w:hAnsi="仿宋" w:eastAsia="仿宋" w:cs="仿宋"/>
                <w:color w:val="auto"/>
                <w:sz w:val="28"/>
                <w:szCs w:val="28"/>
                <w:highlight w:val="none"/>
              </w:rPr>
            </w:pPr>
            <w:r>
              <w:rPr>
                <w:rFonts w:hint="eastAsia" w:ascii="宋体" w:hAnsi="Calibri"/>
                <w:color w:val="auto"/>
                <w:szCs w:val="21"/>
                <w:highlight w:val="none"/>
              </w:rPr>
              <w:t>/</w:t>
            </w:r>
          </w:p>
        </w:tc>
        <w:tc>
          <w:tcPr>
            <w:tcW w:w="1474" w:type="pct"/>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34" w:type="pct"/>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10</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作业管理方案</w:t>
            </w:r>
          </w:p>
        </w:tc>
        <w:tc>
          <w:tcPr>
            <w:tcW w:w="885" w:type="pct"/>
            <w:vAlign w:val="center"/>
          </w:tcPr>
          <w:p>
            <w:pPr>
              <w:pStyle w:val="221"/>
              <w:spacing w:line="440" w:lineRule="exact"/>
              <w:jc w:val="center"/>
              <w:rPr>
                <w:rFonts w:ascii="宋体" w:hAnsi="宋体" w:cs="宋体"/>
                <w:color w:val="auto"/>
                <w:szCs w:val="21"/>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outlineLvl w:val="2"/>
              <w:rPr>
                <w:rFonts w:ascii="仿宋" w:hAnsi="仿宋" w:eastAsia="仿宋" w:cs="仿宋"/>
                <w:color w:val="auto"/>
                <w:sz w:val="28"/>
                <w:szCs w:val="28"/>
                <w:highlight w:val="none"/>
              </w:rPr>
            </w:pPr>
            <w:r>
              <w:rPr>
                <w:rFonts w:hint="eastAsia" w:ascii="宋体" w:hAnsi="Calibri"/>
                <w:color w:val="auto"/>
                <w:szCs w:val="21"/>
                <w:highlight w:val="none"/>
              </w:rPr>
              <w:t>/</w:t>
            </w: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34" w:type="pct"/>
            <w:vAlign w:val="center"/>
          </w:tcPr>
          <w:p>
            <w:pPr>
              <w:spacing w:line="44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11</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应急专项方案</w:t>
            </w:r>
          </w:p>
        </w:tc>
        <w:tc>
          <w:tcPr>
            <w:tcW w:w="885" w:type="pct"/>
            <w:vAlign w:val="center"/>
          </w:tcPr>
          <w:p>
            <w:pPr>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0-</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分</w:t>
            </w:r>
          </w:p>
        </w:tc>
        <w:tc>
          <w:tcPr>
            <w:tcW w:w="893" w:type="pct"/>
            <w:vAlign w:val="center"/>
          </w:tcPr>
          <w:p>
            <w:pPr>
              <w:spacing w:line="440" w:lineRule="exact"/>
              <w:jc w:val="center"/>
              <w:outlineLvl w:val="2"/>
              <w:rPr>
                <w:rFonts w:ascii="仿宋" w:hAnsi="仿宋" w:eastAsia="仿宋" w:cs="仿宋"/>
                <w:color w:val="auto"/>
                <w:sz w:val="28"/>
                <w:szCs w:val="28"/>
                <w:highlight w:val="none"/>
              </w:rPr>
            </w:pPr>
            <w:r>
              <w:rPr>
                <w:rFonts w:hint="eastAsia" w:ascii="宋体" w:hAnsi="Calibri"/>
                <w:color w:val="auto"/>
                <w:szCs w:val="21"/>
                <w:highlight w:val="none"/>
              </w:rPr>
              <w:t>/</w:t>
            </w:r>
          </w:p>
        </w:tc>
        <w:tc>
          <w:tcPr>
            <w:tcW w:w="1474" w:type="pct"/>
            <w:vAlign w:val="center"/>
          </w:tcPr>
          <w:p>
            <w:pPr>
              <w:spacing w:line="440" w:lineRule="exact"/>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4" w:type="pct"/>
            <w:vAlign w:val="center"/>
          </w:tcPr>
          <w:p>
            <w:pPr>
              <w:spacing w:line="440" w:lineRule="exact"/>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w:t>
            </w:r>
          </w:p>
        </w:tc>
        <w:tc>
          <w:tcPr>
            <w:tcW w:w="1411" w:type="pct"/>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合理化建议</w:t>
            </w:r>
          </w:p>
        </w:tc>
        <w:tc>
          <w:tcPr>
            <w:tcW w:w="885" w:type="pct"/>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p>
        </w:tc>
        <w:tc>
          <w:tcPr>
            <w:tcW w:w="893" w:type="pct"/>
            <w:vAlign w:val="center"/>
          </w:tcPr>
          <w:p>
            <w:pPr>
              <w:spacing w:line="440" w:lineRule="exact"/>
              <w:jc w:val="center"/>
              <w:outlineLvl w:val="2"/>
              <w:rPr>
                <w:rFonts w:ascii="仿宋" w:hAnsi="仿宋" w:eastAsia="仿宋" w:cs="仿宋"/>
                <w:bCs/>
                <w:color w:val="auto"/>
                <w:sz w:val="28"/>
                <w:szCs w:val="28"/>
                <w:highlight w:val="none"/>
              </w:rPr>
            </w:pPr>
            <w:r>
              <w:rPr>
                <w:rFonts w:hint="eastAsia" w:ascii="宋体" w:hAnsi="Calibri"/>
                <w:color w:val="auto"/>
                <w:szCs w:val="21"/>
                <w:highlight w:val="none"/>
              </w:rPr>
              <w:t>/</w:t>
            </w:r>
          </w:p>
        </w:tc>
        <w:tc>
          <w:tcPr>
            <w:tcW w:w="1474" w:type="pct"/>
            <w:vAlign w:val="center"/>
          </w:tcPr>
          <w:p>
            <w:pPr>
              <w:spacing w:line="440" w:lineRule="exact"/>
              <w:rPr>
                <w:rFonts w:ascii="仿宋" w:hAnsi="仿宋" w:eastAsia="仿宋" w:cs="仿宋"/>
                <w:color w:val="auto"/>
                <w:sz w:val="28"/>
                <w:szCs w:val="28"/>
                <w:highlight w:val="none"/>
              </w:rPr>
            </w:pPr>
          </w:p>
        </w:tc>
      </w:tr>
    </w:tbl>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rPr>
      </w:pPr>
    </w:p>
    <w:p>
      <w:pPr>
        <w:pStyle w:val="16"/>
        <w:rPr>
          <w:color w:val="auto"/>
          <w:highlight w:val="none"/>
        </w:rPr>
      </w:pPr>
    </w:p>
    <w:p>
      <w:pPr>
        <w:pStyle w:val="38"/>
        <w:rPr>
          <w:color w:val="auto"/>
          <w:highlight w:val="none"/>
        </w:rPr>
      </w:pPr>
    </w:p>
    <w:p>
      <w:pPr>
        <w:rPr>
          <w:color w:val="auto"/>
          <w:highlight w:val="none"/>
        </w:rPr>
      </w:pPr>
    </w:p>
    <w:p>
      <w:pPr>
        <w:pStyle w:val="16"/>
        <w:rPr>
          <w:color w:val="auto"/>
          <w:highlight w:val="none"/>
        </w:rPr>
      </w:pPr>
    </w:p>
    <w:p>
      <w:pPr>
        <w:tabs>
          <w:tab w:val="center" w:pos="4156"/>
        </w:tabs>
        <w:autoSpaceDE w:val="0"/>
        <w:autoSpaceDN w:val="0"/>
        <w:adjustRightInd w:val="0"/>
        <w:spacing w:line="400" w:lineRule="exact"/>
        <w:jc w:val="both"/>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二、</w:t>
      </w:r>
      <w:r>
        <w:rPr>
          <w:rFonts w:hint="eastAsia" w:ascii="仿宋" w:hAnsi="仿宋" w:eastAsia="仿宋" w:cs="仿宋"/>
          <w:b/>
          <w:color w:val="auto"/>
          <w:kern w:val="0"/>
          <w:sz w:val="28"/>
          <w:szCs w:val="28"/>
          <w:highlight w:val="none"/>
        </w:rPr>
        <w:t>企业业绩</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pStyle w:val="16"/>
        <w:rPr>
          <w:color w:val="auto"/>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both"/>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numPr>
          <w:ilvl w:val="0"/>
          <w:numId w:val="0"/>
        </w:numPr>
        <w:snapToGrid w:val="0"/>
        <w:jc w:val="both"/>
        <w:outlineLvl w:val="2"/>
        <w:rPr>
          <w:rFonts w:hint="eastAsia" w:ascii="仿宋" w:hAnsi="仿宋" w:eastAsia="仿宋" w:cs="仿宋"/>
          <w:b/>
          <w:color w:val="auto"/>
          <w:kern w:val="0"/>
          <w:sz w:val="28"/>
          <w:szCs w:val="28"/>
          <w:highlight w:val="none"/>
        </w:rPr>
      </w:pPr>
    </w:p>
    <w:p>
      <w:pPr>
        <w:numPr>
          <w:ilvl w:val="0"/>
          <w:numId w:val="0"/>
        </w:numPr>
        <w:snapToGrid w:val="0"/>
        <w:jc w:val="center"/>
        <w:outlineLvl w:val="2"/>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三、</w:t>
      </w:r>
      <w:r>
        <w:rPr>
          <w:rFonts w:hint="eastAsia" w:ascii="仿宋" w:hAnsi="仿宋" w:eastAsia="仿宋" w:cs="仿宋"/>
          <w:b/>
          <w:color w:val="auto"/>
          <w:kern w:val="0"/>
          <w:sz w:val="28"/>
          <w:szCs w:val="28"/>
          <w:highlight w:val="none"/>
        </w:rPr>
        <w:t>企业</w:t>
      </w:r>
      <w:r>
        <w:rPr>
          <w:rFonts w:hint="eastAsia" w:ascii="仿宋" w:hAnsi="仿宋" w:eastAsia="仿宋" w:cs="仿宋"/>
          <w:b/>
          <w:color w:val="auto"/>
          <w:kern w:val="0"/>
          <w:sz w:val="28"/>
          <w:szCs w:val="28"/>
          <w:highlight w:val="none"/>
          <w:lang w:eastAsia="zh-CN"/>
        </w:rPr>
        <w:t>荣誉</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pStyle w:val="16"/>
        <w:rPr>
          <w:color w:val="auto"/>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both"/>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numPr>
          <w:ilvl w:val="0"/>
          <w:numId w:val="0"/>
        </w:num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四、企业资信</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pStyle w:val="16"/>
        <w:rPr>
          <w:color w:val="auto"/>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五、人员配置</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pStyle w:val="16"/>
        <w:rPr>
          <w:color w:val="auto"/>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六、机具配置</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七、管理制度</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八、保洁措施</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九、垃圾收集、分类管理</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十、</w:t>
      </w:r>
      <w:r>
        <w:rPr>
          <w:rFonts w:hint="eastAsia" w:ascii="仿宋" w:hAnsi="仿宋" w:eastAsia="仿宋" w:cs="仿宋"/>
          <w:b/>
          <w:color w:val="auto"/>
          <w:kern w:val="0"/>
          <w:sz w:val="28"/>
          <w:szCs w:val="28"/>
          <w:highlight w:val="none"/>
        </w:rPr>
        <w:t>公厕管养专项方案</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十一、作业管理方案</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十二、</w:t>
      </w:r>
      <w:r>
        <w:rPr>
          <w:rFonts w:hint="eastAsia" w:ascii="仿宋" w:hAnsi="仿宋" w:eastAsia="仿宋" w:cs="仿宋"/>
          <w:b/>
          <w:color w:val="auto"/>
          <w:kern w:val="0"/>
          <w:sz w:val="28"/>
          <w:szCs w:val="28"/>
          <w:highlight w:val="none"/>
        </w:rPr>
        <w:t>应急专项方案</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snapToGrid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rPr>
        <w:t>十三、合理化建议</w:t>
      </w: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autoSpaceDE w:val="0"/>
        <w:autoSpaceDN w:val="0"/>
        <w:adjustRightInd w:val="0"/>
        <w:spacing w:line="400" w:lineRule="exact"/>
        <w:jc w:val="center"/>
        <w:rPr>
          <w:rFonts w:ascii="仿宋" w:hAnsi="仿宋" w:eastAsia="仿宋" w:cs="仿宋"/>
          <w:b/>
          <w:color w:val="auto"/>
          <w:kern w:val="0"/>
          <w:sz w:val="28"/>
          <w:szCs w:val="28"/>
          <w:highlight w:val="none"/>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十四、投标人需要提供的其他材料</w:t>
      </w:r>
    </w:p>
    <w:p>
      <w:pPr>
        <w:tabs>
          <w:tab w:val="center" w:pos="4156"/>
        </w:tabs>
        <w:autoSpaceDE w:val="0"/>
        <w:autoSpaceDN w:val="0"/>
        <w:adjustRightInd w:val="0"/>
        <w:spacing w:line="400" w:lineRule="exact"/>
        <w:jc w:val="center"/>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bookmarkStart w:id="272" w:name="_Toc392080805"/>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pStyle w:val="24"/>
        <w:rPr>
          <w:rFonts w:ascii="仿宋" w:hAnsi="仿宋" w:eastAsia="仿宋" w:cs="仿宋"/>
          <w:b/>
          <w:color w:val="auto"/>
          <w:kern w:val="0"/>
          <w:sz w:val="28"/>
          <w:szCs w:val="28"/>
          <w:highlight w:val="none"/>
        </w:rPr>
      </w:pPr>
    </w:p>
    <w:p>
      <w:pPr>
        <w:pStyle w:val="24"/>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pStyle w:val="16"/>
        <w:rPr>
          <w:rFonts w:ascii="仿宋" w:hAnsi="仿宋" w:eastAsia="仿宋" w:cs="仿宋"/>
          <w:b/>
          <w:color w:val="auto"/>
          <w:kern w:val="0"/>
          <w:sz w:val="28"/>
          <w:szCs w:val="28"/>
          <w:highlight w:val="none"/>
        </w:rPr>
      </w:pPr>
    </w:p>
    <w:p>
      <w:pPr>
        <w:pStyle w:val="38"/>
        <w:ind w:firstLine="562"/>
        <w:rPr>
          <w:rFonts w:ascii="仿宋" w:hAnsi="仿宋" w:eastAsia="仿宋" w:cs="仿宋"/>
          <w:b/>
          <w:color w:val="auto"/>
          <w:kern w:val="0"/>
          <w:sz w:val="28"/>
          <w:szCs w:val="28"/>
          <w:highlight w:val="none"/>
        </w:rPr>
      </w:pPr>
    </w:p>
    <w:p>
      <w:pPr>
        <w:pStyle w:val="30"/>
        <w:rPr>
          <w:rFonts w:ascii="仿宋" w:hAnsi="仿宋" w:eastAsia="仿宋" w:cs="仿宋"/>
          <w:b/>
          <w:color w:val="auto"/>
          <w:kern w:val="0"/>
          <w:sz w:val="28"/>
          <w:szCs w:val="28"/>
          <w:highlight w:val="none"/>
        </w:rPr>
      </w:pPr>
    </w:p>
    <w:p>
      <w:pPr>
        <w:rPr>
          <w:rFonts w:ascii="仿宋" w:hAnsi="仿宋" w:eastAsia="仿宋" w:cs="仿宋"/>
          <w:b/>
          <w:color w:val="auto"/>
          <w:kern w:val="0"/>
          <w:sz w:val="28"/>
          <w:szCs w:val="28"/>
          <w:highlight w:val="none"/>
        </w:rPr>
      </w:pPr>
    </w:p>
    <w:p>
      <w:pPr>
        <w:pStyle w:val="16"/>
        <w:rPr>
          <w:color w:val="auto"/>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snapToGrid w:val="0"/>
        <w:jc w:val="center"/>
        <w:outlineLvl w:val="2"/>
        <w:rPr>
          <w:rFonts w:ascii="仿宋" w:hAnsi="仿宋" w:eastAsia="仿宋" w:cs="仿宋"/>
          <w:b/>
          <w:color w:val="auto"/>
          <w:kern w:val="0"/>
          <w:sz w:val="28"/>
          <w:szCs w:val="28"/>
          <w:highlight w:val="none"/>
        </w:rPr>
      </w:pPr>
    </w:p>
    <w:p>
      <w:pPr>
        <w:pStyle w:val="39"/>
        <w:ind w:firstLine="480"/>
        <w:rPr>
          <w:color w:val="auto"/>
          <w:highlight w:val="none"/>
        </w:rPr>
      </w:pPr>
    </w:p>
    <w:p>
      <w:pPr>
        <w:snapToGrid w:val="0"/>
        <w:jc w:val="center"/>
        <w:outlineLvl w:val="2"/>
        <w:rPr>
          <w:rFonts w:ascii="仿宋" w:hAnsi="仿宋" w:eastAsia="仿宋" w:cs="仿宋"/>
          <w:b/>
          <w:color w:val="auto"/>
          <w:kern w:val="0"/>
          <w:sz w:val="28"/>
          <w:szCs w:val="28"/>
          <w:highlight w:val="none"/>
        </w:rPr>
      </w:pPr>
    </w:p>
    <w:bookmarkEnd w:id="269"/>
    <w:bookmarkEnd w:id="270"/>
    <w:bookmarkEnd w:id="271"/>
    <w:bookmarkEnd w:id="272"/>
    <w:p>
      <w:pPr>
        <w:wordWrap w:val="0"/>
        <w:snapToGrid w:val="0"/>
        <w:spacing w:beforeLines="50" w:after="50"/>
        <w:jc w:val="right"/>
        <w:rPr>
          <w:rFonts w:hint="eastAsia" w:ascii="仿宋" w:hAnsi="仿宋" w:eastAsia="仿宋" w:cs="仿宋"/>
          <w:b/>
          <w:color w:val="auto"/>
          <w:sz w:val="28"/>
          <w:szCs w:val="28"/>
          <w:highlight w:val="none"/>
          <w:lang w:eastAsia="zh-CN"/>
        </w:rPr>
      </w:pPr>
      <w:bookmarkStart w:id="273" w:name="_Toc387831536"/>
      <w:bookmarkStart w:id="274" w:name="_Toc392080815"/>
      <w:bookmarkStart w:id="275" w:name="_Toc16936"/>
      <w:bookmarkStart w:id="276" w:name="_Toc336331393"/>
      <w:bookmarkStart w:id="277" w:name="_Toc393201763"/>
      <w:r>
        <w:rPr>
          <w:rFonts w:hint="eastAsia" w:ascii="仿宋" w:hAnsi="仿宋" w:eastAsia="仿宋" w:cs="仿宋"/>
          <w:b/>
          <w:color w:val="auto"/>
          <w:sz w:val="28"/>
          <w:szCs w:val="28"/>
          <w:highlight w:val="none"/>
          <w:lang w:val="en-US" w:eastAsia="zh-CN"/>
        </w:rPr>
        <w:t xml:space="preserve"> </w:t>
      </w:r>
    </w:p>
    <w:p>
      <w:pPr>
        <w:spacing w:beforeLines="100" w:line="440" w:lineRule="atLeast"/>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报价文件</w:t>
      </w:r>
      <w:bookmarkEnd w:id="273"/>
      <w:bookmarkEnd w:id="274"/>
      <w:bookmarkEnd w:id="275"/>
      <w:bookmarkEnd w:id="276"/>
      <w:bookmarkEnd w:id="277"/>
    </w:p>
    <w:p>
      <w:pPr>
        <w:spacing w:line="440" w:lineRule="atLeast"/>
        <w:jc w:val="center"/>
        <w:rPr>
          <w:rFonts w:ascii="仿宋" w:hAnsi="仿宋" w:eastAsia="仿宋" w:cs="仿宋"/>
          <w:color w:val="auto"/>
          <w:sz w:val="28"/>
          <w:szCs w:val="28"/>
          <w:highlight w:val="none"/>
        </w:rPr>
      </w:pPr>
    </w:p>
    <w:p>
      <w:pPr>
        <w:spacing w:line="440" w:lineRule="atLeast"/>
        <w:jc w:val="center"/>
        <w:rPr>
          <w:rFonts w:ascii="仿宋" w:hAnsi="仿宋" w:eastAsia="仿宋" w:cs="仿宋"/>
          <w:color w:val="auto"/>
          <w:sz w:val="28"/>
          <w:szCs w:val="28"/>
          <w:highlight w:val="none"/>
        </w:rPr>
      </w:pPr>
    </w:p>
    <w:p>
      <w:pPr>
        <w:spacing w:line="440" w:lineRule="atLeast"/>
        <w:jc w:val="center"/>
        <w:rPr>
          <w:rFonts w:ascii="仿宋" w:hAnsi="仿宋" w:eastAsia="仿宋" w:cs="仿宋"/>
          <w:color w:val="auto"/>
          <w:sz w:val="28"/>
          <w:szCs w:val="28"/>
          <w:highlight w:val="none"/>
        </w:rPr>
      </w:pPr>
    </w:p>
    <w:p>
      <w:pPr>
        <w:spacing w:line="440" w:lineRule="atLeast"/>
        <w:jc w:val="center"/>
        <w:rPr>
          <w:rFonts w:ascii="仿宋" w:hAnsi="仿宋" w:eastAsia="仿宋" w:cs="仿宋"/>
          <w:color w:val="auto"/>
          <w:sz w:val="28"/>
          <w:szCs w:val="28"/>
          <w:highlight w:val="none"/>
        </w:rPr>
      </w:pPr>
    </w:p>
    <w:p>
      <w:pPr>
        <w:snapToGrid w:val="0"/>
        <w:spacing w:line="440" w:lineRule="atLeast"/>
        <w:ind w:left="2101" w:leftChars="334" w:hanging="1400" w:hangingChars="5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pacing w:val="-6"/>
          <w:sz w:val="28"/>
          <w:szCs w:val="28"/>
          <w:highlight w:val="none"/>
          <w:u w:val="single"/>
          <w:lang w:eastAsia="zh-CN"/>
        </w:rPr>
        <w:t>开化县华埠镇城区环卫作业一体化服务采购项目</w:t>
      </w:r>
      <w:r>
        <w:rPr>
          <w:rFonts w:hint="eastAsia" w:ascii="仿宋" w:hAnsi="仿宋" w:eastAsia="仿宋" w:cs="仿宋"/>
          <w:color w:val="auto"/>
          <w:spacing w:val="-6"/>
          <w:sz w:val="28"/>
          <w:szCs w:val="28"/>
          <w:highlight w:val="none"/>
          <w:u w:val="single"/>
          <w:lang w:val="en-US" w:eastAsia="zh-CN"/>
        </w:rPr>
        <w:t xml:space="preserve">     </w:t>
      </w:r>
    </w:p>
    <w:p>
      <w:pPr>
        <w:snapToGrid w:val="0"/>
        <w:spacing w:line="440" w:lineRule="atLeast"/>
        <w:ind w:firstLine="700" w:firstLineChars="250"/>
        <w:rPr>
          <w:rFonts w:ascii="仿宋" w:hAnsi="仿宋" w:eastAsia="仿宋" w:cs="仿宋"/>
          <w:color w:val="auto"/>
          <w:sz w:val="28"/>
          <w:szCs w:val="28"/>
          <w:highlight w:val="none"/>
          <w:u w:val="single"/>
        </w:rPr>
      </w:pPr>
    </w:p>
    <w:p>
      <w:pPr>
        <w:snapToGrid w:val="0"/>
        <w:spacing w:line="440" w:lineRule="atLeast"/>
        <w:ind w:firstLine="700" w:firstLineChars="25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QQZXFSCG-2022-03</w:t>
      </w:r>
      <w:r>
        <w:rPr>
          <w:rFonts w:hint="eastAsia" w:ascii="仿宋" w:hAnsi="仿宋" w:eastAsia="仿宋" w:cs="仿宋"/>
          <w:color w:val="auto"/>
          <w:sz w:val="28"/>
          <w:szCs w:val="28"/>
          <w:highlight w:val="none"/>
          <w:u w:val="single"/>
          <w:lang w:val="en-US" w:eastAsia="zh-CN"/>
        </w:rPr>
        <w:t xml:space="preserve">                 </w:t>
      </w:r>
    </w:p>
    <w:p>
      <w:pPr>
        <w:spacing w:line="440" w:lineRule="atLeast"/>
        <w:rPr>
          <w:rFonts w:ascii="仿宋" w:hAnsi="仿宋" w:eastAsia="仿宋" w:cs="仿宋"/>
          <w:color w:val="auto"/>
          <w:sz w:val="28"/>
          <w:szCs w:val="28"/>
          <w:highlight w:val="none"/>
        </w:rPr>
      </w:pPr>
    </w:p>
    <w:p>
      <w:pPr>
        <w:spacing w:line="440" w:lineRule="atLeast"/>
        <w:ind w:firstLine="700" w:firstLineChars="2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投标人名称：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pacing w:val="-6"/>
          <w:sz w:val="28"/>
          <w:szCs w:val="28"/>
          <w:highlight w:val="none"/>
          <w:u w:val="single"/>
          <w:lang w:val="en-US" w:eastAsia="zh-CN"/>
        </w:rPr>
        <w:t xml:space="preserve">  </w:t>
      </w:r>
      <w:r>
        <w:rPr>
          <w:rFonts w:hint="eastAsia" w:ascii="仿宋" w:hAnsi="仿宋" w:eastAsia="仿宋" w:cs="仿宋"/>
          <w:color w:val="auto"/>
          <w:spacing w:val="-6"/>
          <w:sz w:val="28"/>
          <w:szCs w:val="28"/>
          <w:highlight w:val="none"/>
          <w:u w:val="single"/>
          <w:lang w:eastAsia="zh-CN"/>
        </w:rPr>
        <w:t>（电子签章）</w:t>
      </w:r>
    </w:p>
    <w:p>
      <w:pPr>
        <w:spacing w:line="440" w:lineRule="atLeast"/>
        <w:jc w:val="left"/>
        <w:rPr>
          <w:rFonts w:ascii="仿宋" w:hAnsi="仿宋" w:eastAsia="仿宋" w:cs="仿宋"/>
          <w:color w:val="auto"/>
          <w:sz w:val="28"/>
          <w:szCs w:val="28"/>
          <w:highlight w:val="none"/>
          <w:u w:val="single"/>
        </w:rPr>
      </w:pPr>
    </w:p>
    <w:p>
      <w:pPr>
        <w:spacing w:line="440" w:lineRule="atLeast"/>
        <w:ind w:firstLine="560" w:firstLineChars="200"/>
        <w:jc w:val="left"/>
        <w:rPr>
          <w:rFonts w:ascii="仿宋" w:hAnsi="仿宋" w:eastAsia="仿宋" w:cs="仿宋"/>
          <w:color w:val="auto"/>
          <w:sz w:val="28"/>
          <w:szCs w:val="28"/>
          <w:highlight w:val="none"/>
        </w:rPr>
      </w:pPr>
    </w:p>
    <w:p>
      <w:pPr>
        <w:spacing w:line="440" w:lineRule="atLeast"/>
        <w:jc w:val="center"/>
        <w:rPr>
          <w:rFonts w:ascii="仿宋" w:hAnsi="仿宋" w:eastAsia="仿宋" w:cs="仿宋"/>
          <w:color w:val="auto"/>
          <w:sz w:val="28"/>
          <w:szCs w:val="28"/>
          <w:highlight w:val="none"/>
        </w:rPr>
      </w:pPr>
    </w:p>
    <w:p>
      <w:pPr>
        <w:spacing w:beforeLines="100" w:afterLines="100" w:line="440" w:lineRule="atLeast"/>
        <w:jc w:val="cente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w:t>
      </w:r>
    </w:p>
    <w:p>
      <w:pPr>
        <w:spacing w:beforeLines="100" w:afterLines="100" w:line="440" w:lineRule="atLeast"/>
        <w:jc w:val="center"/>
        <w:rPr>
          <w:rFonts w:ascii="仿宋" w:hAnsi="仿宋" w:eastAsia="仿宋" w:cs="仿宋"/>
          <w:b/>
          <w:color w:val="auto"/>
          <w:sz w:val="28"/>
          <w:szCs w:val="28"/>
          <w:highlight w:val="none"/>
        </w:rPr>
      </w:pPr>
    </w:p>
    <w:p>
      <w:pPr>
        <w:spacing w:beforeLines="100" w:afterLines="100" w:line="440" w:lineRule="atLeast"/>
        <w:jc w:val="center"/>
        <w:rPr>
          <w:rFonts w:ascii="仿宋" w:hAnsi="仿宋" w:eastAsia="仿宋" w:cs="仿宋"/>
          <w:b/>
          <w:color w:val="auto"/>
          <w:sz w:val="28"/>
          <w:szCs w:val="28"/>
          <w:highlight w:val="none"/>
        </w:rPr>
      </w:pPr>
    </w:p>
    <w:p>
      <w:pPr>
        <w:spacing w:line="240" w:lineRule="exact"/>
        <w:jc w:val="center"/>
        <w:rPr>
          <w:rFonts w:ascii="仿宋" w:hAnsi="仿宋" w:eastAsia="仿宋" w:cs="仿宋"/>
          <w:b/>
          <w:color w:val="auto"/>
          <w:sz w:val="28"/>
          <w:szCs w:val="28"/>
          <w:highlight w:val="none"/>
        </w:rPr>
      </w:pPr>
    </w:p>
    <w:p>
      <w:pPr>
        <w:jc w:val="center"/>
        <w:rPr>
          <w:rFonts w:ascii="仿宋" w:hAnsi="仿宋" w:eastAsia="仿宋" w:cs="仿宋"/>
          <w:b/>
          <w:color w:val="auto"/>
          <w:sz w:val="28"/>
          <w:szCs w:val="28"/>
          <w:highlight w:val="none"/>
        </w:rPr>
      </w:pPr>
    </w:p>
    <w:p>
      <w:pPr>
        <w:jc w:val="center"/>
        <w:rPr>
          <w:rFonts w:ascii="仿宋" w:hAnsi="仿宋" w:eastAsia="仿宋" w:cs="仿宋"/>
          <w:b/>
          <w:color w:val="auto"/>
          <w:sz w:val="28"/>
          <w:szCs w:val="28"/>
          <w:highlight w:val="none"/>
        </w:rPr>
      </w:pPr>
    </w:p>
    <w:p>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报价文件目录</w:t>
      </w:r>
    </w:p>
    <w:p>
      <w:pPr>
        <w:pStyle w:val="32"/>
        <w:tabs>
          <w:tab w:val="right" w:leader="dot" w:pos="9061"/>
        </w:tabs>
        <w:spacing w:line="360" w:lineRule="auto"/>
        <w:rPr>
          <w:rFonts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"_Toc9958"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一、投  标  函</w:t>
      </w:r>
      <w:r>
        <w:rPr>
          <w:rFonts w:hint="eastAsia" w:ascii="仿宋" w:hAnsi="仿宋" w:eastAsia="仿宋" w:cs="仿宋"/>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"_Toc3930"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二、开标一览表</w:t>
      </w:r>
      <w:r>
        <w:rPr>
          <w:rFonts w:hint="eastAsia" w:ascii="仿宋" w:hAnsi="仿宋" w:eastAsia="仿宋" w:cs="仿宋"/>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三、投标报价明细表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"_Toc11711"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"_Toc20290"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_Toc7785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中小企业声明函</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（若有，格式附后）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_Toc25322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残疾人福利性单位声明函</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（若有）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_Toc24542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省级以上监狱管理局、戒毒管理局（含新疆生产建设兵团）出具的属于监狱企业的证明文件扫描件</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（若有）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投标人需要说明的其他文件和说明</w:t>
      </w:r>
      <w:r>
        <w:rPr>
          <w:rFonts w:hint="eastAsia" w:ascii="仿宋" w:hAnsi="仿宋" w:eastAsia="仿宋" w:cs="仿宋"/>
          <w:color w:val="auto"/>
          <w:sz w:val="28"/>
          <w:szCs w:val="28"/>
          <w:highlight w:val="none"/>
        </w:rPr>
        <w:fldChar w:fldCharType="end"/>
      </w:r>
    </w:p>
    <w:p>
      <w:pPr>
        <w:spacing w:beforeLines="100" w:afterLines="100" w:line="440" w:lineRule="atLeast"/>
        <w:jc w:val="center"/>
        <w:rPr>
          <w:rFonts w:ascii="宋体" w:hAnsi="宋体"/>
          <w:b/>
          <w:color w:val="auto"/>
          <w:sz w:val="28"/>
          <w:szCs w:val="28"/>
          <w:highlight w:val="none"/>
        </w:rPr>
      </w:pPr>
    </w:p>
    <w:p>
      <w:pPr>
        <w:spacing w:beforeLines="100" w:afterLines="100" w:line="440" w:lineRule="atLeast"/>
        <w:jc w:val="center"/>
        <w:rPr>
          <w:rFonts w:ascii="宋体" w:hAnsi="宋体"/>
          <w:b/>
          <w:color w:val="auto"/>
          <w:sz w:val="28"/>
          <w:szCs w:val="28"/>
          <w:highlight w:val="none"/>
        </w:rPr>
      </w:pPr>
    </w:p>
    <w:p>
      <w:pPr>
        <w:spacing w:beforeLines="100" w:afterLines="100" w:line="440" w:lineRule="atLeast"/>
        <w:jc w:val="center"/>
        <w:rPr>
          <w:rFonts w:ascii="宋体" w:hAnsi="宋体"/>
          <w:b/>
          <w:color w:val="auto"/>
          <w:sz w:val="28"/>
          <w:szCs w:val="28"/>
          <w:highlight w:val="none"/>
        </w:rPr>
      </w:pPr>
    </w:p>
    <w:p>
      <w:pPr>
        <w:spacing w:beforeLines="100" w:afterLines="100" w:line="440" w:lineRule="atLeast"/>
        <w:jc w:val="center"/>
        <w:rPr>
          <w:rFonts w:ascii="宋体" w:hAnsi="宋体"/>
          <w:b/>
          <w:color w:val="auto"/>
          <w:sz w:val="28"/>
          <w:szCs w:val="28"/>
          <w:highlight w:val="none"/>
        </w:rPr>
      </w:pPr>
    </w:p>
    <w:p>
      <w:pPr>
        <w:spacing w:beforeLines="100" w:afterLines="100" w:line="440" w:lineRule="atLeast"/>
        <w:jc w:val="center"/>
        <w:rPr>
          <w:rFonts w:ascii="宋体" w:hAnsi="宋体"/>
          <w:b/>
          <w:color w:val="auto"/>
          <w:sz w:val="28"/>
          <w:szCs w:val="28"/>
          <w:highlight w:val="none"/>
        </w:rPr>
      </w:pPr>
    </w:p>
    <w:p>
      <w:pPr>
        <w:spacing w:beforeLines="100" w:afterLines="100" w:line="440" w:lineRule="atLeast"/>
        <w:jc w:val="center"/>
        <w:rPr>
          <w:rFonts w:ascii="宋体" w:hAnsi="宋体"/>
          <w:b/>
          <w:color w:val="auto"/>
          <w:sz w:val="28"/>
          <w:szCs w:val="28"/>
          <w:highlight w:val="none"/>
        </w:rPr>
      </w:pPr>
    </w:p>
    <w:p>
      <w:pPr>
        <w:pStyle w:val="16"/>
        <w:rPr>
          <w:color w:val="auto"/>
          <w:highlight w:val="none"/>
        </w:rPr>
      </w:pPr>
    </w:p>
    <w:p>
      <w:pPr>
        <w:pStyle w:val="50"/>
        <w:rPr>
          <w:rFonts w:ascii="宋体" w:hAnsi="宋体"/>
          <w:b/>
          <w:color w:val="auto"/>
          <w:sz w:val="28"/>
          <w:szCs w:val="28"/>
          <w:highlight w:val="none"/>
        </w:rPr>
      </w:pPr>
      <w:bookmarkStart w:id="278" w:name="_Toc335297853"/>
      <w:bookmarkStart w:id="279" w:name="_Toc335295011"/>
      <w:bookmarkStart w:id="280" w:name="_Toc335298321"/>
      <w:bookmarkStart w:id="281" w:name="_Toc335294211"/>
      <w:bookmarkStart w:id="282" w:name="_Toc336671805"/>
    </w:p>
    <w:p>
      <w:pPr>
        <w:spacing w:line="440" w:lineRule="exact"/>
        <w:jc w:val="center"/>
        <w:outlineLvl w:val="2"/>
        <w:rPr>
          <w:rFonts w:hint="eastAsia" w:ascii="仿宋" w:hAnsi="仿宋" w:eastAsia="仿宋" w:cs="仿宋"/>
          <w:b/>
          <w:color w:val="auto"/>
          <w:sz w:val="30"/>
          <w:szCs w:val="30"/>
          <w:highlight w:val="none"/>
          <w:lang w:eastAsia="zh-CN"/>
        </w:rPr>
      </w:pPr>
      <w:bookmarkStart w:id="283" w:name="_Toc387831537"/>
      <w:bookmarkStart w:id="284" w:name="_Toc393201764"/>
      <w:bookmarkStart w:id="285" w:name="_Toc392080816"/>
      <w:bookmarkStart w:id="286" w:name="_Toc29693"/>
      <w:r>
        <w:rPr>
          <w:rFonts w:hint="eastAsia" w:ascii="仿宋" w:hAnsi="仿宋" w:eastAsia="仿宋" w:cs="仿宋"/>
          <w:b/>
          <w:color w:val="auto"/>
          <w:sz w:val="30"/>
          <w:szCs w:val="30"/>
          <w:highlight w:val="none"/>
          <w:lang w:eastAsia="zh-CN"/>
        </w:rPr>
        <w:t>一、投  标  函</w:t>
      </w:r>
      <w:bookmarkEnd w:id="278"/>
      <w:bookmarkEnd w:id="279"/>
      <w:bookmarkEnd w:id="280"/>
      <w:bookmarkEnd w:id="281"/>
      <w:bookmarkEnd w:id="282"/>
      <w:bookmarkEnd w:id="283"/>
      <w:bookmarkEnd w:id="284"/>
      <w:bookmarkEnd w:id="285"/>
      <w:bookmarkEnd w:id="286"/>
    </w:p>
    <w:p>
      <w:pPr>
        <w:spacing w:line="360" w:lineRule="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致：</w:t>
      </w:r>
      <w:r>
        <w:rPr>
          <w:rFonts w:hint="eastAsia" w:ascii="仿宋" w:hAnsi="仿宋" w:eastAsia="仿宋" w:cs="仿宋"/>
          <w:color w:val="auto"/>
          <w:kern w:val="0"/>
          <w:sz w:val="28"/>
          <w:szCs w:val="28"/>
          <w:highlight w:val="none"/>
          <w:u w:val="single"/>
          <w:lang w:eastAsia="zh-CN"/>
        </w:rPr>
        <w:t>开化县华埠镇人民政府</w:t>
      </w:r>
    </w:p>
    <w:p>
      <w:pPr>
        <w:widowControl/>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根据贵方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项目的招标文件（项目编号：</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），正式授权下述签字人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rPr>
        <w:t>姓名</w:t>
      </w:r>
      <w:r>
        <w:rPr>
          <w:rFonts w:hint="eastAsia" w:ascii="仿宋" w:hAnsi="仿宋" w:eastAsia="仿宋" w:cs="仿宋"/>
          <w:color w:val="auto"/>
          <w:kern w:val="0"/>
          <w:sz w:val="28"/>
          <w:szCs w:val="28"/>
          <w:highlight w:val="none"/>
        </w:rPr>
        <w:t>和</w:t>
      </w:r>
      <w:r>
        <w:rPr>
          <w:rFonts w:hint="eastAsia" w:ascii="仿宋" w:hAnsi="仿宋" w:eastAsia="仿宋" w:cs="仿宋"/>
          <w:color w:val="auto"/>
          <w:kern w:val="0"/>
          <w:sz w:val="28"/>
          <w:szCs w:val="28"/>
          <w:highlight w:val="none"/>
          <w:u w:val="single"/>
        </w:rPr>
        <w:t>职务</w:t>
      </w:r>
      <w:r>
        <w:rPr>
          <w:rFonts w:hint="eastAsia" w:ascii="仿宋" w:hAnsi="仿宋" w:eastAsia="仿宋" w:cs="仿宋"/>
          <w:color w:val="auto"/>
          <w:kern w:val="0"/>
          <w:sz w:val="28"/>
          <w:szCs w:val="28"/>
          <w:highlight w:val="none"/>
        </w:rPr>
        <w:t>）代表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（投标人的名称），提交下述文件正本一份，副本四份，共五份。</w:t>
      </w:r>
    </w:p>
    <w:p>
      <w:pPr>
        <w:widowControl/>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（1）报价文件；</w:t>
      </w:r>
    </w:p>
    <w:p>
      <w:pPr>
        <w:widowControl/>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（2）技术商务文件；</w:t>
      </w:r>
    </w:p>
    <w:p>
      <w:pPr>
        <w:widowControl/>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（3）资格证明文件；</w:t>
      </w:r>
    </w:p>
    <w:p>
      <w:pPr>
        <w:widowControl/>
        <w:spacing w:line="500" w:lineRule="exact"/>
        <w:ind w:firstLine="560" w:firstLineChars="200"/>
        <w:jc w:val="left"/>
        <w:rPr>
          <w:rFonts w:hint="eastAsia" w:ascii="仿宋" w:hAnsi="仿宋" w:eastAsia="仿宋" w:cs="仿宋"/>
          <w:color w:val="auto"/>
          <w:kern w:val="0"/>
          <w:sz w:val="28"/>
          <w:szCs w:val="28"/>
          <w:highlight w:val="none"/>
        </w:rPr>
      </w:pPr>
      <w:bookmarkStart w:id="287" w:name="_Toc340736225"/>
      <w:bookmarkStart w:id="288" w:name="_Toc387831538"/>
      <w:bookmarkStart w:id="289" w:name="_Toc392080817"/>
      <w:bookmarkStart w:id="290" w:name="_Toc22757"/>
      <w:bookmarkStart w:id="291" w:name="_Toc393201765"/>
      <w:bookmarkStart w:id="292" w:name="_Toc335297854"/>
      <w:bookmarkStart w:id="293" w:name="_Toc336671806"/>
      <w:bookmarkStart w:id="294" w:name="_Toc335295012"/>
      <w:bookmarkStart w:id="295" w:name="_Toc335298322"/>
      <w:bookmarkStart w:id="296" w:name="_Toc335294212"/>
      <w:r>
        <w:rPr>
          <w:rFonts w:hint="eastAsia" w:ascii="仿宋" w:hAnsi="仿宋" w:eastAsia="仿宋" w:cs="仿宋"/>
          <w:color w:val="auto"/>
          <w:kern w:val="0"/>
          <w:sz w:val="28"/>
          <w:szCs w:val="28"/>
          <w:highlight w:val="none"/>
        </w:rPr>
        <w:t>据此函，签字人兹宣布同意如下：</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1.我方向贵方提交的所有投标文件、资料都是准确的和真实的。</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2.我们承担根据招标文件的规定，完成合同的责任和义务。</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3.我们已详细阅读全部招标文件，参考资料及有关附件，我们完全理解并同意放弃对这方面有不明或误解的权利。</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4.我们同意在投标人须知规定的截止日期起遵循本投标文件，并在投标人须知规定的有效期满之前均具有约束力，并有可能中标。</w:t>
      </w:r>
    </w:p>
    <w:p>
      <w:pPr>
        <w:widowControl/>
        <w:spacing w:line="44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5.我们</w:t>
      </w:r>
      <w:r>
        <w:rPr>
          <w:rFonts w:hint="eastAsia" w:ascii="仿宋" w:hAnsi="仿宋" w:eastAsia="仿宋" w:cs="仿宋"/>
          <w:color w:val="auto"/>
          <w:kern w:val="0"/>
          <w:sz w:val="28"/>
          <w:szCs w:val="28"/>
          <w:highlight w:val="none"/>
          <w:lang w:eastAsia="zh-CN"/>
        </w:rPr>
        <w:t>承诺项目负责人每个月在岗不少于</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天</w:t>
      </w:r>
      <w:r>
        <w:rPr>
          <w:rFonts w:hint="eastAsia" w:ascii="仿宋" w:hAnsi="仿宋" w:eastAsia="仿宋" w:cs="仿宋"/>
          <w:color w:val="auto"/>
          <w:kern w:val="0"/>
          <w:sz w:val="28"/>
          <w:szCs w:val="28"/>
          <w:highlight w:val="none"/>
          <w:lang w:eastAsia="zh-CN"/>
        </w:rPr>
        <w:t>，拟投入管理人员</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人</w:t>
      </w:r>
      <w:r>
        <w:rPr>
          <w:rFonts w:hint="eastAsia" w:ascii="仿宋" w:hAnsi="仿宋" w:eastAsia="仿宋" w:cs="仿宋"/>
          <w:color w:val="auto"/>
          <w:kern w:val="0"/>
          <w:sz w:val="28"/>
          <w:szCs w:val="28"/>
          <w:highlight w:val="none"/>
          <w:lang w:eastAsia="zh-CN"/>
        </w:rPr>
        <w:t>，环卫作业人员</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人。</w:t>
      </w:r>
    </w:p>
    <w:p>
      <w:pPr>
        <w:widowControl/>
        <w:spacing w:line="440" w:lineRule="exact"/>
        <w:ind w:firstLine="560" w:firstLineChars="200"/>
        <w:jc w:val="left"/>
        <w:rPr>
          <w:rFonts w:hint="eastAsia" w:ascii="仿宋" w:hAnsi="仿宋" w:eastAsia="仿宋" w:cs="仿宋"/>
          <w:color w:val="auto"/>
          <w:kern w:val="1"/>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.我们</w:t>
      </w:r>
      <w:r>
        <w:rPr>
          <w:rFonts w:hint="eastAsia" w:ascii="仿宋" w:hAnsi="仿宋" w:eastAsia="仿宋" w:cs="仿宋"/>
          <w:color w:val="auto"/>
          <w:kern w:val="0"/>
          <w:sz w:val="28"/>
          <w:szCs w:val="28"/>
          <w:highlight w:val="none"/>
          <w:lang w:eastAsia="zh-CN"/>
        </w:rPr>
        <w:t>承诺中标后按照</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0"/>
          <w:sz w:val="28"/>
          <w:szCs w:val="28"/>
          <w:highlight w:val="none"/>
          <w:lang w:eastAsia="zh-CN"/>
        </w:rPr>
        <w:t>华埠镇城市道路保洁分类管理考核评分标准》</w:t>
      </w:r>
      <w:r>
        <w:rPr>
          <w:rFonts w:hint="eastAsia" w:ascii="仿宋" w:hAnsi="仿宋" w:eastAsia="仿宋" w:cs="仿宋"/>
          <w:color w:val="auto"/>
          <w:kern w:val="1"/>
          <w:sz w:val="28"/>
          <w:szCs w:val="28"/>
          <w:highlight w:val="none"/>
          <w:lang w:eastAsia="zh-CN"/>
        </w:rPr>
        <w:t>执行</w:t>
      </w:r>
      <w:r>
        <w:rPr>
          <w:rFonts w:hint="eastAsia" w:ascii="仿宋" w:hAnsi="仿宋" w:eastAsia="仿宋" w:cs="仿宋"/>
          <w:color w:val="auto"/>
          <w:kern w:val="1"/>
          <w:sz w:val="28"/>
          <w:szCs w:val="28"/>
          <w:highlight w:val="none"/>
        </w:rPr>
        <w:t>。</w:t>
      </w:r>
    </w:p>
    <w:p>
      <w:pPr>
        <w:widowControl/>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我方同意向贵方提供贵方可能要求的与本投标有关的任何数据或资料。</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与本次投标有关的正式通讯地址为：</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r>
        <w:rPr>
          <w:rFonts w:hint="eastAsia" w:ascii="仿宋" w:hAnsi="仿宋" w:eastAsia="仿宋" w:cs="仿宋"/>
          <w:b/>
          <w:bCs/>
          <w:color w:val="auto"/>
          <w:kern w:val="0"/>
          <w:sz w:val="28"/>
          <w:szCs w:val="28"/>
          <w:highlight w:val="none"/>
          <w:u w:val="single"/>
        </w:rPr>
        <w:t xml:space="preserve">                         </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邮编：</w:t>
      </w:r>
      <w:r>
        <w:rPr>
          <w:rFonts w:hint="eastAsia" w:ascii="仿宋" w:hAnsi="仿宋" w:eastAsia="仿宋" w:cs="仿宋"/>
          <w:b/>
          <w:bCs/>
          <w:color w:val="auto"/>
          <w:kern w:val="0"/>
          <w:sz w:val="28"/>
          <w:szCs w:val="28"/>
          <w:highlight w:val="none"/>
          <w:u w:val="single"/>
        </w:rPr>
        <w:t xml:space="preserve">                         </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电话、传真：</w:t>
      </w:r>
      <w:r>
        <w:rPr>
          <w:rFonts w:hint="eastAsia" w:ascii="仿宋" w:hAnsi="仿宋" w:eastAsia="仿宋" w:cs="仿宋"/>
          <w:b/>
          <w:bCs/>
          <w:color w:val="auto"/>
          <w:kern w:val="0"/>
          <w:sz w:val="28"/>
          <w:szCs w:val="28"/>
          <w:highlight w:val="none"/>
          <w:u w:val="single"/>
        </w:rPr>
        <w:t xml:space="preserve">                   </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开户银行：</w:t>
      </w:r>
      <w:r>
        <w:rPr>
          <w:rFonts w:hint="eastAsia" w:ascii="仿宋" w:hAnsi="仿宋" w:eastAsia="仿宋" w:cs="仿宋"/>
          <w:b/>
          <w:bCs/>
          <w:color w:val="auto"/>
          <w:kern w:val="0"/>
          <w:sz w:val="28"/>
          <w:szCs w:val="28"/>
          <w:highlight w:val="none"/>
          <w:u w:val="single"/>
        </w:rPr>
        <w:t xml:space="preserve">                     </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银行账号：</w:t>
      </w:r>
      <w:r>
        <w:rPr>
          <w:rFonts w:hint="eastAsia" w:ascii="仿宋" w:hAnsi="仿宋" w:eastAsia="仿宋" w:cs="仿宋"/>
          <w:b/>
          <w:bCs/>
          <w:color w:val="auto"/>
          <w:kern w:val="0"/>
          <w:sz w:val="28"/>
          <w:szCs w:val="28"/>
          <w:highlight w:val="none"/>
          <w:u w:val="single"/>
        </w:rPr>
        <w:t xml:space="preserve">                     </w:t>
      </w:r>
    </w:p>
    <w:p>
      <w:pPr>
        <w:widowControl/>
        <w:spacing w:line="500" w:lineRule="exact"/>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 xml:space="preserve">投标人全称（电子签章）： </w:t>
      </w:r>
      <w:r>
        <w:rPr>
          <w:rFonts w:hint="eastAsia" w:ascii="仿宋" w:hAnsi="仿宋" w:eastAsia="仿宋" w:cs="仿宋"/>
          <w:b/>
          <w:bCs/>
          <w:color w:val="auto"/>
          <w:kern w:val="0"/>
          <w:sz w:val="28"/>
          <w:szCs w:val="28"/>
          <w:highlight w:val="none"/>
          <w:u w:val="single"/>
        </w:rPr>
        <w:t xml:space="preserve">      </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b/>
          <w:bCs/>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w:t>
      </w:r>
    </w:p>
    <w:p>
      <w:pPr>
        <w:pStyle w:val="16"/>
        <w:rPr>
          <w:rFonts w:hint="eastAsia" w:ascii="仿宋" w:hAnsi="仿宋" w:eastAsia="仿宋" w:cs="仿宋"/>
          <w:b/>
          <w:color w:val="auto"/>
          <w:kern w:val="0"/>
          <w:sz w:val="28"/>
          <w:szCs w:val="28"/>
          <w:highlight w:val="none"/>
        </w:rPr>
      </w:pPr>
    </w:p>
    <w:p>
      <w:pPr>
        <w:pStyle w:val="38"/>
        <w:rPr>
          <w:rFonts w:hint="eastAsia" w:ascii="仿宋" w:hAnsi="仿宋" w:eastAsia="仿宋" w:cs="仿宋"/>
          <w:color w:val="auto"/>
          <w:highlight w:val="none"/>
        </w:rPr>
      </w:pPr>
    </w:p>
    <w:p>
      <w:pPr>
        <w:spacing w:line="440" w:lineRule="exact"/>
        <w:jc w:val="center"/>
        <w:outlineLvl w:val="2"/>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二、开标一览表</w:t>
      </w:r>
    </w:p>
    <w:p>
      <w:pPr>
        <w:pStyle w:val="22"/>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金额单位：人民币（元）                                    </w:t>
      </w:r>
    </w:p>
    <w:tbl>
      <w:tblPr>
        <w:tblStyle w:val="4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06" w:type="dxa"/>
            <w:noWrap/>
            <w:vAlign w:val="center"/>
          </w:tcPr>
          <w:p>
            <w:pPr>
              <w:widowControl/>
              <w:spacing w:line="5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c>
        <w:tc>
          <w:tcPr>
            <w:tcW w:w="7973" w:type="dxa"/>
            <w:noWrap/>
            <w:vAlign w:val="center"/>
          </w:tcPr>
          <w:p>
            <w:pPr>
              <w:widowControl/>
              <w:spacing w:line="500" w:lineRule="exact"/>
              <w:ind w:firstLine="560" w:firstLineChars="200"/>
              <w:jc w:val="lef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506" w:type="dxa"/>
            <w:noWrap/>
            <w:vAlign w:val="center"/>
          </w:tcPr>
          <w:p>
            <w:pPr>
              <w:snapToGrid w:val="0"/>
              <w:spacing w:line="56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56"/>
                <w:sz w:val="28"/>
                <w:szCs w:val="28"/>
                <w:highlight w:val="none"/>
                <w:shd w:val="clear" w:color="auto" w:fill="FFFFFF"/>
              </w:rPr>
              <w:t>单年报价</w:t>
            </w:r>
          </w:p>
        </w:tc>
        <w:tc>
          <w:tcPr>
            <w:tcW w:w="7973" w:type="dxa"/>
            <w:noWrap/>
            <w:vAlign w:val="center"/>
          </w:tcPr>
          <w:p>
            <w:pPr>
              <w:widowControl/>
              <w:spacing w:line="5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大写：                             （小写：￥</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506" w:type="dxa"/>
            <w:noWrap/>
            <w:vAlign w:val="center"/>
          </w:tcPr>
          <w:p>
            <w:pPr>
              <w:snapToGrid w:val="0"/>
              <w:spacing w:line="56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56"/>
                <w:sz w:val="28"/>
                <w:szCs w:val="28"/>
                <w:highlight w:val="none"/>
                <w:shd w:val="clear" w:color="auto" w:fill="FFFFFF"/>
                <w:lang w:eastAsia="zh-CN"/>
              </w:rPr>
              <w:t>两</w:t>
            </w:r>
            <w:r>
              <w:rPr>
                <w:rFonts w:hint="eastAsia" w:ascii="仿宋" w:hAnsi="仿宋" w:eastAsia="仿宋" w:cs="仿宋"/>
                <w:color w:val="auto"/>
                <w:kern w:val="56"/>
                <w:sz w:val="28"/>
                <w:szCs w:val="28"/>
                <w:highlight w:val="none"/>
                <w:shd w:val="clear" w:color="auto" w:fill="FFFFFF"/>
              </w:rPr>
              <w:t>年总价</w:t>
            </w:r>
          </w:p>
        </w:tc>
        <w:tc>
          <w:tcPr>
            <w:tcW w:w="7973" w:type="dxa"/>
            <w:noWrap/>
            <w:vAlign w:val="center"/>
          </w:tcPr>
          <w:p>
            <w:pPr>
              <w:widowControl/>
              <w:spacing w:line="5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大写：                             （小写：￥</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w:t>
            </w:r>
          </w:p>
        </w:tc>
      </w:tr>
    </w:tbl>
    <w:p>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 </w:t>
      </w:r>
    </w:p>
    <w:p>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1.报价一经涂改，应在涂改处加盖单位公章或者由法定代表人或授权委托人签字或盖章，否则其投标作无效标处理。</w:t>
      </w:r>
    </w:p>
    <w:p>
      <w:pPr>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2.投标人报价应包括完成该项目所涉及的全部费用。</w:t>
      </w:r>
    </w:p>
    <w:p>
      <w:pPr>
        <w:widowControl/>
        <w:spacing w:line="440" w:lineRule="exact"/>
        <w:ind w:firstLine="560" w:firstLineChars="200"/>
        <w:rPr>
          <w:rFonts w:hint="eastAsia" w:ascii="仿宋" w:hAnsi="仿宋" w:eastAsia="仿宋" w:cs="仿宋"/>
          <w:color w:val="auto"/>
          <w:sz w:val="28"/>
          <w:szCs w:val="28"/>
          <w:highlight w:val="none"/>
        </w:rPr>
      </w:pPr>
    </w:p>
    <w:p>
      <w:pPr>
        <w:pStyle w:val="22"/>
        <w:spacing w:line="500" w:lineRule="exact"/>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16"/>
        <w:rPr>
          <w:rFonts w:hint="eastAsia" w:ascii="仿宋" w:hAnsi="仿宋" w:eastAsia="仿宋" w:cs="仿宋"/>
          <w:color w:val="auto"/>
          <w:sz w:val="28"/>
          <w:szCs w:val="28"/>
          <w:highlight w:val="none"/>
        </w:rPr>
      </w:pPr>
    </w:p>
    <w:p>
      <w:pPr>
        <w:pageBreakBefore w:val="0"/>
        <w:kinsoku/>
        <w:wordWrap/>
        <w:topLinePunct w:val="0"/>
        <w:bidi w:val="0"/>
        <w:spacing w:line="500" w:lineRule="exact"/>
        <w:ind w:firstLine="4480" w:firstLineChars="16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lang w:eastAsia="zh-CN"/>
        </w:rPr>
        <w:t>投标人全称（电子签章）</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 xml:space="preserve"> </w:t>
      </w:r>
    </w:p>
    <w:p>
      <w:pPr>
        <w:snapToGrid w:val="0"/>
        <w:spacing w:line="400" w:lineRule="exact"/>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strike w:val="0"/>
          <w:dstrike w:val="0"/>
          <w:color w:val="auto"/>
          <w:sz w:val="28"/>
          <w:szCs w:val="28"/>
          <w:highlight w:val="none"/>
          <w:lang w:val="en-US" w:eastAsia="zh-CN"/>
        </w:rPr>
        <w:t xml:space="preserve">    </w:t>
      </w:r>
      <w:r>
        <w:rPr>
          <w:rFonts w:hint="eastAsia" w:ascii="仿宋" w:hAnsi="仿宋" w:eastAsia="仿宋" w:cs="仿宋"/>
          <w:strike w:val="0"/>
          <w:dstrike w:val="0"/>
          <w:color w:val="auto"/>
          <w:sz w:val="28"/>
          <w:szCs w:val="28"/>
          <w:highlight w:val="none"/>
        </w:rPr>
        <w:t>日 期：</w:t>
      </w:r>
      <w:r>
        <w:rPr>
          <w:rFonts w:hint="eastAsia" w:ascii="仿宋" w:hAnsi="仿宋" w:eastAsia="仿宋" w:cs="仿宋"/>
          <w:strike w:val="0"/>
          <w:dstrike w:val="0"/>
          <w:color w:val="auto"/>
          <w:sz w:val="28"/>
          <w:szCs w:val="28"/>
          <w:highlight w:val="none"/>
          <w:u w:val="single"/>
        </w:rPr>
        <w:t xml:space="preserve">                        </w:t>
      </w:r>
    </w:p>
    <w:p>
      <w:pPr>
        <w:snapToGrid w:val="0"/>
        <w:spacing w:line="400" w:lineRule="exact"/>
        <w:jc w:val="center"/>
        <w:outlineLvl w:val="2"/>
        <w:rPr>
          <w:rFonts w:hint="eastAsia" w:ascii="仿宋" w:hAnsi="仿宋" w:eastAsia="仿宋" w:cs="仿宋"/>
          <w:b/>
          <w:color w:val="auto"/>
          <w:kern w:val="0"/>
          <w:sz w:val="28"/>
          <w:szCs w:val="28"/>
          <w:highlight w:val="none"/>
        </w:rPr>
      </w:pPr>
    </w:p>
    <w:p>
      <w:pPr>
        <w:pStyle w:val="50"/>
        <w:rPr>
          <w:rFonts w:hint="eastAsia" w:ascii="仿宋" w:hAnsi="仿宋" w:eastAsia="仿宋" w:cs="仿宋"/>
          <w:color w:val="auto"/>
          <w:highlight w:val="none"/>
        </w:rPr>
      </w:pPr>
    </w:p>
    <w:p>
      <w:pPr>
        <w:pStyle w:val="50"/>
        <w:rPr>
          <w:rFonts w:hint="eastAsia" w:ascii="仿宋" w:hAnsi="仿宋" w:eastAsia="仿宋" w:cs="仿宋"/>
          <w:color w:val="auto"/>
          <w:highlight w:val="none"/>
        </w:rPr>
      </w:pPr>
    </w:p>
    <w:p>
      <w:pPr>
        <w:pStyle w:val="50"/>
        <w:rPr>
          <w:rFonts w:hint="eastAsia" w:ascii="仿宋" w:hAnsi="仿宋" w:eastAsia="仿宋" w:cs="仿宋"/>
          <w:color w:val="auto"/>
          <w:highlight w:val="none"/>
        </w:rPr>
      </w:pPr>
    </w:p>
    <w:p>
      <w:pPr>
        <w:pStyle w:val="50"/>
        <w:rPr>
          <w:rFonts w:hint="eastAsia" w:ascii="仿宋" w:hAnsi="仿宋" w:eastAsia="仿宋" w:cs="仿宋"/>
          <w:color w:val="auto"/>
          <w:highlight w:val="none"/>
        </w:rPr>
      </w:pPr>
    </w:p>
    <w:p>
      <w:pPr>
        <w:pStyle w:val="50"/>
        <w:rPr>
          <w:rFonts w:hint="eastAsia" w:ascii="仿宋" w:hAnsi="仿宋" w:eastAsia="仿宋" w:cs="仿宋"/>
          <w:color w:val="auto"/>
          <w:highlight w:val="none"/>
        </w:rPr>
      </w:pPr>
    </w:p>
    <w:p>
      <w:pPr>
        <w:pStyle w:val="50"/>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snapToGrid w:val="0"/>
        <w:spacing w:line="400" w:lineRule="exact"/>
        <w:jc w:val="both"/>
        <w:outlineLvl w:val="2"/>
        <w:rPr>
          <w:rFonts w:hint="eastAsia" w:ascii="仿宋" w:hAnsi="仿宋" w:eastAsia="仿宋" w:cs="仿宋"/>
          <w:b/>
          <w:color w:val="auto"/>
          <w:kern w:val="0"/>
          <w:sz w:val="28"/>
          <w:szCs w:val="28"/>
          <w:highlight w:val="none"/>
        </w:rPr>
      </w:pPr>
    </w:p>
    <w:p>
      <w:pPr>
        <w:spacing w:line="440" w:lineRule="exact"/>
        <w:jc w:val="center"/>
        <w:outlineLvl w:val="2"/>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三、投标报价明细表</w:t>
      </w:r>
      <w:bookmarkEnd w:id="287"/>
      <w:bookmarkEnd w:id="288"/>
      <w:bookmarkEnd w:id="289"/>
      <w:bookmarkEnd w:id="290"/>
      <w:bookmarkEnd w:id="291"/>
    </w:p>
    <w:p>
      <w:pPr>
        <w:pStyle w:val="2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22"/>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                                       金额单位：人民币（元）</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10"/>
        <w:gridCol w:w="4185"/>
        <w:gridCol w:w="151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940" w:type="pct"/>
            <w:gridSpan w:val="2"/>
            <w:tcBorders>
              <w:tl2br w:val="nil"/>
              <w:tr2bl w:val="nil"/>
            </w:tcBorders>
            <w:noWrap/>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       目</w:t>
            </w:r>
          </w:p>
        </w:tc>
        <w:tc>
          <w:tcPr>
            <w:tcW w:w="797" w:type="pct"/>
            <w:tcBorders>
              <w:tl2br w:val="nil"/>
              <w:tr2bl w:val="nil"/>
            </w:tcBorders>
            <w:noWrap/>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单年金额</w:t>
            </w:r>
          </w:p>
        </w:tc>
        <w:tc>
          <w:tcPr>
            <w:tcW w:w="818" w:type="pct"/>
            <w:tcBorders>
              <w:tl2br w:val="nil"/>
              <w:tr2bl w:val="nil"/>
            </w:tcBorders>
            <w:noWrap/>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两</w:t>
            </w:r>
            <w:r>
              <w:rPr>
                <w:rFonts w:hint="eastAsia" w:ascii="仿宋" w:hAnsi="仿宋" w:eastAsia="仿宋" w:cs="仿宋"/>
                <w:b/>
                <w:bCs/>
                <w:color w:val="auto"/>
                <w:sz w:val="28"/>
                <w:szCs w:val="28"/>
                <w:highlight w:val="none"/>
              </w:rPr>
              <w:t>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443" w:type="pct"/>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41" w:type="pct"/>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清扫经费</w:t>
            </w:r>
          </w:p>
        </w:tc>
        <w:tc>
          <w:tcPr>
            <w:tcW w:w="2199" w:type="pct"/>
            <w:tcBorders>
              <w:tl2br w:val="nil"/>
              <w:tr2bl w:val="nil"/>
            </w:tcBorders>
            <w:noWrap/>
            <w:vAlign w:val="center"/>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包括在承包区域内提供保洁及其他所有服务所需的一切人员工资、奖金、各种加班费、房租、劳保福利、社保、意外保险、工伤费、教育培训费、居住费及处理一切伤亡事故等费用。</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tc>
        <w:tc>
          <w:tcPr>
            <w:tcW w:w="818" w:type="pct"/>
            <w:tcBorders>
              <w:tl2br w:val="nil"/>
              <w:tr2bl w:val="nil"/>
            </w:tcBorders>
            <w:noWrap/>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43" w:type="pct"/>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公厕管</w:t>
            </w:r>
            <w:r>
              <w:rPr>
                <w:rFonts w:hint="eastAsia" w:ascii="仿宋" w:hAnsi="仿宋" w:eastAsia="仿宋" w:cs="仿宋"/>
                <w:color w:val="auto"/>
                <w:sz w:val="28"/>
                <w:szCs w:val="28"/>
                <w:highlight w:val="none"/>
                <w:lang w:eastAsia="zh-CN"/>
              </w:rPr>
              <w:t>养（含公厕整体维修费）</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垃圾收集、清运</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道路洒水</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道路洗扫</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餐厨垃圾收集</w:t>
            </w:r>
            <w:r>
              <w:rPr>
                <w:rFonts w:hint="eastAsia" w:ascii="仿宋" w:hAnsi="仿宋" w:eastAsia="仿宋" w:cs="仿宋"/>
                <w:color w:val="auto"/>
                <w:sz w:val="28"/>
                <w:szCs w:val="28"/>
                <w:highlight w:val="none"/>
                <w:lang w:eastAsia="zh-CN"/>
              </w:rPr>
              <w:t>、清运</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常山港水面及堤防马道保洁</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43" w:type="pct"/>
            <w:tcBorders>
              <w:tl2br w:val="nil"/>
              <w:tr2bl w:val="nil"/>
            </w:tcBorders>
            <w:noWrap/>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管理费</w:t>
            </w:r>
          </w:p>
        </w:tc>
        <w:tc>
          <w:tcPr>
            <w:tcW w:w="797" w:type="pct"/>
            <w:tcBorders>
              <w:tl2br w:val="nil"/>
              <w:tr2bl w:val="nil"/>
            </w:tcBorders>
            <w:noWrap/>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　</w:t>
            </w: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9</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税金</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10</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环境整治备用金</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11</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3" w:type="pct"/>
            <w:tcBorders>
              <w:tl2br w:val="nil"/>
              <w:tr2bl w:val="nil"/>
            </w:tcBorders>
            <w:noWrap/>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2940" w:type="pct"/>
            <w:gridSpan w:val="2"/>
            <w:tcBorders>
              <w:tl2br w:val="nil"/>
              <w:tr2bl w:val="nil"/>
            </w:tcBorders>
            <w:noWrap/>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797" w:type="pct"/>
            <w:tcBorders>
              <w:tl2br w:val="nil"/>
              <w:tr2bl w:val="nil"/>
            </w:tcBorders>
            <w:noWrap/>
            <w:vAlign w:val="center"/>
          </w:tcPr>
          <w:p>
            <w:pPr>
              <w:jc w:val="center"/>
              <w:rPr>
                <w:rFonts w:hint="eastAsia" w:ascii="仿宋" w:hAnsi="仿宋" w:eastAsia="仿宋" w:cs="仿宋"/>
                <w:color w:val="auto"/>
                <w:sz w:val="28"/>
                <w:szCs w:val="28"/>
                <w:highlight w:val="none"/>
              </w:rPr>
            </w:pPr>
          </w:p>
        </w:tc>
        <w:tc>
          <w:tcPr>
            <w:tcW w:w="818" w:type="pct"/>
            <w:tcBorders>
              <w:tl2br w:val="nil"/>
              <w:tr2bl w:val="nil"/>
            </w:tcBorders>
            <w:noWrap/>
            <w:vAlign w:val="center"/>
          </w:tcPr>
          <w:p>
            <w:pPr>
              <w:jc w:val="center"/>
              <w:rPr>
                <w:rFonts w:hint="eastAsia" w:ascii="仿宋" w:hAnsi="仿宋" w:eastAsia="仿宋" w:cs="仿宋"/>
                <w:color w:val="auto"/>
                <w:sz w:val="28"/>
                <w:szCs w:val="28"/>
                <w:highlight w:val="none"/>
              </w:rPr>
            </w:pPr>
          </w:p>
        </w:tc>
      </w:tr>
    </w:tbl>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注：</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.环境卫生整治预备金</w:t>
      </w: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万元/年&lt;含税费&gt;，报价时不予调整，否则作无效标处理。</w:t>
      </w:r>
    </w:p>
    <w:p>
      <w:pPr>
        <w:widowControl/>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.表格栏数不够可自行增加。</w:t>
      </w:r>
    </w:p>
    <w:bookmarkEnd w:id="292"/>
    <w:bookmarkEnd w:id="293"/>
    <w:bookmarkEnd w:id="294"/>
    <w:bookmarkEnd w:id="295"/>
    <w:bookmarkEnd w:id="296"/>
    <w:p>
      <w:pPr>
        <w:pageBreakBefore w:val="0"/>
        <w:kinsoku/>
        <w:wordWrap/>
        <w:topLinePunct w:val="0"/>
        <w:bidi w:val="0"/>
        <w:spacing w:line="500" w:lineRule="exact"/>
        <w:ind w:firstLine="4480" w:firstLineChars="1600"/>
        <w:rPr>
          <w:rFonts w:hint="eastAsia" w:ascii="仿宋" w:hAnsi="仿宋" w:eastAsia="仿宋" w:cs="仿宋"/>
          <w:strike w:val="0"/>
          <w:dstrike w:val="0"/>
          <w:color w:val="auto"/>
          <w:sz w:val="28"/>
          <w:szCs w:val="28"/>
          <w:highlight w:val="none"/>
        </w:rPr>
      </w:pPr>
      <w:bookmarkStart w:id="297" w:name="_Toc495666263"/>
      <w:bookmarkStart w:id="298" w:name="_Toc20076"/>
      <w:bookmarkStart w:id="299" w:name="_Toc476230572"/>
      <w:bookmarkStart w:id="300" w:name="_Toc476230708"/>
      <w:bookmarkStart w:id="301" w:name="_Toc476230984"/>
      <w:bookmarkStart w:id="302" w:name="_Toc476229743"/>
      <w:r>
        <w:rPr>
          <w:rFonts w:hint="eastAsia" w:ascii="仿宋" w:hAnsi="仿宋" w:eastAsia="仿宋" w:cs="仿宋"/>
          <w:strike w:val="0"/>
          <w:dstrike w:val="0"/>
          <w:color w:val="auto"/>
          <w:sz w:val="28"/>
          <w:szCs w:val="28"/>
          <w:highlight w:val="none"/>
          <w:lang w:eastAsia="zh-CN"/>
        </w:rPr>
        <w:t>投标人全称（电子签章）</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 xml:space="preserve"> </w:t>
      </w:r>
    </w:p>
    <w:p>
      <w:pPr>
        <w:autoSpaceDE w:val="0"/>
        <w:autoSpaceDN w:val="0"/>
        <w:adjustRightInd w:val="0"/>
        <w:spacing w:line="500" w:lineRule="exact"/>
        <w:jc w:val="center"/>
        <w:rPr>
          <w:rFonts w:hint="eastAsia" w:ascii="仿宋" w:hAnsi="仿宋" w:eastAsia="仿宋" w:cs="仿宋"/>
          <w:strike w:val="0"/>
          <w:dstrike w:val="0"/>
          <w:color w:val="auto"/>
          <w:sz w:val="28"/>
          <w:szCs w:val="28"/>
          <w:highlight w:val="none"/>
          <w:u w:val="single"/>
        </w:rPr>
      </w:pPr>
      <w:r>
        <w:rPr>
          <w:rFonts w:hint="eastAsia" w:ascii="仿宋" w:hAnsi="仿宋" w:eastAsia="仿宋" w:cs="仿宋"/>
          <w:strike w:val="0"/>
          <w:dstrike w:val="0"/>
          <w:color w:val="auto"/>
          <w:sz w:val="28"/>
          <w:szCs w:val="28"/>
          <w:highlight w:val="none"/>
        </w:rPr>
        <w:t>日 期：</w:t>
      </w:r>
      <w:r>
        <w:rPr>
          <w:rFonts w:hint="eastAsia" w:ascii="仿宋" w:hAnsi="仿宋" w:eastAsia="仿宋" w:cs="仿宋"/>
          <w:strike w:val="0"/>
          <w:dstrike w:val="0"/>
          <w:color w:val="auto"/>
          <w:sz w:val="28"/>
          <w:szCs w:val="28"/>
          <w:highlight w:val="none"/>
          <w:u w:val="single"/>
        </w:rPr>
        <w:t xml:space="preserve">                        </w:t>
      </w:r>
    </w:p>
    <w:p>
      <w:pPr>
        <w:autoSpaceDE w:val="0"/>
        <w:autoSpaceDN w:val="0"/>
        <w:adjustRightInd w:val="0"/>
        <w:spacing w:line="500" w:lineRule="exact"/>
        <w:jc w:val="center"/>
        <w:rPr>
          <w:rFonts w:hint="eastAsia" w:ascii="仿宋" w:hAnsi="仿宋" w:eastAsia="仿宋" w:cs="仿宋"/>
          <w:b/>
          <w:bCs/>
          <w:color w:val="auto"/>
          <w:kern w:val="0"/>
          <w:sz w:val="28"/>
          <w:szCs w:val="28"/>
          <w:highlight w:val="none"/>
        </w:rPr>
      </w:pPr>
    </w:p>
    <w:p>
      <w:pPr>
        <w:spacing w:line="440" w:lineRule="exact"/>
        <w:jc w:val="center"/>
        <w:outlineLvl w:val="2"/>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四、</w:t>
      </w:r>
      <w:bookmarkEnd w:id="297"/>
      <w:bookmarkEnd w:id="298"/>
      <w:r>
        <w:rPr>
          <w:rFonts w:hint="eastAsia" w:ascii="仿宋" w:hAnsi="仿宋" w:eastAsia="仿宋" w:cs="仿宋"/>
          <w:b/>
          <w:color w:val="auto"/>
          <w:sz w:val="30"/>
          <w:szCs w:val="30"/>
          <w:highlight w:val="none"/>
          <w:lang w:eastAsia="zh-CN"/>
        </w:rPr>
        <w:t>中小企业声明函</w:t>
      </w:r>
    </w:p>
    <w:p>
      <w:pPr>
        <w:widowControl w:val="0"/>
        <w:snapToGrid w:val="0"/>
        <w:spacing w:line="500" w:lineRule="exact"/>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bidi="ar"/>
        </w:rPr>
        <w:t>本公司（联合体）郑</w:t>
      </w:r>
      <w:r>
        <w:rPr>
          <w:rFonts w:hint="eastAsia" w:ascii="仿宋" w:hAnsi="仿宋" w:eastAsia="仿宋" w:cs="仿宋"/>
          <w:b w:val="0"/>
          <w:bCs w:val="0"/>
          <w:color w:val="auto"/>
          <w:sz w:val="28"/>
          <w:szCs w:val="28"/>
          <w:highlight w:val="none"/>
          <w:lang w:eastAsia="zh-CN" w:bidi="ar"/>
        </w:rPr>
        <w:t>重</w:t>
      </w:r>
      <w:r>
        <w:rPr>
          <w:rFonts w:hint="eastAsia" w:ascii="仿宋" w:hAnsi="仿宋" w:eastAsia="仿宋" w:cs="仿宋"/>
          <w:b w:val="0"/>
          <w:bCs w:val="0"/>
          <w:color w:val="auto"/>
          <w:kern w:val="0"/>
          <w:sz w:val="28"/>
          <w:szCs w:val="28"/>
          <w:highlight w:val="none"/>
          <w:lang w:eastAsia="zh-CN"/>
        </w:rPr>
        <w:t>声</w:t>
      </w:r>
      <w:r>
        <w:rPr>
          <w:rFonts w:hint="eastAsia" w:ascii="仿宋" w:hAnsi="仿宋" w:eastAsia="仿宋" w:cs="仿宋"/>
          <w:b w:val="0"/>
          <w:bCs w:val="0"/>
          <w:color w:val="auto"/>
          <w:sz w:val="28"/>
          <w:szCs w:val="28"/>
          <w:highlight w:val="none"/>
          <w:lang w:eastAsia="zh-CN" w:bidi="ar"/>
        </w:rPr>
        <w:t>明，</w:t>
      </w:r>
      <w:r>
        <w:rPr>
          <w:rFonts w:hint="eastAsia" w:ascii="仿宋" w:hAnsi="仿宋" w:eastAsia="仿宋" w:cs="仿宋"/>
          <w:color w:val="auto"/>
          <w:sz w:val="28"/>
          <w:szCs w:val="28"/>
          <w:highlight w:val="none"/>
          <w:lang w:eastAsia="zh-CN" w:bidi="ar"/>
        </w:rPr>
        <w:t>根据《政府采购促进中小企业发展管理办法》（财库﹝2020﹞46 号）的规定，本公司 （联合体）参加</w:t>
      </w:r>
      <w:r>
        <w:rPr>
          <w:rFonts w:hint="eastAsia" w:ascii="仿宋" w:hAnsi="仿宋" w:eastAsia="仿宋" w:cs="仿宋"/>
          <w:color w:val="auto"/>
          <w:sz w:val="28"/>
          <w:szCs w:val="28"/>
          <w:highlight w:val="none"/>
          <w:u w:val="single"/>
          <w:lang w:eastAsia="zh-CN" w:bidi="ar"/>
        </w:rPr>
        <w:t xml:space="preserve">                      </w:t>
      </w:r>
      <w:r>
        <w:rPr>
          <w:rFonts w:hint="eastAsia" w:ascii="仿宋" w:hAnsi="仿宋" w:eastAsia="仿宋" w:cs="仿宋"/>
          <w:i/>
          <w:color w:val="auto"/>
          <w:sz w:val="28"/>
          <w:szCs w:val="28"/>
          <w:highlight w:val="none"/>
          <w:u w:val="single"/>
          <w:lang w:eastAsia="zh-CN" w:bidi="ar"/>
        </w:rPr>
        <w:t xml:space="preserve">（采购人名称）     </w:t>
      </w:r>
      <w:r>
        <w:rPr>
          <w:rFonts w:hint="eastAsia" w:ascii="仿宋" w:hAnsi="仿宋" w:eastAsia="仿宋" w:cs="仿宋"/>
          <w:color w:val="auto"/>
          <w:sz w:val="28"/>
          <w:szCs w:val="28"/>
          <w:highlight w:val="none"/>
          <w:lang w:eastAsia="zh-CN" w:bidi="ar"/>
        </w:rPr>
        <w:t>的</w:t>
      </w:r>
      <w:r>
        <w:rPr>
          <w:rFonts w:hint="eastAsia" w:ascii="仿宋" w:hAnsi="仿宋" w:eastAsia="仿宋" w:cs="仿宋"/>
          <w:color w:val="auto"/>
          <w:sz w:val="28"/>
          <w:szCs w:val="28"/>
          <w:highlight w:val="none"/>
          <w:u w:val="single"/>
          <w:lang w:eastAsia="zh-CN" w:bidi="ar"/>
        </w:rPr>
        <w:t xml:space="preserve">                          </w:t>
      </w:r>
      <w:r>
        <w:rPr>
          <w:rFonts w:hint="eastAsia" w:ascii="仿宋" w:hAnsi="仿宋" w:eastAsia="仿宋" w:cs="仿宋"/>
          <w:i/>
          <w:color w:val="auto"/>
          <w:sz w:val="28"/>
          <w:szCs w:val="28"/>
          <w:highlight w:val="none"/>
          <w:u w:val="single"/>
          <w:lang w:eastAsia="zh-CN" w:bidi="ar"/>
        </w:rPr>
        <w:t>（项目名称）</w:t>
      </w:r>
      <w:r>
        <w:rPr>
          <w:rFonts w:hint="eastAsia" w:ascii="仿宋" w:hAnsi="仿宋" w:eastAsia="仿宋" w:cs="仿宋"/>
          <w:color w:val="auto"/>
          <w:sz w:val="28"/>
          <w:szCs w:val="28"/>
          <w:highlight w:val="none"/>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bidi="ar"/>
        </w:rPr>
        <w:t xml:space="preserve"> </w:t>
      </w:r>
      <w:r>
        <w:rPr>
          <w:rFonts w:hint="eastAsia" w:ascii="仿宋" w:hAnsi="仿宋" w:eastAsia="仿宋" w:cs="仿宋"/>
          <w:i/>
          <w:color w:val="auto"/>
          <w:sz w:val="28"/>
          <w:szCs w:val="28"/>
          <w:highlight w:val="none"/>
          <w:u w:val="single"/>
          <w:lang w:eastAsia="zh-CN" w:bidi="ar"/>
        </w:rPr>
        <w:t xml:space="preserve">（标的名称）         </w:t>
      </w:r>
      <w:r>
        <w:rPr>
          <w:rFonts w:hint="eastAsia" w:ascii="仿宋" w:hAnsi="仿宋" w:eastAsia="仿宋" w:cs="仿宋"/>
          <w:color w:val="auto"/>
          <w:sz w:val="28"/>
          <w:szCs w:val="28"/>
          <w:highlight w:val="none"/>
          <w:lang w:eastAsia="zh-CN" w:bidi="ar"/>
        </w:rPr>
        <w:t>，属于</w:t>
      </w:r>
      <w:r>
        <w:rPr>
          <w:rFonts w:hint="eastAsia" w:ascii="仿宋" w:hAnsi="仿宋" w:eastAsia="仿宋" w:cs="仿宋"/>
          <w:color w:val="auto"/>
          <w:sz w:val="28"/>
          <w:szCs w:val="28"/>
          <w:highlight w:val="none"/>
          <w:u w:val="single"/>
          <w:lang w:eastAsia="zh-CN" w:bidi="ar"/>
        </w:rPr>
        <w:t xml:space="preserve">   </w:t>
      </w:r>
      <w:r>
        <w:rPr>
          <w:rFonts w:hint="eastAsia" w:ascii="仿宋" w:hAnsi="仿宋" w:eastAsia="仿宋" w:cs="仿宋"/>
          <w:i/>
          <w:color w:val="auto"/>
          <w:sz w:val="28"/>
          <w:szCs w:val="28"/>
          <w:highlight w:val="none"/>
          <w:u w:val="single"/>
          <w:lang w:eastAsia="zh-CN" w:bidi="ar"/>
        </w:rPr>
        <w:t>（采购文件中明确的所属行业</w:t>
      </w:r>
      <w:r>
        <w:rPr>
          <w:rFonts w:hint="eastAsia" w:ascii="仿宋" w:hAnsi="仿宋" w:eastAsia="仿宋" w:cs="仿宋"/>
          <w:i/>
          <w:color w:val="auto"/>
          <w:sz w:val="28"/>
          <w:szCs w:val="28"/>
          <w:highlight w:val="none"/>
          <w:lang w:eastAsia="zh-CN" w:bidi="ar"/>
        </w:rPr>
        <w:t>）</w:t>
      </w:r>
      <w:r>
        <w:rPr>
          <w:rFonts w:hint="eastAsia" w:ascii="仿宋" w:hAnsi="仿宋" w:eastAsia="仿宋" w:cs="仿宋"/>
          <w:color w:val="auto"/>
          <w:sz w:val="28"/>
          <w:szCs w:val="28"/>
          <w:highlight w:val="none"/>
          <w:lang w:eastAsia="zh-CN" w:bidi="ar"/>
        </w:rPr>
        <w:t>； 承建（承接）企业为</w:t>
      </w:r>
      <w:r>
        <w:rPr>
          <w:rFonts w:hint="eastAsia" w:ascii="仿宋" w:hAnsi="仿宋" w:eastAsia="仿宋" w:cs="仿宋"/>
          <w:color w:val="auto"/>
          <w:sz w:val="28"/>
          <w:szCs w:val="28"/>
          <w:highlight w:val="none"/>
          <w:u w:val="single"/>
          <w:lang w:eastAsia="zh-CN" w:bidi="ar"/>
        </w:rPr>
        <w:t xml:space="preserve">    </w:t>
      </w:r>
      <w:r>
        <w:rPr>
          <w:rFonts w:hint="eastAsia" w:ascii="仿宋" w:hAnsi="仿宋" w:eastAsia="仿宋" w:cs="仿宋"/>
          <w:i/>
          <w:color w:val="auto"/>
          <w:sz w:val="28"/>
          <w:szCs w:val="28"/>
          <w:highlight w:val="none"/>
          <w:u w:val="single"/>
          <w:lang w:eastAsia="zh-CN" w:bidi="ar"/>
        </w:rPr>
        <w:t>（企业名称）</w:t>
      </w:r>
      <w:r>
        <w:rPr>
          <w:rFonts w:hint="eastAsia" w:ascii="仿宋" w:hAnsi="仿宋" w:eastAsia="仿宋" w:cs="仿宋"/>
          <w:color w:val="auto"/>
          <w:sz w:val="28"/>
          <w:szCs w:val="28"/>
          <w:highlight w:val="none"/>
          <w:lang w:eastAsia="zh-CN" w:bidi="ar"/>
        </w:rPr>
        <w:t>，从业人员</w:t>
      </w:r>
      <w:r>
        <w:rPr>
          <w:rFonts w:hint="eastAsia" w:ascii="仿宋" w:hAnsi="仿宋" w:eastAsia="仿宋" w:cs="仿宋"/>
          <w:color w:val="auto"/>
          <w:sz w:val="28"/>
          <w:szCs w:val="28"/>
          <w:highlight w:val="none"/>
          <w:u w:val="single"/>
          <w:lang w:eastAsia="zh-CN" w:bidi="ar"/>
        </w:rPr>
        <w:t xml:space="preserve">    </w:t>
      </w:r>
      <w:r>
        <w:rPr>
          <w:rFonts w:hint="eastAsia" w:ascii="仿宋" w:hAnsi="仿宋" w:eastAsia="仿宋" w:cs="仿宋"/>
          <w:color w:val="auto"/>
          <w:sz w:val="28"/>
          <w:szCs w:val="28"/>
          <w:highlight w:val="none"/>
          <w:lang w:eastAsia="zh-CN" w:bidi="ar"/>
        </w:rPr>
        <w:t>人，营业收入为</w:t>
      </w:r>
      <w:r>
        <w:rPr>
          <w:rFonts w:hint="eastAsia" w:ascii="仿宋" w:hAnsi="仿宋" w:eastAsia="仿宋" w:cs="仿宋"/>
          <w:color w:val="auto"/>
          <w:sz w:val="28"/>
          <w:szCs w:val="28"/>
          <w:highlight w:val="none"/>
          <w:u w:val="single"/>
          <w:lang w:eastAsia="zh-CN" w:bidi="ar"/>
        </w:rPr>
        <w:t xml:space="preserve">     </w:t>
      </w:r>
      <w:r>
        <w:rPr>
          <w:rFonts w:hint="eastAsia" w:ascii="仿宋" w:hAnsi="仿宋" w:eastAsia="仿宋" w:cs="仿宋"/>
          <w:color w:val="auto"/>
          <w:sz w:val="28"/>
          <w:szCs w:val="28"/>
          <w:highlight w:val="none"/>
          <w:lang w:eastAsia="zh-CN" w:bidi="ar"/>
        </w:rPr>
        <w:t>万元，资产总额为</w:t>
      </w:r>
      <w:r>
        <w:rPr>
          <w:rFonts w:hint="eastAsia" w:ascii="仿宋" w:hAnsi="仿宋" w:eastAsia="仿宋" w:cs="仿宋"/>
          <w:color w:val="auto"/>
          <w:sz w:val="28"/>
          <w:szCs w:val="28"/>
          <w:highlight w:val="none"/>
          <w:u w:val="single"/>
          <w:lang w:eastAsia="zh-CN" w:bidi="ar"/>
        </w:rPr>
        <w:t xml:space="preserve">        </w:t>
      </w:r>
      <w:r>
        <w:rPr>
          <w:rFonts w:hint="eastAsia" w:ascii="仿宋" w:hAnsi="仿宋" w:eastAsia="仿宋" w:cs="仿宋"/>
          <w:color w:val="auto"/>
          <w:sz w:val="28"/>
          <w:szCs w:val="28"/>
          <w:highlight w:val="none"/>
          <w:lang w:eastAsia="zh-CN" w:bidi="ar"/>
        </w:rPr>
        <w:t>万元，属于</w:t>
      </w:r>
      <w:r>
        <w:rPr>
          <w:rFonts w:hint="eastAsia" w:ascii="仿宋" w:hAnsi="仿宋" w:eastAsia="仿宋" w:cs="仿宋"/>
          <w:i/>
          <w:color w:val="auto"/>
          <w:sz w:val="28"/>
          <w:szCs w:val="28"/>
          <w:highlight w:val="none"/>
          <w:lang w:eastAsia="zh-CN" w:bidi="ar"/>
        </w:rPr>
        <w:t>（中型企业、小型企业、微型企业）</w:t>
      </w:r>
      <w:r>
        <w:rPr>
          <w:rFonts w:hint="eastAsia" w:ascii="仿宋" w:hAnsi="仿宋" w:eastAsia="仿宋" w:cs="仿宋"/>
          <w:color w:val="auto"/>
          <w:sz w:val="28"/>
          <w:szCs w:val="28"/>
          <w:highlight w:val="none"/>
          <w:lang w:eastAsia="zh-CN" w:bidi="ar"/>
        </w:rPr>
        <w:t>。</w:t>
      </w:r>
    </w:p>
    <w:p>
      <w:pPr>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bidi="ar"/>
        </w:rPr>
        <w:t>以上企业，不属于大企业的分支机构，不存在控股股东为大企业的情形，也不存在与大企业的负责人为同一人的情形。</w:t>
      </w:r>
    </w:p>
    <w:p>
      <w:pPr>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bidi="ar"/>
        </w:rPr>
        <w:t xml:space="preserve">本企业对上述声明内容的真实性负责。如有虚假，将依法承担相应责任。 </w:t>
      </w:r>
    </w:p>
    <w:p>
      <w:pPr>
        <w:spacing w:line="500" w:lineRule="exact"/>
        <w:jc w:val="center"/>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eastAsia="zh-CN" w:bidi="ar"/>
        </w:rPr>
        <w:t xml:space="preserve">                   </w:t>
      </w:r>
    </w:p>
    <w:p>
      <w:pPr>
        <w:spacing w:line="500" w:lineRule="exact"/>
        <w:jc w:val="center"/>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bidi="ar"/>
        </w:rPr>
        <w:t xml:space="preserve">           </w:t>
      </w:r>
      <w:r>
        <w:rPr>
          <w:rFonts w:hint="eastAsia" w:ascii="仿宋" w:hAnsi="仿宋" w:eastAsia="仿宋" w:cs="仿宋"/>
          <w:color w:val="auto"/>
          <w:sz w:val="28"/>
          <w:szCs w:val="28"/>
          <w:highlight w:val="none"/>
          <w:lang w:eastAsia="zh-CN" w:bidi="ar"/>
        </w:rPr>
        <w:t>投标人全称（电子签章）：</w:t>
      </w:r>
      <w:r>
        <w:rPr>
          <w:rFonts w:hint="eastAsia" w:ascii="仿宋" w:hAnsi="仿宋" w:eastAsia="仿宋" w:cs="仿宋"/>
          <w:color w:val="auto"/>
          <w:sz w:val="28"/>
          <w:szCs w:val="28"/>
          <w:highlight w:val="none"/>
          <w:u w:val="single"/>
          <w:lang w:eastAsia="zh-CN" w:bidi="ar"/>
        </w:rPr>
        <w:t xml:space="preserve">           </w:t>
      </w:r>
    </w:p>
    <w:p>
      <w:pPr>
        <w:spacing w:line="500" w:lineRule="exact"/>
        <w:jc w:val="center"/>
        <w:rPr>
          <w:rFonts w:hint="eastAsia" w:ascii="仿宋" w:hAnsi="仿宋" w:eastAsia="仿宋" w:cs="仿宋"/>
          <w:color w:val="auto"/>
          <w:sz w:val="28"/>
          <w:szCs w:val="28"/>
          <w:highlight w:val="none"/>
          <w:u w:val="single"/>
          <w:lang w:eastAsia="zh-CN" w:bidi="ar"/>
        </w:rPr>
      </w:pPr>
      <w:r>
        <w:rPr>
          <w:rFonts w:hint="eastAsia" w:ascii="仿宋" w:hAnsi="仿宋" w:eastAsia="仿宋" w:cs="仿宋"/>
          <w:color w:val="auto"/>
          <w:sz w:val="28"/>
          <w:szCs w:val="28"/>
          <w:highlight w:val="none"/>
          <w:lang w:eastAsia="zh-CN" w:bidi="ar"/>
        </w:rPr>
        <w:t xml:space="preserve"> 日 期：</w:t>
      </w:r>
      <w:r>
        <w:rPr>
          <w:rFonts w:hint="eastAsia" w:ascii="仿宋" w:hAnsi="仿宋" w:eastAsia="仿宋" w:cs="仿宋"/>
          <w:color w:val="auto"/>
          <w:sz w:val="28"/>
          <w:szCs w:val="28"/>
          <w:highlight w:val="none"/>
          <w:u w:val="single"/>
          <w:lang w:eastAsia="zh-CN" w:bidi="ar"/>
        </w:rPr>
        <w:t xml:space="preserve">                          </w:t>
      </w:r>
    </w:p>
    <w:p>
      <w:pPr>
        <w:spacing w:line="500" w:lineRule="exact"/>
        <w:ind w:firstLine="560" w:firstLineChars="200"/>
        <w:rPr>
          <w:rFonts w:hint="eastAsia" w:ascii="仿宋" w:hAnsi="仿宋" w:eastAsia="仿宋" w:cs="仿宋"/>
          <w:color w:val="auto"/>
          <w:sz w:val="28"/>
          <w:szCs w:val="28"/>
          <w:highlight w:val="none"/>
          <w:lang w:eastAsia="zh-CN" w:bidi="ar"/>
        </w:rPr>
      </w:pPr>
    </w:p>
    <w:p>
      <w:pPr>
        <w:spacing w:line="500" w:lineRule="exact"/>
        <w:ind w:firstLine="560" w:firstLineChars="200"/>
        <w:rPr>
          <w:rFonts w:hint="eastAsia" w:ascii="仿宋" w:hAnsi="仿宋" w:eastAsia="仿宋" w:cs="仿宋"/>
          <w:color w:val="auto"/>
          <w:sz w:val="28"/>
          <w:szCs w:val="28"/>
          <w:highlight w:val="none"/>
          <w:lang w:eastAsia="zh-CN" w:bidi="ar"/>
        </w:rPr>
      </w:pPr>
    </w:p>
    <w:p>
      <w:pPr>
        <w:spacing w:line="500" w:lineRule="exact"/>
        <w:ind w:firstLine="560" w:firstLineChars="200"/>
        <w:rPr>
          <w:rFonts w:hint="eastAsia" w:ascii="仿宋" w:hAnsi="仿宋" w:eastAsia="仿宋" w:cs="仿宋"/>
          <w:color w:val="auto"/>
          <w:sz w:val="28"/>
          <w:szCs w:val="28"/>
          <w:highlight w:val="none"/>
          <w:lang w:eastAsia="zh-CN" w:bidi="ar"/>
        </w:rPr>
      </w:pPr>
    </w:p>
    <w:p>
      <w:pPr>
        <w:spacing w:line="500" w:lineRule="exact"/>
        <w:ind w:firstLine="560" w:firstLineChars="200"/>
        <w:rPr>
          <w:rFonts w:hint="eastAsia" w:ascii="仿宋" w:hAnsi="仿宋" w:eastAsia="仿宋" w:cs="仿宋"/>
          <w:color w:val="auto"/>
          <w:sz w:val="28"/>
          <w:szCs w:val="28"/>
          <w:highlight w:val="none"/>
          <w:lang w:eastAsia="zh-CN" w:bidi="ar"/>
        </w:rPr>
      </w:pPr>
    </w:p>
    <w:p>
      <w:pPr>
        <w:spacing w:line="500" w:lineRule="exact"/>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eastAsia="zh-CN" w:bidi="ar"/>
        </w:rPr>
        <w:t>注：1、从业人员、营业收入、资产总额填报上一年度数据，无上一年度数据的新成立企业可不填报。</w:t>
      </w:r>
    </w:p>
    <w:p>
      <w:pPr>
        <w:spacing w:line="540" w:lineRule="exact"/>
        <w:outlineLvl w:val="2"/>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eastAsia="zh-CN" w:bidi="ar"/>
        </w:rPr>
        <w:t>2、本函为中小企业提供。</w:t>
      </w:r>
    </w:p>
    <w:p>
      <w:pPr>
        <w:widowControl/>
        <w:spacing w:line="500" w:lineRule="exact"/>
        <w:jc w:val="center"/>
        <w:outlineLvl w:val="2"/>
        <w:rPr>
          <w:rFonts w:hint="eastAsia" w:ascii="仿宋" w:hAnsi="仿宋" w:eastAsia="仿宋" w:cs="仿宋"/>
          <w:b/>
          <w:color w:val="auto"/>
          <w:kern w:val="0"/>
          <w:sz w:val="28"/>
          <w:szCs w:val="28"/>
          <w:highlight w:val="none"/>
        </w:rPr>
      </w:pPr>
    </w:p>
    <w:p>
      <w:pPr>
        <w:widowControl/>
        <w:spacing w:line="500" w:lineRule="exact"/>
        <w:jc w:val="center"/>
        <w:outlineLvl w:val="2"/>
        <w:rPr>
          <w:rFonts w:hint="eastAsia" w:ascii="仿宋" w:hAnsi="仿宋" w:eastAsia="仿宋" w:cs="仿宋"/>
          <w:b/>
          <w:color w:val="auto"/>
          <w:kern w:val="0"/>
          <w:sz w:val="28"/>
          <w:szCs w:val="28"/>
          <w:highlight w:val="none"/>
        </w:rPr>
      </w:pPr>
    </w:p>
    <w:p>
      <w:pPr>
        <w:widowControl/>
        <w:spacing w:line="500" w:lineRule="exact"/>
        <w:jc w:val="center"/>
        <w:outlineLvl w:val="2"/>
        <w:rPr>
          <w:rFonts w:hint="eastAsia" w:ascii="仿宋" w:hAnsi="仿宋" w:eastAsia="仿宋" w:cs="仿宋"/>
          <w:b/>
          <w:color w:val="auto"/>
          <w:kern w:val="0"/>
          <w:sz w:val="28"/>
          <w:szCs w:val="28"/>
          <w:highlight w:val="none"/>
        </w:rPr>
      </w:pPr>
    </w:p>
    <w:p>
      <w:pPr>
        <w:widowControl/>
        <w:spacing w:line="500" w:lineRule="exact"/>
        <w:jc w:val="center"/>
        <w:outlineLvl w:val="2"/>
        <w:rPr>
          <w:rFonts w:hint="eastAsia" w:ascii="仿宋" w:hAnsi="仿宋" w:eastAsia="仿宋" w:cs="仿宋"/>
          <w:b/>
          <w:color w:val="auto"/>
          <w:kern w:val="0"/>
          <w:sz w:val="28"/>
          <w:szCs w:val="28"/>
          <w:highlight w:val="none"/>
        </w:rPr>
      </w:pPr>
    </w:p>
    <w:p>
      <w:pPr>
        <w:widowControl/>
        <w:spacing w:line="500" w:lineRule="exact"/>
        <w:jc w:val="center"/>
        <w:outlineLvl w:val="2"/>
        <w:rPr>
          <w:rFonts w:hint="eastAsia" w:ascii="仿宋" w:hAnsi="仿宋" w:eastAsia="仿宋" w:cs="仿宋"/>
          <w:b/>
          <w:color w:val="auto"/>
          <w:kern w:val="0"/>
          <w:sz w:val="28"/>
          <w:szCs w:val="28"/>
          <w:highlight w:val="none"/>
        </w:rPr>
      </w:pPr>
    </w:p>
    <w:p>
      <w:pPr>
        <w:keepNext w:val="0"/>
        <w:keepLines w:val="0"/>
        <w:pageBreakBefore w:val="0"/>
        <w:kinsoku/>
        <w:wordWrap/>
        <w:overflowPunct/>
        <w:topLinePunct w:val="0"/>
        <w:autoSpaceDE w:val="0"/>
        <w:autoSpaceDN w:val="0"/>
        <w:bidi w:val="0"/>
        <w:adjustRightInd w:val="0"/>
        <w:snapToGrid/>
        <w:spacing w:line="440" w:lineRule="exact"/>
        <w:ind w:left="420" w:leftChars="200"/>
        <w:jc w:val="center"/>
        <w:textAlignment w:val="auto"/>
        <w:outlineLvl w:val="2"/>
        <w:rPr>
          <w:rFonts w:hint="eastAsia" w:ascii="仿宋" w:hAnsi="仿宋" w:eastAsia="仿宋" w:cs="仿宋"/>
          <w:b/>
          <w:color w:val="auto"/>
          <w:sz w:val="30"/>
          <w:szCs w:val="30"/>
          <w:highlight w:val="none"/>
          <w:lang w:eastAsia="zh-CN"/>
        </w:rPr>
      </w:pPr>
      <w:bookmarkStart w:id="303" w:name="_Toc10618"/>
      <w:bookmarkStart w:id="304" w:name="_Toc25322"/>
      <w:r>
        <w:rPr>
          <w:rFonts w:hint="eastAsia" w:ascii="仿宋" w:hAnsi="仿宋" w:eastAsia="仿宋" w:cs="仿宋"/>
          <w:b/>
          <w:color w:val="auto"/>
          <w:sz w:val="30"/>
          <w:szCs w:val="30"/>
          <w:highlight w:val="none"/>
          <w:lang w:eastAsia="zh-CN"/>
        </w:rPr>
        <w:t>五、残疾人福利性单位声明函</w:t>
      </w:r>
      <w:bookmarkEnd w:id="303"/>
      <w:bookmarkEnd w:id="304"/>
    </w:p>
    <w:p>
      <w:pPr>
        <w:snapToGrid w:val="0"/>
        <w:spacing w:line="54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单位的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4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本单位对上述声明的真实性负责。如有虚假，将依法承担相应责任。</w:t>
      </w:r>
    </w:p>
    <w:p>
      <w:pPr>
        <w:snapToGrid w:val="0"/>
        <w:spacing w:line="360" w:lineRule="auto"/>
        <w:ind w:firstLine="480" w:firstLineChars="200"/>
        <w:rPr>
          <w:rFonts w:hint="eastAsia" w:ascii="仿宋" w:hAnsi="仿宋" w:eastAsia="仿宋" w:cs="仿宋"/>
          <w:color w:val="auto"/>
          <w:sz w:val="24"/>
          <w:szCs w:val="24"/>
          <w:highlight w:val="none"/>
          <w:lang w:eastAsia="zh-CN"/>
        </w:rPr>
      </w:pPr>
    </w:p>
    <w:p>
      <w:pPr>
        <w:spacing w:line="500" w:lineRule="exact"/>
        <w:ind w:firstLine="2880" w:firstLineChars="1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440" w:lineRule="exact"/>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napToGrid w:val="0"/>
        <w:spacing w:line="540" w:lineRule="exact"/>
        <w:ind w:firstLine="420" w:firstLineChars="200"/>
        <w:rPr>
          <w:rFonts w:hint="eastAsia" w:ascii="仿宋" w:hAnsi="仿宋" w:eastAsia="仿宋" w:cs="仿宋"/>
          <w:color w:val="auto"/>
          <w:highlight w:val="none"/>
          <w:lang w:eastAsia="zh-CN"/>
        </w:rPr>
      </w:pPr>
    </w:p>
    <w:p>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特别</w:t>
      </w:r>
      <w:r>
        <w:rPr>
          <w:rFonts w:hint="eastAsia" w:ascii="仿宋" w:hAnsi="仿宋" w:eastAsia="仿宋" w:cs="仿宋"/>
          <w:b/>
          <w:bCs/>
          <w:color w:val="auto"/>
          <w:sz w:val="24"/>
          <w:szCs w:val="24"/>
          <w:highlight w:val="none"/>
        </w:rPr>
        <w:t>说明：</w:t>
      </w:r>
    </w:p>
    <w:p>
      <w:pPr>
        <w:keepNext w:val="0"/>
        <w:keepLines w:val="0"/>
        <w:pageBreakBefore w:val="0"/>
        <w:widowControl/>
        <w:kinsoku/>
        <w:wordWrap/>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pacing w:val="6"/>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keepNext w:val="0"/>
        <w:keepLines w:val="0"/>
        <w:pageBreakBefore w:val="0"/>
        <w:widowControl/>
        <w:shd w:val="clear" w:color="auto" w:fill="FFFFFF"/>
        <w:kinsoku/>
        <w:wordWrap/>
        <w:topLinePunct w:val="0"/>
        <w:autoSpaceDE/>
        <w:autoSpaceDN/>
        <w:bidi w:val="0"/>
        <w:adjustRightInd/>
        <w:snapToGrid/>
        <w:spacing w:line="400" w:lineRule="exact"/>
        <w:ind w:firstLine="444" w:firstLineChars="200"/>
        <w:jc w:val="lef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（一）安置的残疾人占本单位在职职工人数的比例不低于25%（含25%），并且安置的残疾人人数不少于10人（含10人）；</w:t>
      </w:r>
    </w:p>
    <w:p>
      <w:pPr>
        <w:keepNext w:val="0"/>
        <w:keepLines w:val="0"/>
        <w:pageBreakBefore w:val="0"/>
        <w:widowControl/>
        <w:shd w:val="clear" w:color="auto" w:fill="FFFFFF"/>
        <w:kinsoku/>
        <w:wordWrap/>
        <w:topLinePunct w:val="0"/>
        <w:autoSpaceDE/>
        <w:autoSpaceDN/>
        <w:bidi w:val="0"/>
        <w:adjustRightInd/>
        <w:snapToGrid/>
        <w:spacing w:line="400" w:lineRule="exact"/>
        <w:ind w:firstLine="444" w:firstLineChars="200"/>
        <w:jc w:val="lef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（二）依法与安置的每位残疾人签订了一年以上（含一年）的劳动合同或服务协议；</w:t>
      </w:r>
    </w:p>
    <w:p>
      <w:pPr>
        <w:keepNext w:val="0"/>
        <w:keepLines w:val="0"/>
        <w:pageBreakBefore w:val="0"/>
        <w:widowControl/>
        <w:shd w:val="clear" w:color="auto" w:fill="FFFFFF"/>
        <w:kinsoku/>
        <w:wordWrap/>
        <w:topLinePunct w:val="0"/>
        <w:autoSpaceDE/>
        <w:autoSpaceDN/>
        <w:bidi w:val="0"/>
        <w:adjustRightInd/>
        <w:snapToGrid/>
        <w:spacing w:line="400" w:lineRule="exact"/>
        <w:ind w:firstLine="444" w:firstLineChars="200"/>
        <w:jc w:val="lef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（三）为安置的每位残疾人按月足额缴纳了基本养老保险、基本医疗保险、失业保险、工伤保险和生育保险等社会保险费；</w:t>
      </w:r>
    </w:p>
    <w:p>
      <w:pPr>
        <w:keepNext w:val="0"/>
        <w:keepLines w:val="0"/>
        <w:pageBreakBefore w:val="0"/>
        <w:widowControl/>
        <w:shd w:val="clear" w:color="auto" w:fill="FFFFFF"/>
        <w:kinsoku/>
        <w:wordWrap/>
        <w:topLinePunct w:val="0"/>
        <w:autoSpaceDE/>
        <w:autoSpaceDN/>
        <w:bidi w:val="0"/>
        <w:adjustRightInd/>
        <w:snapToGrid/>
        <w:spacing w:line="400" w:lineRule="exact"/>
        <w:ind w:firstLine="444" w:firstLineChars="200"/>
        <w:jc w:val="lef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（四）通过银行等金融机构向安置的每位残疾人，按月支付了不低于单位所在区县适用的经省级人民政府批准的月最低工资标准的工资；</w:t>
      </w:r>
    </w:p>
    <w:p>
      <w:pPr>
        <w:keepNext w:val="0"/>
        <w:keepLines w:val="0"/>
        <w:pageBreakBefore w:val="0"/>
        <w:widowControl/>
        <w:shd w:val="clear" w:color="auto" w:fill="FFFFFF"/>
        <w:kinsoku/>
        <w:wordWrap/>
        <w:topLinePunct w:val="0"/>
        <w:autoSpaceDE/>
        <w:autoSpaceDN/>
        <w:bidi w:val="0"/>
        <w:adjustRightInd/>
        <w:snapToGrid/>
        <w:spacing w:line="400" w:lineRule="exact"/>
        <w:ind w:firstLine="444" w:firstLineChars="200"/>
        <w:jc w:val="lef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shd w:val="clear" w:color="auto" w:fill="FFFFFF"/>
        <w:kinsoku/>
        <w:wordWrap/>
        <w:topLinePunct w:val="0"/>
        <w:autoSpaceDE/>
        <w:autoSpaceDN/>
        <w:bidi w:val="0"/>
        <w:adjustRightInd/>
        <w:snapToGrid/>
        <w:spacing w:line="400" w:lineRule="exact"/>
        <w:ind w:firstLine="444" w:firstLineChars="200"/>
        <w:jc w:val="lef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kinsoku/>
        <w:wordWrap/>
        <w:topLinePunct w:val="0"/>
        <w:autoSpaceDE/>
        <w:autoSpaceDN/>
        <w:bidi w:val="0"/>
        <w:adjustRightInd/>
        <w:snapToGrid/>
        <w:spacing w:line="40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2.中标人为残疾人福利性单位的，《残疾人福利性单位声明函》随中标结果同时公告，接受社会监督。</w:t>
      </w:r>
    </w:p>
    <w:p>
      <w:pPr>
        <w:pStyle w:val="11"/>
        <w:keepNext w:val="0"/>
        <w:keepLines w:val="0"/>
        <w:pageBreakBefore w:val="0"/>
        <w:widowControl/>
        <w:kinsoku/>
        <w:wordWrap/>
        <w:overflowPunct w:val="0"/>
        <w:topLinePunct w:val="0"/>
        <w:autoSpaceDE/>
        <w:autoSpaceDN/>
        <w:bidi w:val="0"/>
        <w:adjustRightInd/>
        <w:snapToGrid/>
        <w:spacing w:line="400" w:lineRule="exact"/>
        <w:ind w:firstLine="0"/>
        <w:jc w:val="left"/>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pacing w:val="6"/>
          <w:sz w:val="21"/>
          <w:szCs w:val="21"/>
          <w:highlight w:val="none"/>
        </w:rPr>
        <w:t>投标人不属于残疾人福利性单位的，无需提供此声明函，如提供所引起的后果由投标人承担。</w:t>
      </w:r>
    </w:p>
    <w:p>
      <w:pPr>
        <w:snapToGrid w:val="0"/>
        <w:spacing w:line="360" w:lineRule="auto"/>
        <w:ind w:firstLine="420" w:firstLineChars="200"/>
        <w:rPr>
          <w:rFonts w:hint="eastAsia" w:ascii="仿宋" w:hAnsi="仿宋" w:eastAsia="仿宋" w:cs="仿宋"/>
          <w:color w:val="auto"/>
          <w:highlight w:val="none"/>
          <w:lang w:eastAsia="zh-CN"/>
        </w:rPr>
      </w:pPr>
    </w:p>
    <w:p>
      <w:pPr>
        <w:snapToGrid w:val="0"/>
        <w:spacing w:line="400" w:lineRule="exact"/>
        <w:jc w:val="center"/>
        <w:outlineLvl w:val="2"/>
        <w:rPr>
          <w:rFonts w:hint="eastAsia" w:ascii="仿宋" w:hAnsi="仿宋" w:eastAsia="仿宋" w:cs="仿宋"/>
          <w:b/>
          <w:color w:val="auto"/>
          <w:sz w:val="30"/>
          <w:szCs w:val="30"/>
          <w:highlight w:val="none"/>
          <w:lang w:eastAsia="zh-CN"/>
        </w:rPr>
      </w:pPr>
      <w:bookmarkStart w:id="305" w:name="_Toc24444"/>
      <w:bookmarkStart w:id="306" w:name="_Toc30475"/>
      <w:bookmarkStart w:id="307" w:name="_Toc24542"/>
      <w:bookmarkStart w:id="308" w:name="_Toc6319325"/>
      <w:bookmarkStart w:id="309" w:name="_Toc9549"/>
      <w:bookmarkStart w:id="310" w:name="_Toc26308"/>
    </w:p>
    <w:p>
      <w:pPr>
        <w:snapToGrid w:val="0"/>
        <w:spacing w:line="400" w:lineRule="exact"/>
        <w:jc w:val="center"/>
        <w:outlineLvl w:val="2"/>
        <w:rPr>
          <w:rFonts w:hint="eastAsia" w:ascii="仿宋" w:hAnsi="仿宋" w:eastAsia="仿宋" w:cs="仿宋"/>
          <w:b/>
          <w:color w:val="auto"/>
          <w:sz w:val="30"/>
          <w:szCs w:val="30"/>
          <w:highlight w:val="none"/>
          <w:lang w:eastAsia="zh-CN"/>
        </w:rPr>
      </w:pPr>
    </w:p>
    <w:p>
      <w:pPr>
        <w:snapToGrid w:val="0"/>
        <w:spacing w:line="400" w:lineRule="exact"/>
        <w:jc w:val="center"/>
        <w:outlineLvl w:val="2"/>
        <w:rPr>
          <w:rFonts w:hint="eastAsia" w:ascii="仿宋" w:hAnsi="仿宋" w:eastAsia="仿宋" w:cs="仿宋"/>
          <w:b/>
          <w:color w:val="auto"/>
          <w:sz w:val="30"/>
          <w:szCs w:val="30"/>
          <w:highlight w:val="none"/>
          <w:lang w:eastAsia="zh-CN"/>
        </w:rPr>
      </w:pPr>
    </w:p>
    <w:p>
      <w:pPr>
        <w:snapToGrid w:val="0"/>
        <w:spacing w:line="400" w:lineRule="exact"/>
        <w:jc w:val="center"/>
        <w:outlineLvl w:val="2"/>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六、省级以上监狱管理局、戒毒管理局（含新疆生产建设兵团）出具的属于监狱企业的证明文件扫描件</w:t>
      </w:r>
      <w:bookmarkEnd w:id="305"/>
      <w:bookmarkEnd w:id="306"/>
      <w:bookmarkEnd w:id="307"/>
      <w:bookmarkEnd w:id="308"/>
      <w:bookmarkEnd w:id="309"/>
      <w:bookmarkEnd w:id="310"/>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spacing w:line="500" w:lineRule="exact"/>
        <w:jc w:val="center"/>
        <w:outlineLvl w:val="1"/>
        <w:rPr>
          <w:rFonts w:hint="eastAsia" w:ascii="仿宋" w:hAnsi="仿宋" w:eastAsia="仿宋" w:cs="仿宋"/>
          <w:b/>
          <w:color w:val="auto"/>
          <w:sz w:val="30"/>
          <w:szCs w:val="30"/>
          <w:highlight w:val="none"/>
          <w:lang w:eastAsia="zh-CN"/>
        </w:rPr>
      </w:pPr>
    </w:p>
    <w:p>
      <w:pPr>
        <w:autoSpaceDE w:val="0"/>
        <w:autoSpaceDN w:val="0"/>
        <w:adjustRightInd w:val="0"/>
        <w:spacing w:line="440" w:lineRule="exact"/>
        <w:rPr>
          <w:rFonts w:hint="eastAsia" w:ascii="仿宋" w:hAnsi="仿宋" w:eastAsia="仿宋" w:cs="仿宋"/>
          <w:color w:val="auto"/>
          <w:kern w:val="2"/>
          <w:highlight w:val="none"/>
          <w:lang w:val="en-GB" w:eastAsia="zh-CN" w:bidi="ar-SA"/>
        </w:rPr>
      </w:pPr>
    </w:p>
    <w:p>
      <w:pPr>
        <w:autoSpaceDE w:val="0"/>
        <w:autoSpaceDN w:val="0"/>
        <w:adjustRightInd w:val="0"/>
        <w:spacing w:line="440" w:lineRule="exact"/>
        <w:ind w:firstLine="420" w:firstLineChars="200"/>
        <w:rPr>
          <w:rFonts w:hint="eastAsia" w:ascii="仿宋" w:hAnsi="仿宋" w:eastAsia="仿宋" w:cs="仿宋"/>
          <w:color w:val="auto"/>
          <w:kern w:val="2"/>
          <w:highlight w:val="none"/>
          <w:lang w:val="en-GB" w:eastAsia="zh-CN" w:bidi="ar-SA"/>
        </w:rPr>
      </w:pPr>
    </w:p>
    <w:p>
      <w:pPr>
        <w:pStyle w:val="50"/>
        <w:rPr>
          <w:rFonts w:hint="eastAsia" w:ascii="仿宋" w:hAnsi="仿宋" w:eastAsia="仿宋" w:cs="仿宋"/>
          <w:color w:val="auto"/>
          <w:highlight w:val="none"/>
          <w:lang w:val="en-GB" w:eastAsia="zh-CN"/>
        </w:rPr>
      </w:pPr>
    </w:p>
    <w:p>
      <w:pPr>
        <w:pStyle w:val="38"/>
        <w:ind w:left="0" w:leftChars="0" w:firstLine="0" w:firstLineChars="0"/>
        <w:rPr>
          <w:rFonts w:hint="eastAsia" w:ascii="仿宋" w:hAnsi="仿宋" w:eastAsia="仿宋" w:cs="仿宋"/>
          <w:color w:val="auto"/>
          <w:highlight w:val="none"/>
          <w:lang w:eastAsia="zh-CN"/>
        </w:rPr>
      </w:pPr>
    </w:p>
    <w:p>
      <w:pPr>
        <w:autoSpaceDE w:val="0"/>
        <w:autoSpaceDN w:val="0"/>
        <w:adjustRightInd w:val="0"/>
        <w:spacing w:line="50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color w:val="auto"/>
          <w:sz w:val="30"/>
          <w:szCs w:val="30"/>
          <w:highlight w:val="none"/>
          <w:lang w:eastAsia="zh-CN"/>
        </w:rPr>
        <w:t>七、</w:t>
      </w:r>
      <w:r>
        <w:rPr>
          <w:rFonts w:hint="eastAsia" w:ascii="仿宋" w:hAnsi="仿宋" w:eastAsia="仿宋" w:cs="仿宋"/>
          <w:b/>
          <w:bCs/>
          <w:color w:val="auto"/>
          <w:kern w:val="0"/>
          <w:sz w:val="28"/>
          <w:szCs w:val="28"/>
          <w:highlight w:val="none"/>
        </w:rPr>
        <w:t>投标人需要说明的其他文件和说明</w:t>
      </w:r>
      <w:bookmarkEnd w:id="299"/>
      <w:bookmarkEnd w:id="300"/>
      <w:bookmarkEnd w:id="301"/>
      <w:bookmarkEnd w:id="302"/>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snapToGrid w:val="0"/>
        <w:spacing w:line="500" w:lineRule="exact"/>
        <w:jc w:val="center"/>
        <w:outlineLvl w:val="2"/>
        <w:rPr>
          <w:rFonts w:hint="eastAsia" w:ascii="仿宋" w:hAnsi="仿宋" w:eastAsia="仿宋" w:cs="仿宋"/>
          <w:b/>
          <w:bCs/>
          <w:color w:val="auto"/>
          <w:kern w:val="0"/>
          <w:sz w:val="28"/>
          <w:szCs w:val="28"/>
          <w:highlight w:val="none"/>
        </w:rPr>
      </w:pPr>
    </w:p>
    <w:p>
      <w:pPr>
        <w:tabs>
          <w:tab w:val="left" w:pos="1418"/>
        </w:tabs>
        <w:rPr>
          <w:rFonts w:hint="eastAsia" w:ascii="仿宋" w:hAnsi="仿宋" w:eastAsia="仿宋" w:cs="仿宋"/>
          <w:color w:val="auto"/>
          <w:kern w:val="1"/>
          <w:sz w:val="28"/>
          <w:szCs w:val="28"/>
          <w:highlight w:val="none"/>
        </w:rPr>
      </w:pPr>
    </w:p>
    <w:sectPr>
      <w:headerReference r:id="rId5" w:type="default"/>
      <w:footerReference r:id="rId6" w:type="default"/>
      <w:footerReference r:id="rId7" w:type="even"/>
      <w:pgSz w:w="11906" w:h="16838"/>
      <w:pgMar w:top="1304" w:right="1304" w:bottom="1191" w:left="1304" w:header="794"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rPr>
                              <w:rFonts w:hint="eastAsia" w:eastAsia="宋体"/>
                              <w:lang w:eastAsia="zh-CN"/>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26"/>
                      <w:jc w:val="center"/>
                      <w:rPr>
                        <w:rFonts w:hint="eastAsia" w:eastAsia="宋体"/>
                        <w:lang w:eastAsia="zh-CN"/>
                      </w:rPr>
                    </w:pPr>
                  </w:p>
                </w:txbxContent>
              </v:textbox>
            </v:shape>
          </w:pict>
        </mc:Fallback>
      </mc:AlternateContent>
    </w:r>
  </w:p>
  <w:p>
    <w:pPr>
      <w:pStyle w:val="26"/>
      <w:tabs>
        <w:tab w:val="center" w:pos="4422"/>
        <w:tab w:val="right" w:pos="8844"/>
        <w:tab w:val="clear" w:pos="4153"/>
        <w:tab w:val="clear" w:pos="8306"/>
      </w:tabs>
    </w:pPr>
    <w:r>
      <w:rPr>
        <w:rFonts w:hint="eastAsia"/>
      </w:rPr>
      <w:t>嘉兴市千秋工程咨询有限公司</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422"/>
        <w:tab w:val="right" w:pos="8844"/>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rPr>
      <w:t>嘉兴市千秋工程咨询有限公司</w: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sz w:val="21"/>
        <w:szCs w:val="21"/>
        <w:lang w:eastAsia="zh-CN"/>
      </w:rPr>
      <w:t>开化县华埠镇城区环卫作业一体化服务采购项目</w:t>
    </w:r>
    <w:r>
      <w:rPr>
        <w:rFonts w:hint="eastAsia"/>
        <w:sz w:val="21"/>
        <w:szCs w:val="21"/>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color w:val="auto"/>
        <w:sz w:val="21"/>
        <w:szCs w:val="21"/>
      </w:rPr>
    </w:pPr>
    <w:r>
      <w:rPr>
        <w:rFonts w:hint="eastAsia"/>
        <w:color w:val="auto"/>
        <w:sz w:val="21"/>
        <w:szCs w:val="21"/>
        <w:lang w:eastAsia="zh-CN"/>
      </w:rPr>
      <w:t>开化县华埠镇城区环卫作业一体化服务采购项目</w:t>
    </w:r>
    <w:r>
      <w:rPr>
        <w:rFonts w:hint="eastAsia"/>
        <w:color w:val="auto"/>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A7998"/>
    <w:multiLevelType w:val="singleLevel"/>
    <w:tmpl w:val="B1EA7998"/>
    <w:lvl w:ilvl="0" w:tentative="0">
      <w:start w:val="1"/>
      <w:numFmt w:val="decimal"/>
      <w:lvlText w:val="%1."/>
      <w:lvlJc w:val="left"/>
      <w:pPr>
        <w:tabs>
          <w:tab w:val="left" w:pos="312"/>
        </w:tabs>
      </w:pPr>
    </w:lvl>
  </w:abstractNum>
  <w:abstractNum w:abstractNumId="1">
    <w:nsid w:val="E1D9C11E"/>
    <w:multiLevelType w:val="singleLevel"/>
    <w:tmpl w:val="E1D9C11E"/>
    <w:lvl w:ilvl="0" w:tentative="0">
      <w:start w:val="27"/>
      <w:numFmt w:val="decimal"/>
      <w:suff w:val="nothing"/>
      <w:lvlText w:val="%1、"/>
      <w:lvlJc w:val="left"/>
    </w:lvl>
  </w:abstractNum>
  <w:abstractNum w:abstractNumId="2">
    <w:nsid w:val="43FE03D7"/>
    <w:multiLevelType w:val="singleLevel"/>
    <w:tmpl w:val="43FE03D7"/>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08"/>
    <w:rsid w:val="00000D18"/>
    <w:rsid w:val="00003660"/>
    <w:rsid w:val="00007653"/>
    <w:rsid w:val="000103E5"/>
    <w:rsid w:val="00010CE2"/>
    <w:rsid w:val="00011B42"/>
    <w:rsid w:val="00012F0F"/>
    <w:rsid w:val="00015514"/>
    <w:rsid w:val="00015697"/>
    <w:rsid w:val="000169CA"/>
    <w:rsid w:val="000177CE"/>
    <w:rsid w:val="00021970"/>
    <w:rsid w:val="00022849"/>
    <w:rsid w:val="0002543F"/>
    <w:rsid w:val="00026004"/>
    <w:rsid w:val="00027EFE"/>
    <w:rsid w:val="00032493"/>
    <w:rsid w:val="000337DA"/>
    <w:rsid w:val="00033AE7"/>
    <w:rsid w:val="00034B0D"/>
    <w:rsid w:val="000367FE"/>
    <w:rsid w:val="00037847"/>
    <w:rsid w:val="0004049E"/>
    <w:rsid w:val="00041553"/>
    <w:rsid w:val="0004206C"/>
    <w:rsid w:val="000435D2"/>
    <w:rsid w:val="00044123"/>
    <w:rsid w:val="00044E22"/>
    <w:rsid w:val="00046019"/>
    <w:rsid w:val="00046210"/>
    <w:rsid w:val="00050045"/>
    <w:rsid w:val="00051770"/>
    <w:rsid w:val="00051ECF"/>
    <w:rsid w:val="00054D8C"/>
    <w:rsid w:val="00055394"/>
    <w:rsid w:val="00055615"/>
    <w:rsid w:val="000570C1"/>
    <w:rsid w:val="00057799"/>
    <w:rsid w:val="00057D3F"/>
    <w:rsid w:val="00065D4D"/>
    <w:rsid w:val="00065E4F"/>
    <w:rsid w:val="000675B1"/>
    <w:rsid w:val="000706B7"/>
    <w:rsid w:val="0007254E"/>
    <w:rsid w:val="000731CF"/>
    <w:rsid w:val="00074FF8"/>
    <w:rsid w:val="00075127"/>
    <w:rsid w:val="00076DF2"/>
    <w:rsid w:val="00080542"/>
    <w:rsid w:val="00080D5F"/>
    <w:rsid w:val="00082BCF"/>
    <w:rsid w:val="00086055"/>
    <w:rsid w:val="0008654E"/>
    <w:rsid w:val="000873C9"/>
    <w:rsid w:val="0008757B"/>
    <w:rsid w:val="00087670"/>
    <w:rsid w:val="00090F0D"/>
    <w:rsid w:val="00091AE3"/>
    <w:rsid w:val="00094982"/>
    <w:rsid w:val="000959FD"/>
    <w:rsid w:val="000962F3"/>
    <w:rsid w:val="00096FE3"/>
    <w:rsid w:val="00097991"/>
    <w:rsid w:val="000A007E"/>
    <w:rsid w:val="000A0696"/>
    <w:rsid w:val="000A11E4"/>
    <w:rsid w:val="000A1233"/>
    <w:rsid w:val="000A1CFE"/>
    <w:rsid w:val="000A2938"/>
    <w:rsid w:val="000A3169"/>
    <w:rsid w:val="000A5611"/>
    <w:rsid w:val="000A78F7"/>
    <w:rsid w:val="000B064A"/>
    <w:rsid w:val="000B06AF"/>
    <w:rsid w:val="000B333C"/>
    <w:rsid w:val="000B440F"/>
    <w:rsid w:val="000B54BC"/>
    <w:rsid w:val="000B6230"/>
    <w:rsid w:val="000C30A3"/>
    <w:rsid w:val="000C3C23"/>
    <w:rsid w:val="000C406E"/>
    <w:rsid w:val="000C602E"/>
    <w:rsid w:val="000D062E"/>
    <w:rsid w:val="000D083F"/>
    <w:rsid w:val="000D0CB2"/>
    <w:rsid w:val="000D5091"/>
    <w:rsid w:val="000E303A"/>
    <w:rsid w:val="000E3484"/>
    <w:rsid w:val="000E7A83"/>
    <w:rsid w:val="000F1A99"/>
    <w:rsid w:val="000F2115"/>
    <w:rsid w:val="000F6D90"/>
    <w:rsid w:val="00101546"/>
    <w:rsid w:val="00104686"/>
    <w:rsid w:val="001072B6"/>
    <w:rsid w:val="001129AA"/>
    <w:rsid w:val="00113EAB"/>
    <w:rsid w:val="00114C2A"/>
    <w:rsid w:val="00115D57"/>
    <w:rsid w:val="001164F1"/>
    <w:rsid w:val="00120E03"/>
    <w:rsid w:val="0012213C"/>
    <w:rsid w:val="0012415D"/>
    <w:rsid w:val="0012619D"/>
    <w:rsid w:val="0012656B"/>
    <w:rsid w:val="00127955"/>
    <w:rsid w:val="001342D7"/>
    <w:rsid w:val="00134929"/>
    <w:rsid w:val="00134FCA"/>
    <w:rsid w:val="00135808"/>
    <w:rsid w:val="00136AC5"/>
    <w:rsid w:val="0013773E"/>
    <w:rsid w:val="001414F2"/>
    <w:rsid w:val="00144547"/>
    <w:rsid w:val="00144790"/>
    <w:rsid w:val="00144C51"/>
    <w:rsid w:val="00150C4C"/>
    <w:rsid w:val="00152459"/>
    <w:rsid w:val="001532F6"/>
    <w:rsid w:val="00153836"/>
    <w:rsid w:val="00154DE4"/>
    <w:rsid w:val="001556A3"/>
    <w:rsid w:val="00156EDC"/>
    <w:rsid w:val="001576DE"/>
    <w:rsid w:val="00160669"/>
    <w:rsid w:val="001620AF"/>
    <w:rsid w:val="00163790"/>
    <w:rsid w:val="00165540"/>
    <w:rsid w:val="00167114"/>
    <w:rsid w:val="00167458"/>
    <w:rsid w:val="00170A9A"/>
    <w:rsid w:val="00170D51"/>
    <w:rsid w:val="00175BFC"/>
    <w:rsid w:val="0017650B"/>
    <w:rsid w:val="0018109F"/>
    <w:rsid w:val="001816EB"/>
    <w:rsid w:val="00184AD4"/>
    <w:rsid w:val="0018616F"/>
    <w:rsid w:val="0018668D"/>
    <w:rsid w:val="00186F19"/>
    <w:rsid w:val="00187210"/>
    <w:rsid w:val="00187413"/>
    <w:rsid w:val="00192DA6"/>
    <w:rsid w:val="0019390A"/>
    <w:rsid w:val="00195BC8"/>
    <w:rsid w:val="00195E0B"/>
    <w:rsid w:val="00196B7F"/>
    <w:rsid w:val="00197388"/>
    <w:rsid w:val="001A01F3"/>
    <w:rsid w:val="001A0283"/>
    <w:rsid w:val="001A08E8"/>
    <w:rsid w:val="001A5BAC"/>
    <w:rsid w:val="001A6056"/>
    <w:rsid w:val="001B075F"/>
    <w:rsid w:val="001B22D4"/>
    <w:rsid w:val="001B4660"/>
    <w:rsid w:val="001B5577"/>
    <w:rsid w:val="001B58F6"/>
    <w:rsid w:val="001C0A1A"/>
    <w:rsid w:val="001C11F2"/>
    <w:rsid w:val="001C2DF9"/>
    <w:rsid w:val="001C4418"/>
    <w:rsid w:val="001C4620"/>
    <w:rsid w:val="001C4D13"/>
    <w:rsid w:val="001D0533"/>
    <w:rsid w:val="001D078C"/>
    <w:rsid w:val="001D2C93"/>
    <w:rsid w:val="001D439D"/>
    <w:rsid w:val="001D7A53"/>
    <w:rsid w:val="001E02B0"/>
    <w:rsid w:val="001E14B5"/>
    <w:rsid w:val="001E339E"/>
    <w:rsid w:val="001E544B"/>
    <w:rsid w:val="001E6EB5"/>
    <w:rsid w:val="001F3972"/>
    <w:rsid w:val="001F49FE"/>
    <w:rsid w:val="001F59CE"/>
    <w:rsid w:val="001F6547"/>
    <w:rsid w:val="001F6E52"/>
    <w:rsid w:val="00200563"/>
    <w:rsid w:val="00200E2B"/>
    <w:rsid w:val="00204095"/>
    <w:rsid w:val="00206E50"/>
    <w:rsid w:val="002100EF"/>
    <w:rsid w:val="00210435"/>
    <w:rsid w:val="002151AD"/>
    <w:rsid w:val="0021618C"/>
    <w:rsid w:val="00217A9D"/>
    <w:rsid w:val="0022117B"/>
    <w:rsid w:val="0022135A"/>
    <w:rsid w:val="0022428E"/>
    <w:rsid w:val="0022487F"/>
    <w:rsid w:val="00230096"/>
    <w:rsid w:val="0023178F"/>
    <w:rsid w:val="00231834"/>
    <w:rsid w:val="0023368A"/>
    <w:rsid w:val="00233EE6"/>
    <w:rsid w:val="00234A66"/>
    <w:rsid w:val="00235737"/>
    <w:rsid w:val="00235B1C"/>
    <w:rsid w:val="002409F6"/>
    <w:rsid w:val="00241051"/>
    <w:rsid w:val="00241F60"/>
    <w:rsid w:val="00243FB5"/>
    <w:rsid w:val="002452EC"/>
    <w:rsid w:val="002453E1"/>
    <w:rsid w:val="00246442"/>
    <w:rsid w:val="0025001E"/>
    <w:rsid w:val="0025181D"/>
    <w:rsid w:val="0025265A"/>
    <w:rsid w:val="002528E6"/>
    <w:rsid w:val="00254E04"/>
    <w:rsid w:val="00255938"/>
    <w:rsid w:val="00255CF6"/>
    <w:rsid w:val="0026112E"/>
    <w:rsid w:val="002635C9"/>
    <w:rsid w:val="0026382C"/>
    <w:rsid w:val="0026418E"/>
    <w:rsid w:val="002649C0"/>
    <w:rsid w:val="00264C59"/>
    <w:rsid w:val="00264D5F"/>
    <w:rsid w:val="00265E1A"/>
    <w:rsid w:val="00266E4C"/>
    <w:rsid w:val="00270DCC"/>
    <w:rsid w:val="00272D6D"/>
    <w:rsid w:val="00273D86"/>
    <w:rsid w:val="00273F97"/>
    <w:rsid w:val="00274090"/>
    <w:rsid w:val="002768EA"/>
    <w:rsid w:val="002805E2"/>
    <w:rsid w:val="00280755"/>
    <w:rsid w:val="002807EE"/>
    <w:rsid w:val="00281898"/>
    <w:rsid w:val="00282697"/>
    <w:rsid w:val="00283916"/>
    <w:rsid w:val="002839FC"/>
    <w:rsid w:val="0028725E"/>
    <w:rsid w:val="00290507"/>
    <w:rsid w:val="002908B3"/>
    <w:rsid w:val="0029139B"/>
    <w:rsid w:val="0029250F"/>
    <w:rsid w:val="00297703"/>
    <w:rsid w:val="002A198A"/>
    <w:rsid w:val="002A19B6"/>
    <w:rsid w:val="002A3BCA"/>
    <w:rsid w:val="002A73A5"/>
    <w:rsid w:val="002B51BD"/>
    <w:rsid w:val="002B65F6"/>
    <w:rsid w:val="002C1BB1"/>
    <w:rsid w:val="002C3CB4"/>
    <w:rsid w:val="002C48DA"/>
    <w:rsid w:val="002C51B6"/>
    <w:rsid w:val="002C7285"/>
    <w:rsid w:val="002C7B31"/>
    <w:rsid w:val="002D0D6C"/>
    <w:rsid w:val="002D22B3"/>
    <w:rsid w:val="002D387D"/>
    <w:rsid w:val="002D595B"/>
    <w:rsid w:val="002D60C2"/>
    <w:rsid w:val="002E1138"/>
    <w:rsid w:val="002E31E5"/>
    <w:rsid w:val="002E3F24"/>
    <w:rsid w:val="002E4AFA"/>
    <w:rsid w:val="002E4CCD"/>
    <w:rsid w:val="002E5133"/>
    <w:rsid w:val="002E71C0"/>
    <w:rsid w:val="002E75DC"/>
    <w:rsid w:val="002E7695"/>
    <w:rsid w:val="002F07D2"/>
    <w:rsid w:val="002F4C15"/>
    <w:rsid w:val="002F5945"/>
    <w:rsid w:val="002F64B5"/>
    <w:rsid w:val="002F6630"/>
    <w:rsid w:val="003000F4"/>
    <w:rsid w:val="0030151C"/>
    <w:rsid w:val="003028DC"/>
    <w:rsid w:val="00302E96"/>
    <w:rsid w:val="003040F8"/>
    <w:rsid w:val="00304AB5"/>
    <w:rsid w:val="00305E64"/>
    <w:rsid w:val="003075ED"/>
    <w:rsid w:val="0031057F"/>
    <w:rsid w:val="00310823"/>
    <w:rsid w:val="003125A6"/>
    <w:rsid w:val="00312788"/>
    <w:rsid w:val="003128DD"/>
    <w:rsid w:val="00313D60"/>
    <w:rsid w:val="00314C57"/>
    <w:rsid w:val="00316197"/>
    <w:rsid w:val="0032094D"/>
    <w:rsid w:val="0032223A"/>
    <w:rsid w:val="00325110"/>
    <w:rsid w:val="00325371"/>
    <w:rsid w:val="00325A7D"/>
    <w:rsid w:val="00327935"/>
    <w:rsid w:val="003300CD"/>
    <w:rsid w:val="00330C5F"/>
    <w:rsid w:val="00330C68"/>
    <w:rsid w:val="00333498"/>
    <w:rsid w:val="00334D6D"/>
    <w:rsid w:val="003354B4"/>
    <w:rsid w:val="003420A2"/>
    <w:rsid w:val="00342139"/>
    <w:rsid w:val="00343B17"/>
    <w:rsid w:val="003445F7"/>
    <w:rsid w:val="00347AA1"/>
    <w:rsid w:val="003503C0"/>
    <w:rsid w:val="00356980"/>
    <w:rsid w:val="00363D2C"/>
    <w:rsid w:val="00364956"/>
    <w:rsid w:val="0036781C"/>
    <w:rsid w:val="00370DD2"/>
    <w:rsid w:val="003756AD"/>
    <w:rsid w:val="00375BD9"/>
    <w:rsid w:val="00376976"/>
    <w:rsid w:val="00380384"/>
    <w:rsid w:val="00381A90"/>
    <w:rsid w:val="003825A0"/>
    <w:rsid w:val="003849EF"/>
    <w:rsid w:val="00384EE2"/>
    <w:rsid w:val="003854A2"/>
    <w:rsid w:val="00385FF0"/>
    <w:rsid w:val="00386805"/>
    <w:rsid w:val="00387D2E"/>
    <w:rsid w:val="0039055C"/>
    <w:rsid w:val="00391971"/>
    <w:rsid w:val="00391F34"/>
    <w:rsid w:val="00397455"/>
    <w:rsid w:val="0039785C"/>
    <w:rsid w:val="003A1F7D"/>
    <w:rsid w:val="003A3124"/>
    <w:rsid w:val="003A39A6"/>
    <w:rsid w:val="003A45EC"/>
    <w:rsid w:val="003A4C84"/>
    <w:rsid w:val="003A6C75"/>
    <w:rsid w:val="003B065B"/>
    <w:rsid w:val="003B1A3D"/>
    <w:rsid w:val="003B1C8A"/>
    <w:rsid w:val="003B2E2C"/>
    <w:rsid w:val="003B4286"/>
    <w:rsid w:val="003B4E27"/>
    <w:rsid w:val="003B545E"/>
    <w:rsid w:val="003B6A1B"/>
    <w:rsid w:val="003B7058"/>
    <w:rsid w:val="003C3FBD"/>
    <w:rsid w:val="003C4D68"/>
    <w:rsid w:val="003C51B9"/>
    <w:rsid w:val="003C609D"/>
    <w:rsid w:val="003C6284"/>
    <w:rsid w:val="003C76CB"/>
    <w:rsid w:val="003C780E"/>
    <w:rsid w:val="003D02B3"/>
    <w:rsid w:val="003D05BA"/>
    <w:rsid w:val="003D5091"/>
    <w:rsid w:val="003D52BA"/>
    <w:rsid w:val="003D594E"/>
    <w:rsid w:val="003D7C58"/>
    <w:rsid w:val="003E0CD6"/>
    <w:rsid w:val="003E1D29"/>
    <w:rsid w:val="003E24C1"/>
    <w:rsid w:val="003E4A54"/>
    <w:rsid w:val="003F0C02"/>
    <w:rsid w:val="003F2527"/>
    <w:rsid w:val="003F3EB3"/>
    <w:rsid w:val="003F3FFB"/>
    <w:rsid w:val="003F443F"/>
    <w:rsid w:val="003F70F4"/>
    <w:rsid w:val="0040328E"/>
    <w:rsid w:val="004032FB"/>
    <w:rsid w:val="0040469D"/>
    <w:rsid w:val="004056E4"/>
    <w:rsid w:val="0041097A"/>
    <w:rsid w:val="00412A19"/>
    <w:rsid w:val="00413049"/>
    <w:rsid w:val="0041388C"/>
    <w:rsid w:val="0041403E"/>
    <w:rsid w:val="00414590"/>
    <w:rsid w:val="0041550B"/>
    <w:rsid w:val="00416076"/>
    <w:rsid w:val="004169F2"/>
    <w:rsid w:val="00417050"/>
    <w:rsid w:val="0042063B"/>
    <w:rsid w:val="0042283C"/>
    <w:rsid w:val="00431997"/>
    <w:rsid w:val="00433A1F"/>
    <w:rsid w:val="00434222"/>
    <w:rsid w:val="0043526A"/>
    <w:rsid w:val="00437449"/>
    <w:rsid w:val="00440624"/>
    <w:rsid w:val="00440971"/>
    <w:rsid w:val="00440AAA"/>
    <w:rsid w:val="004414AA"/>
    <w:rsid w:val="004419D4"/>
    <w:rsid w:val="00442910"/>
    <w:rsid w:val="004435D7"/>
    <w:rsid w:val="0045021A"/>
    <w:rsid w:val="004517F6"/>
    <w:rsid w:val="004546BC"/>
    <w:rsid w:val="00455BF3"/>
    <w:rsid w:val="00455DD7"/>
    <w:rsid w:val="00457AE8"/>
    <w:rsid w:val="00460280"/>
    <w:rsid w:val="0046249A"/>
    <w:rsid w:val="00462D86"/>
    <w:rsid w:val="00462F2E"/>
    <w:rsid w:val="00464203"/>
    <w:rsid w:val="00467A71"/>
    <w:rsid w:val="00471F39"/>
    <w:rsid w:val="004753C1"/>
    <w:rsid w:val="00475BC1"/>
    <w:rsid w:val="00475F34"/>
    <w:rsid w:val="00476E4F"/>
    <w:rsid w:val="00481280"/>
    <w:rsid w:val="0048604E"/>
    <w:rsid w:val="00487D1C"/>
    <w:rsid w:val="004908BE"/>
    <w:rsid w:val="00491ED1"/>
    <w:rsid w:val="004978D2"/>
    <w:rsid w:val="00497D0C"/>
    <w:rsid w:val="004A0B01"/>
    <w:rsid w:val="004A208C"/>
    <w:rsid w:val="004A2234"/>
    <w:rsid w:val="004A3672"/>
    <w:rsid w:val="004A4088"/>
    <w:rsid w:val="004A4159"/>
    <w:rsid w:val="004A4369"/>
    <w:rsid w:val="004A62B1"/>
    <w:rsid w:val="004A707D"/>
    <w:rsid w:val="004B2A00"/>
    <w:rsid w:val="004B2EA8"/>
    <w:rsid w:val="004B37AC"/>
    <w:rsid w:val="004B37F7"/>
    <w:rsid w:val="004B3999"/>
    <w:rsid w:val="004B4E32"/>
    <w:rsid w:val="004B54D6"/>
    <w:rsid w:val="004B6752"/>
    <w:rsid w:val="004C1F22"/>
    <w:rsid w:val="004C2A3E"/>
    <w:rsid w:val="004C593B"/>
    <w:rsid w:val="004C5A3A"/>
    <w:rsid w:val="004C667F"/>
    <w:rsid w:val="004D00B4"/>
    <w:rsid w:val="004D02E1"/>
    <w:rsid w:val="004D2C90"/>
    <w:rsid w:val="004D5AEA"/>
    <w:rsid w:val="004D6A8F"/>
    <w:rsid w:val="004D7E40"/>
    <w:rsid w:val="004E034B"/>
    <w:rsid w:val="004E0B9D"/>
    <w:rsid w:val="004E2203"/>
    <w:rsid w:val="004E2F74"/>
    <w:rsid w:val="004E2F7D"/>
    <w:rsid w:val="004E2FF7"/>
    <w:rsid w:val="004E3F61"/>
    <w:rsid w:val="004E402E"/>
    <w:rsid w:val="004E4D8B"/>
    <w:rsid w:val="004E4DAB"/>
    <w:rsid w:val="004E511A"/>
    <w:rsid w:val="004E5D2B"/>
    <w:rsid w:val="004F1B0D"/>
    <w:rsid w:val="004F3843"/>
    <w:rsid w:val="004F504B"/>
    <w:rsid w:val="004F5151"/>
    <w:rsid w:val="004F6937"/>
    <w:rsid w:val="004F7706"/>
    <w:rsid w:val="005003E6"/>
    <w:rsid w:val="00501122"/>
    <w:rsid w:val="00501374"/>
    <w:rsid w:val="00502B94"/>
    <w:rsid w:val="00504ACD"/>
    <w:rsid w:val="00504AF4"/>
    <w:rsid w:val="0050700B"/>
    <w:rsid w:val="005100DC"/>
    <w:rsid w:val="0051069A"/>
    <w:rsid w:val="00512959"/>
    <w:rsid w:val="00515C30"/>
    <w:rsid w:val="00516BC6"/>
    <w:rsid w:val="00517A13"/>
    <w:rsid w:val="00522620"/>
    <w:rsid w:val="00524725"/>
    <w:rsid w:val="00524C43"/>
    <w:rsid w:val="00525B7A"/>
    <w:rsid w:val="00530F45"/>
    <w:rsid w:val="0053106C"/>
    <w:rsid w:val="00535E49"/>
    <w:rsid w:val="00537161"/>
    <w:rsid w:val="0054037B"/>
    <w:rsid w:val="0054210E"/>
    <w:rsid w:val="00547FB1"/>
    <w:rsid w:val="005502B4"/>
    <w:rsid w:val="0055335F"/>
    <w:rsid w:val="005539F8"/>
    <w:rsid w:val="00553E24"/>
    <w:rsid w:val="00560C09"/>
    <w:rsid w:val="00561D2E"/>
    <w:rsid w:val="005653B2"/>
    <w:rsid w:val="005661A1"/>
    <w:rsid w:val="00570C1B"/>
    <w:rsid w:val="005721FE"/>
    <w:rsid w:val="00572FC1"/>
    <w:rsid w:val="0057796B"/>
    <w:rsid w:val="00581D1A"/>
    <w:rsid w:val="00587780"/>
    <w:rsid w:val="0058789C"/>
    <w:rsid w:val="0059074F"/>
    <w:rsid w:val="00591FD4"/>
    <w:rsid w:val="005936CD"/>
    <w:rsid w:val="005937D7"/>
    <w:rsid w:val="00595514"/>
    <w:rsid w:val="005958B4"/>
    <w:rsid w:val="00596AA8"/>
    <w:rsid w:val="005A14D2"/>
    <w:rsid w:val="005A5F5A"/>
    <w:rsid w:val="005A5FC0"/>
    <w:rsid w:val="005A63F1"/>
    <w:rsid w:val="005A6B45"/>
    <w:rsid w:val="005B0B5F"/>
    <w:rsid w:val="005B0D73"/>
    <w:rsid w:val="005B69C0"/>
    <w:rsid w:val="005C00B6"/>
    <w:rsid w:val="005C2437"/>
    <w:rsid w:val="005C3CEF"/>
    <w:rsid w:val="005C6433"/>
    <w:rsid w:val="005C6685"/>
    <w:rsid w:val="005C6F35"/>
    <w:rsid w:val="005D637F"/>
    <w:rsid w:val="005E04EF"/>
    <w:rsid w:val="005E125A"/>
    <w:rsid w:val="005E1FD5"/>
    <w:rsid w:val="005E6091"/>
    <w:rsid w:val="005E6D53"/>
    <w:rsid w:val="005F0A35"/>
    <w:rsid w:val="005F1BF0"/>
    <w:rsid w:val="005F29B9"/>
    <w:rsid w:val="005F3B1E"/>
    <w:rsid w:val="005F4049"/>
    <w:rsid w:val="005F531A"/>
    <w:rsid w:val="005F683C"/>
    <w:rsid w:val="005F6A43"/>
    <w:rsid w:val="005F78EE"/>
    <w:rsid w:val="00600C94"/>
    <w:rsid w:val="0060171C"/>
    <w:rsid w:val="0060203F"/>
    <w:rsid w:val="006044E3"/>
    <w:rsid w:val="00604D32"/>
    <w:rsid w:val="00611650"/>
    <w:rsid w:val="00611BA3"/>
    <w:rsid w:val="0061201F"/>
    <w:rsid w:val="0061289D"/>
    <w:rsid w:val="0061386F"/>
    <w:rsid w:val="00617FB3"/>
    <w:rsid w:val="006273DD"/>
    <w:rsid w:val="00627718"/>
    <w:rsid w:val="006303A1"/>
    <w:rsid w:val="00631432"/>
    <w:rsid w:val="00632AF8"/>
    <w:rsid w:val="006334EA"/>
    <w:rsid w:val="00636136"/>
    <w:rsid w:val="00636AC2"/>
    <w:rsid w:val="00641C52"/>
    <w:rsid w:val="00642738"/>
    <w:rsid w:val="006428B8"/>
    <w:rsid w:val="00644D55"/>
    <w:rsid w:val="006456B1"/>
    <w:rsid w:val="00646143"/>
    <w:rsid w:val="00652719"/>
    <w:rsid w:val="006528D8"/>
    <w:rsid w:val="00655372"/>
    <w:rsid w:val="006556DF"/>
    <w:rsid w:val="0066140C"/>
    <w:rsid w:val="00663654"/>
    <w:rsid w:val="00665DE3"/>
    <w:rsid w:val="006660F0"/>
    <w:rsid w:val="00666541"/>
    <w:rsid w:val="006666CF"/>
    <w:rsid w:val="00667593"/>
    <w:rsid w:val="006703C4"/>
    <w:rsid w:val="00670FDA"/>
    <w:rsid w:val="00673307"/>
    <w:rsid w:val="00673BCD"/>
    <w:rsid w:val="00674A02"/>
    <w:rsid w:val="006761D0"/>
    <w:rsid w:val="00676C12"/>
    <w:rsid w:val="00680323"/>
    <w:rsid w:val="006830EC"/>
    <w:rsid w:val="0068338F"/>
    <w:rsid w:val="006869AE"/>
    <w:rsid w:val="00687B99"/>
    <w:rsid w:val="0069031C"/>
    <w:rsid w:val="006A0036"/>
    <w:rsid w:val="006A281B"/>
    <w:rsid w:val="006A2F06"/>
    <w:rsid w:val="006A31B7"/>
    <w:rsid w:val="006A3DFA"/>
    <w:rsid w:val="006A5F34"/>
    <w:rsid w:val="006A7C23"/>
    <w:rsid w:val="006B3C25"/>
    <w:rsid w:val="006B3DF8"/>
    <w:rsid w:val="006B5894"/>
    <w:rsid w:val="006B5A8C"/>
    <w:rsid w:val="006B5B15"/>
    <w:rsid w:val="006B5DAD"/>
    <w:rsid w:val="006B69B1"/>
    <w:rsid w:val="006B7108"/>
    <w:rsid w:val="006C27B8"/>
    <w:rsid w:val="006C2B2D"/>
    <w:rsid w:val="006C478C"/>
    <w:rsid w:val="006C5015"/>
    <w:rsid w:val="006C5418"/>
    <w:rsid w:val="006C5DB7"/>
    <w:rsid w:val="006D1446"/>
    <w:rsid w:val="006D281F"/>
    <w:rsid w:val="006D2B20"/>
    <w:rsid w:val="006D52A6"/>
    <w:rsid w:val="006D6D0A"/>
    <w:rsid w:val="006E1A0C"/>
    <w:rsid w:val="006E22F7"/>
    <w:rsid w:val="006E2B46"/>
    <w:rsid w:val="006E4A5D"/>
    <w:rsid w:val="006E4F49"/>
    <w:rsid w:val="006E7F58"/>
    <w:rsid w:val="006F005A"/>
    <w:rsid w:val="006F1FE2"/>
    <w:rsid w:val="006F3858"/>
    <w:rsid w:val="006F6AD6"/>
    <w:rsid w:val="006F77B9"/>
    <w:rsid w:val="007025C5"/>
    <w:rsid w:val="00703812"/>
    <w:rsid w:val="00703845"/>
    <w:rsid w:val="00704EE6"/>
    <w:rsid w:val="00704F55"/>
    <w:rsid w:val="00711D6A"/>
    <w:rsid w:val="00711E05"/>
    <w:rsid w:val="00712696"/>
    <w:rsid w:val="007148B8"/>
    <w:rsid w:val="00714FF3"/>
    <w:rsid w:val="00715B22"/>
    <w:rsid w:val="00716E78"/>
    <w:rsid w:val="007174DE"/>
    <w:rsid w:val="00717D37"/>
    <w:rsid w:val="007205C5"/>
    <w:rsid w:val="007219EC"/>
    <w:rsid w:val="00721DF6"/>
    <w:rsid w:val="00722CAF"/>
    <w:rsid w:val="00725B91"/>
    <w:rsid w:val="00727C56"/>
    <w:rsid w:val="007300D5"/>
    <w:rsid w:val="0073132E"/>
    <w:rsid w:val="007333D9"/>
    <w:rsid w:val="00735C1C"/>
    <w:rsid w:val="007371BA"/>
    <w:rsid w:val="0073781F"/>
    <w:rsid w:val="00737DD1"/>
    <w:rsid w:val="007435AC"/>
    <w:rsid w:val="00743BCE"/>
    <w:rsid w:val="007453C6"/>
    <w:rsid w:val="007454AF"/>
    <w:rsid w:val="00750396"/>
    <w:rsid w:val="0075226C"/>
    <w:rsid w:val="0075289C"/>
    <w:rsid w:val="00754CA5"/>
    <w:rsid w:val="007558EA"/>
    <w:rsid w:val="00755D57"/>
    <w:rsid w:val="00756268"/>
    <w:rsid w:val="0076163E"/>
    <w:rsid w:val="00767098"/>
    <w:rsid w:val="0077140D"/>
    <w:rsid w:val="007739C8"/>
    <w:rsid w:val="00774216"/>
    <w:rsid w:val="007818E5"/>
    <w:rsid w:val="00783C1C"/>
    <w:rsid w:val="007840E6"/>
    <w:rsid w:val="00784703"/>
    <w:rsid w:val="0078623D"/>
    <w:rsid w:val="00792144"/>
    <w:rsid w:val="0079215F"/>
    <w:rsid w:val="00793644"/>
    <w:rsid w:val="007939C6"/>
    <w:rsid w:val="00793C55"/>
    <w:rsid w:val="00794420"/>
    <w:rsid w:val="00794D3F"/>
    <w:rsid w:val="00795694"/>
    <w:rsid w:val="00795B27"/>
    <w:rsid w:val="00795B80"/>
    <w:rsid w:val="00795FED"/>
    <w:rsid w:val="00796511"/>
    <w:rsid w:val="007A2B6D"/>
    <w:rsid w:val="007A5CAA"/>
    <w:rsid w:val="007A6A19"/>
    <w:rsid w:val="007A715C"/>
    <w:rsid w:val="007A7B5A"/>
    <w:rsid w:val="007A7D25"/>
    <w:rsid w:val="007B3484"/>
    <w:rsid w:val="007B3E38"/>
    <w:rsid w:val="007B4791"/>
    <w:rsid w:val="007B6B3D"/>
    <w:rsid w:val="007C2529"/>
    <w:rsid w:val="007C6CEC"/>
    <w:rsid w:val="007C7B83"/>
    <w:rsid w:val="007D1E91"/>
    <w:rsid w:val="007D23BF"/>
    <w:rsid w:val="007D2B8F"/>
    <w:rsid w:val="007D3312"/>
    <w:rsid w:val="007D35AD"/>
    <w:rsid w:val="007D3CE1"/>
    <w:rsid w:val="007E0639"/>
    <w:rsid w:val="007E0A64"/>
    <w:rsid w:val="007E0EF2"/>
    <w:rsid w:val="007E29E9"/>
    <w:rsid w:val="007E2B88"/>
    <w:rsid w:val="007E2BEA"/>
    <w:rsid w:val="007E3738"/>
    <w:rsid w:val="007E4AEF"/>
    <w:rsid w:val="007E6081"/>
    <w:rsid w:val="007E75BA"/>
    <w:rsid w:val="007E778D"/>
    <w:rsid w:val="007F030E"/>
    <w:rsid w:val="007F13F7"/>
    <w:rsid w:val="007F14D9"/>
    <w:rsid w:val="007F1C64"/>
    <w:rsid w:val="007F27A3"/>
    <w:rsid w:val="007F3D23"/>
    <w:rsid w:val="007F5634"/>
    <w:rsid w:val="007F5E72"/>
    <w:rsid w:val="007F73E8"/>
    <w:rsid w:val="008012C9"/>
    <w:rsid w:val="00801614"/>
    <w:rsid w:val="00803AA2"/>
    <w:rsid w:val="008057CF"/>
    <w:rsid w:val="008067F8"/>
    <w:rsid w:val="00806A0F"/>
    <w:rsid w:val="008077E8"/>
    <w:rsid w:val="008115C6"/>
    <w:rsid w:val="00811EAC"/>
    <w:rsid w:val="00812DC3"/>
    <w:rsid w:val="0081582A"/>
    <w:rsid w:val="00815DB2"/>
    <w:rsid w:val="008162D6"/>
    <w:rsid w:val="008228C0"/>
    <w:rsid w:val="0082455E"/>
    <w:rsid w:val="008252B5"/>
    <w:rsid w:val="00842194"/>
    <w:rsid w:val="0084287F"/>
    <w:rsid w:val="00843783"/>
    <w:rsid w:val="0084630A"/>
    <w:rsid w:val="0084632C"/>
    <w:rsid w:val="00846961"/>
    <w:rsid w:val="008513EE"/>
    <w:rsid w:val="0085284D"/>
    <w:rsid w:val="008545CE"/>
    <w:rsid w:val="0085595C"/>
    <w:rsid w:val="0086010A"/>
    <w:rsid w:val="00860A72"/>
    <w:rsid w:val="008632BB"/>
    <w:rsid w:val="008642FD"/>
    <w:rsid w:val="00865A34"/>
    <w:rsid w:val="008663C6"/>
    <w:rsid w:val="008664CA"/>
    <w:rsid w:val="0086652B"/>
    <w:rsid w:val="008715E6"/>
    <w:rsid w:val="00874D61"/>
    <w:rsid w:val="00874F2F"/>
    <w:rsid w:val="00880B50"/>
    <w:rsid w:val="00880D33"/>
    <w:rsid w:val="00885E10"/>
    <w:rsid w:val="00885E5A"/>
    <w:rsid w:val="008866BA"/>
    <w:rsid w:val="008868DD"/>
    <w:rsid w:val="008904BB"/>
    <w:rsid w:val="008906D7"/>
    <w:rsid w:val="00890D6B"/>
    <w:rsid w:val="008A0C33"/>
    <w:rsid w:val="008A1224"/>
    <w:rsid w:val="008A14B0"/>
    <w:rsid w:val="008A17D1"/>
    <w:rsid w:val="008A27EA"/>
    <w:rsid w:val="008A3F1C"/>
    <w:rsid w:val="008A7D2A"/>
    <w:rsid w:val="008B09A0"/>
    <w:rsid w:val="008B1F7C"/>
    <w:rsid w:val="008B27C5"/>
    <w:rsid w:val="008B6989"/>
    <w:rsid w:val="008B6DEE"/>
    <w:rsid w:val="008C0F1F"/>
    <w:rsid w:val="008C69C9"/>
    <w:rsid w:val="008C7537"/>
    <w:rsid w:val="008D0865"/>
    <w:rsid w:val="008D13E1"/>
    <w:rsid w:val="008D367D"/>
    <w:rsid w:val="008D4B00"/>
    <w:rsid w:val="008D79D8"/>
    <w:rsid w:val="008D7ABF"/>
    <w:rsid w:val="008D7F1A"/>
    <w:rsid w:val="008E1D6D"/>
    <w:rsid w:val="008E40B8"/>
    <w:rsid w:val="008E44A0"/>
    <w:rsid w:val="008E6042"/>
    <w:rsid w:val="008E7B39"/>
    <w:rsid w:val="008F1771"/>
    <w:rsid w:val="008F25D3"/>
    <w:rsid w:val="008F49E5"/>
    <w:rsid w:val="008F670A"/>
    <w:rsid w:val="008F70C5"/>
    <w:rsid w:val="008F7D4E"/>
    <w:rsid w:val="0090442F"/>
    <w:rsid w:val="00910BB1"/>
    <w:rsid w:val="0091363A"/>
    <w:rsid w:val="009138E2"/>
    <w:rsid w:val="00916217"/>
    <w:rsid w:val="009168C5"/>
    <w:rsid w:val="009178D7"/>
    <w:rsid w:val="00917FBB"/>
    <w:rsid w:val="00924B82"/>
    <w:rsid w:val="00926753"/>
    <w:rsid w:val="00931AA2"/>
    <w:rsid w:val="00932305"/>
    <w:rsid w:val="0093251A"/>
    <w:rsid w:val="0093306C"/>
    <w:rsid w:val="00933604"/>
    <w:rsid w:val="0093470E"/>
    <w:rsid w:val="00940184"/>
    <w:rsid w:val="009407AD"/>
    <w:rsid w:val="00943333"/>
    <w:rsid w:val="00943737"/>
    <w:rsid w:val="00947E70"/>
    <w:rsid w:val="00952C7F"/>
    <w:rsid w:val="00953862"/>
    <w:rsid w:val="00953A65"/>
    <w:rsid w:val="00953BB8"/>
    <w:rsid w:val="0095652D"/>
    <w:rsid w:val="00957BDC"/>
    <w:rsid w:val="0096163F"/>
    <w:rsid w:val="0097001A"/>
    <w:rsid w:val="00972EF8"/>
    <w:rsid w:val="009736A1"/>
    <w:rsid w:val="00975276"/>
    <w:rsid w:val="00975831"/>
    <w:rsid w:val="00977789"/>
    <w:rsid w:val="009862E8"/>
    <w:rsid w:val="00986529"/>
    <w:rsid w:val="00995018"/>
    <w:rsid w:val="00995242"/>
    <w:rsid w:val="00995822"/>
    <w:rsid w:val="009A02FC"/>
    <w:rsid w:val="009A064D"/>
    <w:rsid w:val="009A0E47"/>
    <w:rsid w:val="009A0FE7"/>
    <w:rsid w:val="009A1F0B"/>
    <w:rsid w:val="009A2618"/>
    <w:rsid w:val="009A4B00"/>
    <w:rsid w:val="009A5B48"/>
    <w:rsid w:val="009A7895"/>
    <w:rsid w:val="009B1151"/>
    <w:rsid w:val="009B7854"/>
    <w:rsid w:val="009C1DEF"/>
    <w:rsid w:val="009C29E1"/>
    <w:rsid w:val="009C52A0"/>
    <w:rsid w:val="009C57B4"/>
    <w:rsid w:val="009C6D9B"/>
    <w:rsid w:val="009C73C4"/>
    <w:rsid w:val="009C7583"/>
    <w:rsid w:val="009D017D"/>
    <w:rsid w:val="009D4132"/>
    <w:rsid w:val="009D6B6F"/>
    <w:rsid w:val="009E6535"/>
    <w:rsid w:val="009E7E76"/>
    <w:rsid w:val="009E7F59"/>
    <w:rsid w:val="009F0900"/>
    <w:rsid w:val="009F3016"/>
    <w:rsid w:val="009F33D9"/>
    <w:rsid w:val="009F352F"/>
    <w:rsid w:val="00A018F6"/>
    <w:rsid w:val="00A03149"/>
    <w:rsid w:val="00A05188"/>
    <w:rsid w:val="00A0706A"/>
    <w:rsid w:val="00A13600"/>
    <w:rsid w:val="00A137ED"/>
    <w:rsid w:val="00A13F67"/>
    <w:rsid w:val="00A2045F"/>
    <w:rsid w:val="00A2153A"/>
    <w:rsid w:val="00A22C0E"/>
    <w:rsid w:val="00A22EF1"/>
    <w:rsid w:val="00A23375"/>
    <w:rsid w:val="00A235E9"/>
    <w:rsid w:val="00A23F14"/>
    <w:rsid w:val="00A2464B"/>
    <w:rsid w:val="00A248DA"/>
    <w:rsid w:val="00A2610E"/>
    <w:rsid w:val="00A265D1"/>
    <w:rsid w:val="00A277BA"/>
    <w:rsid w:val="00A27A13"/>
    <w:rsid w:val="00A35F01"/>
    <w:rsid w:val="00A37BEF"/>
    <w:rsid w:val="00A4039D"/>
    <w:rsid w:val="00A40A35"/>
    <w:rsid w:val="00A43648"/>
    <w:rsid w:val="00A46B6D"/>
    <w:rsid w:val="00A50B49"/>
    <w:rsid w:val="00A5193F"/>
    <w:rsid w:val="00A51A3E"/>
    <w:rsid w:val="00A51F02"/>
    <w:rsid w:val="00A56EBB"/>
    <w:rsid w:val="00A618A2"/>
    <w:rsid w:val="00A6205A"/>
    <w:rsid w:val="00A62C48"/>
    <w:rsid w:val="00A6346F"/>
    <w:rsid w:val="00A6356A"/>
    <w:rsid w:val="00A64C42"/>
    <w:rsid w:val="00A704CA"/>
    <w:rsid w:val="00A71D63"/>
    <w:rsid w:val="00A71E59"/>
    <w:rsid w:val="00A72ABA"/>
    <w:rsid w:val="00A7343E"/>
    <w:rsid w:val="00A743A9"/>
    <w:rsid w:val="00A7509F"/>
    <w:rsid w:val="00A75F85"/>
    <w:rsid w:val="00A811AF"/>
    <w:rsid w:val="00A827FD"/>
    <w:rsid w:val="00A83D15"/>
    <w:rsid w:val="00A843E8"/>
    <w:rsid w:val="00A860DD"/>
    <w:rsid w:val="00A9106F"/>
    <w:rsid w:val="00A916B4"/>
    <w:rsid w:val="00A91AB7"/>
    <w:rsid w:val="00A91BE4"/>
    <w:rsid w:val="00A93C57"/>
    <w:rsid w:val="00A94B40"/>
    <w:rsid w:val="00A94EB8"/>
    <w:rsid w:val="00A95686"/>
    <w:rsid w:val="00A95D1E"/>
    <w:rsid w:val="00A95D2A"/>
    <w:rsid w:val="00A962A7"/>
    <w:rsid w:val="00A967CC"/>
    <w:rsid w:val="00A970D2"/>
    <w:rsid w:val="00AA199E"/>
    <w:rsid w:val="00AA1A27"/>
    <w:rsid w:val="00AA2C84"/>
    <w:rsid w:val="00AA4829"/>
    <w:rsid w:val="00AA7AB4"/>
    <w:rsid w:val="00AB0D53"/>
    <w:rsid w:val="00AB41F4"/>
    <w:rsid w:val="00AB5D9D"/>
    <w:rsid w:val="00AB6F52"/>
    <w:rsid w:val="00AB7140"/>
    <w:rsid w:val="00AB7B0D"/>
    <w:rsid w:val="00AC067D"/>
    <w:rsid w:val="00AC33FF"/>
    <w:rsid w:val="00AC3C90"/>
    <w:rsid w:val="00AC4A4A"/>
    <w:rsid w:val="00AC54FC"/>
    <w:rsid w:val="00AC64ED"/>
    <w:rsid w:val="00AC6BDE"/>
    <w:rsid w:val="00AD01B7"/>
    <w:rsid w:val="00AD040A"/>
    <w:rsid w:val="00AD1D0C"/>
    <w:rsid w:val="00AD1EB3"/>
    <w:rsid w:val="00AD2D83"/>
    <w:rsid w:val="00AD3482"/>
    <w:rsid w:val="00AD3B7D"/>
    <w:rsid w:val="00AD4F2F"/>
    <w:rsid w:val="00AD56D7"/>
    <w:rsid w:val="00AD6D78"/>
    <w:rsid w:val="00AD7353"/>
    <w:rsid w:val="00AE1326"/>
    <w:rsid w:val="00AE4736"/>
    <w:rsid w:val="00AE796F"/>
    <w:rsid w:val="00AF0DC3"/>
    <w:rsid w:val="00AF0E93"/>
    <w:rsid w:val="00AF150E"/>
    <w:rsid w:val="00AF1A60"/>
    <w:rsid w:val="00AF2F0B"/>
    <w:rsid w:val="00AF4B8C"/>
    <w:rsid w:val="00AF6845"/>
    <w:rsid w:val="00AF79B2"/>
    <w:rsid w:val="00B00046"/>
    <w:rsid w:val="00B006AA"/>
    <w:rsid w:val="00B00FE5"/>
    <w:rsid w:val="00B013AD"/>
    <w:rsid w:val="00B0183F"/>
    <w:rsid w:val="00B01FCE"/>
    <w:rsid w:val="00B05345"/>
    <w:rsid w:val="00B06C07"/>
    <w:rsid w:val="00B11C13"/>
    <w:rsid w:val="00B15309"/>
    <w:rsid w:val="00B17ABA"/>
    <w:rsid w:val="00B20A87"/>
    <w:rsid w:val="00B20F7A"/>
    <w:rsid w:val="00B22DF3"/>
    <w:rsid w:val="00B237EF"/>
    <w:rsid w:val="00B25DEF"/>
    <w:rsid w:val="00B30E50"/>
    <w:rsid w:val="00B31348"/>
    <w:rsid w:val="00B32773"/>
    <w:rsid w:val="00B3370F"/>
    <w:rsid w:val="00B33E48"/>
    <w:rsid w:val="00B34BA1"/>
    <w:rsid w:val="00B34FDF"/>
    <w:rsid w:val="00B362EB"/>
    <w:rsid w:val="00B36F31"/>
    <w:rsid w:val="00B42833"/>
    <w:rsid w:val="00B4350A"/>
    <w:rsid w:val="00B442AE"/>
    <w:rsid w:val="00B44737"/>
    <w:rsid w:val="00B46D26"/>
    <w:rsid w:val="00B5324F"/>
    <w:rsid w:val="00B5420A"/>
    <w:rsid w:val="00B55535"/>
    <w:rsid w:val="00B60534"/>
    <w:rsid w:val="00B6213E"/>
    <w:rsid w:val="00B627FB"/>
    <w:rsid w:val="00B6299E"/>
    <w:rsid w:val="00B65BC7"/>
    <w:rsid w:val="00B669BD"/>
    <w:rsid w:val="00B70F37"/>
    <w:rsid w:val="00B7209C"/>
    <w:rsid w:val="00B75DC0"/>
    <w:rsid w:val="00B80485"/>
    <w:rsid w:val="00B82EBA"/>
    <w:rsid w:val="00B8341E"/>
    <w:rsid w:val="00B85547"/>
    <w:rsid w:val="00B8660E"/>
    <w:rsid w:val="00B91F31"/>
    <w:rsid w:val="00B926DA"/>
    <w:rsid w:val="00B937D0"/>
    <w:rsid w:val="00B94AD7"/>
    <w:rsid w:val="00B96956"/>
    <w:rsid w:val="00B96B17"/>
    <w:rsid w:val="00BA1C16"/>
    <w:rsid w:val="00BA208E"/>
    <w:rsid w:val="00BA35B3"/>
    <w:rsid w:val="00BA41A5"/>
    <w:rsid w:val="00BA627C"/>
    <w:rsid w:val="00BA64E6"/>
    <w:rsid w:val="00BB059F"/>
    <w:rsid w:val="00BB3029"/>
    <w:rsid w:val="00BB36C9"/>
    <w:rsid w:val="00BB418D"/>
    <w:rsid w:val="00BB4E18"/>
    <w:rsid w:val="00BB5376"/>
    <w:rsid w:val="00BB69E1"/>
    <w:rsid w:val="00BC2AC4"/>
    <w:rsid w:val="00BC2C07"/>
    <w:rsid w:val="00BC7A51"/>
    <w:rsid w:val="00BD0749"/>
    <w:rsid w:val="00BD2AB0"/>
    <w:rsid w:val="00BD35F5"/>
    <w:rsid w:val="00BD3A49"/>
    <w:rsid w:val="00BE070D"/>
    <w:rsid w:val="00BE0C10"/>
    <w:rsid w:val="00BE0F22"/>
    <w:rsid w:val="00BE5401"/>
    <w:rsid w:val="00BE70AE"/>
    <w:rsid w:val="00BF12ED"/>
    <w:rsid w:val="00BF15AC"/>
    <w:rsid w:val="00BF2EFB"/>
    <w:rsid w:val="00BF5E04"/>
    <w:rsid w:val="00BF625A"/>
    <w:rsid w:val="00BF6F3A"/>
    <w:rsid w:val="00C00766"/>
    <w:rsid w:val="00C0144F"/>
    <w:rsid w:val="00C0471B"/>
    <w:rsid w:val="00C04BE5"/>
    <w:rsid w:val="00C04D4E"/>
    <w:rsid w:val="00C05209"/>
    <w:rsid w:val="00C071AC"/>
    <w:rsid w:val="00C07352"/>
    <w:rsid w:val="00C1150E"/>
    <w:rsid w:val="00C12C54"/>
    <w:rsid w:val="00C12D6A"/>
    <w:rsid w:val="00C15DB8"/>
    <w:rsid w:val="00C174C3"/>
    <w:rsid w:val="00C17D17"/>
    <w:rsid w:val="00C224BE"/>
    <w:rsid w:val="00C2276D"/>
    <w:rsid w:val="00C2313A"/>
    <w:rsid w:val="00C2345D"/>
    <w:rsid w:val="00C24282"/>
    <w:rsid w:val="00C2605B"/>
    <w:rsid w:val="00C3084F"/>
    <w:rsid w:val="00C30DAE"/>
    <w:rsid w:val="00C32267"/>
    <w:rsid w:val="00C33497"/>
    <w:rsid w:val="00C335F8"/>
    <w:rsid w:val="00C33E5D"/>
    <w:rsid w:val="00C3404B"/>
    <w:rsid w:val="00C3513D"/>
    <w:rsid w:val="00C3524A"/>
    <w:rsid w:val="00C35C95"/>
    <w:rsid w:val="00C41761"/>
    <w:rsid w:val="00C445E8"/>
    <w:rsid w:val="00C4539B"/>
    <w:rsid w:val="00C46BF7"/>
    <w:rsid w:val="00C50F5E"/>
    <w:rsid w:val="00C534E6"/>
    <w:rsid w:val="00C53BA6"/>
    <w:rsid w:val="00C540EE"/>
    <w:rsid w:val="00C55041"/>
    <w:rsid w:val="00C57047"/>
    <w:rsid w:val="00C57CBC"/>
    <w:rsid w:val="00C6091B"/>
    <w:rsid w:val="00C62FE7"/>
    <w:rsid w:val="00C66030"/>
    <w:rsid w:val="00C668AD"/>
    <w:rsid w:val="00C67282"/>
    <w:rsid w:val="00C718FD"/>
    <w:rsid w:val="00C73A49"/>
    <w:rsid w:val="00C743CD"/>
    <w:rsid w:val="00C7488D"/>
    <w:rsid w:val="00C76313"/>
    <w:rsid w:val="00C80C8D"/>
    <w:rsid w:val="00C85695"/>
    <w:rsid w:val="00C87B93"/>
    <w:rsid w:val="00C9039A"/>
    <w:rsid w:val="00C90C5B"/>
    <w:rsid w:val="00C93BD7"/>
    <w:rsid w:val="00C94FAB"/>
    <w:rsid w:val="00C979B0"/>
    <w:rsid w:val="00CA02CA"/>
    <w:rsid w:val="00CA1202"/>
    <w:rsid w:val="00CA212F"/>
    <w:rsid w:val="00CA2691"/>
    <w:rsid w:val="00CA2DCF"/>
    <w:rsid w:val="00CA31FF"/>
    <w:rsid w:val="00CA4274"/>
    <w:rsid w:val="00CA45EF"/>
    <w:rsid w:val="00CA7165"/>
    <w:rsid w:val="00CA7308"/>
    <w:rsid w:val="00CB08BE"/>
    <w:rsid w:val="00CB19FA"/>
    <w:rsid w:val="00CB2206"/>
    <w:rsid w:val="00CB2A3A"/>
    <w:rsid w:val="00CB3354"/>
    <w:rsid w:val="00CB5170"/>
    <w:rsid w:val="00CB613F"/>
    <w:rsid w:val="00CB6B03"/>
    <w:rsid w:val="00CC1036"/>
    <w:rsid w:val="00CC1991"/>
    <w:rsid w:val="00CC2B94"/>
    <w:rsid w:val="00CC5395"/>
    <w:rsid w:val="00CC5993"/>
    <w:rsid w:val="00CC5FFD"/>
    <w:rsid w:val="00CC7470"/>
    <w:rsid w:val="00CD2B33"/>
    <w:rsid w:val="00CD2D37"/>
    <w:rsid w:val="00CD6422"/>
    <w:rsid w:val="00CD6724"/>
    <w:rsid w:val="00CE0B93"/>
    <w:rsid w:val="00CE5709"/>
    <w:rsid w:val="00CE5BDF"/>
    <w:rsid w:val="00CF269F"/>
    <w:rsid w:val="00CF3008"/>
    <w:rsid w:val="00CF44CF"/>
    <w:rsid w:val="00CF4888"/>
    <w:rsid w:val="00CF6164"/>
    <w:rsid w:val="00D010E7"/>
    <w:rsid w:val="00D038E2"/>
    <w:rsid w:val="00D05055"/>
    <w:rsid w:val="00D05FF5"/>
    <w:rsid w:val="00D1119A"/>
    <w:rsid w:val="00D11A8B"/>
    <w:rsid w:val="00D12221"/>
    <w:rsid w:val="00D158FC"/>
    <w:rsid w:val="00D16BA5"/>
    <w:rsid w:val="00D219C3"/>
    <w:rsid w:val="00D2271B"/>
    <w:rsid w:val="00D23359"/>
    <w:rsid w:val="00D24ECC"/>
    <w:rsid w:val="00D24F86"/>
    <w:rsid w:val="00D26C7F"/>
    <w:rsid w:val="00D30AF9"/>
    <w:rsid w:val="00D34503"/>
    <w:rsid w:val="00D36095"/>
    <w:rsid w:val="00D36ACE"/>
    <w:rsid w:val="00D36B72"/>
    <w:rsid w:val="00D43AC5"/>
    <w:rsid w:val="00D45B63"/>
    <w:rsid w:val="00D47C3F"/>
    <w:rsid w:val="00D506CC"/>
    <w:rsid w:val="00D548C6"/>
    <w:rsid w:val="00D56575"/>
    <w:rsid w:val="00D57DDF"/>
    <w:rsid w:val="00D61644"/>
    <w:rsid w:val="00D624D8"/>
    <w:rsid w:val="00D6564B"/>
    <w:rsid w:val="00D65721"/>
    <w:rsid w:val="00D65F53"/>
    <w:rsid w:val="00D675E2"/>
    <w:rsid w:val="00D714B4"/>
    <w:rsid w:val="00D73535"/>
    <w:rsid w:val="00D7460B"/>
    <w:rsid w:val="00D768E5"/>
    <w:rsid w:val="00D77D39"/>
    <w:rsid w:val="00D8062A"/>
    <w:rsid w:val="00D80786"/>
    <w:rsid w:val="00D807EB"/>
    <w:rsid w:val="00D819B2"/>
    <w:rsid w:val="00D84109"/>
    <w:rsid w:val="00D8434F"/>
    <w:rsid w:val="00D84FD4"/>
    <w:rsid w:val="00D87249"/>
    <w:rsid w:val="00D87A4E"/>
    <w:rsid w:val="00D87FF0"/>
    <w:rsid w:val="00D906C9"/>
    <w:rsid w:val="00D90F37"/>
    <w:rsid w:val="00D9241B"/>
    <w:rsid w:val="00D93B2B"/>
    <w:rsid w:val="00D95AEE"/>
    <w:rsid w:val="00D95BF0"/>
    <w:rsid w:val="00D97F04"/>
    <w:rsid w:val="00DA1304"/>
    <w:rsid w:val="00DA3757"/>
    <w:rsid w:val="00DA3E20"/>
    <w:rsid w:val="00DA5BD0"/>
    <w:rsid w:val="00DA5CE7"/>
    <w:rsid w:val="00DA7133"/>
    <w:rsid w:val="00DA7BB6"/>
    <w:rsid w:val="00DB0A24"/>
    <w:rsid w:val="00DB1DE9"/>
    <w:rsid w:val="00DB5923"/>
    <w:rsid w:val="00DB665B"/>
    <w:rsid w:val="00DC001F"/>
    <w:rsid w:val="00DC0608"/>
    <w:rsid w:val="00DC0A00"/>
    <w:rsid w:val="00DC3096"/>
    <w:rsid w:val="00DC39E4"/>
    <w:rsid w:val="00DC63B2"/>
    <w:rsid w:val="00DC6430"/>
    <w:rsid w:val="00DC7FE6"/>
    <w:rsid w:val="00DD0EDD"/>
    <w:rsid w:val="00DD187D"/>
    <w:rsid w:val="00DD3B7F"/>
    <w:rsid w:val="00DD3F17"/>
    <w:rsid w:val="00DD4475"/>
    <w:rsid w:val="00DD51F3"/>
    <w:rsid w:val="00DD5793"/>
    <w:rsid w:val="00DD67EA"/>
    <w:rsid w:val="00DD73CF"/>
    <w:rsid w:val="00DE06ED"/>
    <w:rsid w:val="00DE091C"/>
    <w:rsid w:val="00DE2EC8"/>
    <w:rsid w:val="00DE4A27"/>
    <w:rsid w:val="00DE521E"/>
    <w:rsid w:val="00DF0F5C"/>
    <w:rsid w:val="00DF1459"/>
    <w:rsid w:val="00DF18D4"/>
    <w:rsid w:val="00DF6753"/>
    <w:rsid w:val="00DF7A33"/>
    <w:rsid w:val="00E00906"/>
    <w:rsid w:val="00E00C94"/>
    <w:rsid w:val="00E0328A"/>
    <w:rsid w:val="00E049B6"/>
    <w:rsid w:val="00E0578B"/>
    <w:rsid w:val="00E05814"/>
    <w:rsid w:val="00E05DCB"/>
    <w:rsid w:val="00E0605D"/>
    <w:rsid w:val="00E069B3"/>
    <w:rsid w:val="00E07652"/>
    <w:rsid w:val="00E0767D"/>
    <w:rsid w:val="00E078F0"/>
    <w:rsid w:val="00E120AD"/>
    <w:rsid w:val="00E157A4"/>
    <w:rsid w:val="00E165A7"/>
    <w:rsid w:val="00E1743C"/>
    <w:rsid w:val="00E2092F"/>
    <w:rsid w:val="00E209AE"/>
    <w:rsid w:val="00E20E05"/>
    <w:rsid w:val="00E22202"/>
    <w:rsid w:val="00E22A54"/>
    <w:rsid w:val="00E2541D"/>
    <w:rsid w:val="00E25568"/>
    <w:rsid w:val="00E2605D"/>
    <w:rsid w:val="00E27CA6"/>
    <w:rsid w:val="00E27D28"/>
    <w:rsid w:val="00E30984"/>
    <w:rsid w:val="00E33706"/>
    <w:rsid w:val="00E34F31"/>
    <w:rsid w:val="00E36DEC"/>
    <w:rsid w:val="00E3764F"/>
    <w:rsid w:val="00E41A0A"/>
    <w:rsid w:val="00E41B32"/>
    <w:rsid w:val="00E45014"/>
    <w:rsid w:val="00E46138"/>
    <w:rsid w:val="00E46AC2"/>
    <w:rsid w:val="00E47195"/>
    <w:rsid w:val="00E50028"/>
    <w:rsid w:val="00E5195E"/>
    <w:rsid w:val="00E537B1"/>
    <w:rsid w:val="00E53AC6"/>
    <w:rsid w:val="00E54399"/>
    <w:rsid w:val="00E5562C"/>
    <w:rsid w:val="00E56899"/>
    <w:rsid w:val="00E56CF1"/>
    <w:rsid w:val="00E6240A"/>
    <w:rsid w:val="00E63BDD"/>
    <w:rsid w:val="00E64696"/>
    <w:rsid w:val="00E64C98"/>
    <w:rsid w:val="00E676CB"/>
    <w:rsid w:val="00E710C4"/>
    <w:rsid w:val="00E72962"/>
    <w:rsid w:val="00E7299B"/>
    <w:rsid w:val="00E75480"/>
    <w:rsid w:val="00E76CC7"/>
    <w:rsid w:val="00E80252"/>
    <w:rsid w:val="00E83B57"/>
    <w:rsid w:val="00E840E6"/>
    <w:rsid w:val="00E8431E"/>
    <w:rsid w:val="00E84C98"/>
    <w:rsid w:val="00E861AE"/>
    <w:rsid w:val="00E90983"/>
    <w:rsid w:val="00E91263"/>
    <w:rsid w:val="00E947A7"/>
    <w:rsid w:val="00E9706D"/>
    <w:rsid w:val="00EA2EF9"/>
    <w:rsid w:val="00EA4FE6"/>
    <w:rsid w:val="00EA5802"/>
    <w:rsid w:val="00EA69DB"/>
    <w:rsid w:val="00EA7B98"/>
    <w:rsid w:val="00EB122B"/>
    <w:rsid w:val="00EB1E06"/>
    <w:rsid w:val="00EB2989"/>
    <w:rsid w:val="00EB2E4B"/>
    <w:rsid w:val="00EB424F"/>
    <w:rsid w:val="00EC37F4"/>
    <w:rsid w:val="00EC4EEE"/>
    <w:rsid w:val="00EC5E3D"/>
    <w:rsid w:val="00EC61EB"/>
    <w:rsid w:val="00EC6656"/>
    <w:rsid w:val="00ED0A49"/>
    <w:rsid w:val="00ED1313"/>
    <w:rsid w:val="00ED1B10"/>
    <w:rsid w:val="00ED2E25"/>
    <w:rsid w:val="00ED3CDF"/>
    <w:rsid w:val="00ED4E11"/>
    <w:rsid w:val="00ED72DA"/>
    <w:rsid w:val="00EE044A"/>
    <w:rsid w:val="00EE1817"/>
    <w:rsid w:val="00EE55A6"/>
    <w:rsid w:val="00EE5A1E"/>
    <w:rsid w:val="00EE75FB"/>
    <w:rsid w:val="00EE7A94"/>
    <w:rsid w:val="00EF0935"/>
    <w:rsid w:val="00EF1931"/>
    <w:rsid w:val="00EF39B9"/>
    <w:rsid w:val="00EF74F0"/>
    <w:rsid w:val="00F000C6"/>
    <w:rsid w:val="00F00CA4"/>
    <w:rsid w:val="00F03DD3"/>
    <w:rsid w:val="00F05993"/>
    <w:rsid w:val="00F05DD2"/>
    <w:rsid w:val="00F067D1"/>
    <w:rsid w:val="00F07A33"/>
    <w:rsid w:val="00F11F14"/>
    <w:rsid w:val="00F11F75"/>
    <w:rsid w:val="00F14344"/>
    <w:rsid w:val="00F154B5"/>
    <w:rsid w:val="00F15AE7"/>
    <w:rsid w:val="00F21008"/>
    <w:rsid w:val="00F2125F"/>
    <w:rsid w:val="00F22C7D"/>
    <w:rsid w:val="00F2332E"/>
    <w:rsid w:val="00F24F44"/>
    <w:rsid w:val="00F315E3"/>
    <w:rsid w:val="00F3231B"/>
    <w:rsid w:val="00F340D5"/>
    <w:rsid w:val="00F35A53"/>
    <w:rsid w:val="00F36ABE"/>
    <w:rsid w:val="00F43AEE"/>
    <w:rsid w:val="00F465CF"/>
    <w:rsid w:val="00F47934"/>
    <w:rsid w:val="00F513AB"/>
    <w:rsid w:val="00F517F8"/>
    <w:rsid w:val="00F519C4"/>
    <w:rsid w:val="00F52EA4"/>
    <w:rsid w:val="00F533F4"/>
    <w:rsid w:val="00F53605"/>
    <w:rsid w:val="00F54555"/>
    <w:rsid w:val="00F547C5"/>
    <w:rsid w:val="00F60BF7"/>
    <w:rsid w:val="00F60D82"/>
    <w:rsid w:val="00F62A90"/>
    <w:rsid w:val="00F64F22"/>
    <w:rsid w:val="00F65AD1"/>
    <w:rsid w:val="00F65C31"/>
    <w:rsid w:val="00F66531"/>
    <w:rsid w:val="00F66A78"/>
    <w:rsid w:val="00F66DFB"/>
    <w:rsid w:val="00F7176D"/>
    <w:rsid w:val="00F71943"/>
    <w:rsid w:val="00F71B81"/>
    <w:rsid w:val="00F76F0A"/>
    <w:rsid w:val="00F84EA3"/>
    <w:rsid w:val="00F86AB2"/>
    <w:rsid w:val="00F87B8E"/>
    <w:rsid w:val="00F90D7F"/>
    <w:rsid w:val="00F91FFE"/>
    <w:rsid w:val="00F938CD"/>
    <w:rsid w:val="00F93ED1"/>
    <w:rsid w:val="00F94B36"/>
    <w:rsid w:val="00F95B2B"/>
    <w:rsid w:val="00FA0F2B"/>
    <w:rsid w:val="00FA479E"/>
    <w:rsid w:val="00FA5208"/>
    <w:rsid w:val="00FA6EAF"/>
    <w:rsid w:val="00FB04C7"/>
    <w:rsid w:val="00FB1727"/>
    <w:rsid w:val="00FB3E61"/>
    <w:rsid w:val="00FB5A1F"/>
    <w:rsid w:val="00FB5F41"/>
    <w:rsid w:val="00FB6DDE"/>
    <w:rsid w:val="00FB79D2"/>
    <w:rsid w:val="00FC0925"/>
    <w:rsid w:val="00FC29F1"/>
    <w:rsid w:val="00FC3B1B"/>
    <w:rsid w:val="00FC4740"/>
    <w:rsid w:val="00FC75AB"/>
    <w:rsid w:val="00FD33E5"/>
    <w:rsid w:val="00FD5E1D"/>
    <w:rsid w:val="00FD65CB"/>
    <w:rsid w:val="00FE18F0"/>
    <w:rsid w:val="00FE1BC1"/>
    <w:rsid w:val="00FE2608"/>
    <w:rsid w:val="00FE30D2"/>
    <w:rsid w:val="00FE5EB9"/>
    <w:rsid w:val="00FE6FEA"/>
    <w:rsid w:val="00FF00F4"/>
    <w:rsid w:val="00FF379E"/>
    <w:rsid w:val="01DC2017"/>
    <w:rsid w:val="046159D9"/>
    <w:rsid w:val="04A4372E"/>
    <w:rsid w:val="05242788"/>
    <w:rsid w:val="062974D2"/>
    <w:rsid w:val="071B69C2"/>
    <w:rsid w:val="080958FE"/>
    <w:rsid w:val="09A46E43"/>
    <w:rsid w:val="09BB33A4"/>
    <w:rsid w:val="09CF2652"/>
    <w:rsid w:val="09F236A5"/>
    <w:rsid w:val="0BEF16F6"/>
    <w:rsid w:val="0C3A5FD8"/>
    <w:rsid w:val="0CEA4DAF"/>
    <w:rsid w:val="0D633EAC"/>
    <w:rsid w:val="0DB53CD0"/>
    <w:rsid w:val="0DCB24B5"/>
    <w:rsid w:val="0E6A6D21"/>
    <w:rsid w:val="0EEB0197"/>
    <w:rsid w:val="0F260CFF"/>
    <w:rsid w:val="0FFA3688"/>
    <w:rsid w:val="100E76C7"/>
    <w:rsid w:val="113A533A"/>
    <w:rsid w:val="11444990"/>
    <w:rsid w:val="11C2540A"/>
    <w:rsid w:val="136B45FD"/>
    <w:rsid w:val="14FA5CEF"/>
    <w:rsid w:val="158665DC"/>
    <w:rsid w:val="15DE1BF0"/>
    <w:rsid w:val="16AD4C9D"/>
    <w:rsid w:val="176306E8"/>
    <w:rsid w:val="17E15C64"/>
    <w:rsid w:val="18065E04"/>
    <w:rsid w:val="18E94D91"/>
    <w:rsid w:val="19456C60"/>
    <w:rsid w:val="199329B7"/>
    <w:rsid w:val="19F7046C"/>
    <w:rsid w:val="1A8C7724"/>
    <w:rsid w:val="1B3A5814"/>
    <w:rsid w:val="1B530192"/>
    <w:rsid w:val="1BEB77A3"/>
    <w:rsid w:val="1C35172A"/>
    <w:rsid w:val="1CC31F48"/>
    <w:rsid w:val="1CEC4B74"/>
    <w:rsid w:val="1D0D10AD"/>
    <w:rsid w:val="1D1275C4"/>
    <w:rsid w:val="1D886D0B"/>
    <w:rsid w:val="1E9A2E73"/>
    <w:rsid w:val="20AA06B3"/>
    <w:rsid w:val="223B095D"/>
    <w:rsid w:val="22482F0D"/>
    <w:rsid w:val="236A4D5F"/>
    <w:rsid w:val="236E5553"/>
    <w:rsid w:val="24DD6399"/>
    <w:rsid w:val="250B6FE7"/>
    <w:rsid w:val="251C3F4A"/>
    <w:rsid w:val="256B494B"/>
    <w:rsid w:val="26F5152E"/>
    <w:rsid w:val="278D305D"/>
    <w:rsid w:val="27A106AE"/>
    <w:rsid w:val="27A7038C"/>
    <w:rsid w:val="282B4E63"/>
    <w:rsid w:val="286914E7"/>
    <w:rsid w:val="294F1E5C"/>
    <w:rsid w:val="2A1F0428"/>
    <w:rsid w:val="2A3A5896"/>
    <w:rsid w:val="2A4B016F"/>
    <w:rsid w:val="2A6A7301"/>
    <w:rsid w:val="2A9A63F0"/>
    <w:rsid w:val="2C7A2789"/>
    <w:rsid w:val="2DD939F1"/>
    <w:rsid w:val="2F830873"/>
    <w:rsid w:val="2FD50B21"/>
    <w:rsid w:val="301E020D"/>
    <w:rsid w:val="308A5A4F"/>
    <w:rsid w:val="31672408"/>
    <w:rsid w:val="3299547A"/>
    <w:rsid w:val="32CA76DE"/>
    <w:rsid w:val="32CD09C7"/>
    <w:rsid w:val="33125CD6"/>
    <w:rsid w:val="339B6B5B"/>
    <w:rsid w:val="33AB04C8"/>
    <w:rsid w:val="34955492"/>
    <w:rsid w:val="34D937A5"/>
    <w:rsid w:val="34E1345B"/>
    <w:rsid w:val="35293275"/>
    <w:rsid w:val="362F5BB2"/>
    <w:rsid w:val="365E7F82"/>
    <w:rsid w:val="366875F3"/>
    <w:rsid w:val="36D91E0F"/>
    <w:rsid w:val="36EC2986"/>
    <w:rsid w:val="382D3531"/>
    <w:rsid w:val="38A95C02"/>
    <w:rsid w:val="39834BE3"/>
    <w:rsid w:val="3A286CF3"/>
    <w:rsid w:val="3A884218"/>
    <w:rsid w:val="3AAC7E47"/>
    <w:rsid w:val="3AB27652"/>
    <w:rsid w:val="3ACF4F32"/>
    <w:rsid w:val="3AF31810"/>
    <w:rsid w:val="3B3A6959"/>
    <w:rsid w:val="3CBE7BFC"/>
    <w:rsid w:val="3CD2779B"/>
    <w:rsid w:val="3CDE3A52"/>
    <w:rsid w:val="3D2A4A1B"/>
    <w:rsid w:val="3DA23CC1"/>
    <w:rsid w:val="3DC44B51"/>
    <w:rsid w:val="3F711C3D"/>
    <w:rsid w:val="4001374C"/>
    <w:rsid w:val="4012098A"/>
    <w:rsid w:val="41E8145E"/>
    <w:rsid w:val="42003FD2"/>
    <w:rsid w:val="425F0D52"/>
    <w:rsid w:val="42AA6CB6"/>
    <w:rsid w:val="433C0867"/>
    <w:rsid w:val="43C26871"/>
    <w:rsid w:val="43D7113C"/>
    <w:rsid w:val="44AF63C5"/>
    <w:rsid w:val="44C314D7"/>
    <w:rsid w:val="44CD61A2"/>
    <w:rsid w:val="44D42E85"/>
    <w:rsid w:val="451B10D4"/>
    <w:rsid w:val="455C6AC0"/>
    <w:rsid w:val="4574317D"/>
    <w:rsid w:val="46114B0F"/>
    <w:rsid w:val="462116CA"/>
    <w:rsid w:val="46225648"/>
    <w:rsid w:val="466208C4"/>
    <w:rsid w:val="4681657C"/>
    <w:rsid w:val="46A90693"/>
    <w:rsid w:val="48134755"/>
    <w:rsid w:val="48BA4EAF"/>
    <w:rsid w:val="49E31A66"/>
    <w:rsid w:val="4A1565C9"/>
    <w:rsid w:val="4B1D520A"/>
    <w:rsid w:val="4B3B6F07"/>
    <w:rsid w:val="4BD623D4"/>
    <w:rsid w:val="4C0D13E3"/>
    <w:rsid w:val="4C364BE1"/>
    <w:rsid w:val="4CF4131C"/>
    <w:rsid w:val="4D946EF2"/>
    <w:rsid w:val="4DC16DC1"/>
    <w:rsid w:val="4DF3365C"/>
    <w:rsid w:val="4E85204E"/>
    <w:rsid w:val="4FDA67F4"/>
    <w:rsid w:val="4FF9539C"/>
    <w:rsid w:val="500F0588"/>
    <w:rsid w:val="503B27B6"/>
    <w:rsid w:val="518471B0"/>
    <w:rsid w:val="51F21CF5"/>
    <w:rsid w:val="52643C20"/>
    <w:rsid w:val="528A2BF8"/>
    <w:rsid w:val="53784E5D"/>
    <w:rsid w:val="53D4489D"/>
    <w:rsid w:val="5405297C"/>
    <w:rsid w:val="54687CA6"/>
    <w:rsid w:val="548060EE"/>
    <w:rsid w:val="54D46CA0"/>
    <w:rsid w:val="550540EF"/>
    <w:rsid w:val="55472DC1"/>
    <w:rsid w:val="554F340F"/>
    <w:rsid w:val="57156BB1"/>
    <w:rsid w:val="57551943"/>
    <w:rsid w:val="57625769"/>
    <w:rsid w:val="57D66A19"/>
    <w:rsid w:val="58843EA1"/>
    <w:rsid w:val="5A2075BE"/>
    <w:rsid w:val="5AC42429"/>
    <w:rsid w:val="5B086BF2"/>
    <w:rsid w:val="5B5163B3"/>
    <w:rsid w:val="5BB17DEF"/>
    <w:rsid w:val="5BC65BDA"/>
    <w:rsid w:val="5C5A571A"/>
    <w:rsid w:val="5CF7587D"/>
    <w:rsid w:val="5D354B12"/>
    <w:rsid w:val="5D6363E8"/>
    <w:rsid w:val="5DDA1C46"/>
    <w:rsid w:val="5E163301"/>
    <w:rsid w:val="5E1C6DFB"/>
    <w:rsid w:val="5F635895"/>
    <w:rsid w:val="5FF94480"/>
    <w:rsid w:val="5FFA39E2"/>
    <w:rsid w:val="60344713"/>
    <w:rsid w:val="60C3469E"/>
    <w:rsid w:val="60C41E9E"/>
    <w:rsid w:val="60C54D38"/>
    <w:rsid w:val="60E24484"/>
    <w:rsid w:val="616C02AF"/>
    <w:rsid w:val="619814F8"/>
    <w:rsid w:val="61EF2F14"/>
    <w:rsid w:val="620376B0"/>
    <w:rsid w:val="623054C4"/>
    <w:rsid w:val="62DD0EEF"/>
    <w:rsid w:val="63A24CEC"/>
    <w:rsid w:val="63D03567"/>
    <w:rsid w:val="642D083A"/>
    <w:rsid w:val="64711E7D"/>
    <w:rsid w:val="64A622E7"/>
    <w:rsid w:val="64AC7184"/>
    <w:rsid w:val="64C1148B"/>
    <w:rsid w:val="67614478"/>
    <w:rsid w:val="6C0F0FFA"/>
    <w:rsid w:val="6C585327"/>
    <w:rsid w:val="6D1758B3"/>
    <w:rsid w:val="6EE94580"/>
    <w:rsid w:val="6FCC1EAA"/>
    <w:rsid w:val="7030285F"/>
    <w:rsid w:val="70655AD4"/>
    <w:rsid w:val="7074435C"/>
    <w:rsid w:val="709D12FB"/>
    <w:rsid w:val="712238E9"/>
    <w:rsid w:val="7178274A"/>
    <w:rsid w:val="71CC7DA1"/>
    <w:rsid w:val="71CE6E79"/>
    <w:rsid w:val="720A3D61"/>
    <w:rsid w:val="721B31C5"/>
    <w:rsid w:val="721F6282"/>
    <w:rsid w:val="722F68CA"/>
    <w:rsid w:val="72620A54"/>
    <w:rsid w:val="73EA6A91"/>
    <w:rsid w:val="74181920"/>
    <w:rsid w:val="75592042"/>
    <w:rsid w:val="75811EF6"/>
    <w:rsid w:val="76416186"/>
    <w:rsid w:val="768D5255"/>
    <w:rsid w:val="76CC3279"/>
    <w:rsid w:val="784462FD"/>
    <w:rsid w:val="78AF11EF"/>
    <w:rsid w:val="78EE03D6"/>
    <w:rsid w:val="78F667FD"/>
    <w:rsid w:val="79162A22"/>
    <w:rsid w:val="792D5BE1"/>
    <w:rsid w:val="79FB67CA"/>
    <w:rsid w:val="7A202120"/>
    <w:rsid w:val="7B602B2F"/>
    <w:rsid w:val="7C6333F8"/>
    <w:rsid w:val="7CEF7382"/>
    <w:rsid w:val="7E7A4FA3"/>
    <w:rsid w:val="7E917444"/>
    <w:rsid w:val="7E9A585D"/>
    <w:rsid w:val="7F4D6B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仿宋_GB2312" w:hAnsi="仿宋_GB2312" w:eastAsia="仿宋_GB2312" w:cs="仿宋_GB2312"/>
      <w:b/>
      <w:color w:val="000000"/>
      <w:kern w:val="0"/>
      <w:sz w:val="44"/>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qFormat/>
    <w:uiPriority w:val="0"/>
    <w:pPr>
      <w:keepNext/>
      <w:keepLines/>
      <w:spacing w:before="280" w:after="290" w:line="376" w:lineRule="auto"/>
      <w:outlineLvl w:val="4"/>
    </w:pPr>
    <w:rPr>
      <w:b/>
      <w:bCs/>
      <w:sz w:val="28"/>
      <w:szCs w:val="28"/>
    </w:rPr>
  </w:style>
  <w:style w:type="paragraph" w:styleId="2">
    <w:name w:val="heading 6"/>
    <w:basedOn w:val="1"/>
    <w:next w:val="1"/>
    <w:link w:val="55"/>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6"/>
    <w:qFormat/>
    <w:uiPriority w:val="0"/>
    <w:pPr>
      <w:keepNext/>
      <w:keepLines/>
      <w:adjustRightInd w:val="0"/>
      <w:spacing w:before="240" w:after="64" w:line="320" w:lineRule="atLeast"/>
      <w:textAlignment w:val="baseline"/>
      <w:outlineLvl w:val="6"/>
    </w:pPr>
    <w:rPr>
      <w:rFonts w:ascii="宋体" w:eastAsia="仿宋_GB2312"/>
      <w:b/>
      <w:sz w:val="24"/>
    </w:rPr>
  </w:style>
  <w:style w:type="paragraph" w:styleId="9">
    <w:name w:val="heading 8"/>
    <w:basedOn w:val="1"/>
    <w:next w:val="1"/>
    <w:link w:val="57"/>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0">
    <w:name w:val="heading 9"/>
    <w:basedOn w:val="1"/>
    <w:next w:val="1"/>
    <w:link w:val="58"/>
    <w:qFormat/>
    <w:uiPriority w:val="0"/>
    <w:pPr>
      <w:keepNext/>
      <w:keepLines/>
      <w:adjustRightInd w:val="0"/>
      <w:spacing w:before="240" w:after="64" w:line="320" w:lineRule="atLeast"/>
      <w:textAlignment w:val="baseline"/>
      <w:outlineLvl w:val="8"/>
    </w:pPr>
    <w:rPr>
      <w:rFonts w:ascii="Arial" w:hAnsi="Arial" w:eastAsia="黑体"/>
      <w:sz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103"/>
    <w:qFormat/>
    <w:uiPriority w:val="0"/>
    <w:pPr>
      <w:ind w:firstLine="420"/>
    </w:pPr>
    <w:rPr>
      <w:szCs w:val="20"/>
    </w:rPr>
  </w:style>
  <w:style w:type="paragraph" w:styleId="12">
    <w:name w:val="caption"/>
    <w:basedOn w:val="1"/>
    <w:next w:val="1"/>
    <w:link w:val="102"/>
    <w:qFormat/>
    <w:uiPriority w:val="0"/>
    <w:pPr>
      <w:spacing w:before="152" w:after="160"/>
    </w:pPr>
    <w:rPr>
      <w:rFonts w:ascii="Arial" w:hAnsi="Arial" w:eastAsia="黑体" w:cs="Arial"/>
      <w:sz w:val="20"/>
      <w:szCs w:val="20"/>
    </w:rPr>
  </w:style>
  <w:style w:type="paragraph" w:styleId="13">
    <w:name w:val="Document Map"/>
    <w:basedOn w:val="1"/>
    <w:link w:val="97"/>
    <w:qFormat/>
    <w:uiPriority w:val="0"/>
    <w:pPr>
      <w:shd w:val="clear" w:color="auto" w:fill="000080"/>
    </w:pPr>
  </w:style>
  <w:style w:type="paragraph" w:styleId="14">
    <w:name w:val="annotation text"/>
    <w:basedOn w:val="1"/>
    <w:link w:val="69"/>
    <w:semiHidden/>
    <w:qFormat/>
    <w:uiPriority w:val="99"/>
    <w:pPr>
      <w:jc w:val="left"/>
    </w:pPr>
  </w:style>
  <w:style w:type="paragraph" w:styleId="15">
    <w:name w:val="Body Text 3"/>
    <w:basedOn w:val="1"/>
    <w:link w:val="89"/>
    <w:qFormat/>
    <w:uiPriority w:val="0"/>
    <w:pPr>
      <w:jc w:val="center"/>
    </w:pPr>
    <w:rPr>
      <w:rFonts w:ascii="宋体" w:hAnsi="宋体"/>
      <w:szCs w:val="20"/>
    </w:rPr>
  </w:style>
  <w:style w:type="paragraph" w:styleId="16">
    <w:name w:val="Body Text"/>
    <w:basedOn w:val="1"/>
    <w:next w:val="17"/>
    <w:link w:val="74"/>
    <w:qFormat/>
    <w:uiPriority w:val="0"/>
    <w:pPr>
      <w:spacing w:after="120"/>
    </w:pPr>
  </w:style>
  <w:style w:type="paragraph" w:customStyle="1" w:styleId="17">
    <w:name w:val="Default"/>
    <w:next w:val="18"/>
    <w:qFormat/>
    <w:uiPriority w:val="99"/>
    <w:pPr>
      <w:widowControl w:val="0"/>
      <w:autoSpaceDE w:val="0"/>
      <w:autoSpaceDN w:val="0"/>
      <w:adjustRightInd w:val="0"/>
      <w:spacing w:after="200" w:line="100" w:lineRule="exact"/>
      <w:jc w:val="center"/>
    </w:pPr>
    <w:rPr>
      <w:rFonts w:ascii="黑体" w:hAnsi="Times New Roman" w:eastAsia="黑体" w:cs="黑体"/>
      <w:color w:val="000000"/>
      <w:sz w:val="24"/>
      <w:szCs w:val="24"/>
      <w:lang w:val="en-US" w:eastAsia="zh-CN" w:bidi="ar-SA"/>
    </w:rPr>
  </w:style>
  <w:style w:type="paragraph" w:customStyle="1" w:styleId="1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19">
    <w:name w:val="Body Text Indent"/>
    <w:basedOn w:val="1"/>
    <w:next w:val="1"/>
    <w:link w:val="76"/>
    <w:qFormat/>
    <w:uiPriority w:val="0"/>
    <w:pPr>
      <w:spacing w:before="120" w:after="120" w:line="360" w:lineRule="auto"/>
      <w:ind w:left="420" w:leftChars="200"/>
    </w:pPr>
    <w:rPr>
      <w:sz w:val="24"/>
      <w:szCs w:val="20"/>
    </w:rPr>
  </w:style>
  <w:style w:type="paragraph" w:styleId="20">
    <w:name w:val="Block Text"/>
    <w:basedOn w:val="1"/>
    <w:qFormat/>
    <w:uiPriority w:val="0"/>
    <w:pPr>
      <w:ind w:left="-83" w:right="-105" w:hanging="43"/>
      <w:jc w:val="center"/>
    </w:pPr>
    <w:rPr>
      <w:rFonts w:ascii="宋体" w:hAnsi="宋体" w:cs="宋体"/>
      <w:color w:val="000000"/>
      <w:kern w:val="1"/>
      <w:sz w:val="24"/>
    </w:rPr>
  </w:style>
  <w:style w:type="paragraph" w:styleId="21">
    <w:name w:val="toc 3"/>
    <w:basedOn w:val="1"/>
    <w:next w:val="1"/>
    <w:qFormat/>
    <w:uiPriority w:val="0"/>
    <w:pPr>
      <w:tabs>
        <w:tab w:val="right" w:leader="dot" w:pos="8820"/>
      </w:tabs>
      <w:ind w:left="936" w:hanging="936"/>
      <w:jc w:val="center"/>
    </w:pPr>
    <w:rPr>
      <w:rFonts w:ascii="仿宋_GB2312" w:hAnsi="仿宋_GB2312" w:eastAsia="仿宋_GB2312" w:cs="仿宋_GB2312"/>
      <w:color w:val="000000"/>
      <w:kern w:val="1"/>
      <w:sz w:val="30"/>
      <w:szCs w:val="36"/>
    </w:rPr>
  </w:style>
  <w:style w:type="paragraph" w:styleId="22">
    <w:name w:val="Plain Text"/>
    <w:basedOn w:val="1"/>
    <w:next w:val="1"/>
    <w:link w:val="80"/>
    <w:qFormat/>
    <w:uiPriority w:val="0"/>
    <w:rPr>
      <w:rFonts w:ascii="宋体" w:hAnsi="Courier New"/>
      <w:szCs w:val="20"/>
    </w:rPr>
  </w:style>
  <w:style w:type="paragraph" w:styleId="23">
    <w:name w:val="Date"/>
    <w:basedOn w:val="1"/>
    <w:next w:val="1"/>
    <w:link w:val="99"/>
    <w:qFormat/>
    <w:uiPriority w:val="0"/>
    <w:pPr>
      <w:ind w:left="100" w:leftChars="2500"/>
    </w:pPr>
    <w:rPr>
      <w:rFonts w:ascii="宋体" w:hAnsi="宋体"/>
      <w:color w:val="000000"/>
      <w:spacing w:val="-14"/>
      <w:kern w:val="0"/>
      <w:sz w:val="28"/>
      <w:szCs w:val="18"/>
    </w:rPr>
  </w:style>
  <w:style w:type="paragraph" w:styleId="24">
    <w:name w:val="Body Text Indent 2"/>
    <w:basedOn w:val="1"/>
    <w:link w:val="77"/>
    <w:qFormat/>
    <w:uiPriority w:val="0"/>
    <w:pPr>
      <w:spacing w:beforeLines="50" w:afterLines="50" w:line="264" w:lineRule="auto"/>
      <w:ind w:firstLine="480" w:firstLineChars="200"/>
    </w:pPr>
    <w:rPr>
      <w:sz w:val="24"/>
      <w:szCs w:val="20"/>
    </w:rPr>
  </w:style>
  <w:style w:type="paragraph" w:styleId="25">
    <w:name w:val="Balloon Text"/>
    <w:basedOn w:val="1"/>
    <w:link w:val="85"/>
    <w:qFormat/>
    <w:uiPriority w:val="0"/>
    <w:rPr>
      <w:sz w:val="18"/>
      <w:szCs w:val="18"/>
    </w:rPr>
  </w:style>
  <w:style w:type="paragraph" w:styleId="26">
    <w:name w:val="footer"/>
    <w:basedOn w:val="1"/>
    <w:link w:val="59"/>
    <w:qFormat/>
    <w:uiPriority w:val="99"/>
    <w:pPr>
      <w:tabs>
        <w:tab w:val="center" w:pos="4153"/>
        <w:tab w:val="right" w:pos="8306"/>
      </w:tabs>
      <w:snapToGrid w:val="0"/>
      <w:jc w:val="left"/>
    </w:pPr>
    <w:rPr>
      <w:sz w:val="18"/>
      <w:szCs w:val="18"/>
    </w:rPr>
  </w:style>
  <w:style w:type="paragraph" w:styleId="2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Subtitle"/>
    <w:basedOn w:val="1"/>
    <w:next w:val="1"/>
    <w:link w:val="105"/>
    <w:qFormat/>
    <w:uiPriority w:val="0"/>
    <w:pPr>
      <w:spacing w:before="240" w:after="60" w:line="312" w:lineRule="auto"/>
      <w:jc w:val="center"/>
      <w:outlineLvl w:val="1"/>
    </w:pPr>
    <w:rPr>
      <w:rFonts w:eastAsia="黑体"/>
      <w:b/>
      <w:kern w:val="0"/>
      <w:sz w:val="28"/>
      <w:szCs w:val="20"/>
      <w:lang w:val="en-GB"/>
    </w:rPr>
  </w:style>
  <w:style w:type="paragraph" w:styleId="30">
    <w:name w:val="toc 6"/>
    <w:basedOn w:val="1"/>
    <w:next w:val="1"/>
    <w:qFormat/>
    <w:uiPriority w:val="39"/>
    <w:pPr>
      <w:ind w:left="2100" w:leftChars="1000"/>
    </w:pPr>
  </w:style>
  <w:style w:type="paragraph" w:styleId="31">
    <w:name w:val="Body Text Indent 3"/>
    <w:basedOn w:val="1"/>
    <w:link w:val="65"/>
    <w:qFormat/>
    <w:uiPriority w:val="0"/>
    <w:pPr>
      <w:spacing w:after="120"/>
      <w:ind w:left="420" w:leftChars="200"/>
    </w:pPr>
    <w:rPr>
      <w:sz w:val="16"/>
      <w:szCs w:val="16"/>
    </w:rPr>
  </w:style>
  <w:style w:type="paragraph" w:styleId="32">
    <w:name w:val="toc 2"/>
    <w:basedOn w:val="1"/>
    <w:next w:val="1"/>
    <w:qFormat/>
    <w:uiPriority w:val="0"/>
    <w:pPr>
      <w:ind w:left="420" w:leftChars="200"/>
    </w:pPr>
  </w:style>
  <w:style w:type="paragraph" w:styleId="33">
    <w:name w:val="Body Text 2"/>
    <w:basedOn w:val="1"/>
    <w:link w:val="104"/>
    <w:qFormat/>
    <w:uiPriority w:val="0"/>
    <w:pPr>
      <w:spacing w:after="120" w:line="480" w:lineRule="auto"/>
    </w:pPr>
    <w:rPr>
      <w:szCs w:val="20"/>
    </w:rPr>
  </w:style>
  <w:style w:type="paragraph" w:styleId="34">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hd w:val="clear" w:color="auto" w:fill="FFFFFF"/>
      <w:spacing w:before="100" w:beforeAutospacing="1" w:after="100" w:afterAutospacing="1"/>
      <w:jc w:val="left"/>
    </w:pPr>
    <w:rPr>
      <w:kern w:val="0"/>
      <w:sz w:val="18"/>
      <w:szCs w:val="18"/>
    </w:rPr>
  </w:style>
  <w:style w:type="paragraph" w:styleId="36">
    <w:name w:val="Title"/>
    <w:basedOn w:val="1"/>
    <w:link w:val="62"/>
    <w:qFormat/>
    <w:uiPriority w:val="0"/>
    <w:pPr>
      <w:widowControl/>
      <w:overflowPunct w:val="0"/>
      <w:autoSpaceDE w:val="0"/>
      <w:autoSpaceDN w:val="0"/>
      <w:adjustRightInd w:val="0"/>
      <w:spacing w:line="420" w:lineRule="exact"/>
      <w:jc w:val="center"/>
      <w:textAlignment w:val="baseline"/>
    </w:pPr>
    <w:rPr>
      <w:rFonts w:ascii="宋体" w:hAnsi="Courier New"/>
      <w:szCs w:val="20"/>
    </w:rPr>
  </w:style>
  <w:style w:type="paragraph" w:styleId="37">
    <w:name w:val="annotation subject"/>
    <w:basedOn w:val="14"/>
    <w:next w:val="14"/>
    <w:link w:val="68"/>
    <w:qFormat/>
    <w:uiPriority w:val="0"/>
    <w:rPr>
      <w:b/>
      <w:bCs/>
    </w:rPr>
  </w:style>
  <w:style w:type="paragraph" w:styleId="38">
    <w:name w:val="Body Text First Indent"/>
    <w:basedOn w:val="16"/>
    <w:next w:val="1"/>
    <w:link w:val="75"/>
    <w:qFormat/>
    <w:uiPriority w:val="0"/>
    <w:pPr>
      <w:spacing w:line="360" w:lineRule="auto"/>
      <w:ind w:firstLine="200" w:firstLineChars="200"/>
    </w:pPr>
    <w:rPr>
      <w:rFonts w:ascii="仿宋_GB2312" w:eastAsia="仿宋_GB2312"/>
      <w:bCs/>
      <w:sz w:val="30"/>
    </w:rPr>
  </w:style>
  <w:style w:type="paragraph" w:styleId="39">
    <w:name w:val="Body Text First Indent 2"/>
    <w:basedOn w:val="19"/>
    <w:next w:val="40"/>
    <w:qFormat/>
    <w:uiPriority w:val="0"/>
    <w:pPr>
      <w:ind w:firstLine="420" w:firstLineChars="200"/>
    </w:pPr>
  </w:style>
  <w:style w:type="paragraph" w:customStyle="1" w:styleId="40">
    <w:name w:val="xl53"/>
    <w:basedOn w:val="1"/>
    <w:next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cs="宋体"/>
      <w:b/>
      <w:color w:val="000000"/>
      <w:kern w:val="0"/>
      <w:sz w:val="20"/>
      <w:szCs w:val="20"/>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bCs/>
    </w:rPr>
  </w:style>
  <w:style w:type="character" w:styleId="45">
    <w:name w:val="page number"/>
    <w:basedOn w:val="43"/>
    <w:qFormat/>
    <w:uiPriority w:val="0"/>
  </w:style>
  <w:style w:type="character" w:styleId="46">
    <w:name w:val="FollowedHyperlink"/>
    <w:basedOn w:val="43"/>
    <w:qFormat/>
    <w:uiPriority w:val="0"/>
    <w:rPr>
      <w:color w:val="7F007F"/>
      <w:u w:val="single"/>
    </w:rPr>
  </w:style>
  <w:style w:type="character" w:styleId="47">
    <w:name w:val="line number"/>
    <w:basedOn w:val="43"/>
    <w:qFormat/>
    <w:uiPriority w:val="0"/>
  </w:style>
  <w:style w:type="character" w:styleId="48">
    <w:name w:val="Hyperlink"/>
    <w:basedOn w:val="43"/>
    <w:qFormat/>
    <w:uiPriority w:val="0"/>
    <w:rPr>
      <w:color w:val="00007F"/>
      <w:u w:val="single"/>
    </w:rPr>
  </w:style>
  <w:style w:type="character" w:styleId="49">
    <w:name w:val="annotation reference"/>
    <w:basedOn w:val="43"/>
    <w:unhideWhenUsed/>
    <w:qFormat/>
    <w:uiPriority w:val="99"/>
    <w:rPr>
      <w:sz w:val="21"/>
      <w:szCs w:val="21"/>
    </w:rPr>
  </w:style>
  <w:style w:type="paragraph" w:customStyle="1" w:styleId="50">
    <w:name w:val="_Style 3"/>
    <w:qFormat/>
    <w:uiPriority w:val="0"/>
    <w:rPr>
      <w:rFonts w:ascii="Calibri" w:hAnsi="Calibri" w:eastAsia="宋体" w:cs="Times New Roman"/>
      <w:sz w:val="22"/>
      <w:szCs w:val="22"/>
      <w:lang w:val="en-US" w:eastAsia="zh-CN" w:bidi="ar-SA"/>
    </w:rPr>
  </w:style>
  <w:style w:type="character" w:customStyle="1" w:styleId="51">
    <w:name w:val="标题 2 Char"/>
    <w:link w:val="4"/>
    <w:qFormat/>
    <w:uiPriority w:val="0"/>
    <w:rPr>
      <w:rFonts w:ascii="Arial" w:hAnsi="Arial" w:eastAsia="黑体"/>
      <w:b/>
      <w:bCs/>
      <w:kern w:val="2"/>
      <w:sz w:val="32"/>
      <w:szCs w:val="32"/>
      <w:lang w:val="en-US" w:eastAsia="zh-CN" w:bidi="ar-SA"/>
    </w:rPr>
  </w:style>
  <w:style w:type="character" w:customStyle="1" w:styleId="52">
    <w:name w:val="标题 3 Char"/>
    <w:link w:val="5"/>
    <w:qFormat/>
    <w:uiPriority w:val="0"/>
    <w:rPr>
      <w:rFonts w:eastAsia="宋体"/>
      <w:b/>
      <w:bCs/>
      <w:kern w:val="2"/>
      <w:sz w:val="32"/>
      <w:szCs w:val="32"/>
      <w:lang w:val="en-US" w:eastAsia="zh-CN" w:bidi="ar-SA"/>
    </w:rPr>
  </w:style>
  <w:style w:type="character" w:customStyle="1" w:styleId="53">
    <w:name w:val="标题 4 Char"/>
    <w:link w:val="6"/>
    <w:qFormat/>
    <w:uiPriority w:val="0"/>
    <w:rPr>
      <w:rFonts w:ascii="Arial" w:hAnsi="Arial" w:eastAsia="黑体"/>
      <w:b/>
      <w:bCs/>
      <w:kern w:val="2"/>
      <w:sz w:val="28"/>
      <w:szCs w:val="28"/>
      <w:lang w:val="en-US" w:eastAsia="zh-CN" w:bidi="ar-SA"/>
    </w:rPr>
  </w:style>
  <w:style w:type="character" w:customStyle="1" w:styleId="54">
    <w:name w:val="标题 5 Char"/>
    <w:link w:val="7"/>
    <w:qFormat/>
    <w:uiPriority w:val="0"/>
    <w:rPr>
      <w:rFonts w:eastAsia="宋体"/>
      <w:b/>
      <w:bCs/>
      <w:kern w:val="2"/>
      <w:sz w:val="28"/>
      <w:szCs w:val="28"/>
      <w:lang w:val="en-US" w:eastAsia="zh-CN" w:bidi="ar-SA"/>
    </w:rPr>
  </w:style>
  <w:style w:type="character" w:customStyle="1" w:styleId="55">
    <w:name w:val="标题 6 Char"/>
    <w:link w:val="2"/>
    <w:qFormat/>
    <w:uiPriority w:val="0"/>
    <w:rPr>
      <w:rFonts w:ascii="Arial" w:hAnsi="Arial" w:eastAsia="黑体"/>
      <w:b/>
      <w:bCs/>
      <w:kern w:val="2"/>
      <w:sz w:val="24"/>
      <w:szCs w:val="24"/>
      <w:lang w:val="en-US" w:eastAsia="zh-CN" w:bidi="ar-SA"/>
    </w:rPr>
  </w:style>
  <w:style w:type="character" w:customStyle="1" w:styleId="56">
    <w:name w:val="标题 7 Char"/>
    <w:link w:val="8"/>
    <w:qFormat/>
    <w:uiPriority w:val="0"/>
    <w:rPr>
      <w:rFonts w:ascii="宋体" w:eastAsia="仿宋_GB2312"/>
      <w:b/>
      <w:kern w:val="2"/>
      <w:sz w:val="24"/>
      <w:szCs w:val="24"/>
      <w:lang w:val="en-US" w:eastAsia="zh-CN" w:bidi="ar-SA"/>
    </w:rPr>
  </w:style>
  <w:style w:type="character" w:customStyle="1" w:styleId="57">
    <w:name w:val="标题 8 Char"/>
    <w:link w:val="9"/>
    <w:qFormat/>
    <w:uiPriority w:val="0"/>
    <w:rPr>
      <w:rFonts w:ascii="Arial" w:hAnsi="Arial" w:eastAsia="黑体"/>
      <w:kern w:val="2"/>
      <w:sz w:val="24"/>
      <w:szCs w:val="24"/>
      <w:lang w:val="en-US" w:eastAsia="zh-CN" w:bidi="ar-SA"/>
    </w:rPr>
  </w:style>
  <w:style w:type="character" w:customStyle="1" w:styleId="58">
    <w:name w:val="标题 9 Char"/>
    <w:link w:val="10"/>
    <w:qFormat/>
    <w:uiPriority w:val="0"/>
    <w:rPr>
      <w:rFonts w:ascii="Arial" w:hAnsi="Arial" w:eastAsia="黑体"/>
      <w:kern w:val="2"/>
      <w:sz w:val="28"/>
      <w:szCs w:val="24"/>
      <w:lang w:val="en-US" w:eastAsia="zh-CN" w:bidi="ar-SA"/>
    </w:rPr>
  </w:style>
  <w:style w:type="character" w:customStyle="1" w:styleId="59">
    <w:name w:val="页脚 Char"/>
    <w:link w:val="26"/>
    <w:qFormat/>
    <w:uiPriority w:val="99"/>
    <w:rPr>
      <w:rFonts w:eastAsia="宋体"/>
      <w:kern w:val="2"/>
      <w:sz w:val="18"/>
      <w:szCs w:val="18"/>
      <w:lang w:val="en-US" w:eastAsia="zh-CN" w:bidi="ar-SA"/>
    </w:rPr>
  </w:style>
  <w:style w:type="character" w:customStyle="1" w:styleId="60">
    <w:name w:val="页眉 Char"/>
    <w:link w:val="27"/>
    <w:qFormat/>
    <w:uiPriority w:val="99"/>
    <w:rPr>
      <w:rFonts w:eastAsia="宋体"/>
      <w:kern w:val="2"/>
      <w:sz w:val="18"/>
      <w:szCs w:val="18"/>
      <w:lang w:val="en-US" w:eastAsia="zh-CN" w:bidi="ar-SA"/>
    </w:rPr>
  </w:style>
  <w:style w:type="paragraph" w:customStyle="1" w:styleId="61">
    <w:name w:val="正文文字"/>
    <w:basedOn w:val="1"/>
    <w:qFormat/>
    <w:uiPriority w:val="0"/>
    <w:pPr>
      <w:spacing w:after="119" w:line="351" w:lineRule="atLeast"/>
      <w:ind w:firstLine="419"/>
    </w:pPr>
  </w:style>
  <w:style w:type="character" w:customStyle="1" w:styleId="62">
    <w:name w:val="标题 Char"/>
    <w:link w:val="36"/>
    <w:qFormat/>
    <w:uiPriority w:val="0"/>
    <w:rPr>
      <w:rFonts w:ascii="宋体" w:hAnsi="Courier New" w:eastAsia="宋体"/>
      <w:kern w:val="2"/>
      <w:sz w:val="21"/>
      <w:lang w:val="en-US" w:eastAsia="zh-CN" w:bidi="ar-SA"/>
    </w:rPr>
  </w:style>
  <w:style w:type="character" w:customStyle="1" w:styleId="63">
    <w:name w:val="标题2 Char"/>
    <w:link w:val="64"/>
    <w:qFormat/>
    <w:uiPriority w:val="0"/>
    <w:rPr>
      <w:rFonts w:eastAsia="黑体"/>
      <w:b/>
      <w:bCs/>
      <w:kern w:val="2"/>
      <w:sz w:val="30"/>
      <w:szCs w:val="32"/>
      <w:lang w:bidi="ar-SA"/>
    </w:rPr>
  </w:style>
  <w:style w:type="paragraph" w:customStyle="1" w:styleId="64">
    <w:name w:val="标题2"/>
    <w:basedOn w:val="4"/>
    <w:link w:val="63"/>
    <w:qFormat/>
    <w:uiPriority w:val="0"/>
    <w:pPr>
      <w:spacing w:line="416" w:lineRule="auto"/>
      <w:ind w:left="576" w:hanging="576"/>
    </w:pPr>
    <w:rPr>
      <w:rFonts w:ascii="Times New Roman" w:hAnsi="Times New Roman"/>
      <w:sz w:val="30"/>
    </w:rPr>
  </w:style>
  <w:style w:type="character" w:customStyle="1" w:styleId="65">
    <w:name w:val="正文文本缩进 3 Char"/>
    <w:link w:val="31"/>
    <w:qFormat/>
    <w:uiPriority w:val="0"/>
    <w:rPr>
      <w:rFonts w:eastAsia="宋体"/>
      <w:kern w:val="2"/>
      <w:sz w:val="16"/>
      <w:szCs w:val="16"/>
      <w:lang w:val="en-US" w:eastAsia="zh-CN" w:bidi="ar-SA"/>
    </w:rPr>
  </w:style>
  <w:style w:type="character" w:customStyle="1" w:styleId="66">
    <w:name w:val="列出段落 Char"/>
    <w:link w:val="67"/>
    <w:qFormat/>
    <w:uiPriority w:val="0"/>
    <w:rPr>
      <w:rFonts w:ascii="宋体" w:hAnsi="宋体" w:eastAsia="宋体" w:cs="宋体"/>
      <w:sz w:val="24"/>
      <w:szCs w:val="24"/>
      <w:lang w:val="en-US" w:eastAsia="zh-CN" w:bidi="ar-SA"/>
    </w:rPr>
  </w:style>
  <w:style w:type="paragraph" w:styleId="67">
    <w:name w:val="List Paragraph"/>
    <w:basedOn w:val="1"/>
    <w:link w:val="66"/>
    <w:qFormat/>
    <w:uiPriority w:val="0"/>
    <w:pPr>
      <w:widowControl/>
      <w:ind w:firstLine="420" w:firstLineChars="200"/>
      <w:jc w:val="left"/>
    </w:pPr>
    <w:rPr>
      <w:rFonts w:ascii="宋体" w:hAnsi="宋体" w:cs="宋体"/>
      <w:kern w:val="0"/>
      <w:sz w:val="24"/>
    </w:rPr>
  </w:style>
  <w:style w:type="character" w:customStyle="1" w:styleId="68">
    <w:name w:val="批注主题 Char"/>
    <w:link w:val="37"/>
    <w:qFormat/>
    <w:uiPriority w:val="0"/>
    <w:rPr>
      <w:rFonts w:eastAsia="宋体"/>
      <w:b/>
      <w:bCs/>
      <w:kern w:val="2"/>
      <w:sz w:val="21"/>
      <w:szCs w:val="24"/>
      <w:lang w:val="en-US" w:eastAsia="zh-CN" w:bidi="ar-SA"/>
    </w:rPr>
  </w:style>
  <w:style w:type="character" w:customStyle="1" w:styleId="69">
    <w:name w:val="批注文字 Char"/>
    <w:link w:val="14"/>
    <w:qFormat/>
    <w:uiPriority w:val="99"/>
    <w:rPr>
      <w:rFonts w:eastAsia="宋体"/>
      <w:kern w:val="2"/>
      <w:sz w:val="21"/>
      <w:szCs w:val="24"/>
      <w:lang w:val="en-US" w:eastAsia="zh-CN" w:bidi="ar-SA"/>
    </w:rPr>
  </w:style>
  <w:style w:type="character" w:customStyle="1" w:styleId="70">
    <w:name w:val="gf正文1 Char Char"/>
    <w:link w:val="71"/>
    <w:qFormat/>
    <w:uiPriority w:val="0"/>
    <w:rPr>
      <w:rFonts w:ascii="宋体" w:hAnsi="宋体" w:eastAsia="宋体" w:cs="宋体"/>
      <w:kern w:val="2"/>
      <w:sz w:val="24"/>
      <w:szCs w:val="24"/>
      <w:lang w:val="en-US" w:eastAsia="zh-CN" w:bidi="ar-SA"/>
    </w:rPr>
  </w:style>
  <w:style w:type="paragraph" w:customStyle="1" w:styleId="71">
    <w:name w:val="gf正文1"/>
    <w:basedOn w:val="1"/>
    <w:link w:val="70"/>
    <w:qFormat/>
    <w:uiPriority w:val="0"/>
    <w:pPr>
      <w:adjustRightInd w:val="0"/>
      <w:snapToGrid w:val="0"/>
      <w:spacing w:beforeLines="50" w:line="360" w:lineRule="auto"/>
      <w:ind w:firstLine="480" w:firstLineChars="200"/>
    </w:pPr>
    <w:rPr>
      <w:rFonts w:ascii="宋体" w:hAnsi="宋体" w:cs="宋体"/>
      <w:sz w:val="24"/>
    </w:rPr>
  </w:style>
  <w:style w:type="character" w:customStyle="1" w:styleId="72">
    <w:name w:val="table_lines Char"/>
    <w:basedOn w:val="43"/>
    <w:link w:val="73"/>
    <w:qFormat/>
    <w:uiPriority w:val="0"/>
    <w:rPr>
      <w:rFonts w:eastAsia="宋体"/>
      <w:lang w:val="de-DE" w:eastAsia="de-DE" w:bidi="ar-SA"/>
    </w:rPr>
  </w:style>
  <w:style w:type="paragraph" w:customStyle="1" w:styleId="73">
    <w:name w:val="table_lines"/>
    <w:basedOn w:val="1"/>
    <w:link w:val="72"/>
    <w:qFormat/>
    <w:uiPriority w:val="0"/>
    <w:pPr>
      <w:widowControl/>
      <w:jc w:val="left"/>
    </w:pPr>
    <w:rPr>
      <w:kern w:val="0"/>
      <w:sz w:val="20"/>
      <w:szCs w:val="20"/>
      <w:lang w:val="de-DE" w:eastAsia="de-DE"/>
    </w:rPr>
  </w:style>
  <w:style w:type="character" w:customStyle="1" w:styleId="74">
    <w:name w:val="正文文本 Char"/>
    <w:link w:val="16"/>
    <w:qFormat/>
    <w:uiPriority w:val="0"/>
    <w:rPr>
      <w:rFonts w:eastAsia="宋体"/>
      <w:kern w:val="2"/>
      <w:sz w:val="21"/>
      <w:szCs w:val="24"/>
      <w:lang w:val="en-US" w:eastAsia="zh-CN" w:bidi="ar-SA"/>
    </w:rPr>
  </w:style>
  <w:style w:type="character" w:customStyle="1" w:styleId="75">
    <w:name w:val="正文首行缩进 Char"/>
    <w:link w:val="38"/>
    <w:qFormat/>
    <w:uiPriority w:val="0"/>
    <w:rPr>
      <w:rFonts w:ascii="仿宋_GB2312" w:eastAsia="仿宋_GB2312"/>
      <w:bCs/>
      <w:kern w:val="2"/>
      <w:sz w:val="30"/>
      <w:szCs w:val="24"/>
      <w:lang w:val="en-US" w:eastAsia="zh-CN" w:bidi="ar-SA"/>
    </w:rPr>
  </w:style>
  <w:style w:type="character" w:customStyle="1" w:styleId="76">
    <w:name w:val="正文文本缩进 Char"/>
    <w:link w:val="19"/>
    <w:qFormat/>
    <w:uiPriority w:val="0"/>
    <w:rPr>
      <w:rFonts w:eastAsia="宋体"/>
      <w:kern w:val="2"/>
      <w:sz w:val="24"/>
      <w:lang w:val="en-US" w:eastAsia="zh-CN" w:bidi="ar-SA"/>
    </w:rPr>
  </w:style>
  <w:style w:type="character" w:customStyle="1" w:styleId="77">
    <w:name w:val="正文文本缩进 2 Char"/>
    <w:link w:val="24"/>
    <w:qFormat/>
    <w:uiPriority w:val="0"/>
    <w:rPr>
      <w:rFonts w:eastAsia="宋体"/>
      <w:kern w:val="2"/>
      <w:sz w:val="24"/>
      <w:lang w:val="en-US" w:eastAsia="zh-CN" w:bidi="ar-SA"/>
    </w:rPr>
  </w:style>
  <w:style w:type="character" w:customStyle="1" w:styleId="78">
    <w:name w:val="标准正文 Char Char"/>
    <w:link w:val="79"/>
    <w:qFormat/>
    <w:uiPriority w:val="0"/>
    <w:rPr>
      <w:rFonts w:ascii="Verdana" w:hAnsi="Verdana"/>
      <w:kern w:val="2"/>
      <w:sz w:val="24"/>
      <w:szCs w:val="24"/>
      <w:lang w:bidi="ar-SA"/>
    </w:rPr>
  </w:style>
  <w:style w:type="paragraph" w:customStyle="1" w:styleId="79">
    <w:name w:val="标准正文"/>
    <w:basedOn w:val="1"/>
    <w:link w:val="78"/>
    <w:qFormat/>
    <w:uiPriority w:val="0"/>
    <w:pPr>
      <w:spacing w:line="360" w:lineRule="auto"/>
      <w:ind w:firstLine="200" w:firstLineChars="200"/>
      <w:jc w:val="left"/>
    </w:pPr>
    <w:rPr>
      <w:rFonts w:ascii="Verdana" w:hAnsi="Verdana"/>
      <w:sz w:val="24"/>
    </w:rPr>
  </w:style>
  <w:style w:type="character" w:customStyle="1" w:styleId="80">
    <w:name w:val="纯文本 Char"/>
    <w:link w:val="22"/>
    <w:qFormat/>
    <w:uiPriority w:val="0"/>
    <w:rPr>
      <w:rFonts w:ascii="宋体" w:hAnsi="Courier New" w:eastAsia="宋体"/>
      <w:kern w:val="2"/>
      <w:sz w:val="21"/>
      <w:lang w:val="en-US" w:eastAsia="zh-CN" w:bidi="ar-SA"/>
    </w:rPr>
  </w:style>
  <w:style w:type="character" w:customStyle="1" w:styleId="81">
    <w:name w:val="正文内容 Char Char"/>
    <w:link w:val="82"/>
    <w:qFormat/>
    <w:uiPriority w:val="0"/>
    <w:rPr>
      <w:rFonts w:ascii="Calibri" w:hAnsi="Calibri"/>
      <w:kern w:val="2"/>
      <w:sz w:val="24"/>
      <w:szCs w:val="22"/>
      <w:lang w:bidi="ar-SA"/>
    </w:rPr>
  </w:style>
  <w:style w:type="paragraph" w:customStyle="1" w:styleId="82">
    <w:name w:val="正文内容"/>
    <w:basedOn w:val="1"/>
    <w:link w:val="81"/>
    <w:qFormat/>
    <w:uiPriority w:val="0"/>
    <w:pPr>
      <w:spacing w:line="360" w:lineRule="auto"/>
      <w:ind w:firstLine="420"/>
    </w:pPr>
    <w:rPr>
      <w:rFonts w:ascii="Calibri" w:hAnsi="Calibri"/>
      <w:sz w:val="24"/>
      <w:szCs w:val="22"/>
    </w:rPr>
  </w:style>
  <w:style w:type="character" w:customStyle="1" w:styleId="83">
    <w:name w:val="批注主题 Char Char"/>
    <w:qFormat/>
    <w:uiPriority w:val="0"/>
    <w:rPr>
      <w:b/>
      <w:bCs/>
      <w:kern w:val="2"/>
      <w:sz w:val="30"/>
    </w:rPr>
  </w:style>
  <w:style w:type="character" w:customStyle="1" w:styleId="84">
    <w:name w:val="font11"/>
    <w:basedOn w:val="43"/>
    <w:qFormat/>
    <w:uiPriority w:val="0"/>
    <w:rPr>
      <w:rFonts w:hint="eastAsia" w:ascii="宋体" w:hAnsi="宋体" w:eastAsia="宋体"/>
      <w:color w:val="000000"/>
      <w:sz w:val="24"/>
      <w:szCs w:val="24"/>
      <w:u w:val="none"/>
    </w:rPr>
  </w:style>
  <w:style w:type="character" w:customStyle="1" w:styleId="85">
    <w:name w:val="批注框文本 Char"/>
    <w:basedOn w:val="43"/>
    <w:link w:val="25"/>
    <w:qFormat/>
    <w:uiPriority w:val="0"/>
    <w:rPr>
      <w:rFonts w:eastAsia="宋体"/>
      <w:kern w:val="2"/>
      <w:sz w:val="18"/>
      <w:szCs w:val="18"/>
      <w:lang w:val="en-US" w:eastAsia="zh-CN" w:bidi="ar-SA"/>
    </w:rPr>
  </w:style>
  <w:style w:type="character" w:customStyle="1" w:styleId="86">
    <w:name w:val="正文2 Char Char"/>
    <w:link w:val="87"/>
    <w:qFormat/>
    <w:uiPriority w:val="0"/>
    <w:rPr>
      <w:rFonts w:eastAsia="宋体"/>
      <w:kern w:val="2"/>
      <w:sz w:val="24"/>
      <w:lang w:val="en-US" w:eastAsia="zh-CN" w:bidi="ar-SA"/>
    </w:rPr>
  </w:style>
  <w:style w:type="paragraph" w:customStyle="1" w:styleId="87">
    <w:name w:val="正文2"/>
    <w:basedOn w:val="1"/>
    <w:link w:val="86"/>
    <w:qFormat/>
    <w:uiPriority w:val="0"/>
    <w:pPr>
      <w:spacing w:before="156" w:line="360" w:lineRule="auto"/>
      <w:ind w:firstLine="510" w:firstLineChars="200"/>
    </w:pPr>
    <w:rPr>
      <w:sz w:val="24"/>
      <w:szCs w:val="20"/>
    </w:rPr>
  </w:style>
  <w:style w:type="character" w:customStyle="1" w:styleId="88">
    <w:name w:val="Heading 2 Hidden Char"/>
    <w:qFormat/>
    <w:uiPriority w:val="0"/>
    <w:rPr>
      <w:rFonts w:ascii="宋体" w:hAnsi="宋体" w:eastAsia="仿宋_GB2312"/>
      <w:b/>
      <w:sz w:val="24"/>
    </w:rPr>
  </w:style>
  <w:style w:type="character" w:customStyle="1" w:styleId="89">
    <w:name w:val="正文文本 3 Char"/>
    <w:link w:val="15"/>
    <w:qFormat/>
    <w:uiPriority w:val="0"/>
    <w:rPr>
      <w:rFonts w:ascii="宋体" w:hAnsi="宋体" w:eastAsia="宋体"/>
      <w:kern w:val="2"/>
      <w:sz w:val="21"/>
      <w:lang w:val="en-US" w:eastAsia="zh-CN" w:bidi="ar-SA"/>
    </w:rPr>
  </w:style>
  <w:style w:type="character" w:customStyle="1" w:styleId="90">
    <w:name w:val="large1"/>
    <w:qFormat/>
    <w:uiPriority w:val="0"/>
    <w:rPr>
      <w:rFonts w:hint="eastAsia" w:ascii="宋体" w:hAnsi="宋体" w:eastAsia="宋体"/>
      <w:sz w:val="21"/>
      <w:szCs w:val="21"/>
    </w:rPr>
  </w:style>
  <w:style w:type="character" w:customStyle="1" w:styleId="91">
    <w:name w:val="FA正文 Char Char"/>
    <w:link w:val="92"/>
    <w:qFormat/>
    <w:uiPriority w:val="0"/>
    <w:rPr>
      <w:rFonts w:ascii="宋体" w:hAnsi="宋体" w:eastAsia="宋体"/>
      <w:kern w:val="2"/>
      <w:sz w:val="24"/>
      <w:lang w:bidi="ar-SA"/>
    </w:rPr>
  </w:style>
  <w:style w:type="paragraph" w:customStyle="1" w:styleId="92">
    <w:name w:val="FA正文"/>
    <w:basedOn w:val="1"/>
    <w:link w:val="91"/>
    <w:qFormat/>
    <w:uiPriority w:val="0"/>
    <w:pPr>
      <w:spacing w:line="360" w:lineRule="auto"/>
      <w:ind w:firstLine="480" w:firstLineChars="200"/>
    </w:pPr>
    <w:rPr>
      <w:rFonts w:ascii="宋体" w:hAnsi="宋体"/>
      <w:sz w:val="24"/>
      <w:szCs w:val="20"/>
    </w:rPr>
  </w:style>
  <w:style w:type="character" w:customStyle="1" w:styleId="93">
    <w:name w:val="font61"/>
    <w:qFormat/>
    <w:uiPriority w:val="0"/>
    <w:rPr>
      <w:rFonts w:hint="eastAsia" w:ascii="宋体" w:hAnsi="宋体" w:eastAsia="宋体"/>
      <w:b/>
      <w:bCs/>
      <w:color w:val="000000"/>
      <w:sz w:val="21"/>
      <w:szCs w:val="21"/>
      <w:u w:val="none"/>
    </w:rPr>
  </w:style>
  <w:style w:type="character" w:customStyle="1" w:styleId="94">
    <w:name w:val="伪造正文 Char Char"/>
    <w:link w:val="95"/>
    <w:qFormat/>
    <w:uiPriority w:val="0"/>
    <w:rPr>
      <w:rFonts w:eastAsia="仿宋_GB2312"/>
      <w:kern w:val="2"/>
      <w:sz w:val="24"/>
      <w:szCs w:val="24"/>
      <w:lang w:val="en-US" w:eastAsia="zh-CN" w:bidi="ar-SA"/>
    </w:rPr>
  </w:style>
  <w:style w:type="paragraph" w:customStyle="1" w:styleId="95">
    <w:name w:val="伪造正文"/>
    <w:link w:val="94"/>
    <w:qFormat/>
    <w:uiPriority w:val="0"/>
    <w:pPr>
      <w:spacing w:after="100" w:afterAutospacing="1" w:line="400" w:lineRule="exact"/>
      <w:ind w:firstLine="400" w:firstLineChars="400"/>
    </w:pPr>
    <w:rPr>
      <w:rFonts w:ascii="Times New Roman" w:hAnsi="Times New Roman" w:eastAsia="仿宋_GB2312" w:cs="Times New Roman"/>
      <w:kern w:val="2"/>
      <w:sz w:val="24"/>
      <w:szCs w:val="24"/>
      <w:lang w:val="en-US" w:eastAsia="zh-CN" w:bidi="ar-SA"/>
    </w:rPr>
  </w:style>
  <w:style w:type="character" w:customStyle="1" w:styleId="96">
    <w:name w:val="font41"/>
    <w:basedOn w:val="43"/>
    <w:qFormat/>
    <w:uiPriority w:val="0"/>
    <w:rPr>
      <w:rFonts w:hint="eastAsia" w:ascii="宋体" w:hAnsi="宋体" w:eastAsia="宋体"/>
      <w:color w:val="FF0000"/>
      <w:sz w:val="24"/>
      <w:szCs w:val="24"/>
      <w:u w:val="none"/>
    </w:rPr>
  </w:style>
  <w:style w:type="character" w:customStyle="1" w:styleId="97">
    <w:name w:val="文档结构图 Char"/>
    <w:link w:val="13"/>
    <w:qFormat/>
    <w:uiPriority w:val="0"/>
    <w:rPr>
      <w:rFonts w:eastAsia="宋体"/>
      <w:kern w:val="2"/>
      <w:sz w:val="21"/>
      <w:szCs w:val="24"/>
      <w:lang w:val="en-US" w:eastAsia="zh-CN" w:bidi="ar-SA"/>
    </w:rPr>
  </w:style>
  <w:style w:type="character" w:customStyle="1" w:styleId="98">
    <w:name w:val="HTML 预设格式 Char"/>
    <w:link w:val="34"/>
    <w:qFormat/>
    <w:uiPriority w:val="0"/>
    <w:rPr>
      <w:rFonts w:ascii="宋体" w:hAnsi="宋体" w:eastAsia="宋体" w:cs="宋体"/>
      <w:sz w:val="24"/>
      <w:szCs w:val="24"/>
      <w:lang w:val="en-US" w:eastAsia="zh-CN" w:bidi="ar-SA"/>
    </w:rPr>
  </w:style>
  <w:style w:type="character" w:customStyle="1" w:styleId="99">
    <w:name w:val="日期 Char"/>
    <w:link w:val="23"/>
    <w:qFormat/>
    <w:uiPriority w:val="0"/>
    <w:rPr>
      <w:rFonts w:ascii="宋体" w:hAnsi="宋体" w:eastAsia="宋体"/>
      <w:color w:val="000000"/>
      <w:spacing w:val="-14"/>
      <w:sz w:val="28"/>
      <w:szCs w:val="18"/>
      <w:lang w:val="en-US" w:eastAsia="zh-CN" w:bidi="ar-SA"/>
    </w:rPr>
  </w:style>
  <w:style w:type="character" w:customStyle="1" w:styleId="100">
    <w:name w:val="标题3 Char Char"/>
    <w:link w:val="101"/>
    <w:qFormat/>
    <w:uiPriority w:val="0"/>
    <w:rPr>
      <w:rFonts w:eastAsia="黑体"/>
      <w:b/>
      <w:bCs/>
      <w:kern w:val="2"/>
      <w:sz w:val="32"/>
      <w:szCs w:val="32"/>
      <w:lang w:bidi="ar-SA"/>
    </w:rPr>
  </w:style>
  <w:style w:type="paragraph" w:customStyle="1" w:styleId="101">
    <w:name w:val="标题3"/>
    <w:basedOn w:val="5"/>
    <w:link w:val="100"/>
    <w:qFormat/>
    <w:uiPriority w:val="0"/>
    <w:pPr>
      <w:ind w:left="720" w:hanging="720"/>
    </w:pPr>
    <w:rPr>
      <w:rFonts w:eastAsia="黑体"/>
    </w:rPr>
  </w:style>
  <w:style w:type="character" w:customStyle="1" w:styleId="102">
    <w:name w:val="题注 Char"/>
    <w:link w:val="12"/>
    <w:qFormat/>
    <w:uiPriority w:val="0"/>
    <w:rPr>
      <w:rFonts w:ascii="Arial" w:hAnsi="Arial" w:eastAsia="黑体" w:cs="Arial"/>
      <w:kern w:val="2"/>
      <w:lang w:val="en-US" w:eastAsia="zh-CN" w:bidi="ar-SA"/>
    </w:rPr>
  </w:style>
  <w:style w:type="character" w:customStyle="1" w:styleId="103">
    <w:name w:val="正文缩进 Char"/>
    <w:link w:val="11"/>
    <w:qFormat/>
    <w:uiPriority w:val="0"/>
    <w:rPr>
      <w:rFonts w:eastAsia="宋体"/>
      <w:kern w:val="2"/>
      <w:sz w:val="21"/>
      <w:lang w:val="en-US" w:eastAsia="zh-CN" w:bidi="ar-SA"/>
    </w:rPr>
  </w:style>
  <w:style w:type="character" w:customStyle="1" w:styleId="104">
    <w:name w:val="正文文本 2 Char"/>
    <w:link w:val="33"/>
    <w:qFormat/>
    <w:uiPriority w:val="0"/>
    <w:rPr>
      <w:rFonts w:eastAsia="宋体"/>
      <w:kern w:val="2"/>
      <w:sz w:val="21"/>
      <w:lang w:val="en-US" w:eastAsia="zh-CN" w:bidi="ar-SA"/>
    </w:rPr>
  </w:style>
  <w:style w:type="character" w:customStyle="1" w:styleId="105">
    <w:name w:val="副标题 Char"/>
    <w:link w:val="29"/>
    <w:qFormat/>
    <w:uiPriority w:val="0"/>
    <w:rPr>
      <w:rFonts w:eastAsia="黑体"/>
      <w:b/>
      <w:sz w:val="28"/>
      <w:lang w:val="en-GB" w:eastAsia="zh-CN" w:bidi="ar-SA"/>
    </w:rPr>
  </w:style>
  <w:style w:type="character" w:customStyle="1" w:styleId="106">
    <w:name w:val="Char Char10"/>
    <w:qFormat/>
    <w:uiPriority w:val="0"/>
    <w:rPr>
      <w:rFonts w:ascii="Calibri" w:hAnsi="Calibri" w:eastAsia="宋体"/>
      <w:kern w:val="2"/>
      <w:sz w:val="21"/>
      <w:szCs w:val="22"/>
      <w:lang w:val="en-US" w:eastAsia="zh-CN" w:bidi="ar-SA"/>
    </w:rPr>
  </w:style>
  <w:style w:type="character" w:customStyle="1" w:styleId="107">
    <w:name w:val="font51"/>
    <w:qFormat/>
    <w:uiPriority w:val="0"/>
    <w:rPr>
      <w:rFonts w:hint="eastAsia" w:ascii="宋体" w:hAnsi="宋体" w:eastAsia="宋体"/>
      <w:b/>
      <w:bCs/>
      <w:color w:val="FF00FF"/>
      <w:sz w:val="21"/>
      <w:szCs w:val="21"/>
      <w:u w:val="none"/>
    </w:rPr>
  </w:style>
  <w:style w:type="character" w:customStyle="1" w:styleId="108">
    <w:name w:val="font21"/>
    <w:basedOn w:val="43"/>
    <w:qFormat/>
    <w:uiPriority w:val="0"/>
    <w:rPr>
      <w:rFonts w:hint="eastAsia" w:ascii="宋体" w:hAnsi="宋体" w:eastAsia="宋体"/>
      <w:color w:val="000000"/>
      <w:sz w:val="21"/>
      <w:szCs w:val="21"/>
      <w:u w:val="none"/>
    </w:rPr>
  </w:style>
  <w:style w:type="character" w:customStyle="1" w:styleId="109">
    <w:name w:val="文字 Char"/>
    <w:link w:val="110"/>
    <w:qFormat/>
    <w:locked/>
    <w:uiPriority w:val="0"/>
    <w:rPr>
      <w:rFonts w:ascii="宋体" w:hAnsi="宋体" w:eastAsia="宋体"/>
      <w:kern w:val="2"/>
      <w:sz w:val="28"/>
      <w:lang w:val="en-US" w:eastAsia="zh-CN" w:bidi="ar-SA"/>
    </w:rPr>
  </w:style>
  <w:style w:type="paragraph" w:customStyle="1" w:styleId="110">
    <w:name w:val="文字"/>
    <w:basedOn w:val="1"/>
    <w:link w:val="109"/>
    <w:qFormat/>
    <w:uiPriority w:val="0"/>
    <w:pPr>
      <w:tabs>
        <w:tab w:val="left" w:pos="8520"/>
      </w:tabs>
      <w:spacing w:line="312" w:lineRule="auto"/>
      <w:ind w:right="-210" w:firstLine="556"/>
    </w:pPr>
    <w:rPr>
      <w:rFonts w:ascii="宋体" w:hAnsi="宋体"/>
      <w:sz w:val="28"/>
      <w:szCs w:val="20"/>
    </w:rPr>
  </w:style>
  <w:style w:type="character" w:customStyle="1" w:styleId="111">
    <w:name w:val="N.N.N.N Char Char"/>
    <w:link w:val="112"/>
    <w:qFormat/>
    <w:uiPriority w:val="0"/>
    <w:rPr>
      <w:rFonts w:ascii="仿宋_GB2312" w:eastAsia="黑体"/>
      <w:kern w:val="2"/>
      <w:sz w:val="28"/>
      <w:szCs w:val="24"/>
      <w:lang w:val="en-US" w:eastAsia="zh-CN" w:bidi="ar-SA"/>
    </w:rPr>
  </w:style>
  <w:style w:type="paragraph" w:customStyle="1" w:styleId="112">
    <w:name w:val="N.N.N.N"/>
    <w:basedOn w:val="1"/>
    <w:link w:val="111"/>
    <w:qFormat/>
    <w:uiPriority w:val="0"/>
    <w:pPr>
      <w:spacing w:beforeLines="50" w:line="400" w:lineRule="exact"/>
      <w:ind w:left="851" w:hanging="851"/>
      <w:jc w:val="left"/>
      <w:outlineLvl w:val="3"/>
    </w:pPr>
    <w:rPr>
      <w:rFonts w:ascii="仿宋_GB2312" w:eastAsia="黑体"/>
      <w:sz w:val="28"/>
    </w:rPr>
  </w:style>
  <w:style w:type="character" w:customStyle="1" w:styleId="113">
    <w:name w:val="www序号1) Char"/>
    <w:link w:val="114"/>
    <w:qFormat/>
    <w:uiPriority w:val="0"/>
    <w:rPr>
      <w:rFonts w:eastAsia="宋体"/>
      <w:kern w:val="2"/>
      <w:sz w:val="24"/>
      <w:szCs w:val="24"/>
      <w:lang w:val="en-US" w:eastAsia="zh-CN" w:bidi="ar-SA"/>
    </w:rPr>
  </w:style>
  <w:style w:type="paragraph" w:customStyle="1" w:styleId="114">
    <w:name w:val="www序号1)"/>
    <w:basedOn w:val="1"/>
    <w:link w:val="113"/>
    <w:qFormat/>
    <w:uiPriority w:val="0"/>
    <w:pPr>
      <w:tabs>
        <w:tab w:val="left" w:pos="2160"/>
      </w:tabs>
      <w:ind w:left="2160" w:hanging="420"/>
    </w:pPr>
    <w:rPr>
      <w:sz w:val="24"/>
    </w:rPr>
  </w:style>
  <w:style w:type="character" w:customStyle="1" w:styleId="115">
    <w:name w:val="表格 Char Char"/>
    <w:link w:val="116"/>
    <w:qFormat/>
    <w:uiPriority w:val="0"/>
    <w:rPr>
      <w:rFonts w:ascii="宋体" w:hAnsi="宋体"/>
      <w:lang w:bidi="ar-SA"/>
    </w:rPr>
  </w:style>
  <w:style w:type="paragraph" w:customStyle="1" w:styleId="116">
    <w:name w:val="表格"/>
    <w:basedOn w:val="1"/>
    <w:link w:val="115"/>
    <w:qFormat/>
    <w:uiPriority w:val="0"/>
    <w:pPr>
      <w:snapToGrid w:val="0"/>
      <w:ind w:firstLine="42" w:firstLineChars="21"/>
    </w:pPr>
    <w:rPr>
      <w:rFonts w:ascii="宋体" w:hAnsi="宋体"/>
      <w:kern w:val="0"/>
      <w:sz w:val="20"/>
      <w:szCs w:val="20"/>
    </w:rPr>
  </w:style>
  <w:style w:type="character" w:customStyle="1" w:styleId="117">
    <w:name w:val="Table Heading Char"/>
    <w:link w:val="118"/>
    <w:qFormat/>
    <w:uiPriority w:val="0"/>
    <w:rPr>
      <w:rFonts w:ascii="Arial" w:hAnsi="Arial" w:eastAsia="Times New Roman"/>
      <w:b/>
      <w:sz w:val="21"/>
      <w:szCs w:val="21"/>
      <w:lang w:val="en-US" w:eastAsia="zh-CN" w:bidi="ar-SA"/>
    </w:rPr>
  </w:style>
  <w:style w:type="paragraph" w:customStyle="1" w:styleId="118">
    <w:name w:val="Table Heading"/>
    <w:link w:val="117"/>
    <w:qFormat/>
    <w:uiPriority w:val="0"/>
    <w:pPr>
      <w:jc w:val="center"/>
    </w:pPr>
    <w:rPr>
      <w:rFonts w:ascii="Arial" w:hAnsi="Arial" w:eastAsia="Times New Roman" w:cs="Times New Roman"/>
      <w:b/>
      <w:sz w:val="21"/>
      <w:szCs w:val="21"/>
      <w:lang w:val="en-US" w:eastAsia="zh-CN" w:bidi="ar-SA"/>
    </w:rPr>
  </w:style>
  <w:style w:type="character" w:customStyle="1" w:styleId="119">
    <w:name w:val="样式1 Char"/>
    <w:link w:val="120"/>
    <w:qFormat/>
    <w:uiPriority w:val="0"/>
    <w:rPr>
      <w:rFonts w:ascii="宋体" w:hAnsi="宋体" w:eastAsia="宋体"/>
      <w:sz w:val="24"/>
      <w:lang w:val="en-US" w:eastAsia="zh-CN" w:bidi="ar-SA"/>
    </w:rPr>
  </w:style>
  <w:style w:type="paragraph" w:customStyle="1" w:styleId="120">
    <w:name w:val="样式1"/>
    <w:basedOn w:val="1"/>
    <w:link w:val="11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21">
    <w:name w:val="p18"/>
    <w:basedOn w:val="1"/>
    <w:qFormat/>
    <w:uiPriority w:val="0"/>
    <w:pPr>
      <w:widowControl/>
      <w:spacing w:line="748" w:lineRule="atLeast"/>
      <w:ind w:left="-527" w:firstLine="527"/>
    </w:pPr>
    <w:rPr>
      <w:rFonts w:ascii="宋体" w:hAnsi="宋体" w:cs="宋体"/>
      <w:kern w:val="0"/>
      <w:sz w:val="24"/>
    </w:rPr>
  </w:style>
  <w:style w:type="paragraph" w:customStyle="1" w:styleId="122">
    <w:name w:val="Table Text Char"/>
    <w:qFormat/>
    <w:uiPriority w:val="0"/>
    <w:pPr>
      <w:spacing w:before="80" w:after="80"/>
    </w:pPr>
    <w:rPr>
      <w:rFonts w:ascii="Arial" w:hAnsi="Arial" w:eastAsia="宋体" w:cs="Arial"/>
      <w:color w:val="000000"/>
      <w:kern w:val="1"/>
      <w:sz w:val="18"/>
      <w:szCs w:val="21"/>
      <w:lang w:val="en-US" w:eastAsia="zh-CN" w:bidi="ar-SA"/>
    </w:rPr>
  </w:style>
  <w:style w:type="paragraph" w:customStyle="1" w:styleId="123">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0"/>
      <w:szCs w:val="20"/>
    </w:rPr>
  </w:style>
  <w:style w:type="paragraph" w:customStyle="1" w:styleId="124">
    <w:name w:val="xl77"/>
    <w:basedOn w:val="1"/>
    <w:qFormat/>
    <w:uiPriority w:val="0"/>
    <w:pPr>
      <w:widowControl/>
      <w:pBdr>
        <w:top w:val="single" w:color="000000" w:sz="4" w:space="0"/>
        <w:left w:val="single" w:color="000000" w:sz="4" w:space="0"/>
        <w:bottom w:val="double" w:color="000000" w:sz="6" w:space="0"/>
      </w:pBdr>
      <w:spacing w:before="100" w:beforeAutospacing="1" w:after="100" w:afterAutospacing="1"/>
      <w:jc w:val="left"/>
    </w:pPr>
    <w:rPr>
      <w:rFonts w:ascii="宋体" w:hAnsi="宋体" w:cs="宋体"/>
      <w:b/>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6">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27">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8">
    <w:name w:val="xl6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29">
    <w:name w:val="表内文字"/>
    <w:basedOn w:val="1"/>
    <w:qFormat/>
    <w:uiPriority w:val="0"/>
    <w:pPr>
      <w:jc w:val="center"/>
    </w:pPr>
    <w:rPr>
      <w:rFonts w:ascii="仿宋_GB2312" w:hAnsi="仿宋_GB2312" w:eastAsia="仿宋_GB2312" w:cs="仿宋_GB2312"/>
      <w:color w:val="000000"/>
      <w:kern w:val="1"/>
      <w:sz w:val="24"/>
    </w:rPr>
  </w:style>
  <w:style w:type="paragraph" w:customStyle="1" w:styleId="130">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131">
    <w:name w:val="xl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32">
    <w:name w:val="Char Char Char Char"/>
    <w:basedOn w:val="13"/>
    <w:qFormat/>
    <w:uiPriority w:val="0"/>
    <w:pPr>
      <w:shd w:val="clear" w:color="000000" w:fill="00007F"/>
      <w:tabs>
        <w:tab w:val="left" w:pos="840"/>
      </w:tabs>
      <w:ind w:left="840" w:hanging="420"/>
    </w:pPr>
    <w:rPr>
      <w:rFonts w:ascii="Tahoma" w:hAnsi="Tahoma" w:cs="Tahoma"/>
      <w:color w:val="000000"/>
      <w:kern w:val="1"/>
      <w:sz w:val="24"/>
    </w:rPr>
  </w:style>
  <w:style w:type="paragraph" w:customStyle="1" w:styleId="133">
    <w:name w:val="xl7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i/>
      <w:color w:val="000000"/>
      <w:kern w:val="0"/>
      <w:sz w:val="24"/>
    </w:rPr>
  </w:style>
  <w:style w:type="paragraph" w:customStyle="1" w:styleId="134">
    <w:name w:val="def正文"/>
    <w:basedOn w:val="16"/>
    <w:qFormat/>
    <w:uiPriority w:val="0"/>
    <w:pPr>
      <w:widowControl/>
      <w:spacing w:after="0" w:line="360" w:lineRule="auto"/>
      <w:ind w:firstLine="510"/>
      <w:jc w:val="left"/>
    </w:pPr>
    <w:rPr>
      <w:color w:val="000000"/>
      <w:kern w:val="0"/>
      <w:sz w:val="24"/>
    </w:rPr>
  </w:style>
  <w:style w:type="paragraph" w:customStyle="1" w:styleId="135">
    <w:name w:val="列出段落1"/>
    <w:basedOn w:val="1"/>
    <w:qFormat/>
    <w:uiPriority w:val="0"/>
    <w:pPr>
      <w:ind w:firstLine="420"/>
    </w:pPr>
    <w:rPr>
      <w:rFonts w:ascii="Calibri" w:hAnsi="Calibri" w:cs="Calibri"/>
      <w:color w:val="000000"/>
      <w:kern w:val="1"/>
      <w:szCs w:val="22"/>
    </w:rPr>
  </w:style>
  <w:style w:type="paragraph" w:customStyle="1" w:styleId="136">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37">
    <w:name w:val="符号与编号"/>
    <w:basedOn w:val="1"/>
    <w:qFormat/>
    <w:uiPriority w:val="0"/>
    <w:pPr>
      <w:spacing w:line="360" w:lineRule="auto"/>
      <w:ind w:left="540" w:firstLine="2"/>
    </w:pPr>
    <w:rPr>
      <w:rFonts w:ascii="仿宋_GB2312" w:hAnsi="仿宋_GB2312" w:eastAsia="仿宋_GB2312" w:cs="仿宋_GB2312"/>
      <w:color w:val="000000"/>
      <w:kern w:val="1"/>
      <w:sz w:val="24"/>
    </w:rPr>
  </w:style>
  <w:style w:type="paragraph" w:customStyle="1" w:styleId="138">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39">
    <w:name w:val="1 Char Char Char Char"/>
    <w:basedOn w:val="1"/>
    <w:qFormat/>
    <w:uiPriority w:val="0"/>
    <w:pPr>
      <w:jc w:val="center"/>
    </w:pPr>
    <w:rPr>
      <w:rFonts w:ascii="Tahoma" w:hAnsi="Tahoma" w:cs="Tahoma"/>
      <w:color w:val="000000"/>
      <w:kern w:val="1"/>
      <w:sz w:val="24"/>
      <w:szCs w:val="20"/>
    </w:rPr>
  </w:style>
  <w:style w:type="paragraph" w:customStyle="1" w:styleId="140">
    <w:name w:val="xl6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41">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42">
    <w:name w:val="xl45"/>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C0C0C0"/>
      <w:spacing w:before="100" w:beforeAutospacing="1" w:after="100" w:afterAutospacing="1"/>
      <w:jc w:val="center"/>
    </w:pPr>
    <w:rPr>
      <w:rFonts w:ascii="宋体" w:hAnsi="宋体" w:cs="宋体"/>
      <w:b/>
      <w:color w:val="000000"/>
      <w:kern w:val="0"/>
      <w:sz w:val="20"/>
      <w:szCs w:val="20"/>
    </w:rPr>
  </w:style>
  <w:style w:type="paragraph" w:customStyle="1" w:styleId="143">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44">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145">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46">
    <w:name w:val="xl66"/>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i/>
      <w:color w:val="000000"/>
      <w:kern w:val="0"/>
      <w:sz w:val="24"/>
    </w:rPr>
  </w:style>
  <w:style w:type="paragraph" w:customStyle="1" w:styleId="147">
    <w:name w:val="默认段落字体 Para Char"/>
    <w:basedOn w:val="1"/>
    <w:qFormat/>
    <w:uiPriority w:val="0"/>
    <w:pPr>
      <w:spacing w:line="360" w:lineRule="auto"/>
      <w:ind w:firstLine="200"/>
    </w:pPr>
    <w:rPr>
      <w:color w:val="000000"/>
      <w:kern w:val="0"/>
      <w:sz w:val="28"/>
      <w:szCs w:val="20"/>
    </w:rPr>
  </w:style>
  <w:style w:type="paragraph" w:customStyle="1" w:styleId="148">
    <w:name w:val="缺省文本"/>
    <w:basedOn w:val="1"/>
    <w:qFormat/>
    <w:uiPriority w:val="0"/>
    <w:pPr>
      <w:jc w:val="left"/>
    </w:pPr>
    <w:rPr>
      <w:color w:val="000000"/>
      <w:kern w:val="0"/>
      <w:sz w:val="24"/>
      <w:szCs w:val="20"/>
    </w:rPr>
  </w:style>
  <w:style w:type="paragraph" w:customStyle="1" w:styleId="149">
    <w:name w:val="xl69"/>
    <w:basedOn w:val="1"/>
    <w:qFormat/>
    <w:uiPriority w:val="0"/>
    <w:pPr>
      <w:widowControl/>
      <w:pBdr>
        <w:top w:val="single" w:color="000000" w:sz="4" w:space="0"/>
        <w:bottom w:val="single" w:color="000000" w:sz="8" w:space="0"/>
      </w:pBdr>
      <w:spacing w:before="100" w:beforeAutospacing="1" w:after="100" w:afterAutospacing="1"/>
      <w:jc w:val="left"/>
    </w:pPr>
    <w:rPr>
      <w:b/>
      <w:color w:val="000000"/>
      <w:kern w:val="0"/>
      <w:sz w:val="20"/>
      <w:szCs w:val="20"/>
    </w:rPr>
  </w:style>
  <w:style w:type="paragraph" w:customStyle="1" w:styleId="150">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b/>
      <w:color w:val="000000"/>
      <w:kern w:val="0"/>
      <w:sz w:val="20"/>
      <w:szCs w:val="20"/>
    </w:rPr>
  </w:style>
  <w:style w:type="paragraph" w:customStyle="1" w:styleId="151">
    <w:name w:val="xl44"/>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C0C0C0"/>
      <w:spacing w:before="100" w:beforeAutospacing="1" w:after="100" w:afterAutospacing="1"/>
      <w:jc w:val="center"/>
    </w:pPr>
    <w:rPr>
      <w:rFonts w:ascii="宋体" w:hAnsi="宋体" w:cs="宋体"/>
      <w:b/>
      <w:color w:val="000000"/>
      <w:kern w:val="0"/>
      <w:sz w:val="20"/>
      <w:szCs w:val="20"/>
    </w:rPr>
  </w:style>
  <w:style w:type="paragraph" w:customStyle="1" w:styleId="152">
    <w:name w:val="xl64"/>
    <w:basedOn w:val="1"/>
    <w:qFormat/>
    <w:uiPriority w:val="0"/>
    <w:pPr>
      <w:widowControl/>
      <w:spacing w:before="100" w:beforeAutospacing="1" w:after="100" w:afterAutospacing="1"/>
      <w:jc w:val="center"/>
    </w:pPr>
    <w:rPr>
      <w:rFonts w:ascii="宋体" w:hAnsi="宋体" w:cs="宋体"/>
      <w:b/>
      <w:color w:val="000000"/>
      <w:kern w:val="0"/>
      <w:sz w:val="36"/>
      <w:szCs w:val="36"/>
    </w:rPr>
  </w:style>
  <w:style w:type="paragraph" w:customStyle="1" w:styleId="153">
    <w:name w:val="xl46"/>
    <w:basedOn w:val="1"/>
    <w:qFormat/>
    <w:uiPriority w:val="0"/>
    <w:pPr>
      <w:widowControl/>
      <w:pBdr>
        <w:top w:val="single" w:color="000000" w:sz="8" w:space="0"/>
        <w:left w:val="single" w:color="000000" w:sz="4" w:space="0"/>
        <w:bottom w:val="single" w:color="000000" w:sz="4" w:space="0"/>
        <w:right w:val="single" w:color="000000" w:sz="8" w:space="0"/>
      </w:pBdr>
      <w:shd w:val="clear" w:color="000000" w:fill="C0C0C0"/>
      <w:spacing w:before="100" w:beforeAutospacing="1" w:after="100" w:afterAutospacing="1"/>
      <w:jc w:val="center"/>
    </w:pPr>
    <w:rPr>
      <w:rFonts w:ascii="宋体" w:hAnsi="宋体" w:cs="宋体"/>
      <w:b/>
      <w:color w:val="000000"/>
      <w:kern w:val="0"/>
      <w:sz w:val="20"/>
      <w:szCs w:val="20"/>
    </w:rPr>
  </w:style>
  <w:style w:type="paragraph" w:customStyle="1" w:styleId="154">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55">
    <w:name w:val="标书正文"/>
    <w:basedOn w:val="1"/>
    <w:qFormat/>
    <w:uiPriority w:val="0"/>
    <w:pPr>
      <w:spacing w:line="360" w:lineRule="auto"/>
    </w:pPr>
    <w:rPr>
      <w:rFonts w:ascii="仿宋_GB2312" w:hAnsi="仿宋_GB2312" w:eastAsia="仿宋_GB2312" w:cs="仿宋_GB2312"/>
      <w:color w:val="000000"/>
      <w:kern w:val="1"/>
      <w:sz w:val="24"/>
    </w:rPr>
  </w:style>
  <w:style w:type="paragraph" w:customStyle="1" w:styleId="15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57">
    <w:name w:val="xl81"/>
    <w:basedOn w:val="1"/>
    <w:qFormat/>
    <w:uiPriority w:val="0"/>
    <w:pPr>
      <w:widowControl/>
      <w:pBdr>
        <w:bottom w:val="single" w:color="000000" w:sz="4" w:space="0"/>
      </w:pBdr>
      <w:spacing w:before="100" w:beforeAutospacing="1" w:after="100" w:afterAutospacing="1"/>
      <w:jc w:val="left"/>
    </w:pPr>
    <w:rPr>
      <w:b/>
      <w:color w:val="000000"/>
      <w:kern w:val="0"/>
      <w:sz w:val="20"/>
      <w:szCs w:val="20"/>
    </w:rPr>
  </w:style>
  <w:style w:type="paragraph" w:customStyle="1" w:styleId="158">
    <w:name w:val="xl58"/>
    <w:basedOn w:val="1"/>
    <w:qFormat/>
    <w:uiPriority w:val="0"/>
    <w:pPr>
      <w:widowControl/>
      <w:pBdr>
        <w:left w:val="single" w:color="000000" w:sz="4" w:space="0"/>
        <w:bottom w:val="single" w:color="000000" w:sz="4" w:space="0"/>
        <w:right w:val="single" w:color="000000" w:sz="8" w:space="0"/>
      </w:pBdr>
      <w:spacing w:before="100" w:beforeAutospacing="1" w:after="100" w:afterAutospacing="1"/>
      <w:jc w:val="left"/>
    </w:pPr>
    <w:rPr>
      <w:b/>
      <w:color w:val="000000"/>
      <w:kern w:val="0"/>
      <w:sz w:val="20"/>
      <w:szCs w:val="20"/>
    </w:rPr>
  </w:style>
  <w:style w:type="paragraph" w:customStyle="1" w:styleId="159">
    <w:name w:val="xl49"/>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color w:val="000000"/>
      <w:kern w:val="0"/>
      <w:sz w:val="20"/>
      <w:szCs w:val="20"/>
    </w:rPr>
  </w:style>
  <w:style w:type="paragraph" w:customStyle="1" w:styleId="160">
    <w:name w:val="font10"/>
    <w:basedOn w:val="1"/>
    <w:qFormat/>
    <w:uiPriority w:val="0"/>
    <w:pPr>
      <w:widowControl/>
      <w:spacing w:before="100" w:beforeAutospacing="1" w:after="100" w:afterAutospacing="1"/>
      <w:jc w:val="left"/>
    </w:pPr>
    <w:rPr>
      <w:rFonts w:ascii="宋体" w:hAnsi="宋体" w:cs="宋体"/>
      <w:b/>
      <w:i/>
      <w:color w:val="000000"/>
      <w:kern w:val="0"/>
      <w:sz w:val="24"/>
    </w:rPr>
  </w:style>
  <w:style w:type="paragraph" w:customStyle="1" w:styleId="161">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62">
    <w:name w:val="xl54"/>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color w:val="000000"/>
      <w:kern w:val="0"/>
      <w:sz w:val="20"/>
      <w:szCs w:val="20"/>
    </w:rPr>
  </w:style>
  <w:style w:type="paragraph" w:customStyle="1" w:styleId="163">
    <w:name w:val="页码1"/>
    <w:basedOn w:val="1"/>
    <w:next w:val="1"/>
    <w:qFormat/>
    <w:uiPriority w:val="0"/>
    <w:pPr>
      <w:widowControl/>
    </w:pPr>
    <w:rPr>
      <w:color w:val="000000"/>
      <w:kern w:val="1"/>
      <w:szCs w:val="20"/>
    </w:rPr>
  </w:style>
  <w:style w:type="paragraph" w:customStyle="1" w:styleId="164">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65">
    <w:name w:val="xl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66">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华文新魏" w:hAnsi="华文新魏" w:cs="宋体"/>
      <w:color w:val="000000"/>
      <w:kern w:val="0"/>
      <w:sz w:val="24"/>
    </w:rPr>
  </w:style>
  <w:style w:type="paragraph" w:customStyle="1" w:styleId="167">
    <w:name w:val="xl75"/>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color w:val="000000"/>
      <w:kern w:val="0"/>
      <w:sz w:val="20"/>
      <w:szCs w:val="20"/>
    </w:rPr>
  </w:style>
  <w:style w:type="paragraph" w:customStyle="1" w:styleId="168">
    <w:name w:val="xl65"/>
    <w:basedOn w:val="1"/>
    <w:qFormat/>
    <w:uiPriority w:val="0"/>
    <w:pPr>
      <w:widowControl/>
      <w:pBdr>
        <w:top w:val="single" w:color="000000" w:sz="4" w:space="0"/>
        <w:left w:val="single" w:color="000000" w:sz="8" w:space="0"/>
        <w:bottom w:val="single" w:color="000000" w:sz="4" w:space="0"/>
      </w:pBdr>
      <w:spacing w:before="100" w:beforeAutospacing="1" w:after="100" w:afterAutospacing="1"/>
      <w:jc w:val="center"/>
    </w:pPr>
    <w:rPr>
      <w:rFonts w:ascii="宋体" w:hAnsi="宋体" w:cs="宋体"/>
      <w:b/>
      <w:i/>
      <w:color w:val="000000"/>
      <w:kern w:val="0"/>
      <w:sz w:val="24"/>
    </w:rPr>
  </w:style>
  <w:style w:type="paragraph" w:customStyle="1" w:styleId="169">
    <w:name w:val="xl50"/>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70">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71">
    <w:name w:val="xl83"/>
    <w:basedOn w:val="1"/>
    <w:qFormat/>
    <w:uiPriority w:val="0"/>
    <w:pPr>
      <w:widowControl/>
      <w:pBdr>
        <w:top w:val="single" w:color="000000" w:sz="4" w:space="0"/>
        <w:bottom w:val="single" w:color="000000" w:sz="4" w:space="0"/>
      </w:pBdr>
      <w:spacing w:before="100" w:beforeAutospacing="1" w:after="100" w:afterAutospacing="1"/>
      <w:jc w:val="left"/>
    </w:pPr>
    <w:rPr>
      <w:b/>
      <w:color w:val="000000"/>
      <w:kern w:val="0"/>
      <w:sz w:val="20"/>
      <w:szCs w:val="20"/>
    </w:rPr>
  </w:style>
  <w:style w:type="paragraph" w:customStyle="1" w:styleId="172">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173">
    <w:name w:val="xl4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color w:val="000000"/>
      <w:kern w:val="0"/>
      <w:sz w:val="20"/>
      <w:szCs w:val="20"/>
    </w:rPr>
  </w:style>
  <w:style w:type="paragraph" w:customStyle="1" w:styleId="174">
    <w:name w:val="xl67"/>
    <w:basedOn w:val="1"/>
    <w:qFormat/>
    <w:uiPriority w:val="0"/>
    <w:pPr>
      <w:widowControl/>
      <w:pBdr>
        <w:top w:val="single" w:color="000000" w:sz="4" w:space="0"/>
        <w:bottom w:val="single" w:color="000000" w:sz="4" w:space="0"/>
        <w:right w:val="single" w:color="000000" w:sz="8" w:space="0"/>
      </w:pBdr>
      <w:spacing w:before="100" w:beforeAutospacing="1" w:after="100" w:afterAutospacing="1"/>
      <w:jc w:val="center"/>
    </w:pPr>
    <w:rPr>
      <w:rFonts w:ascii="宋体" w:hAnsi="宋体" w:cs="宋体"/>
      <w:b/>
      <w:i/>
      <w:color w:val="000000"/>
      <w:kern w:val="0"/>
      <w:sz w:val="24"/>
    </w:rPr>
  </w:style>
  <w:style w:type="paragraph" w:customStyle="1" w:styleId="175">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0"/>
      <w:szCs w:val="20"/>
    </w:rPr>
  </w:style>
  <w:style w:type="paragraph" w:customStyle="1" w:styleId="176">
    <w:name w:val="xl59"/>
    <w:basedOn w:val="1"/>
    <w:qFormat/>
    <w:uiPriority w:val="0"/>
    <w:pPr>
      <w:widowControl/>
      <w:pBdr>
        <w:top w:val="single" w:color="000000" w:sz="4" w:space="0"/>
        <w:left w:val="single" w:color="000000" w:sz="4" w:space="0"/>
        <w:bottom w:val="double" w:color="000000" w:sz="6" w:space="0"/>
        <w:right w:val="single" w:color="000000" w:sz="8" w:space="0"/>
      </w:pBdr>
      <w:spacing w:before="100" w:beforeAutospacing="1" w:after="100" w:afterAutospacing="1"/>
      <w:jc w:val="left"/>
    </w:pPr>
    <w:rPr>
      <w:b/>
      <w:color w:val="000000"/>
      <w:kern w:val="0"/>
      <w:sz w:val="20"/>
      <w:szCs w:val="20"/>
    </w:rPr>
  </w:style>
  <w:style w:type="paragraph" w:customStyle="1" w:styleId="177">
    <w:name w:val="xl52"/>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color w:val="000000"/>
      <w:kern w:val="0"/>
      <w:sz w:val="20"/>
      <w:szCs w:val="20"/>
    </w:rPr>
  </w:style>
  <w:style w:type="paragraph" w:customStyle="1" w:styleId="178">
    <w:name w:val="xl57"/>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color w:val="000000"/>
      <w:kern w:val="0"/>
      <w:sz w:val="20"/>
      <w:szCs w:val="20"/>
    </w:rPr>
  </w:style>
  <w:style w:type="paragraph" w:customStyle="1" w:styleId="17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i/>
      <w:color w:val="000000"/>
      <w:kern w:val="0"/>
      <w:sz w:val="24"/>
    </w:rPr>
  </w:style>
  <w:style w:type="paragraph" w:customStyle="1" w:styleId="180">
    <w:name w:val="xl51"/>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color w:val="000000"/>
      <w:kern w:val="0"/>
      <w:sz w:val="20"/>
      <w:szCs w:val="20"/>
    </w:rPr>
  </w:style>
  <w:style w:type="paragraph" w:customStyle="1" w:styleId="181">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82">
    <w:name w:val="xl23"/>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83">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84">
    <w:name w:val="xl73"/>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cs="宋体"/>
      <w:b/>
      <w:i/>
      <w:color w:val="000000"/>
      <w:kern w:val="0"/>
      <w:sz w:val="24"/>
    </w:rPr>
  </w:style>
  <w:style w:type="paragraph" w:customStyle="1" w:styleId="185">
    <w:name w:val="Char1"/>
    <w:basedOn w:val="1"/>
    <w:qFormat/>
    <w:uiPriority w:val="0"/>
    <w:rPr>
      <w:rFonts w:ascii="仿宋_GB2312" w:hAnsi="仿宋_GB2312" w:eastAsia="仿宋_GB2312" w:cs="仿宋_GB2312"/>
      <w:b/>
      <w:color w:val="000000"/>
      <w:kern w:val="1"/>
      <w:sz w:val="32"/>
      <w:szCs w:val="32"/>
    </w:rPr>
  </w:style>
  <w:style w:type="paragraph" w:customStyle="1" w:styleId="186">
    <w:name w:val="xl68"/>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left"/>
    </w:pPr>
    <w:rPr>
      <w:rFonts w:ascii="宋体" w:hAnsi="宋体" w:cs="宋体"/>
      <w:b/>
      <w:color w:val="000000"/>
      <w:kern w:val="0"/>
      <w:sz w:val="20"/>
      <w:szCs w:val="20"/>
    </w:rPr>
  </w:style>
  <w:style w:type="paragraph" w:customStyle="1" w:styleId="187">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0"/>
      <w:szCs w:val="20"/>
    </w:rPr>
  </w:style>
  <w:style w:type="paragraph" w:customStyle="1" w:styleId="188">
    <w:name w:val="xl70"/>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left"/>
    </w:pPr>
    <w:rPr>
      <w:b/>
      <w:color w:val="000000"/>
      <w:kern w:val="0"/>
      <w:sz w:val="20"/>
      <w:szCs w:val="20"/>
    </w:rPr>
  </w:style>
  <w:style w:type="paragraph" w:customStyle="1" w:styleId="189">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90">
    <w:name w:val="文档正文"/>
    <w:basedOn w:val="1"/>
    <w:qFormat/>
    <w:uiPriority w:val="0"/>
    <w:pPr>
      <w:spacing w:line="480" w:lineRule="atLeast"/>
      <w:ind w:firstLine="567"/>
    </w:pPr>
    <w:rPr>
      <w:rFonts w:ascii="长城仿宋" w:hAnsi="长城仿宋" w:cs="黑体"/>
      <w:color w:val="000000"/>
      <w:kern w:val="0"/>
      <w:sz w:val="24"/>
    </w:rPr>
  </w:style>
  <w:style w:type="paragraph" w:customStyle="1" w:styleId="191">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92">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color w:val="000000"/>
      <w:kern w:val="0"/>
      <w:sz w:val="20"/>
      <w:szCs w:val="20"/>
    </w:rPr>
  </w:style>
  <w:style w:type="paragraph" w:customStyle="1" w:styleId="19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4">
    <w:name w:val="xl79"/>
    <w:basedOn w:val="1"/>
    <w:qFormat/>
    <w:uiPriority w:val="0"/>
    <w:pPr>
      <w:widowControl/>
      <w:pBdr>
        <w:top w:val="single" w:color="000000" w:sz="4" w:space="0"/>
        <w:bottom w:val="double" w:color="000000" w:sz="6" w:space="0"/>
        <w:right w:val="single" w:color="000000" w:sz="4" w:space="0"/>
      </w:pBdr>
      <w:spacing w:before="100" w:beforeAutospacing="1" w:after="100" w:afterAutospacing="1"/>
      <w:jc w:val="left"/>
    </w:pPr>
    <w:rPr>
      <w:rFonts w:ascii="宋体" w:hAnsi="宋体" w:cs="宋体"/>
      <w:b/>
      <w:color w:val="000000"/>
      <w:kern w:val="0"/>
      <w:sz w:val="20"/>
      <w:szCs w:val="20"/>
    </w:rPr>
  </w:style>
  <w:style w:type="paragraph" w:customStyle="1" w:styleId="195">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96">
    <w:name w:val="xl80"/>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cs="宋体"/>
      <w:b/>
      <w:color w:val="000000"/>
      <w:kern w:val="0"/>
      <w:sz w:val="20"/>
      <w:szCs w:val="20"/>
    </w:rPr>
  </w:style>
  <w:style w:type="paragraph" w:customStyle="1" w:styleId="197">
    <w:name w:val="xl78"/>
    <w:basedOn w:val="1"/>
    <w:qFormat/>
    <w:uiPriority w:val="0"/>
    <w:pPr>
      <w:widowControl/>
      <w:pBdr>
        <w:top w:val="single" w:color="000000" w:sz="4" w:space="0"/>
        <w:bottom w:val="double" w:color="000000" w:sz="6" w:space="0"/>
      </w:pBdr>
      <w:spacing w:before="100" w:beforeAutospacing="1" w:after="100" w:afterAutospacing="1"/>
      <w:jc w:val="left"/>
    </w:pPr>
    <w:rPr>
      <w:rFonts w:ascii="宋体" w:hAnsi="宋体" w:cs="宋体"/>
      <w:b/>
      <w:color w:val="000000"/>
      <w:kern w:val="0"/>
      <w:sz w:val="20"/>
      <w:szCs w:val="20"/>
    </w:rPr>
  </w:style>
  <w:style w:type="paragraph" w:customStyle="1" w:styleId="198">
    <w:name w:val="Plain Text*"/>
    <w:basedOn w:val="1"/>
    <w:qFormat/>
    <w:uiPriority w:val="0"/>
    <w:pPr>
      <w:jc w:val="left"/>
    </w:pPr>
    <w:rPr>
      <w:rFonts w:ascii="宋体" w:hAnsi="宋体" w:cs="Courier New"/>
      <w:color w:val="000000"/>
      <w:kern w:val="1"/>
      <w:sz w:val="24"/>
      <w:szCs w:val="20"/>
    </w:rPr>
  </w:style>
  <w:style w:type="paragraph" w:customStyle="1" w:styleId="199">
    <w:name w:val="xl47"/>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200">
    <w:name w:val="xl8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b/>
      <w:color w:val="000000"/>
      <w:kern w:val="0"/>
      <w:sz w:val="20"/>
      <w:szCs w:val="20"/>
    </w:rPr>
  </w:style>
  <w:style w:type="paragraph" w:customStyle="1" w:styleId="201">
    <w:name w:val="xl5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color w:val="000000"/>
      <w:kern w:val="0"/>
      <w:sz w:val="20"/>
      <w:szCs w:val="20"/>
    </w:rPr>
  </w:style>
  <w:style w:type="paragraph" w:customStyle="1" w:styleId="202">
    <w:name w:val="xl56"/>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b/>
      <w:color w:val="000000"/>
      <w:kern w:val="0"/>
      <w:sz w:val="22"/>
      <w:szCs w:val="22"/>
    </w:rPr>
  </w:style>
  <w:style w:type="paragraph" w:customStyle="1" w:styleId="203">
    <w:name w:val="xl82"/>
    <w:basedOn w:val="1"/>
    <w:qFormat/>
    <w:uiPriority w:val="0"/>
    <w:pPr>
      <w:widowControl/>
      <w:pBdr>
        <w:bottom w:val="single" w:color="000000" w:sz="4" w:space="0"/>
        <w:right w:val="single" w:color="000000" w:sz="4" w:space="0"/>
      </w:pBdr>
      <w:spacing w:before="100" w:beforeAutospacing="1" w:after="100" w:afterAutospacing="1"/>
      <w:jc w:val="left"/>
    </w:pPr>
    <w:rPr>
      <w:b/>
      <w:color w:val="000000"/>
      <w:kern w:val="0"/>
      <w:sz w:val="20"/>
      <w:szCs w:val="20"/>
    </w:rPr>
  </w:style>
  <w:style w:type="paragraph" w:customStyle="1" w:styleId="204">
    <w:name w:val="Table Text"/>
    <w:qFormat/>
    <w:uiPriority w:val="0"/>
    <w:pPr>
      <w:spacing w:before="80" w:after="80"/>
    </w:pPr>
    <w:rPr>
      <w:rFonts w:ascii="Arial" w:hAnsi="Arial" w:eastAsia="宋体" w:cs="Arial"/>
      <w:color w:val="000000"/>
      <w:kern w:val="1"/>
      <w:sz w:val="18"/>
      <w:szCs w:val="18"/>
      <w:lang w:val="en-US" w:eastAsia="zh-CN" w:bidi="ar-SA"/>
    </w:rPr>
  </w:style>
  <w:style w:type="paragraph" w:customStyle="1" w:styleId="205">
    <w:name w:val="Char"/>
    <w:basedOn w:val="1"/>
    <w:qFormat/>
    <w:uiPriority w:val="0"/>
    <w:rPr>
      <w:rFonts w:ascii="仿宋_GB2312" w:hAnsi="仿宋_GB2312" w:eastAsia="仿宋_GB2312" w:cs="仿宋_GB2312"/>
      <w:b/>
      <w:color w:val="000000"/>
      <w:kern w:val="1"/>
      <w:sz w:val="32"/>
      <w:szCs w:val="32"/>
    </w:rPr>
  </w:style>
  <w:style w:type="character" w:customStyle="1" w:styleId="206">
    <w:name w:val="Table Text Char Char"/>
    <w:basedOn w:val="43"/>
    <w:qFormat/>
    <w:uiPriority w:val="0"/>
    <w:rPr>
      <w:rFonts w:ascii="Arial" w:hAnsi="Arial" w:eastAsia="宋体" w:cs="Arial"/>
      <w:kern w:val="1"/>
      <w:sz w:val="18"/>
      <w:szCs w:val="21"/>
      <w:lang w:val="en-US" w:eastAsia="zh-CN" w:bidi="ar-SA"/>
    </w:rPr>
  </w:style>
  <w:style w:type="character" w:customStyle="1" w:styleId="207">
    <w:name w:val="h3 Char"/>
    <w:basedOn w:val="43"/>
    <w:qFormat/>
    <w:uiPriority w:val="0"/>
    <w:rPr>
      <w:rFonts w:ascii="仿宋_GB2312" w:hAnsi="仿宋_GB2312" w:eastAsia="仿宋_GB2312"/>
      <w:b/>
      <w:kern w:val="1"/>
      <w:sz w:val="30"/>
      <w:lang w:val="en-US" w:eastAsia="zh-CN" w:bidi="ar-SA"/>
    </w:rPr>
  </w:style>
  <w:style w:type="character" w:customStyle="1" w:styleId="208">
    <w:name w:val="缺省文本 Char"/>
    <w:basedOn w:val="43"/>
    <w:qFormat/>
    <w:uiPriority w:val="0"/>
    <w:rPr>
      <w:rFonts w:eastAsia="宋体"/>
      <w:sz w:val="24"/>
      <w:lang w:val="en-US" w:eastAsia="zh-CN" w:bidi="ar-SA"/>
    </w:rPr>
  </w:style>
  <w:style w:type="character" w:customStyle="1" w:styleId="209">
    <w:name w:val="正文（首行缩进两字） Char Char Char Char1"/>
    <w:basedOn w:val="43"/>
    <w:qFormat/>
    <w:uiPriority w:val="0"/>
    <w:rPr>
      <w:rFonts w:eastAsia="宋体"/>
      <w:kern w:val="1"/>
      <w:sz w:val="21"/>
      <w:szCs w:val="24"/>
      <w:lang w:val="en-US" w:eastAsia="zh-CN" w:bidi="ar-SA"/>
    </w:rPr>
  </w:style>
  <w:style w:type="character" w:customStyle="1" w:styleId="210">
    <w:name w:val="t9e1"/>
    <w:basedOn w:val="43"/>
    <w:qFormat/>
    <w:uiPriority w:val="0"/>
    <w:rPr>
      <w:rFonts w:ascii="Arial" w:hAnsi="Arial" w:cs="Arial"/>
      <w:color w:val="7B7B7B"/>
      <w:sz w:val="16"/>
      <w:szCs w:val="16"/>
    </w:rPr>
  </w:style>
  <w:style w:type="character" w:customStyle="1" w:styleId="211">
    <w:name w:val="Table Text Char1"/>
    <w:basedOn w:val="43"/>
    <w:qFormat/>
    <w:uiPriority w:val="0"/>
    <w:rPr>
      <w:rFonts w:ascii="Arial" w:hAnsi="Arial" w:eastAsia="宋体" w:cs="Arial"/>
      <w:kern w:val="1"/>
      <w:sz w:val="18"/>
      <w:szCs w:val="18"/>
      <w:lang w:val="en-US" w:eastAsia="zh-CN" w:bidi="ar-SA"/>
    </w:rPr>
  </w:style>
  <w:style w:type="paragraph" w:customStyle="1" w:styleId="212">
    <w:name w:val="内文正文"/>
    <w:basedOn w:val="1"/>
    <w:qFormat/>
    <w:uiPriority w:val="0"/>
    <w:pPr>
      <w:adjustRightInd w:val="0"/>
      <w:snapToGrid w:val="0"/>
      <w:spacing w:line="400" w:lineRule="atLeast"/>
      <w:ind w:firstLine="420" w:firstLineChars="200"/>
    </w:pPr>
    <w:rPr>
      <w:rFonts w:ascii="宋体"/>
      <w:szCs w:val="20"/>
    </w:rPr>
  </w:style>
  <w:style w:type="character" w:customStyle="1" w:styleId="213">
    <w:name w:val="font81"/>
    <w:qFormat/>
    <w:uiPriority w:val="0"/>
    <w:rPr>
      <w:rFonts w:hint="eastAsia" w:ascii="宋体" w:hAnsi="宋体" w:eastAsia="宋体"/>
      <w:color w:val="000000"/>
      <w:sz w:val="21"/>
      <w:szCs w:val="21"/>
      <w:u w:val="none"/>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8">
    <w:name w:val="font31"/>
    <w:basedOn w:val="43"/>
    <w:qFormat/>
    <w:uiPriority w:val="0"/>
    <w:rPr>
      <w:rFonts w:ascii="宋体" w:hAnsi="宋体" w:eastAsia="宋体" w:cs="宋体"/>
      <w:color w:val="000000"/>
      <w:sz w:val="28"/>
      <w:szCs w:val="28"/>
      <w:u w:val="none"/>
    </w:rPr>
  </w:style>
  <w:style w:type="paragraph" w:customStyle="1" w:styleId="219">
    <w:name w:val="表格文字"/>
    <w:basedOn w:val="1"/>
    <w:next w:val="16"/>
    <w:qFormat/>
    <w:uiPriority w:val="0"/>
    <w:pPr>
      <w:adjustRightInd w:val="0"/>
      <w:spacing w:line="420" w:lineRule="atLeast"/>
      <w:jc w:val="left"/>
      <w:textAlignment w:val="baseline"/>
    </w:pPr>
    <w:rPr>
      <w:kern w:val="0"/>
      <w:szCs w:val="20"/>
    </w:rPr>
  </w:style>
  <w:style w:type="paragraph" w:customStyle="1" w:styleId="220">
    <w:name w:val="p17"/>
    <w:basedOn w:val="1"/>
    <w:qFormat/>
    <w:uiPriority w:val="99"/>
    <w:pPr>
      <w:widowControl/>
    </w:pPr>
    <w:rPr>
      <w:rFonts w:ascii="宋体" w:hAnsi="宋体" w:cs="宋体"/>
      <w:kern w:val="0"/>
      <w:szCs w:val="21"/>
    </w:rPr>
  </w:style>
  <w:style w:type="paragraph" w:customStyle="1" w:styleId="22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2">
    <w:name w:val="Table Paragraph"/>
    <w:basedOn w:val="1"/>
    <w:qFormat/>
    <w:uiPriority w:val="1"/>
    <w:rPr>
      <w:rFonts w:eastAsia="Calibri"/>
      <w:sz w:val="22"/>
      <w:szCs w:val="20"/>
    </w:rPr>
  </w:style>
  <w:style w:type="paragraph" w:customStyle="1" w:styleId="223">
    <w:name w:val="正文首行缩进 21"/>
    <w:basedOn w:val="1"/>
    <w:qFormat/>
    <w:uiPriority w:val="0"/>
    <w:pPr>
      <w:widowControl w:val="0"/>
      <w:spacing w:after="120"/>
      <w:ind w:left="420" w:leftChars="200"/>
      <w:jc w:val="both"/>
    </w:pPr>
    <w:rPr>
      <w:kern w:val="2"/>
      <w:sz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CF9D7-9D0B-4EBE-9C06-19D54CC803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113</Pages>
  <Words>7285</Words>
  <Characters>41531</Characters>
  <Lines>346</Lines>
  <Paragraphs>97</Paragraphs>
  <TotalTime>3</TotalTime>
  <ScaleCrop>false</ScaleCrop>
  <LinksUpToDate>false</LinksUpToDate>
  <CharactersWithSpaces>48719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2018-06-29T03:59:00Z</dcterms:created>
  <dc:creator>X</dc:creator>
  <cp:lastModifiedBy>嘉兴市千秋工程咨询有限公司</cp:lastModifiedBy>
  <cp:lastPrinted>2022-02-16T08:41:00Z</cp:lastPrinted>
  <dcterms:modified xsi:type="dcterms:W3CDTF">2022-02-21T06:13:15Z</dcterms:modified>
  <dc:title>开化县政府采购招标文件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FD37D5D0620D4A08B1DE7B89D252A366</vt:lpwstr>
  </property>
</Properties>
</file>