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left"/>
        <w:rPr>
          <w:rFonts w:hint="eastAsia" w:ascii="微软雅黑" w:hAnsi="微软雅黑" w:eastAsia="微软雅黑"/>
          <w:b/>
          <w:szCs w:val="21"/>
        </w:rPr>
      </w:pPr>
      <w:bookmarkStart w:id="287" w:name="_GoBack"/>
      <w:bookmarkEnd w:id="287"/>
    </w:p>
    <w:p>
      <w:pPr>
        <w:pStyle w:val="2"/>
        <w:spacing w:after="0" w:line="360" w:lineRule="auto"/>
        <w:rPr>
          <w:rFonts w:hint="eastAsia" w:ascii="微软雅黑" w:hAnsi="微软雅黑" w:eastAsia="微软雅黑"/>
          <w:sz w:val="36"/>
          <w:szCs w:val="36"/>
        </w:rPr>
      </w:pPr>
    </w:p>
    <w:p>
      <w:pPr>
        <w:spacing w:line="360" w:lineRule="auto"/>
        <w:jc w:val="center"/>
        <w:rPr>
          <w:rFonts w:hint="eastAsia" w:ascii="微软雅黑" w:hAnsi="微软雅黑" w:eastAsia="微软雅黑"/>
          <w:b/>
          <w:sz w:val="36"/>
          <w:szCs w:val="36"/>
        </w:rPr>
      </w:pPr>
      <w:r>
        <w:rPr>
          <w:rFonts w:hint="eastAsia" w:ascii="微软雅黑" w:hAnsi="微软雅黑" w:eastAsia="微软雅黑"/>
          <w:b/>
          <w:sz w:val="36"/>
          <w:szCs w:val="36"/>
        </w:rPr>
        <w:t>嘉兴经济技术开发区(国际商务区)雪亮工程第十期视频监控租赁服务项目</w:t>
      </w:r>
    </w:p>
    <w:p>
      <w:pPr>
        <w:spacing w:line="360" w:lineRule="auto"/>
        <w:jc w:val="center"/>
        <w:rPr>
          <w:rFonts w:ascii="微软雅黑" w:hAnsi="微软雅黑" w:eastAsia="微软雅黑"/>
          <w:sz w:val="36"/>
          <w:szCs w:val="36"/>
        </w:rPr>
      </w:pPr>
      <w:r>
        <w:rPr>
          <w:rFonts w:hint="eastAsia" w:ascii="微软雅黑" w:hAnsi="微软雅黑" w:eastAsia="微软雅黑"/>
          <w:b/>
          <w:bCs/>
          <w:sz w:val="36"/>
          <w:szCs w:val="36"/>
        </w:rPr>
        <w:t>（线上电子招投标）</w:t>
      </w:r>
    </w:p>
    <w:p>
      <w:pPr>
        <w:jc w:val="center"/>
        <w:rPr>
          <w:rFonts w:hint="eastAsia" w:ascii="微软雅黑" w:hAnsi="微软雅黑" w:eastAsia="微软雅黑"/>
          <w:b/>
          <w:sz w:val="52"/>
          <w:szCs w:val="52"/>
        </w:rPr>
      </w:pPr>
      <w:r>
        <w:rPr>
          <w:rFonts w:hint="eastAsia" w:ascii="微软雅黑" w:hAnsi="微软雅黑" w:eastAsia="微软雅黑"/>
          <w:b/>
          <w:sz w:val="52"/>
          <w:szCs w:val="52"/>
        </w:rPr>
        <w:t>公</w:t>
      </w:r>
    </w:p>
    <w:p>
      <w:pPr>
        <w:jc w:val="center"/>
        <w:rPr>
          <w:rFonts w:hint="eastAsia" w:ascii="微软雅黑" w:hAnsi="微软雅黑" w:eastAsia="微软雅黑"/>
          <w:b/>
          <w:sz w:val="52"/>
          <w:szCs w:val="52"/>
        </w:rPr>
      </w:pPr>
      <w:r>
        <w:rPr>
          <w:rFonts w:hint="eastAsia" w:ascii="微软雅黑" w:hAnsi="微软雅黑" w:eastAsia="微软雅黑"/>
          <w:b/>
          <w:sz w:val="52"/>
          <w:szCs w:val="52"/>
        </w:rPr>
        <w:t>开</w:t>
      </w:r>
    </w:p>
    <w:p>
      <w:pPr>
        <w:jc w:val="center"/>
        <w:rPr>
          <w:rFonts w:hint="eastAsia" w:ascii="微软雅黑" w:hAnsi="微软雅黑" w:eastAsia="微软雅黑"/>
          <w:b/>
          <w:sz w:val="52"/>
          <w:szCs w:val="52"/>
        </w:rPr>
      </w:pPr>
      <w:r>
        <w:rPr>
          <w:rFonts w:hint="eastAsia" w:ascii="微软雅黑" w:hAnsi="微软雅黑" w:eastAsia="微软雅黑"/>
          <w:b/>
          <w:sz w:val="52"/>
          <w:szCs w:val="52"/>
        </w:rPr>
        <w:t>招</w:t>
      </w:r>
    </w:p>
    <w:p>
      <w:pPr>
        <w:jc w:val="center"/>
        <w:rPr>
          <w:rFonts w:hint="eastAsia" w:ascii="微软雅黑" w:hAnsi="微软雅黑" w:eastAsia="微软雅黑"/>
          <w:b/>
          <w:sz w:val="52"/>
          <w:szCs w:val="52"/>
        </w:rPr>
      </w:pPr>
      <w:r>
        <w:rPr>
          <w:rFonts w:hint="eastAsia" w:ascii="微软雅黑" w:hAnsi="微软雅黑" w:eastAsia="微软雅黑"/>
          <w:b/>
          <w:sz w:val="52"/>
          <w:szCs w:val="52"/>
        </w:rPr>
        <w:t>标</w:t>
      </w:r>
    </w:p>
    <w:p>
      <w:pPr>
        <w:jc w:val="center"/>
        <w:rPr>
          <w:rFonts w:hint="eastAsia" w:ascii="微软雅黑" w:hAnsi="微软雅黑" w:eastAsia="微软雅黑"/>
          <w:b/>
          <w:sz w:val="52"/>
          <w:szCs w:val="52"/>
        </w:rPr>
      </w:pPr>
      <w:r>
        <w:rPr>
          <w:rFonts w:hint="eastAsia" w:ascii="微软雅黑" w:hAnsi="微软雅黑" w:eastAsia="微软雅黑"/>
          <w:b/>
          <w:sz w:val="52"/>
          <w:szCs w:val="52"/>
        </w:rPr>
        <w:t>文</w:t>
      </w:r>
    </w:p>
    <w:p>
      <w:pPr>
        <w:jc w:val="center"/>
        <w:rPr>
          <w:rFonts w:hint="eastAsia" w:ascii="微软雅黑" w:hAnsi="微软雅黑" w:eastAsia="微软雅黑"/>
          <w:b/>
          <w:sz w:val="52"/>
          <w:szCs w:val="52"/>
        </w:rPr>
      </w:pPr>
      <w:r>
        <w:rPr>
          <w:rFonts w:hint="eastAsia" w:ascii="微软雅黑" w:hAnsi="微软雅黑" w:eastAsia="微软雅黑"/>
          <w:b/>
          <w:sz w:val="52"/>
          <w:szCs w:val="52"/>
        </w:rPr>
        <w:t>件</w:t>
      </w:r>
    </w:p>
    <w:p>
      <w:pPr>
        <w:pStyle w:val="2"/>
        <w:spacing w:after="0" w:line="360" w:lineRule="auto"/>
        <w:rPr>
          <w:rFonts w:hint="eastAsia" w:ascii="微软雅黑" w:hAnsi="微软雅黑" w:eastAsia="微软雅黑"/>
          <w:szCs w:val="21"/>
        </w:rPr>
      </w:pPr>
    </w:p>
    <w:p>
      <w:pPr>
        <w:pStyle w:val="2"/>
        <w:spacing w:after="0" w:line="360" w:lineRule="auto"/>
        <w:rPr>
          <w:rFonts w:hint="eastAsia" w:ascii="微软雅黑" w:hAnsi="微软雅黑" w:eastAsia="微软雅黑"/>
          <w:szCs w:val="21"/>
        </w:rPr>
      </w:pPr>
    </w:p>
    <w:p>
      <w:pPr>
        <w:pStyle w:val="25"/>
        <w:spacing w:line="360" w:lineRule="auto"/>
        <w:ind w:firstLine="1065" w:firstLineChars="400"/>
        <w:jc w:val="left"/>
        <w:rPr>
          <w:rFonts w:hint="eastAsia" w:ascii="微软雅黑" w:hAnsi="微软雅黑" w:eastAsia="微软雅黑"/>
          <w:b/>
          <w:bCs/>
          <w:w w:val="95"/>
          <w:sz w:val="28"/>
          <w:szCs w:val="28"/>
        </w:rPr>
      </w:pPr>
      <w:r>
        <w:rPr>
          <w:rFonts w:hint="eastAsia" w:ascii="微软雅黑" w:hAnsi="微软雅黑" w:eastAsia="微软雅黑"/>
          <w:b/>
          <w:bCs/>
          <w:w w:val="95"/>
          <w:sz w:val="28"/>
          <w:szCs w:val="28"/>
        </w:rPr>
        <w:t>招标编号：</w:t>
      </w:r>
      <w:r>
        <w:rPr>
          <w:rFonts w:hint="eastAsia" w:ascii="微软雅黑" w:hAnsi="微软雅黑" w:eastAsia="微软雅黑"/>
          <w:b/>
          <w:sz w:val="28"/>
          <w:szCs w:val="28"/>
        </w:rPr>
        <w:t>千秋-JXQQGK（2020）第</w:t>
      </w:r>
      <w:r>
        <w:rPr>
          <w:rFonts w:hint="eastAsia" w:ascii="微软雅黑" w:hAnsi="微软雅黑" w:eastAsia="微软雅黑"/>
          <w:b/>
          <w:sz w:val="28"/>
          <w:szCs w:val="28"/>
          <w:lang w:val="en-US" w:eastAsia="zh-CN"/>
        </w:rPr>
        <w:t>69</w:t>
      </w:r>
      <w:r>
        <w:rPr>
          <w:rFonts w:hint="eastAsia" w:ascii="微软雅黑" w:hAnsi="微软雅黑" w:eastAsia="微软雅黑"/>
          <w:b/>
          <w:sz w:val="28"/>
          <w:szCs w:val="28"/>
        </w:rPr>
        <w:t>号</w:t>
      </w:r>
    </w:p>
    <w:p>
      <w:pPr>
        <w:pStyle w:val="25"/>
        <w:spacing w:line="360" w:lineRule="auto"/>
        <w:ind w:firstLine="1065" w:firstLineChars="400"/>
        <w:jc w:val="left"/>
        <w:rPr>
          <w:rFonts w:hint="eastAsia" w:ascii="微软雅黑" w:hAnsi="微软雅黑" w:eastAsia="微软雅黑"/>
          <w:b/>
          <w:bCs/>
          <w:w w:val="95"/>
          <w:sz w:val="28"/>
          <w:szCs w:val="28"/>
          <w:lang w:eastAsia="zh-CN"/>
        </w:rPr>
      </w:pPr>
      <w:r>
        <w:rPr>
          <w:rFonts w:hint="eastAsia" w:ascii="微软雅黑" w:hAnsi="微软雅黑" w:eastAsia="微软雅黑"/>
          <w:b/>
          <w:bCs/>
          <w:w w:val="95"/>
          <w:sz w:val="28"/>
          <w:szCs w:val="28"/>
        </w:rPr>
        <w:t>采购单位：</w:t>
      </w:r>
      <w:r>
        <w:rPr>
          <w:rFonts w:hint="eastAsia" w:ascii="微软雅黑" w:hAnsi="微软雅黑" w:eastAsia="微软雅黑"/>
          <w:b/>
          <w:sz w:val="28"/>
          <w:szCs w:val="28"/>
        </w:rPr>
        <w:t>嘉兴市公安局经济技术开发区（国际商务区）分局</w:t>
      </w:r>
    </w:p>
    <w:p>
      <w:pPr>
        <w:pStyle w:val="25"/>
        <w:spacing w:line="360" w:lineRule="auto"/>
        <w:ind w:firstLine="1065" w:firstLineChars="400"/>
        <w:jc w:val="left"/>
        <w:rPr>
          <w:rFonts w:hint="eastAsia" w:ascii="微软雅黑" w:hAnsi="微软雅黑" w:eastAsia="微软雅黑"/>
          <w:b/>
          <w:bCs/>
          <w:w w:val="95"/>
          <w:sz w:val="28"/>
          <w:szCs w:val="28"/>
        </w:rPr>
      </w:pPr>
      <w:r>
        <w:rPr>
          <w:rFonts w:hint="eastAsia" w:ascii="微软雅黑" w:hAnsi="微软雅黑" w:eastAsia="微软雅黑"/>
          <w:b/>
          <w:bCs/>
          <w:w w:val="95"/>
          <w:sz w:val="28"/>
          <w:szCs w:val="28"/>
        </w:rPr>
        <w:t>代理机构：嘉兴市千秋工程咨询有限公司</w:t>
      </w:r>
    </w:p>
    <w:p>
      <w:pPr>
        <w:spacing w:line="360" w:lineRule="auto"/>
        <w:ind w:firstLine="532" w:firstLineChars="200"/>
        <w:jc w:val="center"/>
        <w:rPr>
          <w:rFonts w:hint="eastAsia" w:ascii="微软雅黑" w:hAnsi="微软雅黑" w:eastAsia="微软雅黑"/>
          <w:b/>
          <w:bCs/>
          <w:w w:val="95"/>
          <w:sz w:val="28"/>
          <w:szCs w:val="28"/>
        </w:rPr>
      </w:pPr>
      <w:bookmarkStart w:id="0" w:name="_Toc50012812"/>
      <w:bookmarkStart w:id="1" w:name="_Toc427915753"/>
      <w:bookmarkStart w:id="2" w:name="_Toc493511539"/>
      <w:r>
        <w:rPr>
          <w:rFonts w:hint="eastAsia" w:ascii="微软雅黑" w:hAnsi="微软雅黑" w:eastAsia="微软雅黑"/>
          <w:b/>
          <w:bCs/>
          <w:w w:val="95"/>
          <w:sz w:val="28"/>
          <w:szCs w:val="28"/>
        </w:rPr>
        <w:t>2020年09月18日</w:t>
      </w:r>
      <w:bookmarkEnd w:id="0"/>
      <w:bookmarkEnd w:id="1"/>
      <w:bookmarkEnd w:id="2"/>
    </w:p>
    <w:p>
      <w:pPr>
        <w:pStyle w:val="93"/>
        <w:spacing w:before="0" w:line="360" w:lineRule="auto"/>
        <w:ind w:firstLine="420" w:firstLineChars="200"/>
        <w:rPr>
          <w:rFonts w:ascii="微软雅黑" w:hAnsi="微软雅黑" w:eastAsia="微软雅黑"/>
          <w:color w:val="auto"/>
          <w:sz w:val="21"/>
          <w:szCs w:val="21"/>
          <w:lang w:val="zh-CN"/>
        </w:rPr>
        <w:sectPr>
          <w:pgSz w:w="11906" w:h="16838"/>
          <w:pgMar w:top="1474" w:right="1416" w:bottom="1247" w:left="1797" w:header="851" w:footer="851" w:gutter="0"/>
          <w:cols w:space="720" w:num="1"/>
          <w:docGrid w:linePitch="312" w:charSpace="0"/>
        </w:sectPr>
      </w:pPr>
    </w:p>
    <w:p>
      <w:pPr>
        <w:pStyle w:val="93"/>
        <w:spacing w:before="0" w:line="360" w:lineRule="auto"/>
        <w:ind w:firstLine="560" w:firstLineChars="200"/>
        <w:rPr>
          <w:rFonts w:hint="eastAsia" w:ascii="微软雅黑" w:hAnsi="微软雅黑" w:eastAsia="微软雅黑"/>
          <w:color w:val="auto"/>
          <w:lang w:val="zh-CN"/>
        </w:rPr>
      </w:pPr>
    </w:p>
    <w:p>
      <w:pPr>
        <w:pStyle w:val="93"/>
        <w:spacing w:before="0" w:line="360" w:lineRule="auto"/>
        <w:ind w:firstLine="560" w:firstLineChars="200"/>
        <w:jc w:val="center"/>
        <w:rPr>
          <w:rFonts w:ascii="微软雅黑" w:hAnsi="微软雅黑" w:eastAsia="微软雅黑"/>
          <w:color w:val="auto"/>
        </w:rPr>
      </w:pPr>
      <w:r>
        <w:rPr>
          <w:rFonts w:ascii="微软雅黑" w:hAnsi="微软雅黑" w:eastAsia="微软雅黑"/>
          <w:color w:val="auto"/>
          <w:lang w:val="zh-CN"/>
        </w:rPr>
        <w:t>目录</w:t>
      </w:r>
    </w:p>
    <w:p>
      <w:pPr>
        <w:pStyle w:val="32"/>
        <w:tabs>
          <w:tab w:val="right" w:leader="dot" w:pos="8302"/>
        </w:tabs>
        <w:spacing w:line="360" w:lineRule="auto"/>
        <w:ind w:firstLine="560" w:firstLineChars="200"/>
        <w:jc w:val="left"/>
        <w:rPr>
          <w:rFonts w:ascii="微软雅黑" w:hAnsi="微软雅黑" w:eastAsia="微软雅黑"/>
          <w:sz w:val="28"/>
          <w:szCs w:val="28"/>
          <w:lang/>
        </w:rPr>
      </w:pPr>
      <w:r>
        <w:rPr>
          <w:rFonts w:ascii="微软雅黑" w:hAnsi="微软雅黑" w:eastAsia="微软雅黑"/>
          <w:sz w:val="28"/>
          <w:szCs w:val="28"/>
        </w:rPr>
        <w:fldChar w:fldCharType="begin"/>
      </w:r>
      <w:r>
        <w:rPr>
          <w:rFonts w:ascii="微软雅黑" w:hAnsi="微软雅黑" w:eastAsia="微软雅黑"/>
          <w:sz w:val="28"/>
          <w:szCs w:val="28"/>
        </w:rPr>
        <w:instrText xml:space="preserve"> TOC \o "1-3" \h \z \u </w:instrText>
      </w:r>
      <w:r>
        <w:rPr>
          <w:rFonts w:ascii="微软雅黑" w:hAnsi="微软雅黑" w:eastAsia="微软雅黑"/>
          <w:sz w:val="28"/>
          <w:szCs w:val="28"/>
        </w:rPr>
        <w:fldChar w:fldCharType="separate"/>
      </w:r>
      <w:r>
        <w:rPr>
          <w:rStyle w:val="54"/>
          <w:rFonts w:ascii="微软雅黑" w:hAnsi="微软雅黑" w:eastAsia="微软雅黑"/>
          <w:color w:val="auto"/>
          <w:sz w:val="28"/>
          <w:szCs w:val="28"/>
          <w:lang/>
        </w:rPr>
        <w:fldChar w:fldCharType="begin"/>
      </w:r>
      <w:r>
        <w:rPr>
          <w:rStyle w:val="54"/>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"_Toc50012813"</w:instrText>
      </w:r>
      <w:r>
        <w:rPr>
          <w:rStyle w:val="54"/>
          <w:rFonts w:ascii="微软雅黑" w:hAnsi="微软雅黑" w:eastAsia="微软雅黑"/>
          <w:color w:val="auto"/>
          <w:sz w:val="28"/>
          <w:szCs w:val="28"/>
          <w:lang/>
        </w:rPr>
        <w:instrText xml:space="preserve"> </w:instrText>
      </w:r>
      <w:r>
        <w:rPr>
          <w:rStyle w:val="54"/>
          <w:rFonts w:ascii="微软雅黑" w:hAnsi="微软雅黑" w:eastAsia="微软雅黑"/>
          <w:color w:val="auto"/>
          <w:sz w:val="28"/>
          <w:szCs w:val="28"/>
          <w:lang/>
        </w:rPr>
        <w:fldChar w:fldCharType="separate"/>
      </w:r>
      <w:r>
        <w:rPr>
          <w:rStyle w:val="54"/>
          <w:rFonts w:hint="eastAsia" w:ascii="微软雅黑" w:hAnsi="微软雅黑" w:eastAsia="微软雅黑"/>
          <w:color w:val="auto"/>
          <w:sz w:val="28"/>
          <w:szCs w:val="28"/>
          <w:lang/>
        </w:rPr>
        <w:t>第一章</w:t>
      </w:r>
      <w:r>
        <w:rPr>
          <w:rStyle w:val="54"/>
          <w:rFonts w:ascii="微软雅黑" w:hAnsi="微软雅黑" w:eastAsia="微软雅黑"/>
          <w:color w:val="auto"/>
          <w:sz w:val="28"/>
          <w:szCs w:val="28"/>
          <w:lang/>
        </w:rPr>
        <w:t xml:space="preserve">  </w:t>
      </w:r>
      <w:r>
        <w:rPr>
          <w:rStyle w:val="54"/>
          <w:rFonts w:hint="eastAsia" w:ascii="微软雅黑" w:hAnsi="微软雅黑" w:eastAsia="微软雅黑"/>
          <w:color w:val="auto"/>
          <w:sz w:val="28"/>
          <w:szCs w:val="28"/>
          <w:lang/>
        </w:rPr>
        <w:t>公开招标采购公告</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_Toc50012813 \h </w:instrText>
      </w:r>
      <w:r>
        <w:rPr>
          <w:rFonts w:ascii="微软雅黑" w:hAnsi="微软雅黑" w:eastAsia="微软雅黑"/>
          <w:sz w:val="28"/>
          <w:szCs w:val="28"/>
          <w:lang/>
        </w:rPr>
        <w:fldChar w:fldCharType="separate"/>
      </w:r>
      <w:r>
        <w:rPr>
          <w:rFonts w:ascii="微软雅黑" w:hAnsi="微软雅黑" w:eastAsia="微软雅黑"/>
          <w:sz w:val="28"/>
          <w:szCs w:val="28"/>
          <w:lang/>
        </w:rPr>
        <w:t>3</w:t>
      </w:r>
      <w:r>
        <w:rPr>
          <w:rFonts w:ascii="微软雅黑" w:hAnsi="微软雅黑" w:eastAsia="微软雅黑"/>
          <w:sz w:val="28"/>
          <w:szCs w:val="28"/>
          <w:lang/>
        </w:rPr>
        <w:fldChar w:fldCharType="end"/>
      </w:r>
      <w:r>
        <w:rPr>
          <w:rStyle w:val="54"/>
          <w:rFonts w:ascii="微软雅黑" w:hAnsi="微软雅黑" w:eastAsia="微软雅黑"/>
          <w:color w:val="auto"/>
          <w:sz w:val="28"/>
          <w:szCs w:val="28"/>
          <w:lang/>
        </w:rPr>
        <w:fldChar w:fldCharType="end"/>
      </w:r>
    </w:p>
    <w:p>
      <w:pPr>
        <w:pStyle w:val="32"/>
        <w:tabs>
          <w:tab w:val="right" w:leader="dot" w:pos="8302"/>
        </w:tabs>
        <w:spacing w:line="360" w:lineRule="auto"/>
        <w:ind w:firstLine="560" w:firstLineChars="200"/>
        <w:jc w:val="left"/>
        <w:rPr>
          <w:rFonts w:ascii="微软雅黑" w:hAnsi="微软雅黑" w:eastAsia="微软雅黑"/>
          <w:sz w:val="28"/>
          <w:szCs w:val="28"/>
          <w:lang/>
        </w:rPr>
      </w:pPr>
      <w:r>
        <w:rPr>
          <w:rStyle w:val="54"/>
          <w:rFonts w:ascii="微软雅黑" w:hAnsi="微软雅黑" w:eastAsia="微软雅黑"/>
          <w:color w:val="auto"/>
          <w:sz w:val="28"/>
          <w:szCs w:val="28"/>
          <w:lang/>
        </w:rPr>
        <w:fldChar w:fldCharType="begin"/>
      </w:r>
      <w:r>
        <w:rPr>
          <w:rStyle w:val="54"/>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"_Toc50012814"</w:instrText>
      </w:r>
      <w:r>
        <w:rPr>
          <w:rStyle w:val="54"/>
          <w:rFonts w:ascii="微软雅黑" w:hAnsi="微软雅黑" w:eastAsia="微软雅黑"/>
          <w:color w:val="auto"/>
          <w:sz w:val="28"/>
          <w:szCs w:val="28"/>
          <w:lang/>
        </w:rPr>
        <w:instrText xml:space="preserve"> </w:instrText>
      </w:r>
      <w:r>
        <w:rPr>
          <w:rStyle w:val="54"/>
          <w:rFonts w:ascii="微软雅黑" w:hAnsi="微软雅黑" w:eastAsia="微软雅黑"/>
          <w:color w:val="auto"/>
          <w:sz w:val="28"/>
          <w:szCs w:val="28"/>
          <w:lang/>
        </w:rPr>
        <w:fldChar w:fldCharType="separate"/>
      </w:r>
      <w:r>
        <w:rPr>
          <w:rStyle w:val="54"/>
          <w:rFonts w:hint="eastAsia" w:ascii="微软雅黑" w:hAnsi="微软雅黑" w:eastAsia="微软雅黑"/>
          <w:color w:val="auto"/>
          <w:sz w:val="28"/>
          <w:szCs w:val="28"/>
          <w:lang/>
        </w:rPr>
        <w:t>第二章</w:t>
      </w:r>
      <w:r>
        <w:rPr>
          <w:rStyle w:val="54"/>
          <w:rFonts w:ascii="微软雅黑" w:hAnsi="微软雅黑" w:eastAsia="微软雅黑"/>
          <w:color w:val="auto"/>
          <w:sz w:val="28"/>
          <w:szCs w:val="28"/>
          <w:lang/>
        </w:rPr>
        <w:t xml:space="preserve">  </w:t>
      </w:r>
      <w:r>
        <w:rPr>
          <w:rStyle w:val="54"/>
          <w:rFonts w:hint="eastAsia" w:ascii="微软雅黑" w:hAnsi="微软雅黑" w:eastAsia="微软雅黑"/>
          <w:color w:val="auto"/>
          <w:sz w:val="28"/>
          <w:szCs w:val="28"/>
          <w:lang/>
        </w:rPr>
        <w:t>招标</w:t>
      </w:r>
      <w:bookmarkStart w:id="3" w:name="_Hlt50983850"/>
      <w:bookmarkStart w:id="4" w:name="_Hlt50983849"/>
      <w:r>
        <w:rPr>
          <w:rStyle w:val="54"/>
          <w:rFonts w:hint="eastAsia" w:ascii="微软雅黑" w:hAnsi="微软雅黑" w:eastAsia="微软雅黑"/>
          <w:color w:val="auto"/>
          <w:sz w:val="28"/>
          <w:szCs w:val="28"/>
          <w:lang/>
        </w:rPr>
        <w:t>项</w:t>
      </w:r>
      <w:bookmarkEnd w:id="3"/>
      <w:bookmarkEnd w:id="4"/>
      <w:r>
        <w:rPr>
          <w:rStyle w:val="54"/>
          <w:rFonts w:hint="eastAsia" w:ascii="微软雅黑" w:hAnsi="微软雅黑" w:eastAsia="微软雅黑"/>
          <w:color w:val="auto"/>
          <w:sz w:val="28"/>
          <w:szCs w:val="28"/>
          <w:lang/>
        </w:rPr>
        <w:t>目</w:t>
      </w:r>
      <w:bookmarkStart w:id="5" w:name="_Hlt50986576"/>
      <w:r>
        <w:rPr>
          <w:rStyle w:val="54"/>
          <w:rFonts w:hint="eastAsia" w:ascii="微软雅黑" w:hAnsi="微软雅黑" w:eastAsia="微软雅黑"/>
          <w:color w:val="auto"/>
          <w:sz w:val="28"/>
          <w:szCs w:val="28"/>
          <w:lang/>
        </w:rPr>
        <w:t>要</w:t>
      </w:r>
      <w:bookmarkEnd w:id="5"/>
      <w:bookmarkStart w:id="6" w:name="_Hlt51088730"/>
      <w:bookmarkStart w:id="7" w:name="_Hlt51088731"/>
      <w:r>
        <w:rPr>
          <w:rStyle w:val="54"/>
          <w:rFonts w:hint="eastAsia" w:ascii="微软雅黑" w:hAnsi="微软雅黑" w:eastAsia="微软雅黑"/>
          <w:color w:val="auto"/>
          <w:sz w:val="28"/>
          <w:szCs w:val="28"/>
          <w:lang/>
        </w:rPr>
        <w:t>求</w:t>
      </w:r>
      <w:bookmarkEnd w:id="6"/>
      <w:bookmarkEnd w:id="7"/>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_Toc50012814 \h </w:instrText>
      </w:r>
      <w:r>
        <w:rPr>
          <w:rFonts w:ascii="微软雅黑" w:hAnsi="微软雅黑" w:eastAsia="微软雅黑"/>
          <w:sz w:val="28"/>
          <w:szCs w:val="28"/>
          <w:lang/>
        </w:rPr>
        <w:fldChar w:fldCharType="separate"/>
      </w:r>
      <w:r>
        <w:rPr>
          <w:rFonts w:ascii="微软雅黑" w:hAnsi="微软雅黑" w:eastAsia="微软雅黑"/>
          <w:sz w:val="28"/>
          <w:szCs w:val="28"/>
          <w:lang/>
        </w:rPr>
        <w:t>7</w:t>
      </w:r>
      <w:r>
        <w:rPr>
          <w:rFonts w:ascii="微软雅黑" w:hAnsi="微软雅黑" w:eastAsia="微软雅黑"/>
          <w:sz w:val="28"/>
          <w:szCs w:val="28"/>
          <w:lang/>
        </w:rPr>
        <w:fldChar w:fldCharType="end"/>
      </w:r>
      <w:r>
        <w:rPr>
          <w:rStyle w:val="54"/>
          <w:rFonts w:ascii="微软雅黑" w:hAnsi="微软雅黑" w:eastAsia="微软雅黑"/>
          <w:color w:val="auto"/>
          <w:sz w:val="28"/>
          <w:szCs w:val="28"/>
          <w:lang/>
        </w:rPr>
        <w:fldChar w:fldCharType="end"/>
      </w:r>
    </w:p>
    <w:p>
      <w:pPr>
        <w:pStyle w:val="32"/>
        <w:tabs>
          <w:tab w:val="right" w:leader="dot" w:pos="8302"/>
        </w:tabs>
        <w:spacing w:line="360" w:lineRule="auto"/>
        <w:ind w:firstLine="560" w:firstLineChars="200"/>
        <w:jc w:val="left"/>
        <w:rPr>
          <w:rFonts w:ascii="微软雅黑" w:hAnsi="微软雅黑" w:eastAsia="微软雅黑"/>
          <w:sz w:val="28"/>
          <w:szCs w:val="28"/>
          <w:lang/>
        </w:rPr>
      </w:pPr>
      <w:r>
        <w:rPr>
          <w:rStyle w:val="54"/>
          <w:rFonts w:ascii="微软雅黑" w:hAnsi="微软雅黑" w:eastAsia="微软雅黑"/>
          <w:color w:val="auto"/>
          <w:sz w:val="28"/>
          <w:szCs w:val="28"/>
          <w:lang/>
        </w:rPr>
        <w:fldChar w:fldCharType="begin"/>
      </w:r>
      <w:r>
        <w:rPr>
          <w:rStyle w:val="54"/>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"_Toc50012815"</w:instrText>
      </w:r>
      <w:r>
        <w:rPr>
          <w:rStyle w:val="54"/>
          <w:rFonts w:ascii="微软雅黑" w:hAnsi="微软雅黑" w:eastAsia="微软雅黑"/>
          <w:color w:val="auto"/>
          <w:sz w:val="28"/>
          <w:szCs w:val="28"/>
          <w:lang/>
        </w:rPr>
        <w:instrText xml:space="preserve"> </w:instrText>
      </w:r>
      <w:r>
        <w:rPr>
          <w:rStyle w:val="54"/>
          <w:rFonts w:ascii="微软雅黑" w:hAnsi="微软雅黑" w:eastAsia="微软雅黑"/>
          <w:color w:val="auto"/>
          <w:sz w:val="28"/>
          <w:szCs w:val="28"/>
          <w:lang/>
        </w:rPr>
        <w:fldChar w:fldCharType="separate"/>
      </w:r>
      <w:r>
        <w:rPr>
          <w:rStyle w:val="54"/>
          <w:rFonts w:hint="eastAsia" w:ascii="微软雅黑" w:hAnsi="微软雅黑" w:eastAsia="微软雅黑"/>
          <w:color w:val="auto"/>
          <w:sz w:val="28"/>
          <w:szCs w:val="28"/>
          <w:lang/>
        </w:rPr>
        <w:t>第三章</w:t>
      </w:r>
      <w:r>
        <w:rPr>
          <w:rStyle w:val="54"/>
          <w:rFonts w:ascii="微软雅黑" w:hAnsi="微软雅黑" w:eastAsia="微软雅黑"/>
          <w:color w:val="auto"/>
          <w:sz w:val="28"/>
          <w:szCs w:val="28"/>
          <w:lang/>
        </w:rPr>
        <w:t xml:space="preserve">  </w:t>
      </w:r>
      <w:r>
        <w:rPr>
          <w:rStyle w:val="54"/>
          <w:rFonts w:hint="eastAsia" w:ascii="微软雅黑" w:hAnsi="微软雅黑" w:eastAsia="微软雅黑"/>
          <w:color w:val="auto"/>
          <w:sz w:val="28"/>
          <w:szCs w:val="28"/>
          <w:lang/>
        </w:rPr>
        <w:t>投标人须知</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_Toc50012815 \h </w:instrText>
      </w:r>
      <w:r>
        <w:rPr>
          <w:rFonts w:ascii="微软雅黑" w:hAnsi="微软雅黑" w:eastAsia="微软雅黑"/>
          <w:sz w:val="28"/>
          <w:szCs w:val="28"/>
          <w:lang/>
        </w:rPr>
        <w:fldChar w:fldCharType="separate"/>
      </w:r>
      <w:r>
        <w:rPr>
          <w:rFonts w:ascii="微软雅黑" w:hAnsi="微软雅黑" w:eastAsia="微软雅黑"/>
          <w:sz w:val="28"/>
          <w:szCs w:val="28"/>
          <w:lang/>
        </w:rPr>
        <w:t>49</w:t>
      </w:r>
      <w:r>
        <w:rPr>
          <w:rFonts w:ascii="微软雅黑" w:hAnsi="微软雅黑" w:eastAsia="微软雅黑"/>
          <w:sz w:val="28"/>
          <w:szCs w:val="28"/>
          <w:lang/>
        </w:rPr>
        <w:fldChar w:fldCharType="end"/>
      </w:r>
      <w:r>
        <w:rPr>
          <w:rStyle w:val="54"/>
          <w:rFonts w:ascii="微软雅黑" w:hAnsi="微软雅黑" w:eastAsia="微软雅黑"/>
          <w:color w:val="auto"/>
          <w:sz w:val="28"/>
          <w:szCs w:val="28"/>
          <w:lang/>
        </w:rPr>
        <w:fldChar w:fldCharType="end"/>
      </w:r>
    </w:p>
    <w:p>
      <w:pPr>
        <w:pStyle w:val="32"/>
        <w:tabs>
          <w:tab w:val="right" w:leader="dot" w:pos="8302"/>
        </w:tabs>
        <w:spacing w:line="360" w:lineRule="auto"/>
        <w:ind w:firstLine="560" w:firstLineChars="200"/>
        <w:jc w:val="left"/>
        <w:rPr>
          <w:rFonts w:ascii="微软雅黑" w:hAnsi="微软雅黑" w:eastAsia="微软雅黑"/>
          <w:sz w:val="28"/>
          <w:szCs w:val="28"/>
          <w:lang/>
        </w:rPr>
      </w:pPr>
      <w:r>
        <w:rPr>
          <w:rStyle w:val="54"/>
          <w:rFonts w:ascii="微软雅黑" w:hAnsi="微软雅黑" w:eastAsia="微软雅黑"/>
          <w:color w:val="auto"/>
          <w:sz w:val="28"/>
          <w:szCs w:val="28"/>
          <w:lang/>
        </w:rPr>
        <w:fldChar w:fldCharType="begin"/>
      </w:r>
      <w:r>
        <w:rPr>
          <w:rStyle w:val="54"/>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"_Toc50012904"</w:instrText>
      </w:r>
      <w:r>
        <w:rPr>
          <w:rStyle w:val="54"/>
          <w:rFonts w:ascii="微软雅黑" w:hAnsi="微软雅黑" w:eastAsia="微软雅黑"/>
          <w:color w:val="auto"/>
          <w:sz w:val="28"/>
          <w:szCs w:val="28"/>
          <w:lang/>
        </w:rPr>
        <w:instrText xml:space="preserve"> </w:instrText>
      </w:r>
      <w:r>
        <w:rPr>
          <w:rStyle w:val="54"/>
          <w:rFonts w:ascii="微软雅黑" w:hAnsi="微软雅黑" w:eastAsia="微软雅黑"/>
          <w:color w:val="auto"/>
          <w:sz w:val="28"/>
          <w:szCs w:val="28"/>
          <w:lang/>
        </w:rPr>
        <w:fldChar w:fldCharType="separate"/>
      </w:r>
      <w:r>
        <w:rPr>
          <w:rStyle w:val="54"/>
          <w:rFonts w:hint="eastAsia" w:ascii="微软雅黑" w:hAnsi="微软雅黑" w:eastAsia="微软雅黑"/>
          <w:color w:val="auto"/>
          <w:sz w:val="28"/>
          <w:szCs w:val="28"/>
          <w:lang/>
        </w:rPr>
        <w:t>第四章</w:t>
      </w:r>
      <w:r>
        <w:rPr>
          <w:rStyle w:val="54"/>
          <w:rFonts w:ascii="微软雅黑" w:hAnsi="微软雅黑" w:eastAsia="微软雅黑"/>
          <w:color w:val="auto"/>
          <w:sz w:val="28"/>
          <w:szCs w:val="28"/>
          <w:lang/>
        </w:rPr>
        <w:t xml:space="preserve">  </w:t>
      </w:r>
      <w:r>
        <w:rPr>
          <w:rStyle w:val="54"/>
          <w:rFonts w:hint="eastAsia" w:ascii="微软雅黑" w:hAnsi="微软雅黑" w:eastAsia="微软雅黑"/>
          <w:color w:val="auto"/>
          <w:sz w:val="28"/>
          <w:szCs w:val="28"/>
          <w:lang/>
        </w:rPr>
        <w:t>评标办法</w:t>
      </w:r>
      <w:bookmarkStart w:id="8" w:name="_Hlt50987307"/>
      <w:bookmarkStart w:id="9" w:name="_Hlt50984696"/>
      <w:r>
        <w:rPr>
          <w:rStyle w:val="54"/>
          <w:rFonts w:hint="eastAsia" w:ascii="微软雅黑" w:hAnsi="微软雅黑" w:eastAsia="微软雅黑"/>
          <w:color w:val="auto"/>
          <w:sz w:val="28"/>
          <w:szCs w:val="28"/>
          <w:lang/>
        </w:rPr>
        <w:t>及</w:t>
      </w:r>
      <w:bookmarkEnd w:id="8"/>
      <w:bookmarkEnd w:id="9"/>
      <w:bookmarkStart w:id="10" w:name="_Hlt51083642"/>
      <w:bookmarkStart w:id="11" w:name="_Hlt51083643"/>
      <w:r>
        <w:rPr>
          <w:rStyle w:val="54"/>
          <w:rFonts w:hint="eastAsia" w:ascii="微软雅黑" w:hAnsi="微软雅黑" w:eastAsia="微软雅黑"/>
          <w:color w:val="auto"/>
          <w:sz w:val="28"/>
          <w:szCs w:val="28"/>
          <w:lang/>
        </w:rPr>
        <w:t>评</w:t>
      </w:r>
      <w:bookmarkEnd w:id="10"/>
      <w:bookmarkEnd w:id="11"/>
      <w:r>
        <w:rPr>
          <w:rStyle w:val="54"/>
          <w:rFonts w:hint="eastAsia" w:ascii="微软雅黑" w:hAnsi="微软雅黑" w:eastAsia="微软雅黑"/>
          <w:color w:val="auto"/>
          <w:sz w:val="28"/>
          <w:szCs w:val="28"/>
          <w:lang/>
        </w:rPr>
        <w:t>分标准</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_Toc50012904 \h </w:instrText>
      </w:r>
      <w:r>
        <w:rPr>
          <w:rFonts w:ascii="微软雅黑" w:hAnsi="微软雅黑" w:eastAsia="微软雅黑"/>
          <w:sz w:val="28"/>
          <w:szCs w:val="28"/>
          <w:lang/>
        </w:rPr>
        <w:fldChar w:fldCharType="separate"/>
      </w:r>
      <w:r>
        <w:rPr>
          <w:rFonts w:ascii="微软雅黑" w:hAnsi="微软雅黑" w:eastAsia="微软雅黑"/>
          <w:sz w:val="28"/>
          <w:szCs w:val="28"/>
          <w:lang/>
        </w:rPr>
        <w:t>62</w:t>
      </w:r>
      <w:r>
        <w:rPr>
          <w:rFonts w:ascii="微软雅黑" w:hAnsi="微软雅黑" w:eastAsia="微软雅黑"/>
          <w:sz w:val="28"/>
          <w:szCs w:val="28"/>
          <w:lang/>
        </w:rPr>
        <w:fldChar w:fldCharType="end"/>
      </w:r>
      <w:r>
        <w:rPr>
          <w:rStyle w:val="54"/>
          <w:rFonts w:ascii="微软雅黑" w:hAnsi="微软雅黑" w:eastAsia="微软雅黑"/>
          <w:color w:val="auto"/>
          <w:sz w:val="28"/>
          <w:szCs w:val="28"/>
          <w:lang/>
        </w:rPr>
        <w:fldChar w:fldCharType="end"/>
      </w:r>
    </w:p>
    <w:p>
      <w:pPr>
        <w:pStyle w:val="32"/>
        <w:tabs>
          <w:tab w:val="right" w:leader="dot" w:pos="8302"/>
        </w:tabs>
        <w:spacing w:line="360" w:lineRule="auto"/>
        <w:ind w:firstLine="560" w:firstLineChars="200"/>
        <w:jc w:val="left"/>
        <w:rPr>
          <w:rFonts w:ascii="微软雅黑" w:hAnsi="微软雅黑" w:eastAsia="微软雅黑"/>
          <w:sz w:val="28"/>
          <w:szCs w:val="28"/>
          <w:lang/>
        </w:rPr>
      </w:pPr>
      <w:r>
        <w:rPr>
          <w:rStyle w:val="54"/>
          <w:rFonts w:ascii="微软雅黑" w:hAnsi="微软雅黑" w:eastAsia="微软雅黑"/>
          <w:color w:val="auto"/>
          <w:sz w:val="28"/>
          <w:szCs w:val="28"/>
          <w:lang/>
        </w:rPr>
        <w:fldChar w:fldCharType="begin"/>
      </w:r>
      <w:r>
        <w:rPr>
          <w:rStyle w:val="54"/>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"_Toc50012905"</w:instrText>
      </w:r>
      <w:r>
        <w:rPr>
          <w:rStyle w:val="54"/>
          <w:rFonts w:ascii="微软雅黑" w:hAnsi="微软雅黑" w:eastAsia="微软雅黑"/>
          <w:color w:val="auto"/>
          <w:sz w:val="28"/>
          <w:szCs w:val="28"/>
          <w:lang/>
        </w:rPr>
        <w:instrText xml:space="preserve"> </w:instrText>
      </w:r>
      <w:r>
        <w:rPr>
          <w:rStyle w:val="54"/>
          <w:rFonts w:ascii="微软雅黑" w:hAnsi="微软雅黑" w:eastAsia="微软雅黑"/>
          <w:color w:val="auto"/>
          <w:sz w:val="28"/>
          <w:szCs w:val="28"/>
          <w:lang/>
        </w:rPr>
        <w:fldChar w:fldCharType="separate"/>
      </w:r>
      <w:r>
        <w:rPr>
          <w:rStyle w:val="54"/>
          <w:rFonts w:hint="eastAsia" w:ascii="微软雅黑" w:hAnsi="微软雅黑" w:eastAsia="微软雅黑"/>
          <w:color w:val="auto"/>
          <w:sz w:val="28"/>
          <w:szCs w:val="28"/>
          <w:lang/>
        </w:rPr>
        <w:t>第五章</w:t>
      </w:r>
      <w:r>
        <w:rPr>
          <w:rStyle w:val="54"/>
          <w:rFonts w:ascii="微软雅黑" w:hAnsi="微软雅黑" w:eastAsia="微软雅黑"/>
          <w:color w:val="auto"/>
          <w:sz w:val="28"/>
          <w:szCs w:val="28"/>
          <w:lang/>
        </w:rPr>
        <w:t xml:space="preserve">  </w:t>
      </w:r>
      <w:r>
        <w:rPr>
          <w:rStyle w:val="54"/>
          <w:rFonts w:hint="eastAsia" w:ascii="微软雅黑" w:hAnsi="微软雅黑" w:eastAsia="微软雅黑"/>
          <w:color w:val="auto"/>
          <w:sz w:val="28"/>
          <w:szCs w:val="28"/>
          <w:lang/>
        </w:rPr>
        <w:t>政府采购合同</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_Toc50012905 \h </w:instrText>
      </w:r>
      <w:r>
        <w:rPr>
          <w:rFonts w:ascii="微软雅黑" w:hAnsi="微软雅黑" w:eastAsia="微软雅黑"/>
          <w:sz w:val="28"/>
          <w:szCs w:val="28"/>
          <w:lang/>
        </w:rPr>
        <w:fldChar w:fldCharType="separate"/>
      </w:r>
      <w:r>
        <w:rPr>
          <w:rFonts w:ascii="微软雅黑" w:hAnsi="微软雅黑" w:eastAsia="微软雅黑"/>
          <w:sz w:val="28"/>
          <w:szCs w:val="28"/>
          <w:lang/>
        </w:rPr>
        <w:t>66</w:t>
      </w:r>
      <w:r>
        <w:rPr>
          <w:rFonts w:ascii="微软雅黑" w:hAnsi="微软雅黑" w:eastAsia="微软雅黑"/>
          <w:sz w:val="28"/>
          <w:szCs w:val="28"/>
          <w:lang/>
        </w:rPr>
        <w:fldChar w:fldCharType="end"/>
      </w:r>
      <w:r>
        <w:rPr>
          <w:rStyle w:val="54"/>
          <w:rFonts w:ascii="微软雅黑" w:hAnsi="微软雅黑" w:eastAsia="微软雅黑"/>
          <w:color w:val="auto"/>
          <w:sz w:val="28"/>
          <w:szCs w:val="28"/>
          <w:lang/>
        </w:rPr>
        <w:fldChar w:fldCharType="end"/>
      </w:r>
    </w:p>
    <w:p>
      <w:pPr>
        <w:pStyle w:val="32"/>
        <w:tabs>
          <w:tab w:val="right" w:leader="dot" w:pos="8302"/>
        </w:tabs>
        <w:spacing w:line="360" w:lineRule="auto"/>
        <w:ind w:firstLine="560" w:firstLineChars="200"/>
        <w:jc w:val="left"/>
        <w:rPr>
          <w:rFonts w:ascii="微软雅黑" w:hAnsi="微软雅黑" w:eastAsia="微软雅黑"/>
          <w:sz w:val="28"/>
          <w:szCs w:val="28"/>
          <w:lang/>
        </w:rPr>
      </w:pPr>
      <w:r>
        <w:rPr>
          <w:rStyle w:val="54"/>
          <w:rFonts w:ascii="微软雅黑" w:hAnsi="微软雅黑" w:eastAsia="微软雅黑"/>
          <w:color w:val="auto"/>
          <w:sz w:val="28"/>
          <w:szCs w:val="28"/>
          <w:lang/>
        </w:rPr>
        <w:fldChar w:fldCharType="begin"/>
      </w:r>
      <w:r>
        <w:rPr>
          <w:rStyle w:val="54"/>
          <w:rFonts w:ascii="微软雅黑" w:hAnsi="微软雅黑" w:eastAsia="微软雅黑"/>
          <w:color w:val="auto"/>
          <w:sz w:val="28"/>
          <w:szCs w:val="28"/>
          <w:lang/>
        </w:rPr>
        <w:instrText xml:space="preserve"> </w:instrText>
      </w:r>
      <w:r>
        <w:rPr>
          <w:rFonts w:ascii="微软雅黑" w:hAnsi="微软雅黑" w:eastAsia="微软雅黑"/>
          <w:sz w:val="28"/>
          <w:szCs w:val="28"/>
          <w:lang/>
        </w:rPr>
        <w:instrText xml:space="preserve">HYPERLINK \l "_Toc50012907"</w:instrText>
      </w:r>
      <w:r>
        <w:rPr>
          <w:rStyle w:val="54"/>
          <w:rFonts w:ascii="微软雅黑" w:hAnsi="微软雅黑" w:eastAsia="微软雅黑"/>
          <w:color w:val="auto"/>
          <w:sz w:val="28"/>
          <w:szCs w:val="28"/>
          <w:lang/>
        </w:rPr>
        <w:instrText xml:space="preserve"> </w:instrText>
      </w:r>
      <w:r>
        <w:rPr>
          <w:rStyle w:val="54"/>
          <w:rFonts w:ascii="微软雅黑" w:hAnsi="微软雅黑" w:eastAsia="微软雅黑"/>
          <w:color w:val="auto"/>
          <w:sz w:val="28"/>
          <w:szCs w:val="28"/>
          <w:lang/>
        </w:rPr>
        <w:fldChar w:fldCharType="separate"/>
      </w:r>
      <w:r>
        <w:rPr>
          <w:rStyle w:val="54"/>
          <w:rFonts w:hint="eastAsia" w:ascii="微软雅黑" w:hAnsi="微软雅黑" w:eastAsia="微软雅黑"/>
          <w:color w:val="auto"/>
          <w:sz w:val="28"/>
          <w:szCs w:val="28"/>
          <w:lang/>
        </w:rPr>
        <w:t>第六章　投标文件相关格式</w:t>
      </w:r>
      <w:r>
        <w:rPr>
          <w:rFonts w:ascii="微软雅黑" w:hAnsi="微软雅黑" w:eastAsia="微软雅黑"/>
          <w:sz w:val="28"/>
          <w:szCs w:val="28"/>
          <w:lang/>
        </w:rPr>
        <w:tab/>
      </w:r>
      <w:r>
        <w:rPr>
          <w:rFonts w:ascii="微软雅黑" w:hAnsi="微软雅黑" w:eastAsia="微软雅黑"/>
          <w:sz w:val="28"/>
          <w:szCs w:val="28"/>
          <w:lang/>
        </w:rPr>
        <w:fldChar w:fldCharType="begin"/>
      </w:r>
      <w:r>
        <w:rPr>
          <w:rFonts w:ascii="微软雅黑" w:hAnsi="微软雅黑" w:eastAsia="微软雅黑"/>
          <w:sz w:val="28"/>
          <w:szCs w:val="28"/>
          <w:lang/>
        </w:rPr>
        <w:instrText xml:space="preserve"> PAGEREF _Toc50012907 \h </w:instrText>
      </w:r>
      <w:r>
        <w:rPr>
          <w:rFonts w:ascii="微软雅黑" w:hAnsi="微软雅黑" w:eastAsia="微软雅黑"/>
          <w:sz w:val="28"/>
          <w:szCs w:val="28"/>
          <w:lang/>
        </w:rPr>
        <w:fldChar w:fldCharType="separate"/>
      </w:r>
      <w:r>
        <w:rPr>
          <w:rFonts w:ascii="微软雅黑" w:hAnsi="微软雅黑" w:eastAsia="微软雅黑"/>
          <w:sz w:val="28"/>
          <w:szCs w:val="28"/>
          <w:lang/>
        </w:rPr>
        <w:t>69</w:t>
      </w:r>
      <w:r>
        <w:rPr>
          <w:rFonts w:ascii="微软雅黑" w:hAnsi="微软雅黑" w:eastAsia="微软雅黑"/>
          <w:sz w:val="28"/>
          <w:szCs w:val="28"/>
          <w:lang/>
        </w:rPr>
        <w:fldChar w:fldCharType="end"/>
      </w:r>
      <w:r>
        <w:rPr>
          <w:rStyle w:val="54"/>
          <w:rFonts w:ascii="微软雅黑" w:hAnsi="微软雅黑" w:eastAsia="微软雅黑"/>
          <w:color w:val="auto"/>
          <w:sz w:val="28"/>
          <w:szCs w:val="28"/>
          <w:lang/>
        </w:rPr>
        <w:fldChar w:fldCharType="end"/>
      </w:r>
    </w:p>
    <w:p>
      <w:pPr>
        <w:spacing w:line="360" w:lineRule="auto"/>
        <w:ind w:firstLine="560" w:firstLineChars="200"/>
        <w:jc w:val="left"/>
        <w:rPr>
          <w:rFonts w:ascii="微软雅黑" w:hAnsi="微软雅黑" w:eastAsia="微软雅黑"/>
          <w:szCs w:val="21"/>
        </w:rPr>
      </w:pPr>
      <w:r>
        <w:rPr>
          <w:rFonts w:ascii="微软雅黑" w:hAnsi="微软雅黑" w:eastAsia="微软雅黑"/>
          <w:sz w:val="28"/>
          <w:szCs w:val="28"/>
        </w:rPr>
        <w:fldChar w:fldCharType="end"/>
      </w:r>
    </w:p>
    <w:p>
      <w:pPr>
        <w:spacing w:line="360" w:lineRule="auto"/>
        <w:ind w:firstLine="420" w:firstLineChars="200"/>
        <w:jc w:val="left"/>
        <w:rPr>
          <w:rFonts w:ascii="微软雅黑" w:hAnsi="微软雅黑" w:eastAsia="微软雅黑"/>
          <w:szCs w:val="21"/>
        </w:rPr>
      </w:pPr>
    </w:p>
    <w:p>
      <w:pPr>
        <w:pStyle w:val="95"/>
        <w:ind w:firstLine="600"/>
        <w:rPr>
          <w:rFonts w:hint="eastAsia"/>
          <w:szCs w:val="20"/>
        </w:rPr>
      </w:pPr>
      <w:bookmarkStart w:id="12" w:name="_Toc493511540"/>
      <w:r>
        <w:rPr>
          <w:rFonts w:hint="eastAsia"/>
        </w:rPr>
        <w:br w:type="page"/>
      </w:r>
      <w:bookmarkStart w:id="13" w:name="_Toc50012813"/>
      <w:r>
        <w:rPr>
          <w:rFonts w:hint="eastAsia"/>
          <w:szCs w:val="20"/>
        </w:rPr>
        <w:t>第一章  公开招标采购公告</w:t>
      </w:r>
      <w:bookmarkEnd w:id="12"/>
      <w:bookmarkEnd w:id="13"/>
    </w:p>
    <w:p>
      <w:pPr>
        <w:spacing w:line="360" w:lineRule="auto"/>
        <w:ind w:firstLine="420" w:firstLineChars="200"/>
        <w:jc w:val="left"/>
        <w:rPr>
          <w:rFonts w:hint="eastAsia" w:ascii="微软雅黑" w:hAnsi="微软雅黑" w:eastAsia="微软雅黑" w:cs="Arial"/>
          <w:kern w:val="0"/>
          <w:szCs w:val="21"/>
        </w:rPr>
      </w:pPr>
      <w:r>
        <w:rPr>
          <w:rFonts w:hint="eastAsia" w:ascii="微软雅黑" w:hAnsi="微软雅黑" w:eastAsia="微软雅黑" w:cs="Arial"/>
          <w:kern w:val="0"/>
          <w:szCs w:val="21"/>
        </w:rPr>
        <w:t>根据《中华人民共和国政府采购法》、《中华人民共和国政府采购法实施条例》和《政府采购货物和服务招标投标管理办法》等规定，嘉兴市公共资源交易中心受采购人委托，经嘉兴经济技术开发区财政局</w:t>
      </w:r>
      <w:r>
        <w:rPr>
          <w:rFonts w:ascii="微软雅黑" w:hAnsi="微软雅黑" w:eastAsia="微软雅黑" w:cs="Arial"/>
          <w:kern w:val="0"/>
          <w:szCs w:val="21"/>
          <w:u w:val="single"/>
        </w:rPr>
        <w:fldChar w:fldCharType="begin"/>
      </w:r>
      <w:r>
        <w:rPr>
          <w:rFonts w:ascii="微软雅黑" w:hAnsi="微软雅黑" w:eastAsia="微软雅黑" w:cs="Arial"/>
          <w:kern w:val="0"/>
          <w:szCs w:val="21"/>
          <w:u w:val="single"/>
        </w:rPr>
        <w:instrText xml:space="preserve"> HYPERLINK "https://pay.zcygov.cn/purchaseplan_front/" \l "/plan/list/detail?id=1000000000003223836&amp;encrypt=f4b5c0d6e2df2f66a4378c2181527db0" \t "_blank" </w:instrText>
      </w:r>
      <w:r>
        <w:rPr>
          <w:rFonts w:ascii="微软雅黑" w:hAnsi="微软雅黑" w:eastAsia="微软雅黑" w:cs="Arial"/>
          <w:kern w:val="0"/>
          <w:szCs w:val="21"/>
          <w:u w:val="single"/>
        </w:rPr>
        <w:fldChar w:fldCharType="separate"/>
      </w:r>
      <w:r>
        <w:rPr>
          <w:rFonts w:hint="eastAsia" w:ascii="微软雅黑" w:hAnsi="微软雅黑" w:eastAsia="微软雅黑" w:cs="Arial"/>
          <w:kern w:val="0"/>
          <w:szCs w:val="21"/>
          <w:u w:val="single"/>
        </w:rPr>
        <w:t>JM-00008842</w:t>
      </w:r>
      <w:r>
        <w:rPr>
          <w:rFonts w:ascii="微软雅黑" w:hAnsi="微软雅黑" w:eastAsia="微软雅黑" w:cs="Arial"/>
          <w:kern w:val="0"/>
          <w:szCs w:val="21"/>
          <w:u w:val="single"/>
        </w:rPr>
        <w:fldChar w:fldCharType="end"/>
      </w:r>
      <w:r>
        <w:rPr>
          <w:rFonts w:hint="eastAsia" w:ascii="微软雅黑" w:hAnsi="微软雅黑" w:eastAsia="微软雅黑" w:cs="Arial"/>
          <w:kern w:val="0"/>
          <w:szCs w:val="21"/>
        </w:rPr>
        <w:t>号采购计划批准，现就嘉兴市公安局经济技术开发区(国际商务区)分局雪亮工程第十期视频监控租赁服务项目进行公开招标采购，欢迎合格供应商前来投标，现将有关事项公告如下：</w:t>
      </w:r>
    </w:p>
    <w:p>
      <w:pPr>
        <w:pStyle w:val="42"/>
        <w:spacing w:before="0" w:beforeAutospacing="0" w:after="0" w:afterAutospacing="0" w:line="360" w:lineRule="auto"/>
        <w:ind w:firstLine="420" w:firstLineChars="200"/>
        <w:rPr>
          <w:rFonts w:ascii="微软雅黑" w:hAnsi="微软雅黑" w:eastAsia="微软雅黑" w:cs="Arial"/>
          <w:sz w:val="21"/>
          <w:szCs w:val="21"/>
        </w:rPr>
      </w:pPr>
      <w:bookmarkStart w:id="14" w:name="_Toc493511541"/>
      <w:bookmarkStart w:id="15" w:name="_Toc177870534"/>
      <w:r>
        <w:rPr>
          <w:rStyle w:val="51"/>
          <w:rFonts w:ascii="微软雅黑" w:hAnsi="微软雅黑" w:eastAsia="微软雅黑" w:cs="Arial"/>
          <w:sz w:val="21"/>
          <w:szCs w:val="21"/>
        </w:rPr>
        <w:t>一、项目基本情况</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项目编号：</w:t>
      </w:r>
      <w:r>
        <w:rPr>
          <w:rStyle w:val="82"/>
          <w:rFonts w:ascii="微软雅黑" w:hAnsi="微软雅黑" w:eastAsia="微软雅黑" w:cs="Arial"/>
          <w:sz w:val="21"/>
          <w:szCs w:val="21"/>
        </w:rPr>
        <w:t>千秋-JXQQGK</w:t>
      </w:r>
      <w:r>
        <w:rPr>
          <w:rStyle w:val="82"/>
          <w:rFonts w:hint="eastAsia" w:ascii="微软雅黑" w:hAnsi="微软雅黑" w:eastAsia="微软雅黑" w:cs="Arial"/>
          <w:sz w:val="21"/>
          <w:szCs w:val="21"/>
        </w:rPr>
        <w:t>（2020）</w:t>
      </w:r>
      <w:r>
        <w:rPr>
          <w:rStyle w:val="82"/>
          <w:rFonts w:ascii="微软雅黑" w:hAnsi="微软雅黑" w:eastAsia="微软雅黑" w:cs="Arial"/>
          <w:sz w:val="21"/>
          <w:szCs w:val="21"/>
        </w:rPr>
        <w:t>第</w:t>
      </w:r>
      <w:r>
        <w:rPr>
          <w:rStyle w:val="82"/>
          <w:rFonts w:hint="eastAsia" w:ascii="微软雅黑" w:hAnsi="微软雅黑" w:eastAsia="微软雅黑" w:cs="Arial"/>
          <w:sz w:val="21"/>
          <w:szCs w:val="21"/>
          <w:lang w:eastAsia="zh-CN"/>
        </w:rPr>
        <w:t>69</w:t>
      </w:r>
      <w:r>
        <w:rPr>
          <w:rStyle w:val="82"/>
          <w:rFonts w:ascii="微软雅黑" w:hAnsi="微软雅黑" w:eastAsia="微软雅黑" w:cs="Arial"/>
          <w:sz w:val="21"/>
          <w:szCs w:val="21"/>
        </w:rPr>
        <w:t>号</w:t>
      </w:r>
      <w:r>
        <w:rPr>
          <w:rFonts w:ascii="微软雅黑" w:hAnsi="微软雅黑" w:eastAsia="微软雅黑" w:cs="Arial"/>
          <w:sz w:val="21"/>
          <w:szCs w:val="21"/>
        </w:rPr>
        <w:t> </w:t>
      </w:r>
    </w:p>
    <w:p>
      <w:pPr>
        <w:pStyle w:val="42"/>
        <w:spacing w:before="0" w:beforeAutospacing="0" w:after="0" w:afterAutospacing="0" w:line="360" w:lineRule="auto"/>
        <w:ind w:firstLine="420" w:firstLineChars="200"/>
        <w:rPr>
          <w:rFonts w:hint="eastAsia" w:ascii="微软雅黑" w:hAnsi="微软雅黑" w:eastAsia="微软雅黑" w:cs="Arial"/>
          <w:sz w:val="21"/>
          <w:szCs w:val="21"/>
        </w:rPr>
      </w:pPr>
      <w:r>
        <w:rPr>
          <w:rFonts w:ascii="微软雅黑" w:hAnsi="微软雅黑" w:eastAsia="微软雅黑" w:cs="Arial"/>
          <w:sz w:val="21"/>
          <w:szCs w:val="21"/>
        </w:rPr>
        <w:t>项目名称：</w:t>
      </w:r>
      <w:r>
        <w:rPr>
          <w:rFonts w:hint="eastAsia" w:ascii="微软雅黑" w:hAnsi="微软雅黑" w:eastAsia="微软雅黑"/>
          <w:sz w:val="21"/>
          <w:szCs w:val="21"/>
        </w:rPr>
        <w:t>嘉兴经济技术开发区(国际商务区)雪亮工程第十期视频监控租赁服务项目</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hint="eastAsia" w:ascii="微软雅黑" w:hAnsi="微软雅黑" w:eastAsia="微软雅黑" w:cs="Arial"/>
          <w:sz w:val="21"/>
          <w:szCs w:val="21"/>
        </w:rPr>
        <w:t>总</w:t>
      </w:r>
      <w:r>
        <w:rPr>
          <w:rFonts w:ascii="微软雅黑" w:hAnsi="微软雅黑" w:eastAsia="微软雅黑" w:cs="Arial"/>
          <w:sz w:val="21"/>
          <w:szCs w:val="21"/>
        </w:rPr>
        <w:t>预算金额（万元）：</w:t>
      </w:r>
      <w:r>
        <w:rPr>
          <w:rStyle w:val="82"/>
          <w:rFonts w:hint="eastAsia" w:ascii="微软雅黑" w:hAnsi="微软雅黑" w:eastAsia="微软雅黑" w:cs="Arial"/>
          <w:sz w:val="21"/>
          <w:szCs w:val="21"/>
        </w:rPr>
        <w:t>6300.00</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最高限价（万元）：</w:t>
      </w:r>
      <w:r>
        <w:rPr>
          <w:rStyle w:val="82"/>
          <w:rFonts w:hint="eastAsia" w:ascii="微软雅黑" w:hAnsi="微软雅黑" w:eastAsia="微软雅黑" w:cs="Arial"/>
          <w:sz w:val="21"/>
          <w:szCs w:val="21"/>
        </w:rPr>
        <w:t>6300.00</w:t>
      </w:r>
    </w:p>
    <w:p>
      <w:pPr>
        <w:pStyle w:val="42"/>
        <w:spacing w:before="0" w:beforeAutospacing="0" w:after="0" w:afterAutospacing="0" w:line="360" w:lineRule="auto"/>
        <w:ind w:firstLine="420" w:firstLineChars="200"/>
        <w:rPr>
          <w:rStyle w:val="72"/>
          <w:rFonts w:hint="eastAsia" w:ascii="微软雅黑" w:hAnsi="微软雅黑" w:eastAsia="微软雅黑" w:cs="Arial"/>
          <w:sz w:val="21"/>
          <w:szCs w:val="21"/>
        </w:rPr>
      </w:pPr>
      <w:r>
        <w:rPr>
          <w:rStyle w:val="72"/>
          <w:rFonts w:ascii="微软雅黑" w:hAnsi="微软雅黑" w:eastAsia="微软雅黑" w:cs="Arial"/>
          <w:sz w:val="21"/>
          <w:szCs w:val="21"/>
        </w:rPr>
        <w:t>采购需求</w:t>
      </w:r>
      <w:r>
        <w:rPr>
          <w:rStyle w:val="72"/>
          <w:rFonts w:hint="eastAsia" w:ascii="微软雅黑" w:hAnsi="微软雅黑" w:eastAsia="微软雅黑" w:cs="Arial"/>
          <w:sz w:val="21"/>
          <w:szCs w:val="21"/>
        </w:rPr>
        <w:t>：</w:t>
      </w:r>
    </w:p>
    <w:tbl>
      <w:tblPr>
        <w:tblStyle w:val="47"/>
        <w:tblW w:w="4849" w:type="pct"/>
        <w:tblInd w:w="0" w:type="dxa"/>
        <w:tblLayout w:type="fixed"/>
        <w:tblCellMar>
          <w:top w:w="15" w:type="dxa"/>
          <w:left w:w="15" w:type="dxa"/>
          <w:bottom w:w="15" w:type="dxa"/>
          <w:right w:w="15" w:type="dxa"/>
        </w:tblCellMar>
      </w:tblPr>
      <w:tblGrid>
        <w:gridCol w:w="881"/>
        <w:gridCol w:w="2833"/>
        <w:gridCol w:w="565"/>
        <w:gridCol w:w="424"/>
        <w:gridCol w:w="1135"/>
        <w:gridCol w:w="1843"/>
        <w:gridCol w:w="704"/>
      </w:tblGrid>
      <w:tr>
        <w:tblPrEx>
          <w:tblCellMar>
            <w:top w:w="15" w:type="dxa"/>
            <w:left w:w="15" w:type="dxa"/>
            <w:bottom w:w="15" w:type="dxa"/>
            <w:right w:w="15" w:type="dxa"/>
          </w:tblCellMar>
        </w:tblPrEx>
        <w:trPr>
          <w:wBefore w:w="0" w:type="dxa"/>
          <w:wAfter w:w="0" w:type="dxa"/>
          <w:trHeight w:val="563" w:hRule="atLeast"/>
        </w:trPr>
        <w:tc>
          <w:tcPr>
            <w:tcW w:w="525"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Arial" w:eastAsia="微软雅黑" w:cs="Arial"/>
                <w:kern w:val="0"/>
                <w:szCs w:val="21"/>
              </w:rPr>
              <w:t>​</w:t>
            </w:r>
            <w:r>
              <w:rPr>
                <w:rFonts w:ascii="微软雅黑" w:hAnsi="微软雅黑" w:eastAsia="微软雅黑" w:cs="Arial"/>
                <w:kern w:val="0"/>
                <w:szCs w:val="21"/>
              </w:rPr>
              <w:t>标项序号</w:t>
            </w:r>
          </w:p>
        </w:tc>
        <w:tc>
          <w:tcPr>
            <w:tcW w:w="1689"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微软雅黑" w:eastAsia="微软雅黑" w:cs="Arial"/>
                <w:kern w:val="0"/>
                <w:szCs w:val="21"/>
              </w:rPr>
              <w:t>标项名称</w:t>
            </w:r>
          </w:p>
        </w:tc>
        <w:tc>
          <w:tcPr>
            <w:tcW w:w="337"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微软雅黑" w:eastAsia="微软雅黑" w:cs="Arial"/>
                <w:kern w:val="0"/>
                <w:szCs w:val="21"/>
              </w:rPr>
              <w:t>数量</w:t>
            </w:r>
          </w:p>
        </w:tc>
        <w:tc>
          <w:tcPr>
            <w:tcW w:w="253"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微软雅黑" w:eastAsia="微软雅黑" w:cs="Arial"/>
                <w:kern w:val="0"/>
                <w:szCs w:val="21"/>
              </w:rPr>
              <w:t>单位</w:t>
            </w:r>
          </w:p>
        </w:tc>
        <w:tc>
          <w:tcPr>
            <w:tcW w:w="677"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微软雅黑" w:eastAsia="微软雅黑" w:cs="Arial"/>
                <w:kern w:val="0"/>
                <w:szCs w:val="21"/>
              </w:rPr>
              <w:t>预算金额(</w:t>
            </w:r>
            <w:r>
              <w:rPr>
                <w:rFonts w:hint="eastAsia" w:ascii="微软雅黑" w:hAnsi="微软雅黑" w:eastAsia="微软雅黑" w:cs="Arial"/>
                <w:kern w:val="0"/>
                <w:szCs w:val="21"/>
              </w:rPr>
              <w:t>万</w:t>
            </w:r>
            <w:r>
              <w:rPr>
                <w:rFonts w:ascii="微软雅黑" w:hAnsi="微软雅黑" w:eastAsia="微软雅黑" w:cs="Arial"/>
                <w:kern w:val="0"/>
                <w:szCs w:val="21"/>
              </w:rPr>
              <w:t>元)</w:t>
            </w:r>
          </w:p>
        </w:tc>
        <w:tc>
          <w:tcPr>
            <w:tcW w:w="1099"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微软雅黑" w:eastAsia="微软雅黑" w:cs="Arial"/>
                <w:kern w:val="0"/>
                <w:szCs w:val="21"/>
              </w:rPr>
              <w:t>简要规格描述</w:t>
            </w:r>
          </w:p>
        </w:tc>
        <w:tc>
          <w:tcPr>
            <w:tcW w:w="420"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ascii="微软雅黑" w:hAnsi="微软雅黑" w:eastAsia="微软雅黑" w:cs="Arial"/>
                <w:kern w:val="0"/>
                <w:szCs w:val="21"/>
              </w:rPr>
              <w:t>备注</w:t>
            </w:r>
          </w:p>
        </w:tc>
      </w:tr>
      <w:tr>
        <w:tblPrEx>
          <w:tblCellMar>
            <w:top w:w="15" w:type="dxa"/>
            <w:left w:w="15" w:type="dxa"/>
            <w:bottom w:w="15" w:type="dxa"/>
            <w:right w:w="15" w:type="dxa"/>
          </w:tblCellMar>
        </w:tblPrEx>
        <w:trPr>
          <w:wBefore w:w="0" w:type="dxa"/>
          <w:wAfter w:w="0" w:type="dxa"/>
          <w:trHeight w:val="1567" w:hRule="atLeast"/>
        </w:trPr>
        <w:tc>
          <w:tcPr>
            <w:tcW w:w="525" w:type="pct"/>
            <w:tcBorders>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hint="eastAsia" w:ascii="微软雅黑" w:hAnsi="微软雅黑" w:eastAsia="微软雅黑" w:cs="Arial"/>
                <w:kern w:val="0"/>
                <w:szCs w:val="21"/>
              </w:rPr>
              <w:t>1</w:t>
            </w:r>
          </w:p>
        </w:tc>
        <w:tc>
          <w:tcPr>
            <w:tcW w:w="1689"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pStyle w:val="42"/>
              <w:spacing w:before="0" w:beforeAutospacing="0" w:after="0" w:afterAutospacing="0" w:line="360" w:lineRule="auto"/>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嘉兴经济技术开发区(国际商务区)雪亮工程第十期视频监控租赁服务项目</w:t>
            </w:r>
          </w:p>
        </w:tc>
        <w:tc>
          <w:tcPr>
            <w:tcW w:w="337"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hint="eastAsia" w:ascii="微软雅黑" w:hAnsi="微软雅黑" w:eastAsia="微软雅黑" w:cs="Arial"/>
                <w:kern w:val="0"/>
                <w:szCs w:val="21"/>
              </w:rPr>
            </w:pPr>
            <w:r>
              <w:rPr>
                <w:rFonts w:hint="eastAsia" w:ascii="微软雅黑" w:hAnsi="微软雅黑" w:eastAsia="微软雅黑" w:cs="Arial"/>
                <w:kern w:val="0"/>
                <w:szCs w:val="21"/>
              </w:rPr>
              <w:t>1</w:t>
            </w:r>
          </w:p>
        </w:tc>
        <w:tc>
          <w:tcPr>
            <w:tcW w:w="253"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hint="eastAsia" w:ascii="微软雅黑" w:hAnsi="微软雅黑" w:eastAsia="微软雅黑" w:cs="Arial"/>
                <w:kern w:val="0"/>
                <w:szCs w:val="21"/>
              </w:rPr>
            </w:pPr>
            <w:r>
              <w:rPr>
                <w:rFonts w:hint="eastAsia" w:ascii="微软雅黑" w:hAnsi="微软雅黑" w:eastAsia="微软雅黑" w:cs="Arial"/>
                <w:kern w:val="0"/>
                <w:szCs w:val="21"/>
              </w:rPr>
              <w:t>项</w:t>
            </w:r>
          </w:p>
        </w:tc>
        <w:tc>
          <w:tcPr>
            <w:tcW w:w="677"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center"/>
              <w:rPr>
                <w:rFonts w:ascii="微软雅黑" w:hAnsi="微软雅黑" w:eastAsia="微软雅黑" w:cs="Arial"/>
                <w:kern w:val="0"/>
                <w:szCs w:val="21"/>
              </w:rPr>
            </w:pPr>
            <w:r>
              <w:rPr>
                <w:rFonts w:hint="eastAsia" w:ascii="微软雅黑" w:hAnsi="微软雅黑" w:eastAsia="微软雅黑" w:cs="Arial"/>
                <w:kern w:val="0"/>
                <w:szCs w:val="21"/>
              </w:rPr>
              <w:t>6300.00</w:t>
            </w:r>
          </w:p>
        </w:tc>
        <w:tc>
          <w:tcPr>
            <w:tcW w:w="1099"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视频监控、平台服务租赁服务</w:t>
            </w:r>
          </w:p>
        </w:tc>
        <w:tc>
          <w:tcPr>
            <w:tcW w:w="420" w:type="pct"/>
            <w:tcBorders>
              <w:top w:val="dashed" w:color="DDDDDD" w:sz="6" w:space="0"/>
              <w:left w:val="dashed" w:color="DDDDDD" w:sz="6" w:space="0"/>
              <w:bottom w:val="dashed" w:color="DDDDDD" w:sz="6" w:space="0"/>
              <w:right w:val="dashed" w:color="DDDDDD" w:sz="6" w:space="0"/>
            </w:tcBorders>
            <w:noWrap w:val="0"/>
            <w:tcMar>
              <w:top w:w="84" w:type="dxa"/>
              <w:left w:w="167" w:type="dxa"/>
              <w:bottom w:w="84" w:type="dxa"/>
              <w:right w:w="167" w:type="dxa"/>
            </w:tcMar>
            <w:vAlign w:val="center"/>
          </w:tcPr>
          <w:p>
            <w:pPr>
              <w:widowControl/>
              <w:spacing w:line="360" w:lineRule="auto"/>
              <w:jc w:val="left"/>
              <w:rPr>
                <w:rFonts w:ascii="微软雅黑" w:hAnsi="微软雅黑" w:eastAsia="微软雅黑" w:cs="宋体"/>
                <w:kern w:val="0"/>
                <w:szCs w:val="21"/>
              </w:rPr>
            </w:pPr>
          </w:p>
        </w:tc>
      </w:tr>
    </w:tbl>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合同履行期限：</w:t>
      </w:r>
      <w:r>
        <w:rPr>
          <w:rFonts w:hint="eastAsia" w:ascii="微软雅黑" w:hAnsi="微软雅黑" w:eastAsia="微软雅黑" w:cs="Arial"/>
          <w:sz w:val="21"/>
          <w:szCs w:val="21"/>
          <w:lang w:eastAsia="zh-CN"/>
        </w:rPr>
        <w:t>详见招标文件</w:t>
      </w:r>
      <w:r>
        <w:rPr>
          <w:rFonts w:hint="eastAsia" w:ascii="微软雅黑" w:hAnsi="微软雅黑" w:eastAsia="微软雅黑" w:cs="Arial"/>
          <w:sz w:val="21"/>
          <w:szCs w:val="21"/>
        </w:rPr>
        <w:t>；</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    本项目（ </w:t>
      </w:r>
      <w:r>
        <w:rPr>
          <w:rFonts w:ascii="微软雅黑" w:hAnsi="微软雅黑" w:eastAsia="微软雅黑"/>
          <w:sz w:val="21"/>
          <w:szCs w:val="21"/>
        </w:rPr>
        <w:t>否</w:t>
      </w:r>
      <w:r>
        <w:rPr>
          <w:rFonts w:ascii="微软雅黑" w:hAnsi="微软雅黑" w:eastAsia="微软雅黑" w:cs="Arial"/>
          <w:sz w:val="21"/>
          <w:szCs w:val="21"/>
        </w:rPr>
        <w:t> ）接受联合体投标。</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Style w:val="51"/>
          <w:rFonts w:ascii="微软雅黑" w:hAnsi="微软雅黑" w:eastAsia="微软雅黑" w:cs="Arial"/>
          <w:sz w:val="21"/>
          <w:szCs w:val="21"/>
        </w:rPr>
        <w:t>二、申请人的资格要求：</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 xml:space="preserve"> 1</w:t>
      </w:r>
      <w:r>
        <w:rPr>
          <w:rFonts w:hint="eastAsia" w:ascii="微软雅黑" w:hAnsi="微软雅黑" w:eastAsia="微软雅黑" w:cs="Arial"/>
          <w:sz w:val="21"/>
          <w:szCs w:val="21"/>
        </w:rPr>
        <w:t>、</w:t>
      </w:r>
      <w:r>
        <w:rPr>
          <w:rFonts w:ascii="微软雅黑" w:hAnsi="微软雅黑" w:eastAsia="微软雅黑" w:cs="Arial"/>
          <w:sz w:val="21"/>
          <w:szCs w:val="21"/>
        </w:rPr>
        <w:t>满足《中华人民共和国政府采购法》第二十二条规定；</w:t>
      </w:r>
    </w:p>
    <w:p>
      <w:pPr>
        <w:pStyle w:val="42"/>
        <w:spacing w:before="0" w:beforeAutospacing="0" w:after="0" w:afterAutospacing="0" w:line="360" w:lineRule="auto"/>
        <w:ind w:firstLine="525" w:firstLineChars="250"/>
        <w:rPr>
          <w:rFonts w:hint="eastAsia" w:ascii="微软雅黑" w:hAnsi="微软雅黑" w:eastAsia="微软雅黑" w:cs="Arial"/>
          <w:sz w:val="21"/>
          <w:szCs w:val="21"/>
        </w:rPr>
      </w:pPr>
      <w:r>
        <w:rPr>
          <w:rFonts w:ascii="微软雅黑" w:hAnsi="微软雅黑" w:eastAsia="微软雅黑" w:cs="Arial"/>
          <w:sz w:val="21"/>
          <w:szCs w:val="21"/>
        </w:rPr>
        <w:t>2</w:t>
      </w:r>
      <w:r>
        <w:rPr>
          <w:rFonts w:hint="eastAsia" w:ascii="微软雅黑" w:hAnsi="微软雅黑" w:eastAsia="微软雅黑" w:cs="Arial"/>
          <w:sz w:val="21"/>
          <w:szCs w:val="21"/>
        </w:rPr>
        <w:t>、落实政府采购政策需满足的资格要求：（1）根据《政府采购促进中小企业发展暂行办法》（财库[2011]181号）的规定，投标人为小型或微型企业且所投产品为小型或微型企业生产的，其投标报价扣除6%后参与评审。 投标文件中须同时提供：《小微企业声明函》、“国家企业信用信息公示系统——小微企业名录”页面查询结果（查询时间为投标前一周内，并加盖单位公章）。(注：未提供以上材料的，均不给予价格扣除)（2）根据《关于政府采购支持监狱企业发展有关问题的通知》（财库[2014]68号）的规定，投标人如为监狱企业且所投产品为小型或微型企业生产的，其投标报价扣除6%后参与评审。 投标文件中须同时提供：投标人的省级以上监狱管理局、戒毒管理局（含新疆生产建设兵团）出具的属于监狱企业的证明文件（格式自拟），未提供完整证明材料的，投标报价不予扣减。（3）根据《财政部、民政部、中国残疾人联合会关于促进残疾人就业政府采购政策的通知》（财库〔2017〕141号）的规定，残疾人福利性单位视同小型、微型企业，享受评审中价格扣除政策。 投标文件中须提供：《残疾人福利性单位声明函》，未提供完整证明材料的，投标报价不予扣减。</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w:t>
      </w:r>
      <w:r>
        <w:rPr>
          <w:rFonts w:hint="eastAsia" w:ascii="微软雅黑" w:hAnsi="微软雅黑" w:eastAsia="微软雅黑" w:cs="Arial"/>
          <w:sz w:val="21"/>
          <w:szCs w:val="21"/>
        </w:rPr>
        <w:t>、</w:t>
      </w:r>
      <w:r>
        <w:rPr>
          <w:rFonts w:ascii="微软雅黑" w:hAnsi="微软雅黑" w:eastAsia="微软雅黑" w:cs="Arial"/>
          <w:sz w:val="21"/>
          <w:szCs w:val="21"/>
        </w:rPr>
        <w:t>本项目的特定资格要求：无。</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Style w:val="51"/>
          <w:rFonts w:ascii="微软雅黑" w:hAnsi="微软雅黑" w:eastAsia="微软雅黑" w:cs="Arial"/>
          <w:sz w:val="21"/>
          <w:szCs w:val="21"/>
        </w:rPr>
        <w:t>三、获取招标文件</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时间：</w:t>
      </w:r>
      <w:r>
        <w:rPr>
          <w:rStyle w:val="82"/>
          <w:rFonts w:ascii="微软雅黑" w:hAnsi="微软雅黑" w:eastAsia="微软雅黑" w:cs="Arial"/>
          <w:sz w:val="21"/>
          <w:szCs w:val="21"/>
          <w:u w:val="single"/>
        </w:rPr>
        <w:t xml:space="preserve"> 2020年</w:t>
      </w:r>
      <w:r>
        <w:rPr>
          <w:rStyle w:val="82"/>
          <w:rFonts w:hint="eastAsia" w:ascii="微软雅黑" w:hAnsi="微软雅黑" w:eastAsia="微软雅黑" w:cs="Arial"/>
          <w:sz w:val="21"/>
          <w:szCs w:val="21"/>
          <w:u w:val="single"/>
          <w:lang w:eastAsia="zh-CN"/>
        </w:rPr>
        <w:t>09</w:t>
      </w:r>
      <w:r>
        <w:rPr>
          <w:rStyle w:val="82"/>
          <w:rFonts w:ascii="微软雅黑" w:hAnsi="微软雅黑" w:eastAsia="微软雅黑" w:cs="Arial"/>
          <w:sz w:val="21"/>
          <w:szCs w:val="21"/>
          <w:u w:val="single"/>
        </w:rPr>
        <w:t>月</w:t>
      </w:r>
      <w:r>
        <w:rPr>
          <w:rStyle w:val="82"/>
          <w:rFonts w:hint="eastAsia" w:ascii="微软雅黑" w:hAnsi="微软雅黑" w:eastAsia="微软雅黑" w:cs="Arial"/>
          <w:sz w:val="21"/>
          <w:szCs w:val="21"/>
          <w:u w:val="single"/>
          <w:lang w:eastAsia="zh-CN"/>
        </w:rPr>
        <w:t>18</w:t>
      </w:r>
      <w:r>
        <w:rPr>
          <w:rStyle w:val="82"/>
          <w:rFonts w:ascii="微软雅黑" w:hAnsi="微软雅黑" w:eastAsia="微软雅黑" w:cs="Arial"/>
          <w:sz w:val="21"/>
          <w:szCs w:val="21"/>
          <w:u w:val="single"/>
        </w:rPr>
        <w:t>日</w:t>
      </w:r>
      <w:r>
        <w:rPr>
          <w:rFonts w:ascii="微软雅黑" w:hAnsi="微软雅黑" w:eastAsia="微软雅黑" w:cs="Arial"/>
          <w:sz w:val="21"/>
          <w:szCs w:val="21"/>
          <w:u w:val="single"/>
        </w:rPr>
        <w:t> </w:t>
      </w:r>
      <w:r>
        <w:rPr>
          <w:rFonts w:ascii="微软雅黑" w:hAnsi="微软雅黑" w:eastAsia="微软雅黑" w:cs="Arial"/>
          <w:sz w:val="21"/>
          <w:szCs w:val="21"/>
        </w:rPr>
        <w:t>至 </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2020年</w:t>
      </w:r>
      <w:r>
        <w:rPr>
          <w:rStyle w:val="82"/>
          <w:rFonts w:hint="eastAsia" w:ascii="微软雅黑" w:hAnsi="微软雅黑" w:eastAsia="微软雅黑" w:cs="Arial"/>
          <w:sz w:val="21"/>
          <w:szCs w:val="21"/>
          <w:u w:val="single"/>
          <w:lang w:eastAsia="zh-CN"/>
        </w:rPr>
        <w:t>10</w:t>
      </w:r>
      <w:r>
        <w:rPr>
          <w:rStyle w:val="82"/>
          <w:rFonts w:ascii="微软雅黑" w:hAnsi="微软雅黑" w:eastAsia="微软雅黑" w:cs="Arial"/>
          <w:sz w:val="21"/>
          <w:szCs w:val="21"/>
          <w:u w:val="single"/>
        </w:rPr>
        <w:t>月</w:t>
      </w:r>
      <w:r>
        <w:rPr>
          <w:rStyle w:val="82"/>
          <w:rFonts w:hint="eastAsia" w:ascii="微软雅黑" w:hAnsi="微软雅黑" w:eastAsia="微软雅黑" w:cs="Arial"/>
          <w:sz w:val="21"/>
          <w:szCs w:val="21"/>
          <w:u w:val="single"/>
          <w:lang w:eastAsia="zh-CN"/>
        </w:rPr>
        <w:t>10</w:t>
      </w:r>
      <w:r>
        <w:rPr>
          <w:rStyle w:val="82"/>
          <w:rFonts w:ascii="微软雅黑" w:hAnsi="微软雅黑" w:eastAsia="微软雅黑" w:cs="Arial"/>
          <w:sz w:val="21"/>
          <w:szCs w:val="21"/>
          <w:u w:val="single"/>
        </w:rPr>
        <w:t>日</w:t>
      </w:r>
      <w:r>
        <w:rPr>
          <w:rFonts w:ascii="微软雅黑" w:hAnsi="微软雅黑" w:eastAsia="微软雅黑" w:cs="Arial"/>
          <w:sz w:val="21"/>
          <w:szCs w:val="21"/>
          <w:u w:val="single"/>
        </w:rPr>
        <w:t> </w:t>
      </w:r>
      <w:r>
        <w:rPr>
          <w:rFonts w:ascii="微软雅黑" w:hAnsi="微软雅黑" w:eastAsia="微软雅黑" w:cs="Arial"/>
          <w:sz w:val="21"/>
          <w:szCs w:val="21"/>
        </w:rPr>
        <w:t>，每天上午</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00:00至12:00</w:t>
      </w:r>
      <w:r>
        <w:rPr>
          <w:rFonts w:ascii="微软雅黑" w:hAnsi="微软雅黑" w:eastAsia="微软雅黑" w:cs="Arial"/>
          <w:sz w:val="21"/>
          <w:szCs w:val="21"/>
        </w:rPr>
        <w:t> ，下午</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12:00至23:59</w:t>
      </w:r>
      <w:r>
        <w:rPr>
          <w:rFonts w:ascii="微软雅黑" w:hAnsi="微软雅黑" w:eastAsia="微软雅黑" w:cs="Arial"/>
          <w:sz w:val="21"/>
          <w:szCs w:val="21"/>
          <w:u w:val="single"/>
        </w:rPr>
        <w:t> </w:t>
      </w:r>
      <w:r>
        <w:rPr>
          <w:rFonts w:ascii="微软雅黑" w:hAnsi="微软雅黑" w:eastAsia="微软雅黑" w:cs="Arial"/>
          <w:sz w:val="21"/>
          <w:szCs w:val="21"/>
        </w:rPr>
        <w:t>（北京时间，线上获取法定节假日均可，线下获取文件法定节假日除外）</w:t>
      </w:r>
    </w:p>
    <w:p>
      <w:pPr>
        <w:pStyle w:val="42"/>
        <w:spacing w:before="0" w:beforeAutospacing="0" w:after="0" w:afterAutospacing="0" w:line="360" w:lineRule="auto"/>
        <w:ind w:firstLine="420" w:firstLineChars="200"/>
        <w:rPr>
          <w:rFonts w:hint="eastAsia" w:ascii="微软雅黑" w:hAnsi="微软雅黑" w:eastAsia="微软雅黑" w:cs="Arial"/>
          <w:sz w:val="21"/>
          <w:szCs w:val="21"/>
        </w:rPr>
      </w:pPr>
      <w:r>
        <w:rPr>
          <w:rFonts w:ascii="微软雅黑" w:hAnsi="微软雅黑" w:eastAsia="微软雅黑" w:cs="Arial"/>
          <w:sz w:val="21"/>
          <w:szCs w:val="21"/>
        </w:rPr>
        <w:t>地点（网址）：</w:t>
      </w:r>
      <w:r>
        <w:rPr>
          <w:rStyle w:val="82"/>
          <w:rFonts w:ascii="微软雅黑" w:hAnsi="微软雅黑" w:eastAsia="微软雅黑" w:cs="Arial"/>
          <w:sz w:val="21"/>
          <w:szCs w:val="21"/>
        </w:rPr>
        <w:t>浙江政府采购网https://login.zcygov.cn/login</w:t>
      </w:r>
      <w:r>
        <w:rPr>
          <w:rFonts w:ascii="微软雅黑" w:hAnsi="微软雅黑" w:eastAsia="微软雅黑" w:cs="Arial"/>
          <w:sz w:val="21"/>
          <w:szCs w:val="21"/>
        </w:rPr>
        <w:t>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方式：</w:t>
      </w:r>
      <w:r>
        <w:rPr>
          <w:rFonts w:ascii="微软雅黑" w:hAnsi="微软雅黑" w:eastAsia="微软雅黑"/>
          <w:sz w:val="21"/>
          <w:szCs w:val="21"/>
        </w:rPr>
        <w:t>采购公告发布后，在政采云平台已完成注册的供应商登陆系统，申请获取招标文件，待审核通过后，可免费下载招标文件。如果“已申请”标签页显示状态为“审核通过”即为报名成功。路径：用户中心——项目采购——获取招标文件管理。在“已获取”的状态下，供应商可下载查看招标文件。</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售价（元）：0</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Style w:val="51"/>
          <w:rFonts w:ascii="微软雅黑" w:hAnsi="微软雅黑" w:eastAsia="微软雅黑" w:cs="Arial"/>
          <w:sz w:val="21"/>
          <w:szCs w:val="21"/>
        </w:rPr>
        <w:t>四、提交投标文件截止时间、开标时间和地点</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提交投标文件截止时间：</w:t>
      </w:r>
      <w:r>
        <w:rPr>
          <w:rStyle w:val="82"/>
          <w:rFonts w:ascii="微软雅黑" w:hAnsi="微软雅黑" w:eastAsia="微软雅黑" w:cs="Arial"/>
          <w:sz w:val="21"/>
          <w:szCs w:val="21"/>
          <w:u w:val="single"/>
        </w:rPr>
        <w:t xml:space="preserve"> 2020年</w:t>
      </w:r>
      <w:r>
        <w:rPr>
          <w:rStyle w:val="82"/>
          <w:rFonts w:hint="eastAsia" w:ascii="微软雅黑" w:hAnsi="微软雅黑" w:eastAsia="微软雅黑" w:cs="Arial"/>
          <w:sz w:val="21"/>
          <w:szCs w:val="21"/>
          <w:u w:val="single"/>
          <w:lang w:eastAsia="zh-CN"/>
        </w:rPr>
        <w:t>10</w:t>
      </w:r>
      <w:r>
        <w:rPr>
          <w:rStyle w:val="82"/>
          <w:rFonts w:ascii="微软雅黑" w:hAnsi="微软雅黑" w:eastAsia="微软雅黑" w:cs="Arial"/>
          <w:sz w:val="21"/>
          <w:szCs w:val="21"/>
          <w:u w:val="single"/>
        </w:rPr>
        <w:t>月</w:t>
      </w:r>
      <w:r>
        <w:rPr>
          <w:rStyle w:val="82"/>
          <w:rFonts w:hint="eastAsia" w:ascii="微软雅黑" w:hAnsi="微软雅黑" w:eastAsia="微软雅黑" w:cs="Arial"/>
          <w:sz w:val="21"/>
          <w:szCs w:val="21"/>
          <w:u w:val="single"/>
          <w:lang w:eastAsia="zh-CN"/>
        </w:rPr>
        <w:t>10</w:t>
      </w:r>
      <w:r>
        <w:rPr>
          <w:rStyle w:val="82"/>
          <w:rFonts w:ascii="微软雅黑" w:hAnsi="微软雅黑" w:eastAsia="微软雅黑" w:cs="Arial"/>
          <w:sz w:val="21"/>
          <w:szCs w:val="21"/>
          <w:u w:val="single"/>
        </w:rPr>
        <w:t>日</w:t>
      </w:r>
      <w:r>
        <w:rPr>
          <w:rStyle w:val="82"/>
          <w:rFonts w:hint="eastAsia" w:ascii="微软雅黑" w:hAnsi="微软雅黑" w:eastAsia="微软雅黑" w:cs="Arial"/>
          <w:sz w:val="21"/>
          <w:szCs w:val="21"/>
          <w:u w:val="single"/>
          <w:lang w:eastAsia="zh-CN"/>
        </w:rPr>
        <w:t>14:00</w:t>
      </w:r>
      <w:r>
        <w:rPr>
          <w:rFonts w:ascii="微软雅黑" w:hAnsi="微软雅黑" w:eastAsia="微软雅黑" w:cs="Arial"/>
          <w:sz w:val="21"/>
          <w:szCs w:val="21"/>
        </w:rPr>
        <w:t>（北京时间）</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投标地点（网址）：</w:t>
      </w:r>
      <w:r>
        <w:rPr>
          <w:rStyle w:val="82"/>
          <w:rFonts w:ascii="微软雅黑" w:hAnsi="微软雅黑" w:eastAsia="微软雅黑" w:cs="Arial"/>
          <w:sz w:val="21"/>
          <w:szCs w:val="21"/>
          <w:u w:val="single"/>
        </w:rPr>
        <w:t>“政采云”平台电子投标</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开标时间：</w:t>
      </w:r>
      <w:r>
        <w:rPr>
          <w:rStyle w:val="82"/>
          <w:rFonts w:ascii="微软雅黑" w:hAnsi="微软雅黑" w:eastAsia="微软雅黑" w:cs="Arial"/>
          <w:sz w:val="21"/>
          <w:szCs w:val="21"/>
          <w:u w:val="single"/>
        </w:rPr>
        <w:t>2020年</w:t>
      </w:r>
      <w:r>
        <w:rPr>
          <w:rStyle w:val="82"/>
          <w:rFonts w:hint="eastAsia" w:ascii="微软雅黑" w:hAnsi="微软雅黑" w:eastAsia="微软雅黑" w:cs="Arial"/>
          <w:sz w:val="21"/>
          <w:szCs w:val="21"/>
          <w:u w:val="single"/>
          <w:lang w:eastAsia="zh-CN"/>
        </w:rPr>
        <w:t>10</w:t>
      </w:r>
      <w:r>
        <w:rPr>
          <w:rStyle w:val="82"/>
          <w:rFonts w:ascii="微软雅黑" w:hAnsi="微软雅黑" w:eastAsia="微软雅黑" w:cs="Arial"/>
          <w:sz w:val="21"/>
          <w:szCs w:val="21"/>
          <w:u w:val="single"/>
        </w:rPr>
        <w:t>月</w:t>
      </w:r>
      <w:r>
        <w:rPr>
          <w:rStyle w:val="82"/>
          <w:rFonts w:hint="eastAsia" w:ascii="微软雅黑" w:hAnsi="微软雅黑" w:eastAsia="微软雅黑" w:cs="Arial"/>
          <w:sz w:val="21"/>
          <w:szCs w:val="21"/>
          <w:u w:val="single"/>
          <w:lang w:eastAsia="zh-CN"/>
        </w:rPr>
        <w:t>10</w:t>
      </w:r>
      <w:r>
        <w:rPr>
          <w:rStyle w:val="82"/>
          <w:rFonts w:ascii="微软雅黑" w:hAnsi="微软雅黑" w:eastAsia="微软雅黑" w:cs="Arial"/>
          <w:sz w:val="21"/>
          <w:szCs w:val="21"/>
          <w:u w:val="single"/>
        </w:rPr>
        <w:t>日</w:t>
      </w:r>
      <w:r>
        <w:rPr>
          <w:rStyle w:val="82"/>
          <w:rFonts w:hint="eastAsia" w:ascii="微软雅黑" w:hAnsi="微软雅黑" w:eastAsia="微软雅黑" w:cs="Arial"/>
          <w:sz w:val="21"/>
          <w:szCs w:val="21"/>
          <w:u w:val="single"/>
          <w:lang w:eastAsia="zh-CN"/>
        </w:rPr>
        <w:t>14:00</w:t>
      </w:r>
    </w:p>
    <w:p>
      <w:pPr>
        <w:pStyle w:val="42"/>
        <w:spacing w:before="0" w:beforeAutospacing="0" w:after="0" w:afterAutospacing="0" w:line="360" w:lineRule="auto"/>
        <w:ind w:firstLine="420" w:firstLineChars="200"/>
        <w:rPr>
          <w:rStyle w:val="82"/>
          <w:rFonts w:ascii="微软雅黑" w:hAnsi="微软雅黑" w:eastAsia="微软雅黑" w:cs="Arial"/>
          <w:sz w:val="21"/>
          <w:szCs w:val="21"/>
          <w:u w:val="single"/>
        </w:rPr>
      </w:pPr>
      <w:r>
        <w:rPr>
          <w:rFonts w:ascii="微软雅黑" w:hAnsi="微软雅黑" w:eastAsia="微软雅黑" w:cs="Arial"/>
          <w:sz w:val="21"/>
          <w:szCs w:val="21"/>
        </w:rPr>
        <w:t>开标地点（网址）：</w:t>
      </w:r>
      <w:r>
        <w:rPr>
          <w:rStyle w:val="82"/>
          <w:rFonts w:ascii="微软雅黑" w:hAnsi="微软雅黑" w:eastAsia="微软雅黑" w:cs="Arial"/>
          <w:sz w:val="21"/>
          <w:szCs w:val="21"/>
          <w:u w:val="single"/>
        </w:rPr>
        <w:t>嘉兴市公共资源交易中心开标室（嘉兴市广场路350号）</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Style w:val="51"/>
          <w:rFonts w:ascii="微软雅黑" w:hAnsi="微软雅黑" w:eastAsia="微软雅黑" w:cs="Arial"/>
          <w:sz w:val="21"/>
          <w:szCs w:val="21"/>
        </w:rPr>
        <w:t>五、公告期限</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自本公告发布之日起</w:t>
      </w:r>
      <w:r>
        <w:rPr>
          <w:rFonts w:hint="eastAsia" w:ascii="微软雅黑" w:hAnsi="微软雅黑" w:eastAsia="微软雅黑" w:cs="Arial"/>
          <w:sz w:val="21"/>
          <w:szCs w:val="21"/>
        </w:rPr>
        <w:t>5</w:t>
      </w:r>
      <w:r>
        <w:rPr>
          <w:rFonts w:ascii="微软雅黑" w:hAnsi="微软雅黑" w:eastAsia="微软雅黑" w:cs="Arial"/>
          <w:sz w:val="21"/>
          <w:szCs w:val="21"/>
        </w:rPr>
        <w:t>个工作日。</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Style w:val="51"/>
          <w:rFonts w:ascii="微软雅黑" w:hAnsi="微软雅黑" w:eastAsia="微软雅黑" w:cs="Arial"/>
          <w:sz w:val="21"/>
          <w:szCs w:val="21"/>
        </w:rPr>
        <w:t>六、其他补充事宜</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hint="eastAsia" w:ascii="微软雅黑" w:eastAsia="MS Mincho" w:cs="MS Mincho"/>
          <w:sz w:val="21"/>
          <w:szCs w:val="21"/>
        </w:rPr>
        <w:t>​</w:t>
      </w:r>
      <w:r>
        <w:rPr>
          <w:rFonts w:ascii="微软雅黑" w:hAnsi="微软雅黑" w:eastAsia="微软雅黑" w:cs="Arial"/>
          <w:sz w:val="21"/>
          <w:szCs w:val="21"/>
        </w:rPr>
        <w:t>2、本采购项目，中标单位与采购人签订的政府采购合同适用于嘉兴市政府采购贷款政策，简称“政采贷”，具体内容可参阅政府采购贷款流程：</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"http://www.jxzbtb.cn/zxfw/005012/20181016/7e541bf4-ad29-4286-ace8-d12c1b2c54fc.html%E3%80%82"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http://www.jxzbtb.cn/zxfw/005012/20181016/7e541bf4-ad29-4286-ace8-d12c1b2c54fc.html。</w:t>
      </w:r>
      <w:r>
        <w:rPr>
          <w:rFonts w:ascii="微软雅黑" w:hAnsi="微软雅黑" w:eastAsia="微软雅黑" w:cs="Arial"/>
          <w:sz w:val="21"/>
          <w:szCs w:val="21"/>
        </w:rPr>
        <w:fldChar w:fldCharType="end"/>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3、投标说明：</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3.１、本项目按照《浙江省财政厅关于印发浙江省政府采购项电子交易管理暂行办法的通知》实行电子交易。</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3.2、供应商注册</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3.2.1、注册网址：</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浙江政府采购网：</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"https://middle.zcygov.cn/settle-front/" \l "/registry"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https://middle.zcygov.cn/settle-front/#/registry</w:t>
      </w:r>
      <w:r>
        <w:rPr>
          <w:rFonts w:ascii="微软雅黑" w:hAnsi="微软雅黑" w:eastAsia="微软雅黑" w:cs="Arial"/>
          <w:sz w:val="21"/>
          <w:szCs w:val="21"/>
        </w:rPr>
        <w:fldChar w:fldCharType="end"/>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3.2.2、供应商按照《浙江省政府采购供应商注册和诚信管理暂行办法》要求执行。</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4、投标文件制作注意事项</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4.1、供应商将政采云电子交易客户端下载、安装完成后，可通过账号密码或CA登录客户端进行投标文件制作。</w:t>
      </w:r>
      <w:r>
        <w:rPr>
          <w:rFonts w:ascii="微软雅黑" w:hAnsi="微软雅黑" w:eastAsia="微软雅黑" w:cs="Arial"/>
          <w:sz w:val="21"/>
          <w:szCs w:val="21"/>
        </w:rPr>
        <w:br w:type="textWrapping"/>
      </w:r>
      <w:r>
        <w:rPr>
          <w:rFonts w:ascii="微软雅黑" w:hAnsi="微软雅黑" w:eastAsia="微软雅黑" w:cs="Arial"/>
          <w:sz w:val="21"/>
          <w:szCs w:val="21"/>
        </w:rPr>
        <w:t>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4.2、电子交易操作指南：</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"https://help.zcygov.cn/web/site_2/2018/12-28/2573.html"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https://help.zcygov.cn/web/site_2/2018/12-28/2573.html</w:t>
      </w:r>
      <w:r>
        <w:rPr>
          <w:rFonts w:ascii="微软雅黑" w:hAnsi="微软雅黑" w:eastAsia="微软雅黑" w:cs="Arial"/>
          <w:sz w:val="21"/>
          <w:szCs w:val="21"/>
        </w:rPr>
        <w:fldChar w:fldCharType="end"/>
      </w:r>
      <w:r>
        <w:rPr>
          <w:rFonts w:ascii="微软雅黑" w:hAnsi="微软雅黑" w:eastAsia="微软雅黑" w:cs="Arial"/>
          <w:sz w:val="21"/>
          <w:szCs w:val="21"/>
        </w:rPr>
        <w:br w:type="textWrapping"/>
      </w:r>
      <w:r>
        <w:rPr>
          <w:rFonts w:ascii="微软雅黑" w:hAnsi="微软雅黑" w:eastAsia="微软雅黑" w:cs="Arial"/>
          <w:sz w:val="21"/>
          <w:szCs w:val="21"/>
        </w:rPr>
        <w:t>《CA申领操作指南》：</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"https://help.zcygov.cn/web/site_2/2018/11-29/2452.html" \t "_blank"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https://help.zcygov.cn/web/site_2/2018/11-29/2452.html</w:t>
      </w:r>
      <w:r>
        <w:rPr>
          <w:rFonts w:ascii="微软雅黑" w:hAnsi="微软雅黑" w:eastAsia="微软雅黑" w:cs="Arial"/>
          <w:sz w:val="21"/>
          <w:szCs w:val="21"/>
        </w:rPr>
        <w:fldChar w:fldCharType="end"/>
      </w:r>
      <w:r>
        <w:rPr>
          <w:rFonts w:ascii="微软雅黑" w:hAnsi="微软雅黑" w:eastAsia="微软雅黑" w:cs="Arial"/>
          <w:sz w:val="21"/>
          <w:szCs w:val="21"/>
        </w:rPr>
        <w:br w:type="textWrapping"/>
      </w:r>
      <w:r>
        <w:rPr>
          <w:rFonts w:ascii="微软雅黑" w:hAnsi="微软雅黑" w:eastAsia="微软雅黑" w:cs="Arial"/>
          <w:sz w:val="21"/>
          <w:szCs w:val="21"/>
        </w:rPr>
        <w:t>《CA管理操作指南》：</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"https://help.zcygov.cn/web/site_2/2019/08-20/3405.html" \t "_blank"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https://help.zcygov.cn/web/site_2/2019/08-20/3405.html</w:t>
      </w:r>
      <w:r>
        <w:rPr>
          <w:rFonts w:ascii="微软雅黑" w:hAnsi="微软雅黑" w:eastAsia="微软雅黑" w:cs="Arial"/>
          <w:sz w:val="21"/>
          <w:szCs w:val="21"/>
        </w:rPr>
        <w:fldChar w:fldCharType="end"/>
      </w:r>
      <w:r>
        <w:rPr>
          <w:rFonts w:ascii="微软雅黑" w:hAnsi="微软雅黑" w:eastAsia="微软雅黑" w:cs="Arial"/>
          <w:sz w:val="21"/>
          <w:szCs w:val="21"/>
        </w:rPr>
        <w:br w:type="textWrapping"/>
      </w:r>
      <w:r>
        <w:rPr>
          <w:rFonts w:ascii="微软雅黑" w:hAnsi="微软雅黑" w:eastAsia="微软雅黑" w:cs="Arial"/>
          <w:sz w:val="21"/>
          <w:szCs w:val="21"/>
        </w:rPr>
        <w:t>《CA驱动和申领流程》</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"http://zfcg.czt.zj.gov.cn/bidClientTemplate/2019-05-27/12945.html" \t "_blank"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http://zfcg.czt.zj.gov.cn/bidClientTemplate/2019-05-27/12945.html</w:t>
      </w:r>
      <w:r>
        <w:rPr>
          <w:rFonts w:ascii="微软雅黑" w:hAnsi="微软雅黑" w:eastAsia="微软雅黑" w:cs="Arial"/>
          <w:sz w:val="21"/>
          <w:szCs w:val="21"/>
        </w:rPr>
        <w:fldChar w:fldCharType="end"/>
      </w:r>
      <w:r>
        <w:rPr>
          <w:rFonts w:ascii="微软雅黑" w:hAnsi="微软雅黑" w:eastAsia="微软雅黑" w:cs="Arial"/>
          <w:sz w:val="21"/>
          <w:szCs w:val="21"/>
        </w:rPr>
        <w:br w:type="textWrapping"/>
      </w:r>
      <w:r>
        <w:rPr>
          <w:rFonts w:ascii="微软雅黑" w:hAnsi="微软雅黑" w:eastAsia="微软雅黑" w:cs="Arial"/>
          <w:sz w:val="21"/>
          <w:szCs w:val="21"/>
        </w:rPr>
        <w:t>注：ＣＡ证书遗失补办、延期、解锁、质保等业务可以在联连客户端上进行操作；使用政采云投标客户端时，建议使用WIN7及以上操作系统。</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5、政采云咨询电话：400-881-7190；</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政采云平台服务中心：</w:t>
      </w:r>
      <w:r>
        <w:rPr>
          <w:rFonts w:ascii="微软雅黑" w:hAnsi="微软雅黑" w:eastAsia="微软雅黑" w:cs="Arial"/>
          <w:sz w:val="21"/>
          <w:szCs w:val="21"/>
        </w:rPr>
        <w:fldChar w:fldCharType="begin"/>
      </w:r>
      <w:r>
        <w:rPr>
          <w:rFonts w:ascii="微软雅黑" w:hAnsi="微软雅黑" w:eastAsia="微软雅黑" w:cs="Arial"/>
          <w:sz w:val="21"/>
          <w:szCs w:val="21"/>
        </w:rPr>
        <w:instrText xml:space="preserve"> HYPERLINK "https://service.zcygov.cn/" \l "/" \t "_blank" </w:instrText>
      </w:r>
      <w:r>
        <w:rPr>
          <w:rFonts w:ascii="微软雅黑" w:hAnsi="微软雅黑" w:eastAsia="微软雅黑" w:cs="Arial"/>
          <w:sz w:val="21"/>
          <w:szCs w:val="21"/>
        </w:rPr>
        <w:fldChar w:fldCharType="separate"/>
      </w:r>
      <w:r>
        <w:rPr>
          <w:rStyle w:val="54"/>
          <w:rFonts w:ascii="微软雅黑" w:hAnsi="微软雅黑" w:eastAsia="微软雅黑" w:cs="Arial"/>
          <w:color w:val="auto"/>
          <w:sz w:val="21"/>
          <w:szCs w:val="21"/>
        </w:rPr>
        <w:t>https://service.zcygov.cn/#/</w:t>
      </w:r>
      <w:r>
        <w:rPr>
          <w:rFonts w:ascii="微软雅黑" w:hAnsi="微软雅黑" w:eastAsia="微软雅黑" w:cs="Arial"/>
          <w:sz w:val="21"/>
          <w:szCs w:val="21"/>
        </w:rPr>
        <w:fldChar w:fldCharType="end"/>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6、汇信（ＣＡ）客服电话：400-888-4636</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7、投标文件提交注意事项：</w:t>
      </w:r>
    </w:p>
    <w:p>
      <w:pPr>
        <w:pStyle w:val="42"/>
        <w:spacing w:before="0" w:beforeAutospacing="0" w:after="0" w:afterAutospacing="0" w:line="360" w:lineRule="auto"/>
        <w:ind w:firstLine="420" w:firstLineChars="200"/>
        <w:rPr>
          <w:rFonts w:hint="eastAsia" w:ascii="微软雅黑" w:hAnsi="微软雅黑" w:eastAsia="微软雅黑" w:cs="Arial"/>
          <w:sz w:val="21"/>
          <w:szCs w:val="21"/>
        </w:rPr>
      </w:pPr>
      <w:r>
        <w:rPr>
          <w:rFonts w:ascii="微软雅黑" w:hAnsi="微软雅黑" w:eastAsia="微软雅黑" w:cs="Arial"/>
          <w:sz w:val="21"/>
          <w:szCs w:val="21"/>
        </w:rPr>
        <w:t xml:space="preserve">7.1、供应商进行电子投标应安装客户端软件，并按照招标文件和电子交易平台的要求编制并加密投标文件。供应商未按规定加密的投标文件，代理机构应当拒收。 </w:t>
      </w:r>
    </w:p>
    <w:p>
      <w:pPr>
        <w:pStyle w:val="42"/>
        <w:spacing w:before="0" w:beforeAutospacing="0" w:after="0" w:afterAutospacing="0" w:line="360" w:lineRule="auto"/>
        <w:ind w:firstLine="420" w:firstLineChars="200"/>
        <w:rPr>
          <w:rFonts w:hint="eastAsia" w:ascii="微软雅黑" w:hAnsi="微软雅黑" w:eastAsia="微软雅黑" w:cs="Arial"/>
          <w:sz w:val="21"/>
          <w:szCs w:val="21"/>
        </w:rPr>
      </w:pPr>
      <w:r>
        <w:rPr>
          <w:rFonts w:hint="eastAsia" w:ascii="微软雅黑" w:hAnsi="微软雅黑" w:eastAsia="微软雅黑" w:cs="Arial"/>
          <w:sz w:val="21"/>
          <w:szCs w:val="21"/>
        </w:rPr>
        <w:t>7</w:t>
      </w:r>
      <w:r>
        <w:rPr>
          <w:rFonts w:ascii="微软雅黑" w:hAnsi="微软雅黑" w:eastAsia="微软雅黑" w:cs="Arial"/>
          <w:sz w:val="21"/>
          <w:szCs w:val="21"/>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hint="eastAsia" w:ascii="微软雅黑" w:hAnsi="微软雅黑" w:eastAsia="微软雅黑" w:cs="Arial"/>
          <w:sz w:val="21"/>
          <w:szCs w:val="21"/>
        </w:rPr>
        <w:t>7</w:t>
      </w:r>
      <w:r>
        <w:rPr>
          <w:rFonts w:ascii="微软雅黑" w:hAnsi="微软雅黑" w:eastAsia="微软雅黑"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秀洲区新平路299号中禾广场23楼嘉兴市千秋工程咨询有限公司，章莉莉 13605735186），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eastAsia="微软雅黑" w:cs="Arial"/>
          <w:sz w:val="21"/>
          <w:szCs w:val="21"/>
        </w:rPr>
        <w:t>1450912653@qq.com</w:t>
      </w:r>
      <w:r>
        <w:rPr>
          <w:rFonts w:ascii="微软雅黑" w:hAnsi="微软雅黑" w:eastAsia="微软雅黑" w:cs="Arial"/>
          <w:sz w:val="21"/>
          <w:szCs w:val="21"/>
        </w:rPr>
        <w:t>），以便代理机构查收快递。如供应商选择快递费到付，将被拒收。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“备份投标文件”是指与“电子加密投标文件”同时生成的数据电文形式的电子文件（备份标书），其他方式编制的备份投标文件视为无效备份投标文件。</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7.4、备份电子标文件制作为非强制性，但如遇因应商电子投标文件解密失败等情况造成无效标，后果由供应商自负。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Style w:val="51"/>
          <w:rFonts w:ascii="微软雅黑" w:hAnsi="微软雅黑" w:eastAsia="微软雅黑" w:cs="Arial"/>
          <w:sz w:val="21"/>
          <w:szCs w:val="21"/>
        </w:rPr>
        <w:t>七、对本次招标提出询问、质疑、投诉，请按以下方式联系。</w:t>
      </w:r>
      <w:r>
        <w:rPr>
          <w:rFonts w:ascii="微软雅黑" w:hAnsi="微软雅黑" w:eastAsia="微软雅黑" w:cs="Arial"/>
          <w:sz w:val="21"/>
          <w:szCs w:val="21"/>
        </w:rPr>
        <w:t>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1</w:t>
      </w:r>
      <w:r>
        <w:rPr>
          <w:rFonts w:hint="eastAsia" w:ascii="微软雅黑" w:hAnsi="微软雅黑" w:eastAsia="微软雅黑" w:cs="Arial"/>
          <w:sz w:val="21"/>
          <w:szCs w:val="21"/>
        </w:rPr>
        <w:t>、</w:t>
      </w:r>
      <w:r>
        <w:rPr>
          <w:rFonts w:ascii="微软雅黑" w:hAnsi="微软雅黑" w:eastAsia="微软雅黑" w:cs="Arial"/>
          <w:sz w:val="21"/>
          <w:szCs w:val="21"/>
        </w:rPr>
        <w:t>采购人信息</w:t>
      </w:r>
    </w:p>
    <w:p>
      <w:pPr>
        <w:pStyle w:val="42"/>
        <w:spacing w:before="0" w:beforeAutospacing="0" w:after="0" w:afterAutospacing="0" w:line="360" w:lineRule="auto"/>
        <w:ind w:firstLine="420" w:firstLineChars="200"/>
        <w:rPr>
          <w:rFonts w:hint="eastAsia" w:ascii="微软雅黑" w:hAnsi="微软雅黑" w:eastAsia="微软雅黑" w:cs="Arial"/>
          <w:sz w:val="21"/>
          <w:szCs w:val="21"/>
        </w:rPr>
      </w:pPr>
      <w:r>
        <w:rPr>
          <w:rFonts w:ascii="微软雅黑" w:hAnsi="微软雅黑" w:eastAsia="微软雅黑" w:cs="Arial"/>
          <w:sz w:val="21"/>
          <w:szCs w:val="21"/>
        </w:rPr>
        <w:t>名    称：</w:t>
      </w:r>
      <w:r>
        <w:rPr>
          <w:rFonts w:hint="eastAsia" w:ascii="微软雅黑" w:hAnsi="微软雅黑" w:eastAsia="微软雅黑" w:cs="Arial"/>
          <w:sz w:val="21"/>
          <w:szCs w:val="21"/>
          <w:u w:val="single"/>
        </w:rPr>
        <w:t>嘉兴市公安局经济技术开发区(国际商务区)分局</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地    址：</w:t>
      </w:r>
      <w:r>
        <w:rPr>
          <w:rFonts w:hint="eastAsia" w:ascii="微软雅黑" w:hAnsi="微软雅黑" w:eastAsia="微软雅黑" w:cs="Arial"/>
          <w:sz w:val="21"/>
          <w:szCs w:val="21"/>
          <w:u w:val="single"/>
        </w:rPr>
        <w:t>嘉兴市南湖区珠庵路426号</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传    真：</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w:t>
      </w:r>
      <w:r>
        <w:rPr>
          <w:rFonts w:ascii="微软雅黑" w:hAnsi="微软雅黑" w:eastAsia="微软雅黑" w:cs="Arial"/>
          <w:sz w:val="21"/>
          <w:szCs w:val="21"/>
          <w:u w:val="single"/>
        </w:rPr>
        <w:t>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项目联系人（询问）：</w:t>
      </w:r>
      <w:r>
        <w:rPr>
          <w:rStyle w:val="82"/>
          <w:rFonts w:hint="eastAsia" w:ascii="微软雅黑" w:hAnsi="微软雅黑" w:eastAsia="微软雅黑" w:cs="Arial"/>
          <w:sz w:val="21"/>
          <w:szCs w:val="21"/>
          <w:u w:val="single"/>
        </w:rPr>
        <w:t>杜天远</w:t>
      </w:r>
    </w:p>
    <w:p>
      <w:pPr>
        <w:pStyle w:val="42"/>
        <w:spacing w:before="0" w:beforeAutospacing="0" w:after="0" w:afterAutospacing="0" w:line="360" w:lineRule="auto"/>
        <w:ind w:firstLine="420" w:firstLineChars="200"/>
        <w:rPr>
          <w:rStyle w:val="82"/>
          <w:rFonts w:hint="eastAsia" w:ascii="微软雅黑" w:hAnsi="微软雅黑" w:eastAsia="微软雅黑" w:cs="Arial"/>
          <w:sz w:val="21"/>
          <w:szCs w:val="21"/>
          <w:u w:val="single"/>
        </w:rPr>
      </w:pPr>
      <w:r>
        <w:rPr>
          <w:rFonts w:ascii="微软雅黑" w:hAnsi="微软雅黑" w:eastAsia="微软雅黑" w:cs="Arial"/>
          <w:sz w:val="21"/>
          <w:szCs w:val="21"/>
        </w:rPr>
        <w:t>项目联系方式（询问）：</w:t>
      </w:r>
      <w:r>
        <w:rPr>
          <w:rStyle w:val="82"/>
          <w:rFonts w:ascii="微软雅黑" w:hAnsi="微软雅黑" w:eastAsia="微软雅黑" w:cs="Arial"/>
          <w:sz w:val="21"/>
          <w:szCs w:val="21"/>
          <w:u w:val="single"/>
        </w:rPr>
        <w:t>0573-82714040</w:t>
      </w:r>
    </w:p>
    <w:p>
      <w:pPr>
        <w:pStyle w:val="42"/>
        <w:spacing w:before="0" w:beforeAutospacing="0" w:after="0" w:afterAutospacing="0" w:line="360" w:lineRule="auto"/>
        <w:ind w:firstLine="420" w:firstLineChars="200"/>
        <w:rPr>
          <w:rStyle w:val="82"/>
          <w:rFonts w:hint="eastAsia" w:ascii="微软雅黑" w:hAnsi="微软雅黑" w:eastAsia="微软雅黑" w:cs="Arial"/>
          <w:sz w:val="21"/>
          <w:szCs w:val="21"/>
          <w:u w:val="single"/>
        </w:rPr>
      </w:pPr>
      <w:r>
        <w:rPr>
          <w:rFonts w:ascii="微软雅黑" w:hAnsi="微软雅黑" w:eastAsia="微软雅黑" w:cs="Arial"/>
          <w:sz w:val="21"/>
          <w:szCs w:val="21"/>
        </w:rPr>
        <w:t>质疑联系人：</w:t>
      </w:r>
      <w:r>
        <w:rPr>
          <w:rStyle w:val="82"/>
          <w:rFonts w:hint="eastAsia" w:ascii="微软雅黑" w:hAnsi="微软雅黑" w:eastAsia="微软雅黑" w:cs="Arial"/>
          <w:sz w:val="21"/>
          <w:szCs w:val="21"/>
          <w:u w:val="single"/>
        </w:rPr>
        <w:t>杜天远</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质疑联系方式：</w:t>
      </w:r>
      <w:r>
        <w:rPr>
          <w:rStyle w:val="82"/>
          <w:rFonts w:ascii="微软雅黑" w:hAnsi="微软雅黑" w:eastAsia="微软雅黑" w:cs="Arial"/>
          <w:sz w:val="21"/>
          <w:szCs w:val="21"/>
          <w:u w:val="single"/>
        </w:rPr>
        <w:t>0573-82714040</w:t>
      </w:r>
      <w:r>
        <w:rPr>
          <w:rStyle w:val="82"/>
          <w:rFonts w:hint="eastAsia" w:ascii="微软雅黑" w:hAnsi="微软雅黑" w:eastAsia="微软雅黑" w:cs="Arial"/>
          <w:sz w:val="21"/>
          <w:szCs w:val="21"/>
          <w:u w:val="single"/>
        </w:rPr>
        <w:t xml:space="preserve">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2</w:t>
      </w:r>
      <w:r>
        <w:rPr>
          <w:rFonts w:hint="eastAsia" w:ascii="微软雅黑" w:hAnsi="微软雅黑" w:eastAsia="微软雅黑" w:cs="Arial"/>
          <w:sz w:val="21"/>
          <w:szCs w:val="21"/>
        </w:rPr>
        <w:t>、</w:t>
      </w:r>
      <w:r>
        <w:rPr>
          <w:rFonts w:ascii="微软雅黑" w:hAnsi="微软雅黑" w:eastAsia="微软雅黑" w:cs="Arial"/>
          <w:sz w:val="21"/>
          <w:szCs w:val="21"/>
        </w:rPr>
        <w:t>采购代理机构信息</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名    称： </w:t>
      </w:r>
      <w:r>
        <w:rPr>
          <w:rStyle w:val="82"/>
          <w:rFonts w:ascii="微软雅黑" w:hAnsi="微软雅黑" w:eastAsia="微软雅黑" w:cs="Arial"/>
          <w:sz w:val="21"/>
          <w:szCs w:val="21"/>
          <w:u w:val="single"/>
        </w:rPr>
        <w:t>嘉兴市千秋工程咨询有限公司</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地    址： </w:t>
      </w:r>
      <w:r>
        <w:rPr>
          <w:rStyle w:val="82"/>
          <w:rFonts w:ascii="微软雅黑" w:hAnsi="微软雅黑" w:eastAsia="微软雅黑" w:cs="Arial"/>
          <w:sz w:val="21"/>
          <w:szCs w:val="21"/>
          <w:u w:val="single"/>
        </w:rPr>
        <w:t>新平路299号中禾广场23楼</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传    真：</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0573-83705013</w:t>
      </w:r>
    </w:p>
    <w:p>
      <w:pPr>
        <w:pStyle w:val="42"/>
        <w:spacing w:before="0" w:beforeAutospacing="0" w:after="0" w:afterAutospacing="0" w:line="360" w:lineRule="auto"/>
        <w:ind w:firstLine="420" w:firstLineChars="200"/>
        <w:rPr>
          <w:rFonts w:ascii="微软雅黑" w:hAnsi="微软雅黑" w:eastAsia="微软雅黑" w:cs="Arial"/>
          <w:sz w:val="21"/>
          <w:szCs w:val="21"/>
          <w:u w:val="single"/>
        </w:rPr>
      </w:pPr>
      <w:r>
        <w:rPr>
          <w:rFonts w:ascii="微软雅黑" w:hAnsi="微软雅黑" w:eastAsia="微软雅黑" w:cs="Arial"/>
          <w:sz w:val="21"/>
          <w:szCs w:val="21"/>
        </w:rPr>
        <w:t>项目联系人（询问）：</w:t>
      </w:r>
      <w:r>
        <w:rPr>
          <w:rFonts w:hint="eastAsia" w:ascii="微软雅黑" w:hAnsi="微软雅黑" w:eastAsia="微软雅黑" w:cs="Arial"/>
          <w:sz w:val="21"/>
          <w:szCs w:val="21"/>
          <w:u w:val="single"/>
          <w:lang w:eastAsia="zh-CN"/>
        </w:rPr>
        <w:t xml:space="preserve">章莉莉 </w:t>
      </w:r>
    </w:p>
    <w:p>
      <w:pPr>
        <w:pStyle w:val="42"/>
        <w:spacing w:before="0" w:beforeAutospacing="0" w:after="0" w:afterAutospacing="0" w:line="360" w:lineRule="auto"/>
        <w:ind w:firstLine="420" w:firstLineChars="200"/>
        <w:rPr>
          <w:rFonts w:hint="eastAsia" w:ascii="微软雅黑" w:hAnsi="微软雅黑" w:eastAsia="微软雅黑" w:cs="Arial"/>
          <w:sz w:val="21"/>
          <w:szCs w:val="21"/>
          <w:lang w:eastAsia="zh-CN"/>
        </w:rPr>
      </w:pPr>
      <w:r>
        <w:rPr>
          <w:rFonts w:ascii="微软雅黑" w:hAnsi="微软雅黑" w:eastAsia="微软雅黑" w:cs="Arial"/>
          <w:sz w:val="21"/>
          <w:szCs w:val="21"/>
        </w:rPr>
        <w:t>项目联系方式（询问）：</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0573-83705015</w:t>
      </w:r>
      <w:r>
        <w:rPr>
          <w:rFonts w:ascii="微软雅黑" w:hAnsi="微软雅黑" w:eastAsia="微软雅黑" w:cs="Arial"/>
          <w:sz w:val="21"/>
          <w:szCs w:val="21"/>
          <w:u w:val="single"/>
        </w:rPr>
        <w:t>  1360573</w:t>
      </w:r>
      <w:r>
        <w:rPr>
          <w:rFonts w:hint="eastAsia" w:ascii="微软雅黑" w:hAnsi="微软雅黑" w:eastAsia="微软雅黑" w:cs="Arial"/>
          <w:sz w:val="21"/>
          <w:szCs w:val="21"/>
          <w:u w:val="single"/>
          <w:lang w:eastAsia="zh-CN"/>
        </w:rPr>
        <w:t>5186</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质疑联系人：</w:t>
      </w:r>
      <w:r>
        <w:rPr>
          <w:rFonts w:ascii="微软雅黑" w:hAnsi="微软雅黑" w:eastAsia="微软雅黑" w:cs="Arial"/>
          <w:sz w:val="21"/>
          <w:szCs w:val="21"/>
          <w:u w:val="single"/>
        </w:rPr>
        <w:t> </w:t>
      </w:r>
      <w:r>
        <w:rPr>
          <w:rFonts w:hint="eastAsia" w:ascii="微软雅黑" w:hAnsi="微软雅黑" w:eastAsia="微软雅黑" w:cs="Arial"/>
          <w:sz w:val="21"/>
          <w:szCs w:val="21"/>
          <w:u w:val="single"/>
          <w:lang w:eastAsia="zh-CN"/>
        </w:rPr>
        <w:t>项兴戟</w:t>
      </w:r>
      <w:r>
        <w:rPr>
          <w:rFonts w:ascii="微软雅黑" w:hAnsi="微软雅黑" w:eastAsia="微软雅黑" w:cs="Arial"/>
          <w:sz w:val="21"/>
          <w:szCs w:val="21"/>
          <w:u w:val="single"/>
        </w:rPr>
        <w:t> </w:t>
      </w:r>
    </w:p>
    <w:p>
      <w:pPr>
        <w:pStyle w:val="42"/>
        <w:spacing w:before="0" w:beforeAutospacing="0" w:after="0" w:afterAutospacing="0" w:line="360" w:lineRule="auto"/>
        <w:ind w:firstLine="420" w:firstLineChars="200"/>
        <w:rPr>
          <w:rFonts w:hint="eastAsia" w:ascii="微软雅黑" w:hAnsi="微软雅黑" w:eastAsia="微软雅黑" w:cs="Arial"/>
          <w:sz w:val="21"/>
          <w:szCs w:val="21"/>
          <w:lang w:eastAsia="zh-CN"/>
        </w:rPr>
      </w:pPr>
      <w:r>
        <w:rPr>
          <w:rFonts w:ascii="微软雅黑" w:hAnsi="微软雅黑" w:eastAsia="微软雅黑" w:cs="Arial"/>
          <w:sz w:val="21"/>
          <w:szCs w:val="21"/>
        </w:rPr>
        <w:t>质疑联系方式： </w:t>
      </w:r>
      <w:r>
        <w:rPr>
          <w:rFonts w:ascii="微软雅黑" w:hAnsi="微软雅黑" w:eastAsia="微软雅黑" w:cs="Arial"/>
          <w:sz w:val="21"/>
          <w:szCs w:val="21"/>
          <w:u w:val="single"/>
        </w:rPr>
        <w:t> </w:t>
      </w:r>
      <w:r>
        <w:rPr>
          <w:rStyle w:val="82"/>
          <w:rFonts w:ascii="微软雅黑" w:hAnsi="微软雅黑" w:eastAsia="微软雅黑" w:cs="Arial"/>
          <w:sz w:val="21"/>
          <w:szCs w:val="21"/>
          <w:u w:val="single"/>
        </w:rPr>
        <w:t>0573-83705015  1360573</w:t>
      </w:r>
      <w:r>
        <w:rPr>
          <w:rStyle w:val="82"/>
          <w:rFonts w:hint="eastAsia" w:ascii="微软雅黑" w:hAnsi="微软雅黑" w:eastAsia="微软雅黑" w:cs="Arial"/>
          <w:sz w:val="21"/>
          <w:szCs w:val="21"/>
          <w:u w:val="single"/>
          <w:lang w:eastAsia="zh-CN"/>
        </w:rPr>
        <w:t>8567</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ascii="微软雅黑" w:hAnsi="微软雅黑" w:eastAsia="微软雅黑" w:cs="Arial"/>
          <w:sz w:val="21"/>
          <w:szCs w:val="21"/>
        </w:rPr>
        <w:t>3</w:t>
      </w:r>
      <w:r>
        <w:rPr>
          <w:rFonts w:hint="eastAsia" w:ascii="微软雅黑" w:hAnsi="微软雅黑" w:eastAsia="微软雅黑" w:cs="Arial"/>
          <w:sz w:val="21"/>
          <w:szCs w:val="21"/>
        </w:rPr>
        <w:t>、</w:t>
      </w:r>
      <w:r>
        <w:rPr>
          <w:rFonts w:ascii="微软雅黑" w:hAnsi="微软雅黑" w:eastAsia="微软雅黑" w:cs="Arial"/>
          <w:sz w:val="21"/>
          <w:szCs w:val="21"/>
        </w:rPr>
        <w:t>同级政府采购监督管理部门</w:t>
      </w:r>
    </w:p>
    <w:p>
      <w:pPr>
        <w:pStyle w:val="42"/>
        <w:spacing w:before="0" w:beforeAutospacing="0" w:after="0" w:afterAutospacing="0" w:line="360" w:lineRule="auto"/>
        <w:ind w:firstLine="420" w:firstLineChars="200"/>
        <w:rPr>
          <w:rStyle w:val="82"/>
          <w:rFonts w:ascii="微软雅黑" w:hAnsi="微软雅黑" w:eastAsia="微软雅黑"/>
          <w:sz w:val="21"/>
          <w:szCs w:val="21"/>
          <w:u w:val="single"/>
        </w:rPr>
      </w:pPr>
      <w:r>
        <w:rPr>
          <w:rFonts w:ascii="微软雅黑" w:hAnsi="微软雅黑" w:eastAsia="微软雅黑" w:cs="Arial"/>
          <w:sz w:val="21"/>
          <w:szCs w:val="21"/>
        </w:rPr>
        <w:t> 名    称： </w:t>
      </w:r>
      <w:r>
        <w:rPr>
          <w:rStyle w:val="82"/>
          <w:rFonts w:hint="eastAsia" w:ascii="微软雅黑" w:hAnsi="微软雅黑" w:eastAsia="微软雅黑"/>
          <w:sz w:val="21"/>
          <w:szCs w:val="21"/>
          <w:u w:val="single"/>
        </w:rPr>
        <w:t>嘉兴经济</w:t>
      </w:r>
      <w:r>
        <w:rPr>
          <w:rStyle w:val="82"/>
          <w:rFonts w:hint="eastAsia" w:ascii="微软雅黑" w:hAnsi="微软雅黑" w:eastAsia="微软雅黑"/>
          <w:sz w:val="21"/>
          <w:szCs w:val="21"/>
          <w:u w:val="single"/>
          <w:lang w:eastAsia="zh-CN"/>
        </w:rPr>
        <w:t>技术</w:t>
      </w:r>
      <w:r>
        <w:rPr>
          <w:rStyle w:val="82"/>
          <w:rFonts w:hint="eastAsia" w:ascii="微软雅黑" w:hAnsi="微软雅黑" w:eastAsia="微软雅黑"/>
          <w:sz w:val="21"/>
          <w:szCs w:val="21"/>
          <w:u w:val="single"/>
        </w:rPr>
        <w:t>开发区财政局</w:t>
      </w:r>
    </w:p>
    <w:p>
      <w:pPr>
        <w:pStyle w:val="42"/>
        <w:spacing w:before="0" w:beforeAutospacing="0" w:after="0" w:afterAutospacing="0" w:line="360" w:lineRule="auto"/>
        <w:ind w:firstLine="420" w:firstLineChars="200"/>
        <w:rPr>
          <w:rFonts w:hint="eastAsia" w:ascii="微软雅黑" w:hAnsi="微软雅黑" w:eastAsia="微软雅黑" w:cs="Arial"/>
          <w:sz w:val="21"/>
          <w:szCs w:val="21"/>
          <w:u w:val="single"/>
        </w:rPr>
      </w:pPr>
      <w:r>
        <w:rPr>
          <w:rFonts w:ascii="微软雅黑" w:hAnsi="微软雅黑" w:eastAsia="微软雅黑" w:cs="Arial"/>
          <w:sz w:val="21"/>
          <w:szCs w:val="21"/>
        </w:rPr>
        <w:t> 地    址： </w:t>
      </w:r>
      <w:r>
        <w:rPr>
          <w:rStyle w:val="82"/>
          <w:rFonts w:hint="eastAsia" w:ascii="微软雅黑" w:hAnsi="微软雅黑" w:eastAsia="微软雅黑" w:cs="Arial"/>
          <w:sz w:val="21"/>
          <w:szCs w:val="21"/>
          <w:u w:val="single"/>
        </w:rPr>
        <w:t>/</w:t>
      </w:r>
      <w:r>
        <w:rPr>
          <w:rFonts w:ascii="微软雅黑" w:hAnsi="微软雅黑" w:eastAsia="微软雅黑" w:cs="Arial"/>
          <w:sz w:val="21"/>
          <w:szCs w:val="21"/>
          <w:u w:val="single"/>
        </w:rPr>
        <w:t> 　　</w:t>
      </w:r>
    </w:p>
    <w:p>
      <w:pPr>
        <w:pStyle w:val="42"/>
        <w:spacing w:before="0" w:beforeAutospacing="0" w:after="0" w:afterAutospacing="0" w:line="360" w:lineRule="auto"/>
        <w:ind w:firstLine="420" w:firstLineChars="200"/>
        <w:rPr>
          <w:rFonts w:ascii="微软雅黑" w:hAnsi="微软雅黑" w:eastAsia="微软雅黑" w:cs="Arial"/>
          <w:sz w:val="21"/>
          <w:szCs w:val="21"/>
        </w:rPr>
      </w:pPr>
      <w:r>
        <w:rPr>
          <w:rFonts w:hint="eastAsia" w:ascii="微软雅黑" w:hAnsi="微软雅黑" w:eastAsia="微软雅黑" w:cs="Arial"/>
          <w:sz w:val="21"/>
          <w:szCs w:val="21"/>
          <w:lang w:eastAsia="zh-CN"/>
        </w:rPr>
        <w:t xml:space="preserve">  </w:t>
      </w:r>
      <w:r>
        <w:rPr>
          <w:rFonts w:ascii="微软雅黑" w:hAnsi="微软雅黑" w:eastAsia="微软雅黑" w:cs="Arial"/>
          <w:sz w:val="21"/>
          <w:szCs w:val="21"/>
        </w:rPr>
        <w:t>传    真： </w:t>
      </w:r>
      <w:r>
        <w:rPr>
          <w:rStyle w:val="82"/>
          <w:rFonts w:ascii="微软雅黑" w:hAnsi="微软雅黑" w:eastAsia="微软雅黑" w:cs="Arial"/>
          <w:sz w:val="21"/>
          <w:szCs w:val="21"/>
          <w:u w:val="single"/>
        </w:rPr>
        <w:t>/</w:t>
      </w:r>
      <w:r>
        <w:rPr>
          <w:rFonts w:ascii="微软雅黑" w:hAnsi="微软雅黑" w:eastAsia="微软雅黑" w:cs="Arial"/>
          <w:sz w:val="21"/>
          <w:szCs w:val="21"/>
          <w:u w:val="single"/>
        </w:rPr>
        <w:t> 　   </w:t>
      </w:r>
    </w:p>
    <w:p>
      <w:pPr>
        <w:pStyle w:val="42"/>
        <w:spacing w:before="0" w:beforeAutospacing="0" w:after="0" w:afterAutospacing="0" w:line="360" w:lineRule="auto"/>
        <w:ind w:firstLine="420" w:firstLineChars="200"/>
        <w:rPr>
          <w:rStyle w:val="82"/>
          <w:rFonts w:hint="eastAsia" w:ascii="微软雅黑" w:hAnsi="微软雅黑" w:eastAsia="微软雅黑"/>
          <w:sz w:val="21"/>
          <w:szCs w:val="21"/>
          <w:u w:val="single"/>
        </w:rPr>
      </w:pPr>
      <w:r>
        <w:rPr>
          <w:rFonts w:ascii="微软雅黑" w:hAnsi="微软雅黑" w:eastAsia="微软雅黑" w:cs="Arial"/>
          <w:sz w:val="21"/>
          <w:szCs w:val="21"/>
        </w:rPr>
        <w:t> 联系人 ： </w:t>
      </w:r>
      <w:r>
        <w:rPr>
          <w:rStyle w:val="82"/>
          <w:rFonts w:hint="eastAsia" w:ascii="微软雅黑" w:hAnsi="微软雅黑" w:eastAsia="微软雅黑"/>
          <w:sz w:val="21"/>
          <w:szCs w:val="21"/>
          <w:u w:val="single"/>
        </w:rPr>
        <w:t>沈幽娴</w:t>
      </w:r>
    </w:p>
    <w:p>
      <w:pPr>
        <w:pStyle w:val="42"/>
        <w:spacing w:before="0" w:beforeAutospacing="0" w:after="0" w:afterAutospacing="0" w:line="360" w:lineRule="auto"/>
        <w:ind w:firstLine="420" w:firstLineChars="200"/>
        <w:rPr>
          <w:rFonts w:hint="eastAsia" w:ascii="微软雅黑" w:hAnsi="微软雅黑" w:eastAsia="微软雅黑"/>
          <w:sz w:val="21"/>
          <w:szCs w:val="21"/>
        </w:rPr>
      </w:pPr>
      <w:r>
        <w:rPr>
          <w:rFonts w:hint="eastAsia" w:ascii="微软雅黑" w:hAnsi="微软雅黑" w:eastAsia="微软雅黑" w:cs="Arial"/>
          <w:sz w:val="21"/>
          <w:szCs w:val="21"/>
          <w:lang w:eastAsia="zh-CN"/>
        </w:rPr>
        <w:t xml:space="preserve">  </w:t>
      </w:r>
      <w:r>
        <w:rPr>
          <w:rFonts w:ascii="微软雅黑" w:hAnsi="微软雅黑" w:eastAsia="微软雅黑" w:cs="Arial"/>
          <w:sz w:val="21"/>
          <w:szCs w:val="21"/>
        </w:rPr>
        <w:t>监督投诉电话：</w:t>
      </w:r>
      <w:r>
        <w:rPr>
          <w:rStyle w:val="82"/>
          <w:rFonts w:ascii="微软雅黑" w:hAnsi="微软雅黑" w:eastAsia="微软雅黑" w:cs="Arial"/>
          <w:sz w:val="21"/>
          <w:szCs w:val="21"/>
          <w:u w:val="single"/>
        </w:rPr>
        <w:t>0573-83689235</w:t>
      </w:r>
    </w:p>
    <w:p>
      <w:pPr>
        <w:spacing w:line="360" w:lineRule="auto"/>
        <w:ind w:firstLine="420" w:firstLineChars="200"/>
        <w:jc w:val="left"/>
        <w:rPr>
          <w:rFonts w:hint="eastAsia" w:ascii="微软雅黑" w:hAnsi="微软雅黑" w:eastAsia="微软雅黑"/>
          <w:szCs w:val="21"/>
        </w:rPr>
      </w:pPr>
    </w:p>
    <w:p>
      <w:pPr>
        <w:pStyle w:val="95"/>
        <w:ind w:firstLine="600"/>
        <w:rPr>
          <w:rFonts w:hint="eastAsia"/>
          <w:szCs w:val="20"/>
        </w:rPr>
      </w:pPr>
      <w:r>
        <w:br w:type="page"/>
      </w:r>
      <w:bookmarkStart w:id="16" w:name="_Toc50012814"/>
      <w:r>
        <w:rPr>
          <w:rFonts w:hint="eastAsia"/>
          <w:szCs w:val="20"/>
        </w:rPr>
        <w:t>第二章  招标项目要求</w:t>
      </w:r>
      <w:bookmarkEnd w:id="14"/>
      <w:bookmarkEnd w:id="16"/>
    </w:p>
    <w:p>
      <w:pPr>
        <w:spacing w:line="360" w:lineRule="auto"/>
        <w:ind w:firstLine="420" w:firstLineChars="200"/>
        <w:jc w:val="left"/>
        <w:rPr>
          <w:rFonts w:ascii="微软雅黑" w:hAnsi="微软雅黑" w:eastAsia="微软雅黑"/>
          <w:b/>
          <w:szCs w:val="21"/>
        </w:rPr>
      </w:pPr>
      <w:bookmarkStart w:id="17" w:name="_Toc40243558"/>
      <w:bookmarkStart w:id="18" w:name="_Toc25688936"/>
      <w:bookmarkStart w:id="19" w:name="_Toc49373993"/>
      <w:bookmarkStart w:id="20" w:name="_Toc493511542"/>
      <w:r>
        <w:rPr>
          <w:rFonts w:hint="eastAsia" w:ascii="微软雅黑" w:hAnsi="微软雅黑" w:eastAsia="微软雅黑"/>
          <w:b/>
          <w:szCs w:val="21"/>
        </w:rPr>
        <w:t>一、项目概况</w:t>
      </w:r>
      <w:bookmarkEnd w:id="17"/>
      <w:bookmarkEnd w:id="18"/>
      <w:bookmarkEnd w:id="19"/>
    </w:p>
    <w:p>
      <w:pPr>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1、项目背景</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嘉兴经济技术开发区（国际商务区）公共安全视频监控系统建设采用租赁服务方式实现，该区作为嘉兴市经济发展的重要区域,其治安、车控需求与日俱增。因此本次建设在城市重点部位、治安情况复杂的公共场所、主要路口路段、城市出入口、十字路口、案件多发地带等区域设置监控点， 按照“整体布局网络化、局部区域闭合化、重点路口全摄入、重要部位全覆盖”的要求，利用新技术实现“车过留牌、人过留影”的目的完成全区实现视频信息共享和互联互控及数据研判。</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次建设的社会治安动态视频监控系统应按照公安部提出的视音频传输标准要求、联网接口技术要求和设备用户地址编码要求进行系统建设，采用统一通信协议与上级部门的无逢对接，尤其是秒级定位、时移回放、卡口数据智能分析、研判、定位、布控报警等功能，在实现网上可视化巡逻、公共复杂场所的可视化网上管理的同时，提高我区公安机关对社会治安的管控能力，警情的实时发现率和快速响应处置能力，以及对街面多发侵财性案件的现场抓捕和打击能力。增强对公民人身安全及财物的保护能力，提高群众的安全感。提高我区公安机关对案情的实时发现率和响应速度。尤其要提高对街面案件的防、控、打能力；提高对案情的回放发现率，提升取证的效率和效益，以提高破案率；提高对紧急突发事件的快速响应处置能力，以及对特定事件的预案管理能力，充分满足了我局民警的实战需求。</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本次项目在保持原有的系统平台及相关软硬件设备的基础上，将积极引入市场竞争机制，本着公平公开公正的原则对供应商进行公开招投标。</w:t>
      </w:r>
    </w:p>
    <w:p>
      <w:pPr>
        <w:spacing w:line="360" w:lineRule="auto"/>
        <w:ind w:firstLine="420" w:firstLineChars="200"/>
        <w:jc w:val="left"/>
        <w:rPr>
          <w:rFonts w:ascii="微软雅黑" w:hAnsi="微软雅黑" w:eastAsia="微软雅黑"/>
          <w:b/>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cols w:space="720" w:num="1"/>
          <w:docGrid w:linePitch="312" w:charSpace="0"/>
        </w:sectPr>
      </w:pPr>
    </w:p>
    <w:p>
      <w:pPr>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2、视频点位清单</w:t>
      </w:r>
    </w:p>
    <w:tbl>
      <w:tblPr>
        <w:tblStyle w:val="47"/>
        <w:tblW w:w="5000" w:type="pct"/>
        <w:tblInd w:w="0" w:type="dxa"/>
        <w:tblLayout w:type="autofit"/>
        <w:tblCellMar>
          <w:top w:w="0" w:type="dxa"/>
          <w:left w:w="108" w:type="dxa"/>
          <w:bottom w:w="0" w:type="dxa"/>
          <w:right w:w="108" w:type="dxa"/>
        </w:tblCellMar>
      </w:tblPr>
      <w:tblGrid>
        <w:gridCol w:w="2106"/>
        <w:gridCol w:w="1321"/>
        <w:gridCol w:w="1181"/>
        <w:gridCol w:w="898"/>
        <w:gridCol w:w="1038"/>
        <w:gridCol w:w="1038"/>
        <w:gridCol w:w="946"/>
      </w:tblGrid>
      <w:tr>
        <w:tblPrEx>
          <w:tblCellMar>
            <w:top w:w="0" w:type="dxa"/>
            <w:left w:w="108" w:type="dxa"/>
            <w:bottom w:w="0" w:type="dxa"/>
            <w:right w:w="108" w:type="dxa"/>
          </w:tblCellMar>
        </w:tblPrEx>
        <w:trPr>
          <w:trHeight w:val="480" w:hRule="atLeast"/>
        </w:trPr>
        <w:tc>
          <w:tcPr>
            <w:tcW w:w="89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设备类型</w:t>
            </w:r>
          </w:p>
        </w:tc>
        <w:tc>
          <w:tcPr>
            <w:tcW w:w="831"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城南</w:t>
            </w:r>
          </w:p>
        </w:tc>
        <w:tc>
          <w:tcPr>
            <w:tcW w:w="749"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塘汇</w:t>
            </w:r>
          </w:p>
        </w:tc>
        <w:tc>
          <w:tcPr>
            <w:tcW w:w="583"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长水</w:t>
            </w:r>
          </w:p>
        </w:tc>
        <w:tc>
          <w:tcPr>
            <w:tcW w:w="665"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嘉北</w:t>
            </w:r>
          </w:p>
        </w:tc>
        <w:tc>
          <w:tcPr>
            <w:tcW w:w="661"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城西</w:t>
            </w:r>
          </w:p>
        </w:tc>
        <w:tc>
          <w:tcPr>
            <w:tcW w:w="615"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总数</w:t>
            </w:r>
          </w:p>
        </w:tc>
      </w:tr>
      <w:tr>
        <w:tblPrEx>
          <w:tblCellMar>
            <w:top w:w="0" w:type="dxa"/>
            <w:left w:w="108" w:type="dxa"/>
            <w:bottom w:w="0" w:type="dxa"/>
            <w:right w:w="108" w:type="dxa"/>
          </w:tblCellMar>
        </w:tblPrEx>
        <w:trPr>
          <w:trHeight w:val="390" w:hRule="atLeast"/>
        </w:trPr>
        <w:tc>
          <w:tcPr>
            <w:tcW w:w="896"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人脸</w:t>
            </w:r>
          </w:p>
        </w:tc>
        <w:tc>
          <w:tcPr>
            <w:tcW w:w="83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38</w:t>
            </w:r>
          </w:p>
        </w:tc>
        <w:tc>
          <w:tcPr>
            <w:tcW w:w="749"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13</w:t>
            </w:r>
          </w:p>
        </w:tc>
        <w:tc>
          <w:tcPr>
            <w:tcW w:w="583"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287</w:t>
            </w:r>
          </w:p>
        </w:tc>
        <w:tc>
          <w:tcPr>
            <w:tcW w:w="66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67</w:t>
            </w:r>
          </w:p>
        </w:tc>
        <w:tc>
          <w:tcPr>
            <w:tcW w:w="66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8</w:t>
            </w:r>
            <w:r>
              <w:rPr>
                <w:rFonts w:ascii="微软雅黑" w:hAnsi="微软雅黑" w:eastAsia="微软雅黑" w:cs="宋体"/>
                <w:kern w:val="0"/>
                <w:szCs w:val="21"/>
              </w:rPr>
              <w:t>5</w:t>
            </w:r>
          </w:p>
        </w:tc>
        <w:tc>
          <w:tcPr>
            <w:tcW w:w="61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790</w:t>
            </w:r>
          </w:p>
        </w:tc>
      </w:tr>
      <w:tr>
        <w:tblPrEx>
          <w:tblCellMar>
            <w:top w:w="0" w:type="dxa"/>
            <w:left w:w="108" w:type="dxa"/>
            <w:bottom w:w="0" w:type="dxa"/>
            <w:right w:w="108" w:type="dxa"/>
          </w:tblCellMar>
        </w:tblPrEx>
        <w:trPr>
          <w:trHeight w:val="450" w:hRule="atLeast"/>
        </w:trPr>
        <w:tc>
          <w:tcPr>
            <w:tcW w:w="896"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卡口</w:t>
            </w:r>
          </w:p>
        </w:tc>
        <w:tc>
          <w:tcPr>
            <w:tcW w:w="83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26</w:t>
            </w:r>
          </w:p>
        </w:tc>
        <w:tc>
          <w:tcPr>
            <w:tcW w:w="749"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28</w:t>
            </w:r>
          </w:p>
        </w:tc>
        <w:tc>
          <w:tcPr>
            <w:tcW w:w="583"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35</w:t>
            </w:r>
          </w:p>
        </w:tc>
        <w:tc>
          <w:tcPr>
            <w:tcW w:w="66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7</w:t>
            </w:r>
            <w:r>
              <w:rPr>
                <w:rFonts w:ascii="微软雅黑" w:hAnsi="微软雅黑" w:eastAsia="微软雅黑" w:cs="宋体"/>
                <w:kern w:val="0"/>
                <w:szCs w:val="21"/>
              </w:rPr>
              <w:t>1</w:t>
            </w:r>
          </w:p>
        </w:tc>
        <w:tc>
          <w:tcPr>
            <w:tcW w:w="66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9</w:t>
            </w:r>
          </w:p>
        </w:tc>
        <w:tc>
          <w:tcPr>
            <w:tcW w:w="61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r>
              <w:rPr>
                <w:rFonts w:ascii="微软雅黑" w:hAnsi="微软雅黑" w:eastAsia="微软雅黑" w:cs="宋体"/>
                <w:kern w:val="0"/>
                <w:szCs w:val="21"/>
              </w:rPr>
              <w:t>79</w:t>
            </w:r>
          </w:p>
        </w:tc>
      </w:tr>
      <w:tr>
        <w:tblPrEx>
          <w:tblCellMar>
            <w:top w:w="0" w:type="dxa"/>
            <w:left w:w="108" w:type="dxa"/>
            <w:bottom w:w="0" w:type="dxa"/>
            <w:right w:w="108" w:type="dxa"/>
          </w:tblCellMar>
        </w:tblPrEx>
        <w:trPr>
          <w:trHeight w:val="495" w:hRule="atLeast"/>
        </w:trPr>
        <w:tc>
          <w:tcPr>
            <w:tcW w:w="896"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球机</w:t>
            </w:r>
          </w:p>
        </w:tc>
        <w:tc>
          <w:tcPr>
            <w:tcW w:w="83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5</w:t>
            </w:r>
          </w:p>
        </w:tc>
        <w:tc>
          <w:tcPr>
            <w:tcW w:w="749"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r>
              <w:rPr>
                <w:rFonts w:ascii="微软雅黑" w:hAnsi="微软雅黑" w:eastAsia="微软雅黑" w:cs="宋体"/>
                <w:kern w:val="0"/>
                <w:szCs w:val="21"/>
              </w:rPr>
              <w:t>8</w:t>
            </w:r>
          </w:p>
        </w:tc>
        <w:tc>
          <w:tcPr>
            <w:tcW w:w="583"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3</w:t>
            </w:r>
            <w:r>
              <w:rPr>
                <w:rFonts w:ascii="微软雅黑" w:hAnsi="微软雅黑" w:eastAsia="微软雅黑" w:cs="宋体"/>
                <w:kern w:val="0"/>
                <w:szCs w:val="21"/>
              </w:rPr>
              <w:t>7</w:t>
            </w:r>
          </w:p>
        </w:tc>
        <w:tc>
          <w:tcPr>
            <w:tcW w:w="66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6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r>
              <w:rPr>
                <w:rFonts w:ascii="微软雅黑" w:hAnsi="微软雅黑" w:eastAsia="微软雅黑" w:cs="宋体"/>
                <w:kern w:val="0"/>
                <w:szCs w:val="21"/>
              </w:rPr>
              <w:t>4</w:t>
            </w:r>
          </w:p>
        </w:tc>
        <w:tc>
          <w:tcPr>
            <w:tcW w:w="61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r>
              <w:rPr>
                <w:rFonts w:ascii="微软雅黑" w:hAnsi="微软雅黑" w:eastAsia="微软雅黑" w:cs="宋体"/>
                <w:kern w:val="0"/>
                <w:szCs w:val="21"/>
              </w:rPr>
              <w:t>24</w:t>
            </w:r>
          </w:p>
        </w:tc>
      </w:tr>
      <w:tr>
        <w:tblPrEx>
          <w:tblCellMar>
            <w:top w:w="0" w:type="dxa"/>
            <w:left w:w="108" w:type="dxa"/>
            <w:bottom w:w="0" w:type="dxa"/>
            <w:right w:w="108" w:type="dxa"/>
          </w:tblCellMar>
        </w:tblPrEx>
        <w:trPr>
          <w:trHeight w:val="495"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鹰眼</w:t>
            </w:r>
          </w:p>
        </w:tc>
        <w:tc>
          <w:tcPr>
            <w:tcW w:w="830"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748"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c>
          <w:tcPr>
            <w:tcW w:w="582"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64"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6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1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r>
      <w:tr>
        <w:tblPrEx>
          <w:tblCellMar>
            <w:top w:w="0" w:type="dxa"/>
            <w:left w:w="108" w:type="dxa"/>
            <w:bottom w:w="0" w:type="dxa"/>
            <w:right w:w="108" w:type="dxa"/>
          </w:tblCellMar>
        </w:tblPrEx>
        <w:trPr>
          <w:trHeight w:val="495"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全结构化网络摄像机</w:t>
            </w:r>
          </w:p>
        </w:tc>
        <w:tc>
          <w:tcPr>
            <w:tcW w:w="830"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748"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582"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5</w:t>
            </w:r>
          </w:p>
        </w:tc>
        <w:tc>
          <w:tcPr>
            <w:tcW w:w="664"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6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1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5</w:t>
            </w:r>
          </w:p>
        </w:tc>
      </w:tr>
      <w:tr>
        <w:tblPrEx>
          <w:tblCellMar>
            <w:top w:w="0" w:type="dxa"/>
            <w:left w:w="108" w:type="dxa"/>
            <w:bottom w:w="0" w:type="dxa"/>
            <w:right w:w="108" w:type="dxa"/>
          </w:tblCellMar>
        </w:tblPrEx>
        <w:trPr>
          <w:trHeight w:val="510" w:hRule="atLeast"/>
        </w:trPr>
        <w:tc>
          <w:tcPr>
            <w:tcW w:w="896"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总数</w:t>
            </w:r>
          </w:p>
        </w:tc>
        <w:tc>
          <w:tcPr>
            <w:tcW w:w="831"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279</w:t>
            </w:r>
          </w:p>
        </w:tc>
        <w:tc>
          <w:tcPr>
            <w:tcW w:w="749" w:type="pct"/>
            <w:tcBorders>
              <w:top w:val="nil"/>
              <w:left w:val="nil"/>
              <w:bottom w:val="single" w:color="auto" w:sz="4" w:space="0"/>
              <w:right w:val="single" w:color="auto" w:sz="4" w:space="0"/>
            </w:tcBorders>
            <w:noWrap/>
            <w:vAlign w:val="center"/>
          </w:tcPr>
          <w:p>
            <w:pPr>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291</w:t>
            </w:r>
          </w:p>
        </w:tc>
        <w:tc>
          <w:tcPr>
            <w:tcW w:w="583" w:type="pct"/>
            <w:tcBorders>
              <w:top w:val="nil"/>
              <w:left w:val="nil"/>
              <w:bottom w:val="single" w:color="auto" w:sz="4" w:space="0"/>
              <w:right w:val="single" w:color="auto" w:sz="4" w:space="0"/>
            </w:tcBorders>
            <w:noWrap/>
            <w:vAlign w:val="center"/>
          </w:tcPr>
          <w:p>
            <w:pPr>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464</w:t>
            </w:r>
          </w:p>
        </w:tc>
        <w:tc>
          <w:tcPr>
            <w:tcW w:w="665" w:type="pct"/>
            <w:tcBorders>
              <w:top w:val="nil"/>
              <w:left w:val="nil"/>
              <w:bottom w:val="single" w:color="auto" w:sz="4" w:space="0"/>
              <w:right w:val="single" w:color="auto" w:sz="4" w:space="0"/>
            </w:tcBorders>
            <w:noWrap/>
            <w:vAlign w:val="center"/>
          </w:tcPr>
          <w:p>
            <w:pPr>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238</w:t>
            </w:r>
          </w:p>
        </w:tc>
        <w:tc>
          <w:tcPr>
            <w:tcW w:w="661" w:type="pct"/>
            <w:tcBorders>
              <w:top w:val="nil"/>
              <w:left w:val="nil"/>
              <w:bottom w:val="single" w:color="auto" w:sz="4" w:space="0"/>
              <w:right w:val="single" w:color="auto" w:sz="4" w:space="0"/>
            </w:tcBorders>
            <w:noWrap/>
            <w:vAlign w:val="center"/>
          </w:tcPr>
          <w:p>
            <w:pPr>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128</w:t>
            </w:r>
          </w:p>
        </w:tc>
        <w:tc>
          <w:tcPr>
            <w:tcW w:w="615" w:type="pct"/>
            <w:tcBorders>
              <w:top w:val="nil"/>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1400</w:t>
            </w:r>
          </w:p>
        </w:tc>
      </w:tr>
    </w:tbl>
    <w:p>
      <w:pPr>
        <w:pStyle w:val="2"/>
        <w:spacing w:after="0" w:line="360" w:lineRule="auto"/>
        <w:ind w:firstLine="420" w:firstLineChars="200"/>
        <w:jc w:val="left"/>
        <w:rPr>
          <w:rFonts w:ascii="微软雅黑" w:hAnsi="微软雅黑" w:eastAsia="微软雅黑"/>
          <w:szCs w:val="21"/>
        </w:rPr>
      </w:pPr>
    </w:p>
    <w:p>
      <w:pPr>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3、服务要求</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投标单位须结合现勘实际情况，进行整体方案的设计，设备产品和数量由投标单位自行确定，投标单位需确保在五年的服务期内保证采购单位的使用要求。</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投标单位提供的服务及所用到的设备必须是全新的，并且满足采购单位5年内的使用需求，所使用的设备，必须符合并高于目前公安视频监控系统的使用要求；</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如果在服务期内出现不能满足用户需求的情况，投标单位需要根据实际情况无条件免费进行设备的更替，以确保服务质量。</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中标单位定期进行安全巡检，通过持续运营，持续优化，有效保障应用系统安全、平稳运行，巡检每年不低于4次。</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服务期内的响应及修复时限要求（除驻场运维人员以外）：投标单位应明确提出故障响应、应急保障及技术力量保障等方面的服务内容，以及保修内的7*24小时的售后服务承诺。在接到用户故障报告后到达用户现场时间不超过2小时，修复时间不超过24小时。</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服务响应和处置：在服务期内，提供驻场工程师现场服务，人数不少于1人，需具有专业技术职称，工作时限为5×8小时，进行现场故障维修服务。重要节日或重大活动（明确需保障的各类会议、活动）期间，需增加驻场工程师，增强服务能力，提供7×24小时监控值班服务。提供监控系统故障应急响应服务，建立故障应急响应机制，对出现的故障快速响应处置，以最大限度保障系统运行，减少或挽回故障损失。</w:t>
      </w:r>
    </w:p>
    <w:p>
      <w:pPr>
        <w:spacing w:line="360" w:lineRule="auto"/>
        <w:ind w:firstLine="420" w:firstLineChars="200"/>
        <w:jc w:val="left"/>
        <w:rPr>
          <w:rFonts w:ascii="微软雅黑" w:hAnsi="微软雅黑" w:eastAsia="微软雅黑"/>
          <w:szCs w:val="21"/>
        </w:rPr>
      </w:pPr>
      <w:r>
        <w:rPr>
          <w:rFonts w:ascii="微软雅黑" w:hAnsi="微软雅黑" w:eastAsia="微软雅黑"/>
          <w:szCs w:val="21"/>
        </w:rPr>
        <w:t>签订本项目</w:t>
      </w:r>
      <w:r>
        <w:rPr>
          <w:rFonts w:hint="eastAsia" w:ascii="微软雅黑" w:hAnsi="微软雅黑" w:eastAsia="微软雅黑"/>
          <w:szCs w:val="21"/>
        </w:rPr>
        <w:t>合同</w:t>
      </w:r>
      <w:r>
        <w:rPr>
          <w:rFonts w:ascii="微软雅黑" w:hAnsi="微软雅黑" w:eastAsia="微软雅黑"/>
          <w:szCs w:val="21"/>
        </w:rPr>
        <w:t>之前，必须先签署</w:t>
      </w:r>
      <w:r>
        <w:rPr>
          <w:rFonts w:hint="eastAsia" w:ascii="微软雅黑" w:hAnsi="微软雅黑" w:eastAsia="微软雅黑"/>
          <w:szCs w:val="21"/>
        </w:rPr>
        <w:t>与</w:t>
      </w:r>
      <w:r>
        <w:rPr>
          <w:rFonts w:ascii="微软雅黑" w:hAnsi="微软雅黑" w:eastAsia="微软雅黑"/>
          <w:szCs w:val="21"/>
        </w:rPr>
        <w:t>本项目配套的安全保密协议</w:t>
      </w:r>
      <w:r>
        <w:rPr>
          <w:rFonts w:hint="eastAsia" w:ascii="微软雅黑" w:hAnsi="微软雅黑" w:eastAsia="微软雅黑"/>
          <w:szCs w:val="21"/>
        </w:rPr>
        <w:t>和施工维护安全责任书及维保承诺书，中标方</w:t>
      </w:r>
      <w:r>
        <w:rPr>
          <w:rFonts w:ascii="微软雅黑" w:hAnsi="微软雅黑" w:eastAsia="微软雅黑"/>
          <w:szCs w:val="21"/>
        </w:rPr>
        <w:t>拒签的，视作自动放弃</w:t>
      </w:r>
      <w:r>
        <w:rPr>
          <w:rFonts w:hint="eastAsia" w:ascii="微软雅黑" w:hAnsi="微软雅黑" w:eastAsia="微软雅黑"/>
          <w:szCs w:val="21"/>
        </w:rPr>
        <w:t>中标资格</w:t>
      </w:r>
      <w:r>
        <w:rPr>
          <w:rFonts w:ascii="微软雅黑" w:hAnsi="微软雅黑" w:eastAsia="微软雅黑"/>
          <w:szCs w:val="21"/>
        </w:rPr>
        <w:t>。</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系统中的声音、图像和其他数据信息的所有权和使用权都属采购人。未经采购人允许，中标人无权使用、转让或处理系统中的声音、图像和其他数据信息。中标人应妥善保存和备份系统的声音、图像和其他数据信息。</w:t>
      </w:r>
    </w:p>
    <w:p>
      <w:pPr>
        <w:spacing w:line="360" w:lineRule="auto"/>
        <w:ind w:firstLine="420" w:firstLineChars="200"/>
        <w:jc w:val="left"/>
        <w:rPr>
          <w:rFonts w:ascii="微软雅黑" w:hAnsi="微软雅黑" w:eastAsia="微软雅黑"/>
          <w:b/>
          <w:szCs w:val="21"/>
        </w:rPr>
      </w:pPr>
      <w:r>
        <w:rPr>
          <w:rFonts w:hint="eastAsia" w:ascii="微软雅黑" w:hAnsi="微软雅黑" w:eastAsia="微软雅黑"/>
          <w:szCs w:val="21"/>
        </w:rPr>
        <w:t>后端设备设置于投标方机房，同时需配备安全设备保障视频专网的安全接入。视频监控录像码流不低于6M，存储保存时长不低于30天；车控码流不低于8M，存储保存时长不低于30天；AR全景监控录像码流不低于20M，存储保存时长不低于30天。车辆图片支持后端二次结构化分析建模，分析能力不应低于300万张每天。后端设备支持人脸比对，同时处理人脸图片分析和建模的能力不应低于200张/秒。人脸场景图片的存储时间3个月，人脸图片、特征码、结构化数据的存储时间24个月；车牌图片保存1年，过车记录保存2年；MAC存储时间不低于1年。</w:t>
      </w:r>
      <w:r>
        <w:rPr>
          <w:rFonts w:hint="eastAsia" w:ascii="微软雅黑" w:hAnsi="微软雅黑" w:eastAsia="微软雅黑"/>
          <w:b/>
          <w:szCs w:val="21"/>
        </w:rPr>
        <w:t>(中标方必须满足采购方应用需求，如不满足的，需及时添加或更新硬件设备，如不更新添加硬件设备,采购方单方可终止合同,造成损失的，由中标方承担一切后果。)</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中标人需提供至少四辆登高车和两辆快速维保车辆为本项目专用，用于对本项目的日常检查维护，所产生一切费用及安全责任由中标人负责。</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中标单位</w:t>
      </w:r>
      <w:r>
        <w:rPr>
          <w:rFonts w:ascii="微软雅黑" w:hAnsi="微软雅黑" w:eastAsia="微软雅黑"/>
          <w:szCs w:val="21"/>
        </w:rPr>
        <w:t>在</w:t>
      </w:r>
      <w:r>
        <w:rPr>
          <w:rFonts w:hint="eastAsia" w:ascii="微软雅黑" w:hAnsi="微软雅黑" w:eastAsia="微软雅黑"/>
          <w:szCs w:val="21"/>
        </w:rPr>
        <w:t>部署和割接所有</w:t>
      </w:r>
      <w:r>
        <w:rPr>
          <w:rFonts w:ascii="微软雅黑" w:hAnsi="微软雅黑" w:eastAsia="微软雅黑"/>
          <w:szCs w:val="21"/>
        </w:rPr>
        <w:t>设备</w:t>
      </w:r>
      <w:r>
        <w:rPr>
          <w:rFonts w:hint="eastAsia" w:ascii="微软雅黑" w:hAnsi="微软雅黑" w:eastAsia="微软雅黑"/>
          <w:szCs w:val="21"/>
        </w:rPr>
        <w:t>时需</w:t>
      </w:r>
      <w:r>
        <w:rPr>
          <w:rFonts w:ascii="微软雅黑" w:hAnsi="微软雅黑" w:eastAsia="微软雅黑"/>
          <w:szCs w:val="21"/>
        </w:rPr>
        <w:t>保</w:t>
      </w:r>
      <w:r>
        <w:rPr>
          <w:rFonts w:hint="eastAsia" w:ascii="微软雅黑" w:hAnsi="微软雅黑" w:eastAsia="微软雅黑"/>
          <w:szCs w:val="21"/>
        </w:rPr>
        <w:t>证不影响公安视频监控系统</w:t>
      </w:r>
      <w:r>
        <w:rPr>
          <w:rFonts w:ascii="微软雅黑" w:hAnsi="微软雅黑" w:eastAsia="微软雅黑"/>
          <w:szCs w:val="21"/>
        </w:rPr>
        <w:t>业务</w:t>
      </w:r>
      <w:r>
        <w:rPr>
          <w:rFonts w:hint="eastAsia" w:ascii="微软雅黑" w:hAnsi="微软雅黑" w:eastAsia="微软雅黑"/>
          <w:szCs w:val="21"/>
        </w:rPr>
        <w:t>正常运行。所使用的设备须与采购单位现有设备无缝连接，并由中标单位完成与相关单位和部门的协调和衔接。</w:t>
      </w:r>
    </w:p>
    <w:p>
      <w:pPr>
        <w:spacing w:line="360" w:lineRule="auto"/>
        <w:ind w:firstLine="420" w:firstLineChars="200"/>
        <w:jc w:val="left"/>
        <w:rPr>
          <w:rFonts w:ascii="微软雅黑" w:hAnsi="微软雅黑" w:eastAsia="微软雅黑" w:cs="宋体"/>
          <w:iCs/>
          <w:szCs w:val="21"/>
        </w:rPr>
      </w:pPr>
      <w:r>
        <w:rPr>
          <w:rFonts w:hint="eastAsia" w:ascii="微软雅黑" w:hAnsi="微软雅黑" w:eastAsia="微软雅黑" w:cs="宋体"/>
          <w:iCs/>
          <w:szCs w:val="21"/>
        </w:rPr>
        <w:t>采购人根据实际建设需求，有权调整项目中监控点位置，中标人必须响应。</w:t>
      </w:r>
    </w:p>
    <w:p>
      <w:pPr>
        <w:spacing w:line="360" w:lineRule="auto"/>
        <w:ind w:firstLine="420" w:firstLineChars="200"/>
        <w:jc w:val="left"/>
        <w:rPr>
          <w:rFonts w:ascii="微软雅黑" w:hAnsi="微软雅黑" w:eastAsia="微软雅黑" w:cs="宋体"/>
          <w:iCs/>
          <w:szCs w:val="21"/>
        </w:rPr>
      </w:pPr>
      <w:r>
        <w:rPr>
          <w:rFonts w:hint="eastAsia" w:ascii="微软雅黑" w:hAnsi="微软雅黑" w:eastAsia="微软雅黑" w:cs="宋体"/>
          <w:iCs/>
          <w:szCs w:val="21"/>
        </w:rPr>
        <w:t>投标人需配合采购单位完成本项目与高清视频专网建设接入、网络安全体系及嘉兴市公安局经济技术开发区（国际商务区）分局原有系统连接整合等相关工作。</w:t>
      </w:r>
    </w:p>
    <w:p>
      <w:pPr>
        <w:spacing w:line="360" w:lineRule="auto"/>
        <w:ind w:firstLine="420" w:firstLineChars="200"/>
        <w:jc w:val="left"/>
        <w:rPr>
          <w:rFonts w:ascii="微软雅黑" w:hAnsi="微软雅黑" w:eastAsia="微软雅黑" w:cs="宋体"/>
          <w:iCs/>
          <w:szCs w:val="21"/>
        </w:rPr>
      </w:pPr>
      <w:r>
        <w:rPr>
          <w:rFonts w:hint="eastAsia" w:ascii="微软雅黑" w:hAnsi="微软雅黑" w:eastAsia="微软雅黑" w:cs="宋体"/>
          <w:iCs/>
          <w:szCs w:val="21"/>
        </w:rPr>
        <w:t>投标方</w:t>
      </w:r>
      <w:r>
        <w:rPr>
          <w:rFonts w:ascii="微软雅黑" w:hAnsi="微软雅黑" w:eastAsia="微软雅黑" w:cs="宋体"/>
          <w:iCs/>
          <w:szCs w:val="21"/>
        </w:rPr>
        <w:t>所投平台软件等相关设备，需提供SDK开发包。</w:t>
      </w:r>
      <w:r>
        <w:rPr>
          <w:rFonts w:hint="eastAsia" w:ascii="微软雅黑" w:hAnsi="微软雅黑" w:eastAsia="微软雅黑" w:cs="宋体"/>
          <w:iCs/>
          <w:szCs w:val="21"/>
        </w:rPr>
        <w:t>投标方在中标后</w:t>
      </w:r>
      <w:r>
        <w:rPr>
          <w:rFonts w:ascii="微软雅黑" w:hAnsi="微软雅黑" w:eastAsia="微软雅黑" w:cs="宋体"/>
          <w:iCs/>
          <w:szCs w:val="21"/>
        </w:rPr>
        <w:t>必须</w:t>
      </w:r>
      <w:r>
        <w:rPr>
          <w:rFonts w:hint="eastAsia" w:ascii="微软雅黑" w:hAnsi="微软雅黑" w:eastAsia="微软雅黑" w:cs="宋体"/>
          <w:iCs/>
          <w:szCs w:val="21"/>
        </w:rPr>
        <w:t>配置</w:t>
      </w:r>
      <w:r>
        <w:rPr>
          <w:rFonts w:ascii="微软雅黑" w:hAnsi="微软雅黑" w:eastAsia="微软雅黑" w:cs="宋体"/>
          <w:iCs/>
          <w:szCs w:val="21"/>
        </w:rPr>
        <w:t>流量监控</w:t>
      </w:r>
      <w:r>
        <w:rPr>
          <w:rFonts w:hint="eastAsia" w:ascii="微软雅黑" w:hAnsi="微软雅黑" w:eastAsia="微软雅黑" w:cs="宋体"/>
          <w:iCs/>
          <w:szCs w:val="21"/>
        </w:rPr>
        <w:t>软件，能对承载网及各个子网进行流量统计</w:t>
      </w:r>
      <w:r>
        <w:rPr>
          <w:rFonts w:ascii="微软雅黑" w:hAnsi="微软雅黑" w:eastAsia="微软雅黑" w:cs="宋体"/>
          <w:iCs/>
          <w:szCs w:val="21"/>
        </w:rPr>
        <w:t>，</w:t>
      </w:r>
      <w:r>
        <w:rPr>
          <w:rFonts w:hint="eastAsia" w:ascii="微软雅黑" w:hAnsi="微软雅黑" w:eastAsia="微软雅黑" w:cs="宋体"/>
          <w:iCs/>
          <w:szCs w:val="21"/>
        </w:rPr>
        <w:t>每个月以报表方式提供给采购单位，</w:t>
      </w:r>
      <w:r>
        <w:rPr>
          <w:rFonts w:ascii="微软雅黑" w:hAnsi="微软雅黑" w:eastAsia="微软雅黑" w:cs="宋体"/>
          <w:iCs/>
          <w:szCs w:val="21"/>
        </w:rPr>
        <w:t>并提供登录口令给</w:t>
      </w:r>
      <w:r>
        <w:rPr>
          <w:rFonts w:hint="eastAsia" w:ascii="微软雅黑" w:hAnsi="微软雅黑" w:eastAsia="微软雅黑" w:cs="宋体"/>
          <w:iCs/>
          <w:szCs w:val="21"/>
        </w:rPr>
        <w:t>采购方查看</w:t>
      </w:r>
      <w:r>
        <w:rPr>
          <w:rFonts w:ascii="微软雅黑" w:hAnsi="微软雅黑" w:eastAsia="微软雅黑" w:cs="宋体"/>
          <w:iCs/>
          <w:szCs w:val="21"/>
        </w:rPr>
        <w:t>。当</w:t>
      </w:r>
      <w:r>
        <w:rPr>
          <w:rFonts w:hint="eastAsia" w:ascii="微软雅黑" w:hAnsi="微软雅黑" w:eastAsia="微软雅黑" w:cs="宋体"/>
          <w:iCs/>
          <w:szCs w:val="21"/>
        </w:rPr>
        <w:t>采购单位</w:t>
      </w:r>
      <w:r>
        <w:rPr>
          <w:rFonts w:ascii="微软雅黑" w:hAnsi="微软雅黑" w:eastAsia="微软雅黑" w:cs="宋体"/>
          <w:iCs/>
          <w:szCs w:val="21"/>
        </w:rPr>
        <w:t>发现网络设备不能满足要求，</w:t>
      </w:r>
      <w:r>
        <w:rPr>
          <w:rFonts w:hint="eastAsia" w:ascii="微软雅黑" w:hAnsi="微软雅黑" w:eastAsia="微软雅黑" w:cs="宋体"/>
          <w:iCs/>
          <w:szCs w:val="21"/>
        </w:rPr>
        <w:t>中标方</w:t>
      </w:r>
      <w:r>
        <w:rPr>
          <w:rFonts w:ascii="微软雅黑" w:hAnsi="微软雅黑" w:eastAsia="微软雅黑" w:cs="宋体"/>
          <w:iCs/>
          <w:szCs w:val="21"/>
        </w:rPr>
        <w:t>应对网络设备进行升级扩容或更换网络设备来满足网络的正常运行，所产生的费用由</w:t>
      </w:r>
      <w:r>
        <w:rPr>
          <w:rFonts w:hint="eastAsia" w:ascii="微软雅黑" w:hAnsi="微软雅黑" w:eastAsia="微软雅黑" w:cs="宋体"/>
          <w:iCs/>
          <w:szCs w:val="21"/>
        </w:rPr>
        <w:t>中标方</w:t>
      </w:r>
      <w:r>
        <w:rPr>
          <w:rFonts w:ascii="微软雅黑" w:hAnsi="微软雅黑" w:eastAsia="微软雅黑" w:cs="宋体"/>
          <w:iCs/>
          <w:szCs w:val="21"/>
        </w:rPr>
        <w:t xml:space="preserve">承担。 </w:t>
      </w:r>
    </w:p>
    <w:p>
      <w:pPr>
        <w:spacing w:line="360" w:lineRule="auto"/>
        <w:ind w:firstLine="420" w:firstLineChars="200"/>
        <w:jc w:val="left"/>
        <w:rPr>
          <w:rFonts w:ascii="微软雅黑" w:hAnsi="微软雅黑" w:eastAsia="微软雅黑" w:cs="宋体"/>
          <w:iCs/>
          <w:szCs w:val="21"/>
        </w:rPr>
      </w:pPr>
      <w:r>
        <w:rPr>
          <w:rFonts w:hint="eastAsia" w:ascii="微软雅黑" w:hAnsi="微软雅黑" w:eastAsia="微软雅黑" w:cs="宋体"/>
          <w:iCs/>
          <w:szCs w:val="21"/>
        </w:rPr>
        <w:t>前端及中心存储、服务器等设备应支持网络校时功能，</w:t>
      </w:r>
      <w:r>
        <w:rPr>
          <w:rFonts w:ascii="微软雅黑" w:hAnsi="微软雅黑" w:eastAsia="微软雅黑" w:cs="宋体"/>
          <w:iCs/>
          <w:szCs w:val="21"/>
        </w:rPr>
        <w:t>正常使用时系统内部时钟电池寿命不低于2年。</w:t>
      </w:r>
      <w:r>
        <w:rPr>
          <w:rFonts w:hint="eastAsia" w:ascii="微软雅黑" w:hAnsi="微软雅黑" w:eastAsia="微软雅黑" w:cs="宋体"/>
          <w:iCs/>
          <w:szCs w:val="21"/>
        </w:rPr>
        <w:t>支持</w:t>
      </w:r>
      <w:r>
        <w:rPr>
          <w:rFonts w:ascii="微软雅黑" w:hAnsi="微软雅黑" w:eastAsia="微软雅黑" w:cs="宋体"/>
          <w:iCs/>
          <w:szCs w:val="21"/>
        </w:rPr>
        <w:t>NTP/SNTP</w:t>
      </w:r>
      <w:r>
        <w:rPr>
          <w:rFonts w:hint="eastAsia" w:ascii="微软雅黑" w:hAnsi="微软雅黑" w:eastAsia="微软雅黑" w:cs="宋体"/>
          <w:iCs/>
          <w:szCs w:val="21"/>
        </w:rPr>
        <w:t>网络时间协议，</w:t>
      </w:r>
      <w:r>
        <w:rPr>
          <w:rFonts w:ascii="微软雅黑" w:hAnsi="微软雅黑" w:eastAsia="微软雅黑" w:cs="宋体"/>
          <w:iCs/>
          <w:szCs w:val="21"/>
        </w:rPr>
        <w:t>可通过上位软件实现与中心服务器对时。同时应采用时间同步跟踪校正算法，以保证不同时间系统间的时间保持同步，时间信息至少应精确到0.1s。</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项目传输线路必须采用管道埋地铺设，建设时确实不具备入地条件的应在当地有关部门批准及采购人同意后方可临时采用架空铺设，并必须书面承诺具体“管道埋地”时间，并保证架空期间光纤的安全性和承担由此带来的一切法律责任。提供给本项目使用的光缆纤芯资源不得用来承载与本项目无关的通信业务。</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投标人应保证所提供的光纤及其过桥、涵洞、河流等特殊地段的防护措施符合国家通信行业有关标准，对于不符合标准的子管及其防护措施，投标人必须承担使其达到符合国家通信行业有关标准的义务。</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前端设备应具有抗风、抗震、防雷、防雨、防尘、防盐雾、防锈蚀、防变形等功能。</w:t>
      </w:r>
    </w:p>
    <w:p>
      <w:pPr>
        <w:spacing w:line="360" w:lineRule="auto"/>
        <w:ind w:firstLine="420" w:firstLineChars="200"/>
        <w:jc w:val="left"/>
        <w:rPr>
          <w:rFonts w:ascii="微软雅黑" w:hAnsi="微软雅黑" w:eastAsia="微软雅黑"/>
          <w:szCs w:val="21"/>
        </w:rPr>
      </w:pPr>
      <w:r>
        <w:rPr>
          <w:rFonts w:ascii="微软雅黑" w:hAnsi="微软雅黑" w:eastAsia="微软雅黑"/>
          <w:szCs w:val="21"/>
        </w:rPr>
        <w:t>服务到期后</w:t>
      </w:r>
      <w:r>
        <w:rPr>
          <w:rFonts w:hint="eastAsia" w:ascii="微软雅黑" w:hAnsi="微软雅黑" w:eastAsia="微软雅黑"/>
          <w:szCs w:val="21"/>
        </w:rPr>
        <w:t>，前端设备的所有权及使用权依据运营商与采购人签订的相关协议参照执行。</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报价中包含提供本项目服务所需的全部费用（包括设备租赁费用、视频监控线路传输费、设备电力接入费、日常电费、项目检测费及日常维护费等所有费用）。</w:t>
      </w:r>
    </w:p>
    <w:p>
      <w:pPr>
        <w:spacing w:line="360" w:lineRule="auto"/>
        <w:ind w:firstLine="420" w:firstLineChars="200"/>
        <w:jc w:val="left"/>
        <w:rPr>
          <w:rFonts w:ascii="微软雅黑" w:hAnsi="微软雅黑" w:eastAsia="微软雅黑"/>
          <w:b/>
          <w:szCs w:val="21"/>
        </w:rPr>
      </w:pPr>
      <w:r>
        <w:rPr>
          <w:rFonts w:ascii="微软雅黑" w:hAnsi="微软雅黑" w:eastAsia="微软雅黑" w:cs="宋体"/>
          <w:b/>
          <w:bCs/>
          <w:szCs w:val="21"/>
        </w:rPr>
        <w:t>▲</w:t>
      </w:r>
      <w:r>
        <w:rPr>
          <w:rFonts w:hint="eastAsia" w:ascii="微软雅黑" w:hAnsi="微软雅黑" w:eastAsia="微软雅黑"/>
          <w:b/>
          <w:szCs w:val="21"/>
        </w:rPr>
        <w:t>本项目的传输线路要求接入公安视频专网，投标单位在投标文件中承诺如若中标保证传输线路接入公安视频专网，承诺书做在投标文件中。</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视频监控建设工作必须严格执行以下标准：</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《社会治安动态视频监控系统技术规范》（DB33/T 502-2004）</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《基于公共运营商的社会治安动态视频监控系统技术规范》（Q/GAT 002-2006）</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《视频图像文字标注规范》（GA/T 751-2008）</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《跨区域视频监控联网共享技术规范》（DB33/T 629-2011）</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《公共安全视频监控联网系统信息传输、交换、控制技术要求》</w:t>
      </w:r>
      <w:r>
        <w:rPr>
          <w:rFonts w:ascii="微软雅黑" w:hAnsi="微软雅黑" w:eastAsia="微软雅黑" w:cs="宋体"/>
          <w:szCs w:val="21"/>
        </w:rPr>
        <w:t>(</w:t>
      </w:r>
      <w:r>
        <w:rPr>
          <w:rFonts w:hint="eastAsia" w:ascii="微软雅黑" w:hAnsi="微软雅黑" w:eastAsia="微软雅黑" w:cs="宋体"/>
          <w:szCs w:val="21"/>
        </w:rPr>
        <w:t>GB/T 28181-2011）</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《浙江省公安视频图像信息系统建设总体技术要求》</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《浙江省公安视频专网安全管理工作规范》</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《信息技术开放系统互连网络层安全协议》（GB/T 17963）</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《安全防范工程技术规范》(GB 50348-2004)</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《电子信息机房设计规范》(GB 50174-2008)</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《音频、视频及类似电子设备安全要求》（GB8898-2011）</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《测量、控制和试验室用电气设备的安全要求》（GB4793.1-2007）</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《中华人民共和国公安部行业标准》（GA70-94）</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《视频安防监控系统技术要求》（GA/T367-2001）</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《计算机信息系统安全》（GA 216.1－1999）</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《安全防范工程程序与要求》（GA/T75-94）</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《安全防范系统通用图形符号》（GA/T75-2000）</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《机动车登记信息代码 第7部分：机动车号牌种类代码》GA24.7-2005</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《城市监控报警联网系统技术标准》（GA/T669-2008）</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《安全防范系统验收规则》（GA308-2001）</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《安全防范系统雷电浪涌防护技术要求》(GA/T670-2006)</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《公安部警用地理信息系统系列标准规范》</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公安部关于城市报警与监控系统的建设、管理、应用规范性文件（公安部科技信息化局汇编2009年3月）</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《浙江省安全技术防范系统建设技术规范》（DB33/768-2009）</w:t>
      </w:r>
    </w:p>
    <w:p>
      <w:pPr>
        <w:pStyle w:val="103"/>
        <w:ind w:firstLine="420" w:firstLineChars="200"/>
        <w:rPr>
          <w:rFonts w:ascii="微软雅黑" w:hAnsi="微软雅黑" w:eastAsia="微软雅黑" w:cs="宋体"/>
          <w:szCs w:val="21"/>
        </w:rPr>
      </w:pPr>
      <w:r>
        <w:rPr>
          <w:rFonts w:hint="eastAsia" w:ascii="微软雅黑" w:hAnsi="微软雅黑" w:eastAsia="微软雅黑" w:cs="宋体"/>
          <w:szCs w:val="21"/>
        </w:rPr>
        <w:t>《关于全面推进全省公安视频建设与应用工作的指导意见》浙公通字【2013】117号</w:t>
      </w:r>
    </w:p>
    <w:p>
      <w:pPr>
        <w:spacing w:line="360" w:lineRule="auto"/>
        <w:ind w:firstLine="420" w:firstLineChars="200"/>
        <w:jc w:val="left"/>
        <w:rPr>
          <w:rFonts w:ascii="微软雅黑" w:hAnsi="微软雅黑" w:eastAsia="微软雅黑" w:cs="宋体"/>
          <w:iCs/>
          <w:szCs w:val="21"/>
        </w:rPr>
        <w:sectPr>
          <w:pgSz w:w="11906" w:h="16838"/>
          <w:pgMar w:top="1474" w:right="1797" w:bottom="1247" w:left="1797" w:header="851" w:footer="851" w:gutter="0"/>
          <w:cols w:space="720" w:num="1"/>
          <w:docGrid w:linePitch="312" w:charSpace="0"/>
        </w:sectPr>
      </w:pPr>
      <w:r>
        <w:rPr>
          <w:rFonts w:ascii="微软雅黑" w:hAnsi="微软雅黑" w:eastAsia="微软雅黑" w:cs="宋体"/>
          <w:iCs/>
          <w:szCs w:val="21"/>
        </w:rPr>
        <w:t>投标方</w:t>
      </w:r>
      <w:r>
        <w:rPr>
          <w:rFonts w:hint="eastAsia" w:ascii="微软雅黑" w:hAnsi="微软雅黑" w:eastAsia="微软雅黑" w:cs="宋体"/>
          <w:iCs/>
          <w:szCs w:val="21"/>
        </w:rPr>
        <w:t>需保证与嘉兴公安局的互联互通，必须</w:t>
      </w:r>
      <w:r>
        <w:rPr>
          <w:rFonts w:ascii="微软雅黑" w:hAnsi="微软雅黑" w:eastAsia="微软雅黑" w:cs="宋体"/>
          <w:iCs/>
          <w:szCs w:val="21"/>
        </w:rPr>
        <w:t>符合一切与视频监控相关的国家、省、市的标准、规范或文件，来制定系统方案</w:t>
      </w:r>
      <w:r>
        <w:rPr>
          <w:rFonts w:hint="eastAsia" w:ascii="微软雅黑" w:hAnsi="微软雅黑" w:eastAsia="微软雅黑" w:cs="宋体"/>
          <w:iCs/>
          <w:szCs w:val="21"/>
        </w:rPr>
        <w:t>；</w:t>
      </w:r>
    </w:p>
    <w:p>
      <w:pPr>
        <w:snapToGrid w:val="0"/>
        <w:spacing w:line="360" w:lineRule="auto"/>
        <w:ind w:firstLine="420" w:firstLineChars="200"/>
        <w:rPr>
          <w:rFonts w:ascii="微软雅黑" w:hAnsi="微软雅黑" w:eastAsia="微软雅黑" w:cs="Arial"/>
          <w:b/>
          <w:szCs w:val="21"/>
        </w:rPr>
      </w:pPr>
      <w:r>
        <w:rPr>
          <w:rFonts w:hint="eastAsia" w:ascii="微软雅黑" w:hAnsi="微软雅黑" w:eastAsia="微软雅黑"/>
          <w:b/>
          <w:szCs w:val="21"/>
        </w:rPr>
        <w:t>二、</w:t>
      </w:r>
      <w:r>
        <w:rPr>
          <w:rFonts w:hint="eastAsia" w:ascii="微软雅黑" w:hAnsi="微软雅黑" w:eastAsia="微软雅黑" w:cs="Arial"/>
          <w:b/>
          <w:szCs w:val="21"/>
        </w:rPr>
        <w:t>采购服务中涉及到的设备/服务汇总如下，仅供参考</w:t>
      </w:r>
    </w:p>
    <w:tbl>
      <w:tblPr>
        <w:tblStyle w:val="47"/>
        <w:tblW w:w="13907" w:type="dxa"/>
        <w:tblInd w:w="0" w:type="dxa"/>
        <w:tblLayout w:type="autofit"/>
        <w:tblCellMar>
          <w:top w:w="0" w:type="dxa"/>
          <w:left w:w="108" w:type="dxa"/>
          <w:bottom w:w="0" w:type="dxa"/>
          <w:right w:w="108" w:type="dxa"/>
        </w:tblCellMar>
      </w:tblPr>
      <w:tblGrid>
        <w:gridCol w:w="960"/>
        <w:gridCol w:w="3308"/>
        <w:gridCol w:w="7513"/>
        <w:gridCol w:w="708"/>
        <w:gridCol w:w="1418"/>
      </w:tblGrid>
      <w:tr>
        <w:tblPrEx>
          <w:tblCellMar>
            <w:top w:w="0" w:type="dxa"/>
            <w:left w:w="108" w:type="dxa"/>
            <w:bottom w:w="0" w:type="dxa"/>
            <w:right w:w="108" w:type="dxa"/>
          </w:tblCellMar>
        </w:tblPrEx>
        <w:trPr>
          <w:wBefore w:w="0" w:type="dxa"/>
          <w:wAfter w:w="0" w:type="dxa"/>
          <w:trHeight w:val="255"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序号</w:t>
            </w:r>
          </w:p>
        </w:tc>
        <w:tc>
          <w:tcPr>
            <w:tcW w:w="330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产品名称</w:t>
            </w:r>
          </w:p>
        </w:tc>
        <w:tc>
          <w:tcPr>
            <w:tcW w:w="751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技术要求</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单位</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数量</w:t>
            </w:r>
          </w:p>
        </w:tc>
      </w:tr>
      <w:tr>
        <w:tblPrEx>
          <w:tblCellMar>
            <w:top w:w="0" w:type="dxa"/>
            <w:left w:w="108" w:type="dxa"/>
            <w:bottom w:w="0" w:type="dxa"/>
            <w:right w:w="108" w:type="dxa"/>
          </w:tblCellMar>
        </w:tblPrEx>
        <w:trPr>
          <w:wBefore w:w="0" w:type="dxa"/>
          <w:wAfter w:w="0" w:type="dxa"/>
          <w:trHeight w:val="255" w:hRule="atLeast"/>
        </w:trPr>
        <w:tc>
          <w:tcPr>
            <w:tcW w:w="1390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一、设备</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1</w:t>
            </w:r>
          </w:p>
        </w:tc>
        <w:tc>
          <w:tcPr>
            <w:tcW w:w="33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2400万鹰眼摄像机</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个</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2</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2</w:t>
            </w:r>
          </w:p>
        </w:tc>
        <w:tc>
          <w:tcPr>
            <w:tcW w:w="330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卡口抓拍单元（含车道补光</w:t>
            </w:r>
            <w:r>
              <w:rPr>
                <w:rFonts w:ascii="微软雅黑" w:hAnsi="微软雅黑" w:eastAsia="微软雅黑" w:cs="Arial"/>
                <w:kern w:val="0"/>
                <w:szCs w:val="21"/>
              </w:rPr>
              <w:t>）</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台</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479</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3</w:t>
            </w:r>
          </w:p>
        </w:tc>
        <w:tc>
          <w:tcPr>
            <w:tcW w:w="33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人脸摄像机</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个</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790</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4</w:t>
            </w:r>
          </w:p>
        </w:tc>
        <w:tc>
          <w:tcPr>
            <w:tcW w:w="33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球机摄像机</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个</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124</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5</w:t>
            </w:r>
          </w:p>
        </w:tc>
        <w:tc>
          <w:tcPr>
            <w:tcW w:w="33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全结构化网络摄像机</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个</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5</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ascii="微软雅黑" w:hAnsi="微软雅黑" w:eastAsia="微软雅黑" w:cs="Arial"/>
                <w:kern w:val="0"/>
                <w:szCs w:val="21"/>
              </w:rPr>
              <w:t>6</w:t>
            </w:r>
          </w:p>
        </w:tc>
        <w:tc>
          <w:tcPr>
            <w:tcW w:w="3308" w:type="dxa"/>
            <w:tcBorders>
              <w:top w:val="nil"/>
              <w:left w:val="nil"/>
              <w:bottom w:val="single" w:color="auto" w:sz="4" w:space="0"/>
              <w:right w:val="single" w:color="auto" w:sz="4" w:space="0"/>
            </w:tcBorders>
            <w:shd w:val="clear" w:color="auto" w:fill="auto"/>
            <w:noWrap w:val="0"/>
            <w:vAlign w:val="center"/>
          </w:tcPr>
          <w:p>
            <w:pPr>
              <w:spacing w:line="360" w:lineRule="auto"/>
              <w:jc w:val="left"/>
              <w:rPr>
                <w:rFonts w:ascii="微软雅黑" w:hAnsi="微软雅黑" w:eastAsia="微软雅黑" w:cs="Arial"/>
                <w:kern w:val="0"/>
                <w:szCs w:val="21"/>
              </w:rPr>
            </w:pPr>
            <w:r>
              <w:rPr>
                <w:rFonts w:hint="eastAsia" w:ascii="微软雅黑" w:hAnsi="微软雅黑" w:eastAsia="微软雅黑"/>
                <w:szCs w:val="21"/>
              </w:rPr>
              <w:t>存储设备、交换机</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与项目匹配（按需配置）</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项</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7</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应用服务器-A1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5</w:t>
            </w:r>
          </w:p>
        </w:tc>
      </w:tr>
      <w:tr>
        <w:tblPrEx>
          <w:tblCellMar>
            <w:top w:w="0" w:type="dxa"/>
            <w:left w:w="108" w:type="dxa"/>
            <w:bottom w:w="0" w:type="dxa"/>
            <w:right w:w="108" w:type="dxa"/>
          </w:tblCellMar>
        </w:tblPrEx>
        <w:trPr>
          <w:wBefore w:w="0" w:type="dxa"/>
          <w:wAfter w:w="0" w:type="dxa"/>
          <w:trHeight w:val="322"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8</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应用服务器-A2</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37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9</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应用服务器-B1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3</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ascii="微软雅黑" w:hAnsi="微软雅黑" w:eastAsia="微软雅黑"/>
                <w:szCs w:val="21"/>
              </w:rPr>
              <w:t>10</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存储服务器-A1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8</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11</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存储管理服务器-A1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4</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12</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应用服务器-A3</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13</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存储服务器-A2</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ascii="微软雅黑" w:hAnsi="微软雅黑" w:eastAsia="微软雅黑"/>
                <w:szCs w:val="21"/>
              </w:rPr>
              <w:t>14</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应用服务器-A4</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ascii="微软雅黑" w:hAnsi="微软雅黑" w:eastAsia="微软雅黑"/>
                <w:szCs w:val="21"/>
              </w:rPr>
              <w:t>15</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存储服务器-B1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16</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摆渡服务器-A1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17</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解析服务器-A1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3</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18</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应用服务器-B2</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19</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应用服务器-B3</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20</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应用服务器-B4</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ascii="微软雅黑" w:hAnsi="微软雅黑" w:eastAsia="微软雅黑"/>
                <w:szCs w:val="21"/>
              </w:rPr>
              <w:t>21</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应用服务器-B5</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22</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应用服务器-B6</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23</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解析服务器-B1</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24</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解析服务器-B2</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25</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解析服务器-B3</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台</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8</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26</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智能分析卡</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张</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14</w:t>
            </w:r>
          </w:p>
        </w:tc>
      </w:tr>
      <w:tr>
        <w:tblPrEx>
          <w:tblCellMar>
            <w:top w:w="0" w:type="dxa"/>
            <w:left w:w="108" w:type="dxa"/>
            <w:bottom w:w="0" w:type="dxa"/>
            <w:right w:w="108" w:type="dxa"/>
          </w:tblCellMar>
        </w:tblPrEx>
        <w:trPr>
          <w:wBefore w:w="0" w:type="dxa"/>
          <w:wAfter w:w="0" w:type="dxa"/>
          <w:trHeight w:val="331"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27</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智能比对卡</w:t>
            </w:r>
          </w:p>
        </w:tc>
        <w:tc>
          <w:tcPr>
            <w:tcW w:w="7513"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详见技术规格要求</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张</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szCs w:val="21"/>
              </w:rPr>
            </w:pPr>
            <w:r>
              <w:rPr>
                <w:rFonts w:hint="eastAsia" w:ascii="微软雅黑" w:hAnsi="微软雅黑" w:eastAsia="微软雅黑"/>
                <w:szCs w:val="21"/>
              </w:rPr>
              <w:t>25</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28</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电箱</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个</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自行设计</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29</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4米立杆（人脸）</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根</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自行设计</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30</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6米立杆（球机）</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根</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自行设计</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31</w:t>
            </w:r>
          </w:p>
        </w:tc>
        <w:tc>
          <w:tcPr>
            <w:tcW w:w="33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6米立杆（卡口）</w:t>
            </w:r>
          </w:p>
        </w:tc>
        <w:tc>
          <w:tcPr>
            <w:tcW w:w="75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微软雅黑" w:hAnsi="微软雅黑" w:eastAsia="微软雅黑" w:cs="Arial"/>
                <w:kern w:val="0"/>
                <w:szCs w:val="21"/>
              </w:rPr>
            </w:pPr>
            <w:r>
              <w:rPr>
                <w:rFonts w:hint="eastAsia" w:ascii="微软雅黑" w:hAnsi="微软雅黑" w:eastAsia="微软雅黑" w:cs="Arial"/>
                <w:kern w:val="0"/>
                <w:szCs w:val="21"/>
              </w:rPr>
              <w:t>详见招标文件技术要求部分</w:t>
            </w:r>
          </w:p>
        </w:tc>
        <w:tc>
          <w:tcPr>
            <w:tcW w:w="708" w:type="dxa"/>
            <w:tcBorders>
              <w:top w:val="nil"/>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根</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自行设计</w:t>
            </w:r>
          </w:p>
        </w:tc>
      </w:tr>
      <w:tr>
        <w:tblPrEx>
          <w:tblCellMar>
            <w:top w:w="0" w:type="dxa"/>
            <w:left w:w="108" w:type="dxa"/>
            <w:bottom w:w="0" w:type="dxa"/>
            <w:right w:w="108" w:type="dxa"/>
          </w:tblCellMar>
        </w:tblPrEx>
        <w:trPr>
          <w:wBefore w:w="0" w:type="dxa"/>
          <w:wAfter w:w="0" w:type="dxa"/>
          <w:trHeight w:val="255" w:hRule="atLeast"/>
        </w:trPr>
        <w:tc>
          <w:tcPr>
            <w:tcW w:w="13907" w:type="dxa"/>
            <w:gridSpan w:val="5"/>
            <w:tcBorders>
              <w:top w:val="nil"/>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二、平台</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1</w:t>
            </w:r>
          </w:p>
        </w:tc>
        <w:tc>
          <w:tcPr>
            <w:tcW w:w="3308" w:type="dxa"/>
            <w:tcBorders>
              <w:top w:val="single" w:color="auto" w:sz="4" w:space="0"/>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软件应用平台</w:t>
            </w:r>
          </w:p>
        </w:tc>
        <w:tc>
          <w:tcPr>
            <w:tcW w:w="7513" w:type="dxa"/>
            <w:tcBorders>
              <w:top w:val="single" w:color="auto" w:sz="4" w:space="0"/>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包含平台支撑服务、数据治理服务、关键功能模块等</w:t>
            </w:r>
          </w:p>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基础支撑服务是支撑整个平台用户、角色、菜单权限、日志等运维管理部分的模块。</w:t>
            </w:r>
          </w:p>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数据治理服务，资源管理服务是对数据资产做管理。</w:t>
            </w:r>
          </w:p>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软件关键功能要求，包含人像、车辆、多维基础框架及关键功能应用。</w:t>
            </w:r>
          </w:p>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多维系统应提供不少于5</w:t>
            </w:r>
            <w:r>
              <w:rPr>
                <w:rFonts w:ascii="微软雅黑" w:hAnsi="微软雅黑" w:eastAsia="微软雅黑" w:cs="宋体"/>
                <w:szCs w:val="21"/>
              </w:rPr>
              <w:t>00</w:t>
            </w:r>
            <w:r>
              <w:rPr>
                <w:rFonts w:hint="eastAsia" w:ascii="微软雅黑" w:hAnsi="微软雅黑" w:eastAsia="微软雅黑" w:cs="宋体"/>
                <w:szCs w:val="21"/>
              </w:rPr>
              <w:t>路视频、3</w:t>
            </w:r>
            <w:r>
              <w:rPr>
                <w:rFonts w:ascii="微软雅黑" w:hAnsi="微软雅黑" w:eastAsia="微软雅黑" w:cs="宋体"/>
                <w:szCs w:val="21"/>
              </w:rPr>
              <w:t>000</w:t>
            </w:r>
            <w:r>
              <w:rPr>
                <w:rFonts w:hint="eastAsia" w:ascii="微软雅黑" w:hAnsi="微软雅黑" w:eastAsia="微软雅黑" w:cs="宋体"/>
                <w:szCs w:val="21"/>
              </w:rPr>
              <w:t>路人像、1</w:t>
            </w:r>
            <w:r>
              <w:rPr>
                <w:rFonts w:ascii="微软雅黑" w:hAnsi="微软雅黑" w:eastAsia="微软雅黑" w:cs="宋体"/>
                <w:szCs w:val="21"/>
              </w:rPr>
              <w:t>700</w:t>
            </w:r>
            <w:r>
              <w:rPr>
                <w:rFonts w:hint="eastAsia" w:ascii="微软雅黑" w:hAnsi="微软雅黑" w:eastAsia="微软雅黑" w:cs="宋体"/>
                <w:szCs w:val="21"/>
              </w:rPr>
              <w:t>路车辆的解析能力。</w:t>
            </w:r>
          </w:p>
          <w:p>
            <w:pPr>
              <w:pStyle w:val="106"/>
              <w:spacing w:line="360" w:lineRule="auto"/>
              <w:rPr>
                <w:rFonts w:ascii="微软雅黑" w:hAnsi="微软雅黑" w:eastAsia="微软雅黑" w:cs="宋体"/>
                <w:szCs w:val="21"/>
              </w:rPr>
            </w:pPr>
            <w:r>
              <w:rPr>
                <w:rFonts w:hint="eastAsia" w:ascii="微软雅黑" w:hAnsi="微软雅黑" w:eastAsia="微软雅黑" w:cs="宋体"/>
                <w:szCs w:val="21"/>
              </w:rPr>
              <w:t>人像系统应提供不少于500路200万视频流+3000路人像图片流规模的解析、存储及应用能力。</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套</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1</w:t>
            </w:r>
          </w:p>
        </w:tc>
      </w:tr>
      <w:tr>
        <w:tblPrEx>
          <w:tblCellMar>
            <w:top w:w="0" w:type="dxa"/>
            <w:left w:w="108" w:type="dxa"/>
            <w:bottom w:w="0" w:type="dxa"/>
            <w:right w:w="108" w:type="dxa"/>
          </w:tblCellMar>
        </w:tblPrEx>
        <w:trPr>
          <w:wBefore w:w="0" w:type="dxa"/>
          <w:wAfter w:w="0" w:type="dxa"/>
          <w:trHeight w:val="255"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2</w:t>
            </w:r>
          </w:p>
        </w:tc>
        <w:tc>
          <w:tcPr>
            <w:tcW w:w="3308" w:type="dxa"/>
            <w:tcBorders>
              <w:top w:val="single" w:color="auto" w:sz="4" w:space="0"/>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视图库系统</w:t>
            </w:r>
          </w:p>
        </w:tc>
        <w:tc>
          <w:tcPr>
            <w:tcW w:w="7513" w:type="dxa"/>
            <w:tcBorders>
              <w:top w:val="single" w:color="auto" w:sz="4" w:space="0"/>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视频图像信息数据库系统软件1套；</w:t>
            </w:r>
          </w:p>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视频图像信息数据库管理系统软件1套；</w:t>
            </w:r>
          </w:p>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视图库采集接口软件2套；</w:t>
            </w:r>
          </w:p>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视图库数据服务接口软件1套；</w:t>
            </w:r>
          </w:p>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视图库级联接口软件2套；</w:t>
            </w:r>
          </w:p>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视频大数据平台软件1套。</w:t>
            </w:r>
          </w:p>
        </w:tc>
        <w:tc>
          <w:tcPr>
            <w:tcW w:w="708" w:type="dxa"/>
            <w:tcBorders>
              <w:top w:val="single" w:color="auto" w:sz="4" w:space="0"/>
              <w:left w:val="nil"/>
              <w:bottom w:val="single" w:color="auto" w:sz="4" w:space="0"/>
              <w:right w:val="single" w:color="auto" w:sz="4" w:space="0"/>
            </w:tcBorders>
            <w:shd w:val="clear" w:color="auto" w:fill="auto"/>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套</w:t>
            </w:r>
          </w:p>
        </w:tc>
        <w:tc>
          <w:tcPr>
            <w:tcW w:w="1418" w:type="dxa"/>
            <w:tcBorders>
              <w:top w:val="single" w:color="auto" w:sz="4" w:space="0"/>
              <w:left w:val="nil"/>
              <w:bottom w:val="single" w:color="auto" w:sz="4" w:space="0"/>
              <w:right w:val="single" w:color="auto" w:sz="4" w:space="0"/>
            </w:tcBorders>
            <w:noWrap w:val="0"/>
            <w:vAlign w:val="center"/>
          </w:tcPr>
          <w:p>
            <w:pPr>
              <w:pStyle w:val="106"/>
              <w:spacing w:line="360" w:lineRule="auto"/>
              <w:rPr>
                <w:rFonts w:ascii="微软雅黑" w:hAnsi="微软雅黑" w:eastAsia="微软雅黑" w:cs="Arial"/>
                <w:kern w:val="0"/>
                <w:szCs w:val="21"/>
              </w:rPr>
            </w:pPr>
            <w:r>
              <w:rPr>
                <w:rFonts w:hint="eastAsia" w:ascii="微软雅黑" w:hAnsi="微软雅黑" w:eastAsia="微软雅黑" w:cs="Arial"/>
                <w:kern w:val="0"/>
                <w:szCs w:val="21"/>
              </w:rPr>
              <w:t>1</w:t>
            </w:r>
          </w:p>
        </w:tc>
      </w:tr>
    </w:tbl>
    <w:p>
      <w:pPr>
        <w:pStyle w:val="2"/>
        <w:spacing w:after="0" w:line="360" w:lineRule="auto"/>
        <w:ind w:firstLine="420" w:firstLineChars="200"/>
        <w:jc w:val="left"/>
        <w:rPr>
          <w:rFonts w:ascii="微软雅黑" w:hAnsi="微软雅黑" w:eastAsia="微软雅黑"/>
          <w:b/>
          <w:szCs w:val="21"/>
        </w:rPr>
        <w:sectPr>
          <w:headerReference r:id="rId9" w:type="default"/>
          <w:footerReference r:id="rId10" w:type="default"/>
          <w:pgSz w:w="16838" w:h="11906" w:orient="landscape"/>
          <w:pgMar w:top="1797" w:right="1247" w:bottom="1797" w:left="1474" w:header="851" w:footer="851" w:gutter="0"/>
          <w:cols w:space="720" w:num="1"/>
          <w:docGrid w:linePitch="312" w:charSpace="0"/>
        </w:sectPr>
      </w:pPr>
    </w:p>
    <w:p>
      <w:pPr>
        <w:pStyle w:val="2"/>
        <w:spacing w:after="0"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三、项目中所含相关设备参考技术要求</w:t>
      </w: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1、2400万鹰眼摄像机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图像传感器 ：1/1.8英寸CMOS；</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像素：像素2400万（全景）+400万（球机）</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内置3个GPU芯片，支持深度学习算法，有效提升检测准确率</w:t>
      </w:r>
      <w:r>
        <w:rPr>
          <w:rFonts w:hint="eastAsia" w:ascii="微软雅黑" w:hAnsi="微软雅黑" w:eastAsia="微软雅黑"/>
          <w:b/>
          <w:szCs w:val="21"/>
        </w:rPr>
        <w:t>；（提供相关检测报告复印件做在投标文件中）</w:t>
      </w:r>
    </w:p>
    <w:p>
      <w:pPr>
        <w:spacing w:line="360" w:lineRule="auto"/>
        <w:ind w:firstLine="420"/>
        <w:rPr>
          <w:rFonts w:ascii="微软雅黑" w:hAnsi="微软雅黑" w:eastAsia="微软雅黑"/>
          <w:szCs w:val="21"/>
        </w:rPr>
      </w:pPr>
      <w:r>
        <w:rPr>
          <w:rFonts w:hint="eastAsia" w:ascii="微软雅黑" w:hAnsi="微软雅黑" w:eastAsia="微软雅黑"/>
          <w:szCs w:val="21"/>
        </w:rPr>
        <w:t>主视频图像视场角：水平视场角：≥270°，垂直视场角：≥100°</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智能模式：通用行为分析、车辆密度、人群分布图；</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支持人群分布图：人群监测、全局及区域人数统计、人群密度阈值报警联动监视功能，为人群全局监测、焦点监测提供强有力措施；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可输出1路主视频图像（由6个画面拼接而成）和1路辅视频图像</w:t>
      </w:r>
    </w:p>
    <w:p>
      <w:pPr>
        <w:spacing w:line="360" w:lineRule="auto"/>
        <w:ind w:firstLine="420"/>
        <w:rPr>
          <w:rFonts w:ascii="微软雅黑" w:hAnsi="微软雅黑" w:eastAsia="微软雅黑"/>
          <w:szCs w:val="21"/>
        </w:rPr>
      </w:pPr>
      <w:r>
        <w:rPr>
          <w:rFonts w:hint="eastAsia" w:ascii="微软雅黑" w:hAnsi="微软雅黑" w:eastAsia="微软雅黑"/>
          <w:szCs w:val="21"/>
        </w:rPr>
        <w:t>主视频图像：可将连续的6个图像采集模块输出的监视画面进行4图像、5图像或6图像无缝拼接显示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开启车辆拥堵检测功能后，当设置区域内的车辆滞留时间和数量同时超过设定值时，IE浏览器应给出报警提示并联动录像和抓拍；</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支持三码流功能，两路高清视频显示；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支持GPS/北斗经纬度定位；</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球机内置红外补光灯，最大红外监控距离</w:t>
      </w:r>
      <w:r>
        <w:rPr>
          <w:rFonts w:ascii="微软雅黑" w:hAnsi="微软雅黑" w:eastAsia="微软雅黑"/>
          <w:szCs w:val="21"/>
        </w:rPr>
        <w:t>4</w:t>
      </w:r>
      <w:r>
        <w:rPr>
          <w:rFonts w:hint="eastAsia" w:ascii="微软雅黑" w:hAnsi="微软雅黑" w:eastAsia="微软雅黑"/>
          <w:szCs w:val="21"/>
        </w:rPr>
        <w:t>00米；</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支持透雾自动切换工，当设备检测到雾的浓度达到设定的阈值时，可自动在算法透雾和光学透雾之间进行切换</w:t>
      </w:r>
      <w:r>
        <w:rPr>
          <w:rFonts w:hint="eastAsia" w:ascii="微软雅黑" w:hAnsi="微软雅黑" w:eastAsia="微软雅黑"/>
          <w:b/>
          <w:szCs w:val="21"/>
        </w:rPr>
        <w:t>；（提供相关检测报告复印件做在投标文件中）</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支持IP66防护等级；</w:t>
      </w: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2、卡口抓拍单元（含车道补光）</w:t>
      </w:r>
    </w:p>
    <w:p>
      <w:pPr>
        <w:spacing w:line="360" w:lineRule="auto"/>
        <w:ind w:firstLine="420"/>
        <w:rPr>
          <w:rFonts w:ascii="微软雅黑" w:hAnsi="微软雅黑" w:eastAsia="微软雅黑"/>
          <w:szCs w:val="21"/>
        </w:rPr>
      </w:pPr>
      <w:r>
        <w:rPr>
          <w:rFonts w:hint="eastAsia" w:ascii="微软雅黑" w:hAnsi="微软雅黑" w:eastAsia="微软雅黑"/>
          <w:szCs w:val="21"/>
        </w:rPr>
        <w:t>图像传感器：1英寸GS-CMOS图像传感器</w:t>
      </w:r>
    </w:p>
    <w:p>
      <w:pPr>
        <w:spacing w:line="360" w:lineRule="auto"/>
        <w:ind w:firstLine="420"/>
        <w:rPr>
          <w:rFonts w:ascii="微软雅黑" w:hAnsi="微软雅黑" w:eastAsia="微软雅黑"/>
          <w:szCs w:val="21"/>
        </w:rPr>
      </w:pPr>
      <w:r>
        <w:rPr>
          <w:rFonts w:hint="eastAsia" w:ascii="微软雅黑" w:hAnsi="微软雅黑" w:eastAsia="微软雅黑"/>
          <w:szCs w:val="21"/>
        </w:rPr>
        <w:t>像素：最大输出 4096×2820@50fps高清图像</w:t>
      </w:r>
    </w:p>
    <w:p>
      <w:pPr>
        <w:spacing w:line="360" w:lineRule="auto"/>
        <w:ind w:firstLine="420"/>
        <w:rPr>
          <w:rFonts w:ascii="微软雅黑" w:hAnsi="微软雅黑" w:eastAsia="微软雅黑"/>
          <w:szCs w:val="21"/>
        </w:rPr>
      </w:pPr>
      <w:r>
        <w:rPr>
          <w:rFonts w:hint="eastAsia" w:ascii="微软雅黑" w:hAnsi="微软雅黑" w:eastAsia="微软雅黑"/>
          <w:szCs w:val="21"/>
        </w:rPr>
        <w:t>具有抓拍快门、视频快门、识别快门等三种模式，支持快门自适应，1/1s~1/100000s可调</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支持交通信号灯故障报警，当接收通过RS485 接入的信号灯检测器发送的故障报警时，可在设备IE 界面进行展示。</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支持帧率动态控制功能，当无目标触发时可降低帧率，当有目标触发时自动调整至正常值</w:t>
      </w:r>
      <w:r>
        <w:rPr>
          <w:rFonts w:hint="eastAsia" w:ascii="微软雅黑" w:hAnsi="微软雅黑" w:eastAsia="微软雅黑"/>
          <w:b/>
          <w:szCs w:val="21"/>
        </w:rPr>
        <w:t>；（提供相关检测报告复印件做在投标文件中）</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无光污染：采用先进的图像融合技术，夜间无需使用白光爆闪灯或无需外加频闪灯（正常环境光路口，电警可仅采用下挂灯）即可输出高质量全彩图像，有效解决夜间光污染、避免“麻雀杆”现象。</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超高帧率：采用交通专用高性能GS-CMOS图像传感器，50fps高帧率、高信噪比、高宽动态，全天候呈现逼真场景图像；</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支持自动画线功能，可自动识别并画出车道线、抓拍检测线。</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按照实际车道数量自行配置补光灯：</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灯型多功能一体型：支持暖光LED频闪、暖光LED爆闪、白光氙气爆闪、红外氙气爆闪四种模式</w:t>
      </w:r>
      <w:r>
        <w:rPr>
          <w:rFonts w:hint="eastAsia" w:ascii="微软雅黑" w:hAnsi="微软雅黑" w:eastAsia="微软雅黑"/>
          <w:b/>
          <w:szCs w:val="21"/>
        </w:rPr>
        <w:t>；（提供相关检测报告复印件做在投标文件中）</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支持气体灯爆闪功能，并可通过控制转轴叶片进行白光和红外光切换，在低亮度情况下切换到红外模式</w:t>
      </w:r>
      <w:r>
        <w:rPr>
          <w:rFonts w:hint="eastAsia" w:ascii="微软雅黑" w:hAnsi="微软雅黑" w:eastAsia="微软雅黑"/>
          <w:b/>
          <w:szCs w:val="21"/>
        </w:rPr>
        <w:t>；</w:t>
      </w:r>
    </w:p>
    <w:p>
      <w:pPr>
        <w:spacing w:line="360" w:lineRule="auto"/>
        <w:ind w:firstLine="420"/>
        <w:rPr>
          <w:rFonts w:ascii="微软雅黑" w:hAnsi="微软雅黑" w:eastAsia="微软雅黑"/>
          <w:szCs w:val="21"/>
        </w:rPr>
      </w:pPr>
      <w:r>
        <w:rPr>
          <w:rFonts w:hint="eastAsia" w:ascii="微软雅黑" w:hAnsi="微软雅黑" w:eastAsia="微软雅黑"/>
          <w:szCs w:val="21"/>
        </w:rPr>
        <w:t>LED 频闪支持PWM跟随触发，具有频率及占空比保护功能 。频率大于250Hz时LED频闪保护，停止频闪；占空比大于40% 时，LED频闪保护，亮度不再提高。</w:t>
      </w:r>
    </w:p>
    <w:p>
      <w:pPr>
        <w:spacing w:line="360" w:lineRule="auto"/>
        <w:ind w:firstLine="420"/>
        <w:rPr>
          <w:rFonts w:ascii="微软雅黑" w:hAnsi="微软雅黑" w:eastAsia="微软雅黑"/>
          <w:szCs w:val="21"/>
        </w:rPr>
      </w:pPr>
      <w:r>
        <w:rPr>
          <w:rFonts w:hint="eastAsia" w:ascii="微软雅黑" w:hAnsi="微软雅黑" w:eastAsia="微软雅黑"/>
          <w:szCs w:val="21"/>
        </w:rPr>
        <w:t>LED频闪：1~20级亮度可调；功耗氙气：＜65J/次，瞬时功率≤5500W（瞬时电流25A）</w:t>
      </w:r>
    </w:p>
    <w:p>
      <w:pPr>
        <w:spacing w:line="360" w:lineRule="auto"/>
        <w:ind w:firstLine="420"/>
        <w:rPr>
          <w:rFonts w:ascii="微软雅黑" w:hAnsi="微软雅黑" w:eastAsia="微软雅黑"/>
          <w:szCs w:val="21"/>
        </w:rPr>
      </w:pPr>
      <w:r>
        <w:rPr>
          <w:rFonts w:hint="eastAsia" w:ascii="微软雅黑" w:hAnsi="微软雅黑" w:eastAsia="微软雅黑"/>
          <w:szCs w:val="21"/>
        </w:rPr>
        <w:t>LED：频闪功率≤48W，爆闪功率≤90W；供电方式AC220V±10％</w:t>
      </w: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3、人脸摄像机</w:t>
      </w:r>
    </w:p>
    <w:p>
      <w:pPr>
        <w:spacing w:line="360" w:lineRule="auto"/>
        <w:ind w:firstLine="420"/>
        <w:rPr>
          <w:rFonts w:ascii="微软雅黑" w:hAnsi="微软雅黑" w:eastAsia="微软雅黑"/>
          <w:szCs w:val="21"/>
        </w:rPr>
      </w:pPr>
      <w:r>
        <w:rPr>
          <w:rFonts w:hint="eastAsia" w:ascii="微软雅黑" w:hAnsi="微软雅黑" w:eastAsia="微软雅黑"/>
          <w:szCs w:val="21"/>
        </w:rPr>
        <w:t>图像传感器：全景1/1.8英寸CMOS细节1/1.8英寸CMOS；</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像素：全景400万细节400万；全景2688×1520细节2688×1520；</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最低照度全景：彩色：0.001Lux@F1.6黑白：0.0001Lux@F1.6细节：彩色：0.001Lux@F1.6黑白：0.0001Lux@F1.60Lux（红外灯开启）；全景白光：20m（人脸），30m（结构化）细节100m（红外）；</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内置 GPU芯片，脸最大可识别距离全景：12m 细节：</w:t>
      </w:r>
      <w:r>
        <w:rPr>
          <w:rFonts w:ascii="微软雅黑" w:hAnsi="微软雅黑" w:eastAsia="微软雅黑"/>
          <w:szCs w:val="21"/>
        </w:rPr>
        <w:t>45</w:t>
      </w:r>
      <w:r>
        <w:rPr>
          <w:rFonts w:hint="eastAsia" w:ascii="微软雅黑" w:hAnsi="微软雅黑" w:eastAsia="微软雅黑"/>
          <w:szCs w:val="21"/>
        </w:rPr>
        <w:t>m；车牌最大可识别距离全景：50m细节：210m；镜头焦距全景8~32mm细节5.4mm~135mm；全景：4倍细节：25倍；</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机动车抓拍；机动车属性提取；支持非机动车抓拍；非机动车属性提取；支持人体抓拍；人体属性提取；支持人脸抓拍；人脸属性提取；支持绊线入侵、区域入侵、穿越围栏、徘徊、物品遗留、物品搬移、快速移动、停车、人员聚集检测；支持人车分类报警；支持联动跟踪；支持人脸检测；支持人脸优选抓拍；支持人脸区域增强；支持人脸属性提取；支持7种属性8种表情：性别，年龄，眼镜，表情（高兴、惊讶、平静、愤怒、悲伤、厌恶、困惑、害怕），口罩，胡子；支持多种人脸抠图方案设置：人脸，单寸照；</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双云台功能检验:设备具备全景、细节两个摄像机云台，且都可通过IE浏览器设置云台转动位置</w:t>
      </w:r>
      <w:r>
        <w:rPr>
          <w:rFonts w:hint="eastAsia" w:ascii="微软雅黑" w:hAnsi="微软雅黑" w:eastAsia="微软雅黑"/>
          <w:b/>
          <w:szCs w:val="21"/>
        </w:rPr>
        <w:t>；（提供相关检测报告复印件做在投标文件中）</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全景水平旋转范围：水平角度0～360°，细节水平旋转范围：水平角度0～250°；（</w:t>
      </w:r>
      <w:r>
        <w:rPr>
          <w:rFonts w:hint="eastAsia" w:ascii="微软雅黑" w:hAnsi="微软雅黑" w:eastAsia="微软雅黑"/>
          <w:b/>
          <w:szCs w:val="21"/>
        </w:rPr>
        <w:t>提供相关检测报告复印件做在投标文件中）</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全景摄像机垂直旋转范围：0～30°，细节摄像机垂直旋转范围：-10°～140°；支持全景摄像机与细节摄像机互为180°夹角监控；</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抓拍距离检验：设备可看清150米处人体轮廓，并进行抓拍生成人体小图；</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视场距离检验：设备可识别距设备250m处人体轮廓特征并框选抓拍 ，抓拍图片水平像素不小于100个像素</w:t>
      </w:r>
      <w:r>
        <w:rPr>
          <w:rFonts w:hint="eastAsia" w:ascii="微软雅黑" w:hAnsi="微软雅黑" w:eastAsia="微软雅黑"/>
          <w:b/>
          <w:szCs w:val="21"/>
        </w:rPr>
        <w:t>；（提供相关检测报告复印件做在投标文件中）</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机动车、非机动车、人员检测功能检验:可对全景或细节摄像机监视画面中的机动车、非机动车、人员中的一种或者多种同时进行抓图及属性检测，能同时对画面中的</w:t>
      </w:r>
      <w:r>
        <w:rPr>
          <w:rFonts w:ascii="微软雅黑" w:hAnsi="微软雅黑" w:eastAsia="微软雅黑"/>
          <w:szCs w:val="21"/>
        </w:rPr>
        <w:t>95</w:t>
      </w:r>
      <w:r>
        <w:rPr>
          <w:rFonts w:hint="eastAsia" w:ascii="微软雅黑" w:hAnsi="微软雅黑" w:eastAsia="微软雅黑"/>
          <w:szCs w:val="21"/>
        </w:rPr>
        <w:t>个目标进行框选锁定并进行抓图和属性分析</w:t>
      </w:r>
      <w:r>
        <w:rPr>
          <w:rFonts w:hint="eastAsia" w:ascii="微软雅黑" w:hAnsi="微软雅黑" w:eastAsia="微软雅黑"/>
          <w:b/>
          <w:szCs w:val="21"/>
        </w:rPr>
        <w:t>；（提供相关检测报告复印件做在投标文件中）</w:t>
      </w:r>
    </w:p>
    <w:p>
      <w:pPr>
        <w:spacing w:line="360" w:lineRule="auto"/>
        <w:ind w:firstLine="420"/>
        <w:rPr>
          <w:rFonts w:hint="eastAsia" w:ascii="微软雅黑" w:hAnsi="微软雅黑" w:eastAsia="微软雅黑"/>
          <w:b/>
          <w:szCs w:val="21"/>
        </w:rPr>
      </w:pPr>
      <w:r>
        <w:rPr>
          <w:rFonts w:hint="eastAsia" w:ascii="微软雅黑" w:hAnsi="微软雅黑" w:eastAsia="微软雅黑"/>
          <w:szCs w:val="21"/>
        </w:rPr>
        <w:t>电源适应性检验 电源电压在AC24V±55%范围内变化时，设备可正常工作</w:t>
      </w:r>
      <w:r>
        <w:rPr>
          <w:rFonts w:hint="eastAsia" w:ascii="微软雅黑" w:hAnsi="微软雅黑" w:eastAsia="微软雅黑"/>
          <w:b/>
          <w:szCs w:val="21"/>
        </w:rPr>
        <w:t>；</w:t>
      </w: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4、球机摄像机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图像传感器：1/1.8英寸CMOS传感器</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像素：4</w:t>
      </w:r>
      <w:r>
        <w:rPr>
          <w:rFonts w:ascii="微软雅黑" w:hAnsi="微软雅黑" w:eastAsia="微软雅黑"/>
          <w:szCs w:val="21"/>
        </w:rPr>
        <w:t>00</w:t>
      </w:r>
      <w:r>
        <w:rPr>
          <w:rFonts w:hint="eastAsia" w:ascii="微软雅黑" w:hAnsi="微软雅黑" w:eastAsia="微软雅黑"/>
          <w:szCs w:val="21"/>
        </w:rPr>
        <w:t>万</w:t>
      </w:r>
    </w:p>
    <w:p>
      <w:pPr>
        <w:spacing w:line="360" w:lineRule="auto"/>
        <w:ind w:firstLine="420"/>
        <w:rPr>
          <w:rFonts w:ascii="微软雅黑" w:hAnsi="微软雅黑" w:eastAsia="微软雅黑"/>
          <w:szCs w:val="21"/>
        </w:rPr>
      </w:pPr>
      <w:r>
        <w:rPr>
          <w:rFonts w:hint="eastAsia" w:ascii="微软雅黑" w:hAnsi="微软雅黑" w:eastAsia="微软雅黑"/>
          <w:szCs w:val="21"/>
        </w:rPr>
        <w:t>最低照度：彩色：0.001Lux@F1.4黑白：0.0001Lux@F1.40Lux（红外灯开启）</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支持40倍光学变倍，16倍数字变倍</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支持机动车、非机动车、行人检测功能及抓图，能同时支持对照片中的100个目标进行检测</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支持行人图像捕获率白天和夜间捕获率均不少于100%</w:t>
      </w:r>
      <w:r>
        <w:rPr>
          <w:rFonts w:hint="eastAsia" w:ascii="微软雅黑" w:hAnsi="微软雅黑" w:eastAsia="微软雅黑"/>
          <w:b/>
          <w:szCs w:val="21"/>
        </w:rPr>
        <w:t>；（提供相关检测报告复印件做在投标文件中）</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支持光学透雾，雾天也能输出清晰、透彻的图像</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支持智能雨刷功能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支持IP67防护等级，8000V防雷、防浪涌和防突波保护</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支持AC24V±25%宽电压输入，支持HI-POE</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支持G-SENSOR方位功能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支持GPS/北斗定位功能</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支持双频mac采集(2.4G/2.4G+5.8G)，2.4G采集距离全向超过300米</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5、全结构化网络摄像机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图像传感器：1/1.2英寸CMOS；</w:t>
      </w:r>
    </w:p>
    <w:p>
      <w:pPr>
        <w:spacing w:line="360" w:lineRule="auto"/>
        <w:ind w:firstLine="420"/>
        <w:rPr>
          <w:rFonts w:ascii="微软雅黑" w:hAnsi="微软雅黑" w:eastAsia="微软雅黑"/>
          <w:szCs w:val="21"/>
        </w:rPr>
      </w:pPr>
      <w:r>
        <w:rPr>
          <w:rFonts w:hint="eastAsia" w:ascii="微软雅黑" w:hAnsi="微软雅黑" w:eastAsia="微软雅黑"/>
          <w:szCs w:val="21"/>
        </w:rPr>
        <w:t>像素：800万像素，低照度效果好，图像清晰度高；</w:t>
      </w:r>
    </w:p>
    <w:p>
      <w:pPr>
        <w:spacing w:line="360" w:lineRule="auto"/>
        <w:ind w:firstLine="420"/>
        <w:rPr>
          <w:rFonts w:ascii="微软雅黑" w:hAnsi="微软雅黑" w:eastAsia="微软雅黑"/>
          <w:szCs w:val="21"/>
        </w:rPr>
      </w:pPr>
      <w:r>
        <w:rPr>
          <w:rFonts w:hint="eastAsia" w:ascii="微软雅黑" w:hAnsi="微软雅黑" w:eastAsia="微软雅黑"/>
          <w:szCs w:val="21"/>
        </w:rPr>
        <w:t>摄像机靶面尺寸1/1.2英寸</w:t>
      </w:r>
      <w:r>
        <w:rPr>
          <w:rFonts w:hint="eastAsia" w:ascii="微软雅黑" w:hAnsi="微软雅黑" w:eastAsia="微软雅黑"/>
          <w:b/>
          <w:szCs w:val="21"/>
        </w:rPr>
        <w:t>；（提供相关检测报告复印件做在投标文件中）</w:t>
      </w:r>
    </w:p>
    <w:p>
      <w:pPr>
        <w:spacing w:line="360" w:lineRule="auto"/>
        <w:ind w:firstLine="420"/>
        <w:rPr>
          <w:rFonts w:ascii="微软雅黑" w:hAnsi="微软雅黑" w:eastAsia="微软雅黑"/>
          <w:szCs w:val="21"/>
        </w:rPr>
      </w:pPr>
      <w:r>
        <w:rPr>
          <w:rFonts w:hint="eastAsia" w:ascii="微软雅黑" w:hAnsi="微软雅黑" w:eastAsia="微软雅黑"/>
          <w:szCs w:val="21"/>
        </w:rPr>
        <w:t>最大可输出800万(3840×2160)@25fps；</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支持H.265编码，压缩比高，实现超低码流传输；</w:t>
      </w:r>
    </w:p>
    <w:p>
      <w:pPr>
        <w:spacing w:line="360" w:lineRule="auto"/>
        <w:ind w:firstLine="420"/>
        <w:rPr>
          <w:rFonts w:ascii="微软雅黑" w:hAnsi="微软雅黑" w:eastAsia="微软雅黑"/>
          <w:szCs w:val="21"/>
        </w:rPr>
      </w:pPr>
      <w:r>
        <w:rPr>
          <w:rFonts w:hint="eastAsia" w:ascii="微软雅黑" w:hAnsi="微软雅黑" w:eastAsia="微软雅黑"/>
          <w:szCs w:val="21"/>
        </w:rPr>
        <w:t>最低照度：</w:t>
      </w:r>
    </w:p>
    <w:p>
      <w:pPr>
        <w:spacing w:line="360" w:lineRule="auto"/>
        <w:ind w:firstLine="420"/>
        <w:rPr>
          <w:rFonts w:ascii="微软雅黑" w:hAnsi="微软雅黑" w:eastAsia="微软雅黑"/>
          <w:szCs w:val="21"/>
        </w:rPr>
      </w:pPr>
      <w:r>
        <w:rPr>
          <w:rFonts w:hint="eastAsia" w:ascii="微软雅黑" w:hAnsi="微软雅黑" w:eastAsia="微软雅黑"/>
          <w:szCs w:val="21"/>
        </w:rPr>
        <w:t>彩色：≤0.0002lx（AGC ON，RJ45输出，应能分辨反射式视频矩阵测试卡中彩色色块；</w:t>
      </w:r>
    </w:p>
    <w:p>
      <w:pPr>
        <w:spacing w:line="360" w:lineRule="auto"/>
        <w:ind w:firstLine="420"/>
        <w:rPr>
          <w:rFonts w:ascii="微软雅黑" w:hAnsi="微软雅黑" w:eastAsia="微软雅黑"/>
          <w:szCs w:val="21"/>
        </w:rPr>
      </w:pPr>
      <w:r>
        <w:rPr>
          <w:rFonts w:hint="eastAsia" w:ascii="微软雅黑" w:hAnsi="微软雅黑" w:eastAsia="微软雅黑"/>
          <w:szCs w:val="21"/>
        </w:rPr>
        <w:t>黑白：≤0.0001lx（AGC ON，RJ45输出，能分辨反射式视频分辨率测试卡中圆形轮廓</w:t>
      </w:r>
      <w:r>
        <w:rPr>
          <w:rFonts w:hint="eastAsia" w:ascii="微软雅黑" w:hAnsi="微软雅黑" w:eastAsia="微软雅黑"/>
          <w:b/>
          <w:szCs w:val="21"/>
        </w:rPr>
        <w:t>；</w:t>
      </w:r>
    </w:p>
    <w:p>
      <w:pPr>
        <w:spacing w:line="360" w:lineRule="auto"/>
        <w:ind w:firstLine="420"/>
        <w:rPr>
          <w:rFonts w:ascii="微软雅黑" w:hAnsi="微软雅黑" w:eastAsia="微软雅黑"/>
          <w:szCs w:val="21"/>
        </w:rPr>
      </w:pPr>
      <w:r>
        <w:rPr>
          <w:rFonts w:hint="eastAsia" w:ascii="微软雅黑" w:hAnsi="微软雅黑" w:eastAsia="微软雅黑"/>
          <w:szCs w:val="21"/>
        </w:rPr>
        <w:t>内置GPU芯片，支持深度学习算法，有效提升检测准确率</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支持超景深技术：景深可独立调节，不依赖光圈，最大光圈下景深仍可覆盖全场景目标。</w:t>
      </w:r>
    </w:p>
    <w:p>
      <w:pPr>
        <w:spacing w:line="360" w:lineRule="auto"/>
        <w:ind w:firstLine="420"/>
        <w:rPr>
          <w:rFonts w:ascii="微软雅黑" w:hAnsi="微软雅黑" w:eastAsia="微软雅黑"/>
          <w:szCs w:val="21"/>
        </w:rPr>
      </w:pPr>
      <w:r>
        <w:rPr>
          <w:rFonts w:hint="eastAsia" w:ascii="微软雅黑" w:hAnsi="微软雅黑" w:eastAsia="微软雅黑"/>
          <w:szCs w:val="21"/>
        </w:rPr>
        <w:t>web界面上具有景深扩展模式选项，在相同图像参数、光圈设置的情况下，开启景深扩招功能，可使设置景深变大，使前后边缘处看到的景象更清晰</w:t>
      </w:r>
      <w:r>
        <w:rPr>
          <w:rFonts w:hint="eastAsia" w:ascii="微软雅黑" w:hAnsi="微软雅黑" w:eastAsia="微软雅黑"/>
          <w:b/>
          <w:szCs w:val="21"/>
        </w:rPr>
        <w:t>；（提供相关检测报告复印件做在投标文件中）</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支持四种智能资源切换：通用行为分析、人群密度、热度图，视频结构化</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支持视频结构化：支持机动车、非机动车、人脸、人员等目标的抓拍和属性识别</w:t>
      </w:r>
    </w:p>
    <w:p>
      <w:pPr>
        <w:spacing w:line="360" w:lineRule="auto"/>
        <w:ind w:firstLine="420"/>
        <w:rPr>
          <w:rFonts w:ascii="微软雅黑" w:hAnsi="微软雅黑" w:eastAsia="微软雅黑"/>
          <w:szCs w:val="21"/>
        </w:rPr>
      </w:pPr>
      <w:r>
        <w:rPr>
          <w:rFonts w:hint="eastAsia" w:ascii="微软雅黑" w:hAnsi="微软雅黑" w:eastAsia="微软雅黑"/>
          <w:szCs w:val="21"/>
        </w:rPr>
        <w:t>可分别检测以下情况的人脸：</w:t>
      </w:r>
      <w:r>
        <w:rPr>
          <w:rFonts w:hint="eastAsia" w:ascii="微软雅黑" w:hAnsi="微软雅黑" w:eastAsia="微软雅黑"/>
          <w:b/>
          <w:szCs w:val="21"/>
        </w:rPr>
        <w:t>（提供相关检测报告复印件做在投标文件中）；</w:t>
      </w:r>
    </w:p>
    <w:p>
      <w:pPr>
        <w:spacing w:line="360" w:lineRule="auto"/>
        <w:ind w:firstLine="420"/>
        <w:rPr>
          <w:rFonts w:ascii="微软雅黑" w:hAnsi="微软雅黑" w:eastAsia="微软雅黑"/>
          <w:szCs w:val="21"/>
        </w:rPr>
      </w:pPr>
      <w:r>
        <w:rPr>
          <w:rFonts w:hint="eastAsia" w:ascii="微软雅黑" w:hAnsi="微软雅黑" w:eastAsia="微软雅黑"/>
          <w:szCs w:val="21"/>
        </w:rPr>
        <w:t>1） 水平转动角度不大于±90°</w:t>
      </w:r>
    </w:p>
    <w:p>
      <w:pPr>
        <w:spacing w:line="360" w:lineRule="auto"/>
        <w:ind w:firstLine="420"/>
        <w:rPr>
          <w:rFonts w:ascii="微软雅黑" w:hAnsi="微软雅黑" w:eastAsia="微软雅黑"/>
          <w:szCs w:val="21"/>
        </w:rPr>
      </w:pPr>
      <w:r>
        <w:rPr>
          <w:rFonts w:hint="eastAsia" w:ascii="微软雅黑" w:hAnsi="微软雅黑" w:eastAsia="微软雅黑"/>
          <w:szCs w:val="21"/>
        </w:rPr>
        <w:t>2） 垂直俯仰角度不大于±60°</w:t>
      </w:r>
    </w:p>
    <w:p>
      <w:pPr>
        <w:spacing w:line="360" w:lineRule="auto"/>
        <w:ind w:firstLine="420"/>
        <w:rPr>
          <w:rFonts w:ascii="微软雅黑" w:hAnsi="微软雅黑" w:eastAsia="微软雅黑"/>
          <w:szCs w:val="21"/>
        </w:rPr>
      </w:pPr>
      <w:r>
        <w:rPr>
          <w:rFonts w:hint="eastAsia" w:ascii="微软雅黑" w:hAnsi="微软雅黑" w:eastAsia="微软雅黑"/>
          <w:szCs w:val="21"/>
        </w:rPr>
        <w:t>3） 垂直倾斜角度不大于±45°</w:t>
      </w:r>
    </w:p>
    <w:p>
      <w:pPr>
        <w:spacing w:line="360" w:lineRule="auto"/>
        <w:ind w:firstLine="420"/>
        <w:rPr>
          <w:rFonts w:ascii="微软雅黑" w:hAnsi="微软雅黑" w:eastAsia="微软雅黑"/>
          <w:szCs w:val="21"/>
        </w:rPr>
      </w:pPr>
      <w:r>
        <w:rPr>
          <w:rFonts w:hint="eastAsia" w:ascii="微软雅黑" w:hAnsi="微软雅黑" w:eastAsia="微软雅黑"/>
          <w:szCs w:val="21"/>
        </w:rPr>
        <w:t>开启人脸去重功能后，采用5人依次循环通行进行试验，通过速度不小于1m/s，人员通过时间间隔不小于1s，试验次数100人次，在设置的时间内，重复抓拍同一人脸次数不大于1次；</w:t>
      </w:r>
    </w:p>
    <w:p>
      <w:pPr>
        <w:spacing w:line="360" w:lineRule="auto"/>
        <w:ind w:firstLine="420"/>
        <w:rPr>
          <w:rFonts w:ascii="微软雅黑" w:hAnsi="微软雅黑" w:eastAsia="微软雅黑"/>
          <w:szCs w:val="21"/>
        </w:rPr>
      </w:pPr>
      <w:r>
        <w:rPr>
          <w:rFonts w:hint="eastAsia" w:ascii="微软雅黑" w:hAnsi="微软雅黑" w:eastAsia="微软雅黑"/>
          <w:szCs w:val="21"/>
        </w:rPr>
        <w:t>可识别通过监视画面中的机动车品牌标志，不少于320种；</w:t>
      </w:r>
    </w:p>
    <w:p>
      <w:pPr>
        <w:spacing w:line="360" w:lineRule="auto"/>
        <w:ind w:firstLine="420"/>
        <w:rPr>
          <w:rFonts w:ascii="微软雅黑" w:hAnsi="微软雅黑" w:eastAsia="微软雅黑"/>
          <w:szCs w:val="21"/>
        </w:rPr>
      </w:pPr>
      <w:r>
        <w:rPr>
          <w:rFonts w:hint="eastAsia" w:ascii="微软雅黑" w:hAnsi="微软雅黑" w:eastAsia="微软雅黑"/>
          <w:szCs w:val="21"/>
        </w:rPr>
        <w:t>可显示通过监视画面中的机动车子品牌及对应年款，显示车头子品牌及对应年款不少于7500种；</w:t>
      </w:r>
    </w:p>
    <w:p>
      <w:pPr>
        <w:spacing w:line="360" w:lineRule="auto"/>
        <w:ind w:firstLine="420"/>
        <w:rPr>
          <w:rFonts w:ascii="微软雅黑" w:hAnsi="微软雅黑" w:eastAsia="微软雅黑"/>
          <w:szCs w:val="21"/>
        </w:rPr>
      </w:pPr>
      <w:r>
        <w:rPr>
          <w:rFonts w:hint="eastAsia" w:ascii="微软雅黑" w:hAnsi="微软雅黑" w:eastAsia="微软雅黑"/>
          <w:szCs w:val="21"/>
        </w:rPr>
        <w:t>绊线入侵，区域入侵，快速移动，物品遗留，物品搬移，徘徊检测，人员聚集，停车检测；</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当触发动检或报警时，视频录像帧率应自动调整至设定值，设定范围1~30帧/秒；</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支持走廊模式，宽动态，3D降噪，强光抑制，背光补偿，数字水印，适用不同监控环境；</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支持ROI，SMART H.264/H.265，灵活编码，适用不同带宽和存储环境；</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支持报警2进2出，音频2进1出，485，BNC，最大支持256G Micro SD卡，内置MIC；</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支持AC24V供电方式，支持12V电源返送，最大电流165mA,方便工程安装；</w:t>
      </w: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6、</w:t>
      </w:r>
      <w:r>
        <w:rPr>
          <w:rFonts w:hint="eastAsia" w:ascii="微软雅黑" w:hAnsi="微软雅黑" w:eastAsia="微软雅黑"/>
          <w:szCs w:val="21"/>
        </w:rPr>
        <w:t>存储设备、交换机</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6</w:t>
      </w:r>
      <w:r>
        <w:rPr>
          <w:rFonts w:ascii="微软雅黑" w:hAnsi="微软雅黑" w:eastAsia="微软雅黑"/>
          <w:b/>
          <w:szCs w:val="21"/>
        </w:rPr>
        <w:t>.1</w:t>
      </w:r>
      <w:r>
        <w:rPr>
          <w:rFonts w:hint="eastAsia" w:ascii="微软雅黑" w:hAnsi="微软雅黑" w:eastAsia="微软雅黑"/>
          <w:b/>
          <w:szCs w:val="21"/>
        </w:rPr>
        <w:t>视频存储</w:t>
      </w:r>
    </w:p>
    <w:p>
      <w:pPr>
        <w:spacing w:line="360" w:lineRule="auto"/>
        <w:ind w:firstLine="420"/>
        <w:rPr>
          <w:rFonts w:ascii="微软雅黑" w:hAnsi="微软雅黑" w:eastAsia="微软雅黑"/>
          <w:szCs w:val="21"/>
        </w:rPr>
      </w:pPr>
      <w:r>
        <w:rPr>
          <w:rFonts w:hint="eastAsia" w:ascii="微软雅黑" w:hAnsi="微软雅黑" w:eastAsia="微软雅黑"/>
          <w:szCs w:val="21"/>
        </w:rPr>
        <w:t>机架式/8U48盘位/2048Mbps接入带宽 /可定制支持SAS扩展柜/双64位多核处理器，8GB高速缓存（可扩展到128GB）,4个千兆网口（可扩展至6个千兆）/冗余电源/支持流媒体1:1:1接入存储转发/视频流、图片、SMART、视频文件混合直写/智能事件检索、精确定位、浓缩播放/RAID 0、1、3、5、6、10、50，60/网络协议：RTSP/ONVIF/PSIA/SIP（GB/T28181）/iSCSI/NFS/CIFS/FTP/HTTP/AFP</w:t>
      </w:r>
    </w:p>
    <w:p>
      <w:pPr>
        <w:spacing w:line="360" w:lineRule="auto"/>
        <w:ind w:firstLine="420"/>
        <w:rPr>
          <w:rFonts w:ascii="微软雅黑" w:hAnsi="微软雅黑" w:eastAsia="微软雅黑"/>
          <w:szCs w:val="21"/>
        </w:rPr>
      </w:pPr>
      <w:r>
        <w:rPr>
          <w:rFonts w:hint="eastAsia" w:ascii="微软雅黑" w:hAnsi="微软雅黑" w:eastAsia="微软雅黑"/>
          <w:szCs w:val="21"/>
        </w:rPr>
        <w:t>单设备应配置≥两颗64位多核处理器，≥8GB内存，内存支持扩展到≥256GB，需配置冗余金牌电源；</w:t>
      </w:r>
    </w:p>
    <w:p>
      <w:pPr>
        <w:spacing w:line="360" w:lineRule="auto"/>
        <w:ind w:firstLine="420"/>
        <w:rPr>
          <w:rFonts w:ascii="微软雅黑" w:hAnsi="微软雅黑" w:eastAsia="微软雅黑"/>
          <w:szCs w:val="21"/>
        </w:rPr>
      </w:pPr>
      <w:r>
        <w:rPr>
          <w:rFonts w:hint="eastAsia" w:ascii="微软雅黑" w:hAnsi="微软雅黑" w:eastAsia="微软雅黑"/>
          <w:szCs w:val="21"/>
        </w:rPr>
        <w:t>单设备应标配≥4个千兆网口，可增扩≥2个万兆口或≥4个光纤接口，并可增扩2个SSD固态硬盘；</w:t>
      </w:r>
    </w:p>
    <w:p>
      <w:pPr>
        <w:spacing w:line="360" w:lineRule="auto"/>
        <w:ind w:firstLine="420"/>
        <w:rPr>
          <w:rFonts w:ascii="微软雅黑" w:hAnsi="微软雅黑" w:eastAsia="微软雅黑"/>
          <w:szCs w:val="21"/>
        </w:rPr>
      </w:pPr>
      <w:r>
        <w:rPr>
          <w:rFonts w:hint="eastAsia" w:ascii="微软雅黑" w:hAnsi="微软雅黑" w:eastAsia="微软雅黑"/>
          <w:szCs w:val="21"/>
        </w:rPr>
        <w:t>应支持FCSAN、IPSAN、NAS存储功能；</w:t>
      </w:r>
    </w:p>
    <w:p>
      <w:pPr>
        <w:spacing w:line="360" w:lineRule="auto"/>
        <w:ind w:firstLine="420"/>
        <w:rPr>
          <w:rFonts w:ascii="微软雅黑" w:hAnsi="微软雅黑" w:eastAsia="微软雅黑"/>
          <w:b/>
          <w:szCs w:val="21"/>
        </w:rPr>
      </w:pPr>
      <w:r>
        <w:rPr>
          <w:rFonts w:ascii="微软雅黑" w:hAnsi="微软雅黑" w:eastAsia="微软雅黑"/>
          <w:b/>
          <w:szCs w:val="21"/>
        </w:rPr>
        <w:t>6.2</w:t>
      </w:r>
      <w:r>
        <w:rPr>
          <w:rFonts w:hint="eastAsia" w:ascii="微软雅黑" w:hAnsi="微软雅黑" w:eastAsia="微软雅黑"/>
          <w:b/>
          <w:szCs w:val="21"/>
        </w:rPr>
        <w:t>、人脸、车辆卡口图片存储</w:t>
      </w:r>
    </w:p>
    <w:p>
      <w:pPr>
        <w:spacing w:line="360" w:lineRule="auto"/>
        <w:ind w:firstLine="420"/>
        <w:rPr>
          <w:rFonts w:ascii="微软雅黑" w:hAnsi="微软雅黑" w:eastAsia="微软雅黑"/>
          <w:szCs w:val="21"/>
        </w:rPr>
      </w:pPr>
      <w:r>
        <w:rPr>
          <w:rFonts w:hint="eastAsia" w:ascii="微软雅黑" w:hAnsi="微软雅黑" w:eastAsia="微软雅黑"/>
          <w:szCs w:val="21"/>
        </w:rPr>
        <w:t>采用64位高性能多核处理器，保障了海量数据处理的稳定性</w:t>
      </w:r>
    </w:p>
    <w:p>
      <w:pPr>
        <w:spacing w:line="360" w:lineRule="auto"/>
        <w:ind w:firstLine="420"/>
        <w:rPr>
          <w:rFonts w:ascii="微软雅黑" w:hAnsi="微软雅黑" w:eastAsia="微软雅黑"/>
          <w:szCs w:val="21"/>
        </w:rPr>
      </w:pPr>
      <w:r>
        <w:rPr>
          <w:rFonts w:hint="eastAsia" w:ascii="微软雅黑" w:hAnsi="微软雅黑" w:eastAsia="微软雅黑"/>
          <w:szCs w:val="21"/>
        </w:rPr>
        <w:t>采用模块化、抽拉式、无线缆设计，保障了系统易维护性</w:t>
      </w:r>
    </w:p>
    <w:p>
      <w:pPr>
        <w:spacing w:line="360" w:lineRule="auto"/>
        <w:ind w:firstLine="420"/>
        <w:rPr>
          <w:rFonts w:ascii="微软雅黑" w:hAnsi="微软雅黑" w:eastAsia="微软雅黑"/>
          <w:szCs w:val="21"/>
        </w:rPr>
      </w:pPr>
      <w:r>
        <w:rPr>
          <w:rFonts w:ascii="微软雅黑" w:hAnsi="微软雅黑" w:eastAsia="微软雅黑"/>
          <w:szCs w:val="21"/>
        </w:rPr>
        <w:t>8U精细化机箱，</w:t>
      </w:r>
      <w:r>
        <w:rPr>
          <w:rFonts w:hint="eastAsia" w:ascii="微软雅黑" w:hAnsi="微软雅黑" w:eastAsia="微软雅黑"/>
          <w:szCs w:val="21"/>
        </w:rPr>
        <w:t>包含</w:t>
      </w:r>
      <w:r>
        <w:rPr>
          <w:rFonts w:ascii="微软雅黑" w:hAnsi="微软雅黑" w:eastAsia="微软雅黑"/>
          <w:szCs w:val="21"/>
        </w:rPr>
        <w:t>48块</w:t>
      </w:r>
      <w:r>
        <w:rPr>
          <w:rFonts w:hint="eastAsia" w:ascii="微软雅黑" w:hAnsi="微软雅黑" w:eastAsia="微软雅黑"/>
          <w:szCs w:val="21"/>
        </w:rPr>
        <w:t>企业级</w:t>
      </w:r>
      <w:r>
        <w:rPr>
          <w:rFonts w:ascii="微软雅黑" w:hAnsi="微软雅黑" w:eastAsia="微软雅黑"/>
          <w:szCs w:val="21"/>
        </w:rPr>
        <w:t>硬盘；</w:t>
      </w:r>
    </w:p>
    <w:p>
      <w:pPr>
        <w:spacing w:line="360" w:lineRule="auto"/>
        <w:ind w:firstLine="420"/>
        <w:rPr>
          <w:rFonts w:ascii="微软雅黑" w:hAnsi="微软雅黑" w:eastAsia="微软雅黑"/>
          <w:szCs w:val="21"/>
        </w:rPr>
      </w:pPr>
      <w:r>
        <w:rPr>
          <w:rFonts w:hint="eastAsia" w:ascii="微软雅黑" w:hAnsi="微软雅黑" w:eastAsia="微软雅黑"/>
          <w:szCs w:val="21"/>
        </w:rPr>
        <w:t>最大支持扩展4个千兆以太网口或者2个万兆接口</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支持300路*2Mb并发录像；图片存储支持400路写入；</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支持3.5寸，2.5寸SATA（1T、2T、3T、4T），支持不同容量磁盘混插</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支持磁盘热插拔、在线更换、在线扩容，</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支持视频流、图片、音频直存功能，非文件系统，永无文件碎片</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支持录像秒级定位，秒级时移回放功能</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支持不低于3</w:t>
      </w:r>
      <w:r>
        <w:rPr>
          <w:rFonts w:ascii="微软雅黑" w:hAnsi="微软雅黑" w:eastAsia="微软雅黑"/>
          <w:szCs w:val="21"/>
        </w:rPr>
        <w:t>84M</w:t>
      </w:r>
      <w:r>
        <w:rPr>
          <w:rFonts w:hint="eastAsia" w:ascii="微软雅黑" w:hAnsi="微软雅黑" w:eastAsia="微软雅黑"/>
          <w:szCs w:val="21"/>
        </w:rPr>
        <w:t>bps高速预览、回放、下载</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支持视频在线剪辑，支持录像按时间下载，支持录像文件高速下载；</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支持录像锁定功能，锁定的录像不可被覆写</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支持1</w:t>
      </w:r>
      <w:r>
        <w:rPr>
          <w:rFonts w:ascii="微软雅黑" w:hAnsi="微软雅黑" w:eastAsia="微软雅黑"/>
          <w:szCs w:val="21"/>
        </w:rPr>
        <w:t>/16</w:t>
      </w:r>
      <w:r>
        <w:rPr>
          <w:rFonts w:hint="eastAsia" w:ascii="微软雅黑" w:hAnsi="微软雅黑" w:eastAsia="微软雅黑"/>
          <w:szCs w:val="21"/>
        </w:rPr>
        <w:t>，1/8，1</w:t>
      </w:r>
      <w:r>
        <w:rPr>
          <w:rFonts w:ascii="微软雅黑" w:hAnsi="微软雅黑" w:eastAsia="微软雅黑"/>
          <w:szCs w:val="21"/>
        </w:rPr>
        <w:t>/4</w:t>
      </w:r>
      <w:r>
        <w:rPr>
          <w:rFonts w:hint="eastAsia" w:ascii="微软雅黑" w:hAnsi="微软雅黑" w:eastAsia="微软雅黑"/>
          <w:szCs w:val="21"/>
        </w:rPr>
        <w:t>，1/2,1</w:t>
      </w:r>
      <w:r>
        <w:rPr>
          <w:rFonts w:ascii="微软雅黑" w:hAnsi="微软雅黑" w:eastAsia="微软雅黑"/>
          <w:szCs w:val="21"/>
        </w:rPr>
        <w:t>X</w:t>
      </w:r>
      <w:r>
        <w:rPr>
          <w:rFonts w:hint="eastAsia" w:ascii="微软雅黑" w:hAnsi="微软雅黑" w:eastAsia="微软雅黑"/>
          <w:szCs w:val="21"/>
        </w:rPr>
        <w:t>、2X、4</w:t>
      </w:r>
      <w:r>
        <w:rPr>
          <w:rFonts w:ascii="微软雅黑" w:hAnsi="微软雅黑" w:eastAsia="微软雅黑"/>
          <w:szCs w:val="21"/>
        </w:rPr>
        <w:t>X</w:t>
      </w:r>
      <w:r>
        <w:rPr>
          <w:rFonts w:hint="eastAsia" w:ascii="微软雅黑" w:hAnsi="微软雅黑" w:eastAsia="微软雅黑"/>
          <w:szCs w:val="21"/>
        </w:rPr>
        <w:t>、8X、16</w:t>
      </w:r>
      <w:r>
        <w:rPr>
          <w:rFonts w:ascii="微软雅黑" w:hAnsi="微软雅黑" w:eastAsia="微软雅黑"/>
          <w:szCs w:val="21"/>
        </w:rPr>
        <w:t>X</w:t>
      </w:r>
      <w:r>
        <w:rPr>
          <w:rFonts w:hint="eastAsia" w:ascii="微软雅黑" w:hAnsi="微软雅黑" w:eastAsia="微软雅黑"/>
          <w:szCs w:val="21"/>
        </w:rPr>
        <w:t>回放</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支持前端断线续传</w:t>
      </w:r>
    </w:p>
    <w:p>
      <w:pPr>
        <w:spacing w:line="360" w:lineRule="auto"/>
        <w:ind w:firstLine="420"/>
        <w:rPr>
          <w:rFonts w:ascii="微软雅黑" w:hAnsi="微软雅黑" w:eastAsia="微软雅黑"/>
          <w:szCs w:val="21"/>
        </w:rPr>
      </w:pPr>
      <w:r>
        <w:rPr>
          <w:rFonts w:hint="eastAsia" w:ascii="微软雅黑" w:hAnsi="微软雅黑" w:eastAsia="微软雅黑"/>
          <w:szCs w:val="21"/>
        </w:rPr>
        <w:t>冗余控制：RAID 冗余，冗余电源，冗余风扇，全局热备冗余；</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支持存储断线故障，自动切换功能，主备机之间切换时间少于200秒；</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支持N+M集群</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支持S</w:t>
      </w:r>
      <w:r>
        <w:rPr>
          <w:rFonts w:ascii="微软雅黑" w:hAnsi="微软雅黑" w:eastAsia="微软雅黑"/>
          <w:szCs w:val="21"/>
        </w:rPr>
        <w:t>SD</w:t>
      </w:r>
      <w:r>
        <w:rPr>
          <w:rFonts w:hint="eastAsia" w:ascii="微软雅黑" w:hAnsi="微软雅黑" w:eastAsia="微软雅黑"/>
          <w:szCs w:val="21"/>
        </w:rPr>
        <w:t>防掉电模块</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支持白名单IP地址对本机校时</w:t>
      </w:r>
    </w:p>
    <w:p>
      <w:pPr>
        <w:spacing w:line="360" w:lineRule="auto"/>
        <w:ind w:firstLine="420"/>
        <w:rPr>
          <w:rFonts w:ascii="微软雅黑" w:hAnsi="微软雅黑" w:eastAsia="微软雅黑"/>
          <w:szCs w:val="21"/>
        </w:rPr>
      </w:pPr>
      <w:r>
        <w:rPr>
          <w:rFonts w:hint="eastAsia" w:ascii="微软雅黑" w:hAnsi="微软雅黑" w:eastAsia="微软雅黑"/>
          <w:szCs w:val="21"/>
        </w:rPr>
        <w:t>支持智能风扇调速，支持智能CPU调频等功能</w:t>
      </w:r>
    </w:p>
    <w:p>
      <w:pPr>
        <w:spacing w:line="360" w:lineRule="auto"/>
        <w:ind w:firstLine="420"/>
        <w:rPr>
          <w:rFonts w:ascii="微软雅黑" w:hAnsi="微软雅黑" w:eastAsia="微软雅黑"/>
          <w:szCs w:val="21"/>
        </w:rPr>
      </w:pPr>
      <w:r>
        <w:rPr>
          <w:rFonts w:hint="eastAsia" w:ascii="微软雅黑" w:hAnsi="微软雅黑" w:eastAsia="微软雅黑"/>
          <w:szCs w:val="21"/>
        </w:rPr>
        <w:t>完全标准化设备，兼容各类软件平台</w:t>
      </w:r>
    </w:p>
    <w:p>
      <w:pPr>
        <w:spacing w:line="360" w:lineRule="auto"/>
        <w:ind w:firstLine="420"/>
        <w:rPr>
          <w:rFonts w:ascii="微软雅黑" w:hAnsi="微软雅黑" w:eastAsia="微软雅黑"/>
          <w:b/>
          <w:szCs w:val="21"/>
        </w:rPr>
      </w:pPr>
      <w:r>
        <w:rPr>
          <w:rFonts w:ascii="微软雅黑" w:hAnsi="微软雅黑" w:eastAsia="微软雅黑"/>
          <w:b/>
          <w:szCs w:val="21"/>
        </w:rPr>
        <w:t>6.3</w:t>
      </w:r>
      <w:r>
        <w:rPr>
          <w:rFonts w:hint="eastAsia" w:ascii="微软雅黑" w:hAnsi="微软雅黑" w:eastAsia="微软雅黑"/>
          <w:b/>
          <w:szCs w:val="21"/>
        </w:rPr>
        <w:t>、流媒体服务器</w:t>
      </w:r>
    </w:p>
    <w:p>
      <w:pPr>
        <w:spacing w:line="360" w:lineRule="auto"/>
        <w:ind w:firstLine="420" w:firstLineChars="200"/>
        <w:rPr>
          <w:rFonts w:hint="eastAsia" w:ascii="微软雅黑" w:hAnsi="微软雅黑" w:eastAsia="微软雅黑"/>
          <w:szCs w:val="21"/>
        </w:rPr>
      </w:pPr>
      <w:r>
        <w:rPr>
          <w:rFonts w:hint="eastAsia" w:ascii="微软雅黑" w:hAnsi="微软雅黑" w:eastAsia="微软雅黑"/>
          <w:szCs w:val="21"/>
        </w:rPr>
        <w:t>配合管理节点，做设备及数据的接入、存储和转发功能；</w:t>
      </w:r>
    </w:p>
    <w:p>
      <w:pPr>
        <w:spacing w:line="360" w:lineRule="auto"/>
        <w:ind w:firstLine="420" w:firstLineChars="200"/>
        <w:rPr>
          <w:rFonts w:hint="eastAsia" w:ascii="微软雅黑" w:hAnsi="微软雅黑" w:eastAsia="微软雅黑"/>
          <w:b/>
          <w:szCs w:val="21"/>
        </w:rPr>
      </w:pPr>
      <w:r>
        <w:rPr>
          <w:rFonts w:hint="eastAsia" w:ascii="微软雅黑" w:hAnsi="微软雅黑" w:eastAsia="微软雅黑"/>
          <w:szCs w:val="21"/>
        </w:rPr>
        <w:t>CPU：1颗Hygon 3135 3.2G 8M 4核 75W CPU内存：1条16GB DDR4 2666 REG内存硬盘：1块1T，3.5吋 6Gb SATA 企业级机械硬盘网口：8个千兆网口</w:t>
      </w:r>
    </w:p>
    <w:p>
      <w:pPr>
        <w:spacing w:line="360" w:lineRule="auto"/>
        <w:ind w:firstLine="420" w:firstLineChars="200"/>
        <w:rPr>
          <w:rFonts w:hint="eastAsia" w:ascii="微软雅黑" w:hAnsi="微软雅黑" w:eastAsia="微软雅黑"/>
          <w:b/>
          <w:szCs w:val="21"/>
        </w:rPr>
      </w:pPr>
      <w:r>
        <w:rPr>
          <w:rFonts w:ascii="微软雅黑" w:hAnsi="微软雅黑" w:eastAsia="微软雅黑"/>
          <w:b/>
          <w:szCs w:val="21"/>
        </w:rPr>
        <w:t>6.4</w:t>
      </w:r>
      <w:r>
        <w:rPr>
          <w:rFonts w:hint="eastAsia" w:ascii="微软雅黑" w:hAnsi="微软雅黑" w:eastAsia="微软雅黑"/>
          <w:b/>
          <w:szCs w:val="21"/>
        </w:rPr>
        <w:t>交换机</w:t>
      </w:r>
    </w:p>
    <w:p>
      <w:pPr>
        <w:spacing w:line="360" w:lineRule="auto"/>
        <w:ind w:firstLine="420" w:firstLineChars="200"/>
        <w:rPr>
          <w:rFonts w:hint="eastAsia" w:ascii="微软雅黑" w:hAnsi="微软雅黑" w:eastAsia="微软雅黑"/>
          <w:b/>
          <w:szCs w:val="21"/>
        </w:rPr>
      </w:pPr>
      <w:r>
        <w:rPr>
          <w:rFonts w:hint="eastAsia" w:ascii="微软雅黑" w:hAnsi="微软雅黑" w:eastAsia="微软雅黑"/>
          <w:b/>
          <w:szCs w:val="21"/>
        </w:rPr>
        <w:t>按照本项目特征，视频图像数据传输要求配备。</w:t>
      </w: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7、应用服务器-A1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配置≥2个英特尔至强4110处理器(带散热器)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600GB SAS 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0/1/10/5/6，2G缓存 掉电保护</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8、应用服务器-A2</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配置≥2个英特尔至强4116处理器(带散热器)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600GB SAS 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0/1/10/5/6，2G缓存 掉电保护</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ind w:firstLine="420" w:firstLineChars="200"/>
        <w:rPr>
          <w:rFonts w:hint="eastAsia" w:ascii="微软雅黑" w:hAnsi="微软雅黑" w:eastAsia="微软雅黑"/>
          <w:b/>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9、应用服务器-B1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600GB SAS 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0/1/10/5/6，2G缓存 掉电保护</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10、存储服务器-A1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配置≥2个英特尔至强5115处理器(带散热器)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内存配置容量：≥4根32GB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600GB SAS 盘+16块1.2T SAS盘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0/1/10/5/6，2G缓存 掉电保护</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11、存储管理服务器-A1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配置≥2个英特尔至强5115处理器(带散热器)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内存配置容量：≥8根32GB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内置原厂硬盘配置：≥6块 600GB SAS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0/1/10/5/6，2G缓存 掉电保护</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b/>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服务器管理系统支持国产自研管理芯片，芯片厂家为国产厂家（提供证明材料复印件放到投标文件中）。</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12、应用服务器-A3</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配置≥2个英特尔至强6126处理器(带散热器)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内存配置容量：配置512G内存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内置原厂硬盘配置：≥2块240GB SSD 硬盘+6块1920G SSD盘+5块8T SATA盘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配置独立的磁盘阵列卡，支持RAID 0/1/10/5/50/6/60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GPU卡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8块T4卡</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13、存储服务器-A2</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内存配置容量：≥256GB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600GB SAS硬盘+3块1600G NVME SSD盘+7块8T SATA盘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r>
              <w:rPr>
                <w:rFonts w:hint="eastAsia" w:ascii="微软雅黑" w:hAnsi="微软雅黑" w:eastAsia="微软雅黑" w:cs="宋体"/>
                <w:szCs w:val="21"/>
              </w:rPr>
              <w:br w:type="textWrapping"/>
            </w: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r>
              <w:rPr>
                <w:rFonts w:hint="eastAsia"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14、应用服务器-A4</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配置≥2个英特尔至强6230处理器(带散热器)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内存配置容量：≥512 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内置原厂硬盘配置：≥2块240GB SSD 硬盘+6块1920G SSD盘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配置独立的磁盘阵列卡，支持RAID 0/1/10/5/50/6/60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GPU卡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8块T4卡</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15、存储服务器-B1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内存配置容量：≥256GB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内置原厂硬盘配置：≥2块960GB SSD硬盘+7块6T SATA盘+2*1.92T SSD盘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r>
              <w:rPr>
                <w:rFonts w:hint="eastAsia" w:ascii="微软雅黑" w:hAnsi="微软雅黑" w:eastAsia="微软雅黑" w:cs="宋体"/>
                <w:szCs w:val="21"/>
              </w:rPr>
              <w:br w:type="textWrapping"/>
            </w: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ind w:firstLine="480"/>
        <w:rPr>
          <w:rFonts w:ascii="微软雅黑" w:hAnsi="微软雅黑" w:eastAsia="微软雅黑"/>
          <w:szCs w:val="21"/>
        </w:rPr>
      </w:pPr>
    </w:p>
    <w:p>
      <w:pPr>
        <w:spacing w:line="360" w:lineRule="auto"/>
        <w:ind w:firstLine="420" w:firstLineChars="200"/>
        <w:rPr>
          <w:rFonts w:ascii="微软雅黑" w:hAnsi="微软雅黑" w:eastAsia="微软雅黑"/>
          <w:b/>
          <w:szCs w:val="21"/>
        </w:rPr>
      </w:pPr>
      <w:r>
        <w:rPr>
          <w:rFonts w:hint="eastAsia" w:ascii="微软雅黑" w:hAnsi="微软雅黑" w:eastAsia="微软雅黑"/>
          <w:b/>
          <w:szCs w:val="21"/>
        </w:rPr>
        <w:t>16、摆渡服务器-A1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239"/>
        <w:gridCol w:w="72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23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283"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283"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内存配置容量：≥64GB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内置原厂硬盘配置：≥4块960G SSD盘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r>
              <w:rPr>
                <w:rFonts w:hint="eastAsia" w:ascii="微软雅黑" w:hAnsi="微软雅黑" w:eastAsia="微软雅黑" w:cs="宋体"/>
                <w:szCs w:val="21"/>
              </w:rPr>
              <w:br w:type="textWrapping"/>
            </w: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239"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239"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283"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239"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283"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239"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283"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283"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239"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283"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ind w:firstLine="480"/>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17、解析服务器</w:t>
      </w:r>
      <w:r>
        <w:rPr>
          <w:rFonts w:ascii="微软雅黑" w:hAnsi="微软雅黑" w:eastAsia="微软雅黑" w:cs="宋体"/>
          <w:kern w:val="0"/>
          <w:sz w:val="21"/>
          <w:szCs w:val="21"/>
        </w:rPr>
        <w:t>-A1</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jc w:val="center"/>
        </w:trPr>
        <w:tc>
          <w:tcPr>
            <w:tcW w:w="1231" w:type="dxa"/>
            <w:noWrap w:val="0"/>
            <w:vAlign w:val="top"/>
          </w:tcPr>
          <w:p>
            <w:pPr>
              <w:spacing w:line="360" w:lineRule="auto"/>
              <w:contextualSpacing/>
              <w:rPr>
                <w:rFonts w:ascii="微软雅黑" w:hAnsi="微软雅黑" w:eastAsia="微软雅黑" w:cs="Calibri"/>
                <w:b/>
                <w:bCs/>
                <w:szCs w:val="21"/>
              </w:rPr>
            </w:pPr>
            <w:r>
              <w:rPr>
                <w:rFonts w:hint="eastAsia" w:ascii="微软雅黑" w:hAnsi="微软雅黑" w:eastAsia="微软雅黑" w:cs="Calibri"/>
                <w:b/>
                <w:bCs/>
                <w:szCs w:val="21"/>
              </w:rPr>
              <w:t>系统名称</w:t>
            </w:r>
          </w:p>
        </w:tc>
        <w:tc>
          <w:tcPr>
            <w:tcW w:w="7274" w:type="dxa"/>
            <w:noWrap w:val="0"/>
            <w:vAlign w:val="top"/>
          </w:tcPr>
          <w:p>
            <w:pPr>
              <w:spacing w:line="360" w:lineRule="auto"/>
              <w:contextualSpacing/>
              <w:jc w:val="center"/>
              <w:rPr>
                <w:rFonts w:ascii="微软雅黑" w:hAnsi="微软雅黑" w:eastAsia="微软雅黑" w:cs="Calibri"/>
                <w:b/>
                <w:bCs/>
                <w:szCs w:val="21"/>
              </w:rPr>
            </w:pPr>
            <w:r>
              <w:rPr>
                <w:rFonts w:hint="eastAsia" w:ascii="微软雅黑" w:hAnsi="微软雅黑" w:eastAsia="微软雅黑" w:cs="Calibri"/>
                <w:b/>
                <w:bCs/>
                <w:szCs w:val="21"/>
              </w:rPr>
              <w:t>功能说明/规格参数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8" w:hRule="atLeast"/>
          <w:jc w:val="center"/>
        </w:trPr>
        <w:tc>
          <w:tcPr>
            <w:tcW w:w="1231" w:type="dxa"/>
            <w:noWrap w:val="0"/>
            <w:vAlign w:val="top"/>
          </w:tcPr>
          <w:p>
            <w:pPr>
              <w:spacing w:line="360" w:lineRule="auto"/>
              <w:contextualSpacing/>
              <w:rPr>
                <w:rFonts w:ascii="微软雅黑" w:hAnsi="微软雅黑" w:eastAsia="微软雅黑" w:cs="宋体"/>
                <w:szCs w:val="21"/>
              </w:rPr>
            </w:pPr>
            <w:r>
              <w:rPr>
                <w:rFonts w:hint="eastAsia" w:ascii="微软雅黑" w:hAnsi="微软雅黑" w:eastAsia="微软雅黑" w:cs="宋体"/>
                <w:szCs w:val="21"/>
              </w:rPr>
              <w:t>AI解析服务系统</w:t>
            </w:r>
          </w:p>
        </w:tc>
        <w:tc>
          <w:tcPr>
            <w:tcW w:w="7274" w:type="dxa"/>
            <w:noWrap w:val="0"/>
            <w:vAlign w:val="top"/>
          </w:tcPr>
          <w:p>
            <w:pPr>
              <w:spacing w:line="360" w:lineRule="auto"/>
              <w:rPr>
                <w:rFonts w:ascii="微软雅黑" w:hAnsi="微软雅黑" w:eastAsia="微软雅黑" w:cs="宋体"/>
                <w:szCs w:val="21"/>
              </w:rPr>
            </w:pPr>
            <w:r>
              <w:rPr>
                <w:rFonts w:hint="eastAsia" w:ascii="微软雅黑" w:hAnsi="微软雅黑" w:eastAsia="微软雅黑" w:cs="宋体"/>
                <w:szCs w:val="21"/>
              </w:rPr>
              <w:t>芯片：6颗国产云端芯片</w:t>
            </w:r>
          </w:p>
          <w:p>
            <w:pPr>
              <w:spacing w:line="360" w:lineRule="auto"/>
              <w:rPr>
                <w:rFonts w:ascii="微软雅黑" w:hAnsi="微软雅黑" w:eastAsia="微软雅黑" w:cs="宋体"/>
                <w:szCs w:val="21"/>
              </w:rPr>
            </w:pPr>
            <w:r>
              <w:rPr>
                <w:rFonts w:hint="eastAsia" w:ascii="微软雅黑" w:hAnsi="微软雅黑" w:eastAsia="微软雅黑" w:cs="宋体"/>
                <w:szCs w:val="21"/>
              </w:rPr>
              <w:t>具备不低于144路的1080P视频人脸+人体智能解析，具备对不低于48路4K视频进行人脸+人体智能解析；具备对不低于96路4K视频进行人体智能解析；</w:t>
            </w:r>
          </w:p>
          <w:p>
            <w:pPr>
              <w:spacing w:line="360" w:lineRule="auto"/>
              <w:rPr>
                <w:rFonts w:ascii="微软雅黑" w:hAnsi="微软雅黑" w:eastAsia="微软雅黑" w:cs="宋体"/>
                <w:szCs w:val="21"/>
              </w:rPr>
            </w:pPr>
            <w:r>
              <w:rPr>
                <w:rFonts w:hint="eastAsia" w:ascii="微软雅黑" w:hAnsi="微软雅黑" w:eastAsia="微软雅黑" w:cs="宋体"/>
                <w:szCs w:val="21"/>
              </w:rPr>
              <w:t>视频兼容性：能够支持分析H.264、MPEG-4编码格式的视频流；支持2MP（1920*1080）、4MP（2592*1520）、6MP(3072*2048)、8MP（3840*2160）人脸和人体的视频解析</w:t>
            </w:r>
          </w:p>
          <w:p>
            <w:pPr>
              <w:spacing w:line="360" w:lineRule="auto"/>
              <w:rPr>
                <w:rFonts w:ascii="微软雅黑" w:hAnsi="微软雅黑" w:eastAsia="微软雅黑" w:cs="宋体"/>
                <w:szCs w:val="21"/>
              </w:rPr>
            </w:pPr>
            <w:r>
              <w:rPr>
                <w:rFonts w:hint="eastAsia" w:ascii="微软雅黑" w:hAnsi="微软雅黑" w:eastAsia="微软雅黑" w:cs="宋体"/>
                <w:szCs w:val="21"/>
              </w:rPr>
              <w:t>功耗：最大功耗不高于200W，工作功耗不高于100W，待机功耗不高于50W；</w:t>
            </w:r>
          </w:p>
          <w:p>
            <w:pPr>
              <w:spacing w:line="360" w:lineRule="auto"/>
              <w:rPr>
                <w:rFonts w:ascii="微软雅黑" w:hAnsi="微软雅黑" w:eastAsia="微软雅黑" w:cs="宋体"/>
                <w:szCs w:val="21"/>
              </w:rPr>
            </w:pPr>
            <w:r>
              <w:rPr>
                <w:rFonts w:hint="eastAsia" w:ascii="微软雅黑" w:hAnsi="微软雅黑" w:eastAsia="微软雅黑" w:cs="宋体"/>
                <w:szCs w:val="21"/>
              </w:rPr>
              <w:t>网络管理：支持以太网连接；可通过Linux系统后台设置时间同步服务器、设置增加或删除DNS服务器。</w:t>
            </w:r>
          </w:p>
          <w:p>
            <w:pPr>
              <w:spacing w:line="360" w:lineRule="auto"/>
              <w:rPr>
                <w:rFonts w:ascii="微软雅黑" w:hAnsi="微软雅黑" w:eastAsia="微软雅黑" w:cs="宋体"/>
                <w:szCs w:val="21"/>
              </w:rPr>
            </w:pPr>
            <w:r>
              <w:rPr>
                <w:rFonts w:hint="eastAsia" w:ascii="微软雅黑" w:hAnsi="微软雅黑" w:eastAsia="微软雅黑" w:cs="宋体"/>
                <w:szCs w:val="21"/>
              </w:rPr>
              <w:t>网络：RJ45,2*1GE电口</w:t>
            </w:r>
          </w:p>
          <w:p>
            <w:pPr>
              <w:spacing w:line="360" w:lineRule="auto"/>
              <w:rPr>
                <w:rFonts w:ascii="微软雅黑" w:hAnsi="微软雅黑" w:eastAsia="微软雅黑" w:cs="宋体"/>
                <w:szCs w:val="21"/>
              </w:rPr>
            </w:pPr>
            <w:r>
              <w:rPr>
                <w:rFonts w:hint="eastAsia" w:ascii="微软雅黑" w:hAnsi="微软雅黑" w:eastAsia="微软雅黑" w:cs="宋体"/>
                <w:szCs w:val="21"/>
              </w:rPr>
              <w:t>电源：AC 220V，1+1冗余电源，支持单个电源热插拔功能；</w:t>
            </w:r>
          </w:p>
          <w:p>
            <w:pPr>
              <w:spacing w:line="360" w:lineRule="auto"/>
              <w:rPr>
                <w:rFonts w:ascii="微软雅黑" w:hAnsi="微软雅黑" w:eastAsia="微软雅黑" w:cs="宋体"/>
                <w:szCs w:val="21"/>
              </w:rPr>
            </w:pPr>
            <w:r>
              <w:rPr>
                <w:rFonts w:hint="eastAsia" w:ascii="微软雅黑" w:hAnsi="微软雅黑" w:eastAsia="微软雅黑" w:cs="宋体"/>
                <w:szCs w:val="21"/>
              </w:rPr>
              <w:t xml:space="preserve">服务器强制关机重启后，应能正常工作； </w:t>
            </w:r>
          </w:p>
          <w:p>
            <w:pPr>
              <w:spacing w:line="360" w:lineRule="auto"/>
              <w:rPr>
                <w:rFonts w:hint="eastAsia" w:ascii="微软雅黑" w:hAnsi="微软雅黑" w:eastAsia="微软雅黑" w:cs="宋体"/>
                <w:szCs w:val="21"/>
              </w:rPr>
            </w:pPr>
            <w:r>
              <w:rPr>
                <w:rFonts w:hint="eastAsia" w:ascii="微软雅黑" w:hAnsi="微软雅黑" w:eastAsia="微软雅黑" w:cs="宋体"/>
                <w:szCs w:val="21"/>
              </w:rPr>
              <w:t>尺寸：1U</w:t>
            </w:r>
          </w:p>
          <w:p>
            <w:pPr>
              <w:pStyle w:val="2"/>
              <w:rPr>
                <w:rFonts w:ascii="微软雅黑" w:hAnsi="微软雅黑" w:eastAsia="微软雅黑" w:cs="宋体"/>
                <w:b/>
                <w:szCs w:val="21"/>
                <w:lang w:val="en-US" w:eastAsia="zh-CN"/>
              </w:rPr>
            </w:pPr>
            <w:r>
              <w:rPr>
                <w:rFonts w:hint="eastAsia" w:ascii="微软雅黑" w:hAnsi="微软雅黑" w:eastAsia="微软雅黑" w:cs="宋体"/>
                <w:b/>
                <w:szCs w:val="21"/>
                <w:lang w:val="en-US" w:eastAsia="zh-CN"/>
              </w:rPr>
              <w:t>产品设备需满足GB16796-2009 《安全防范报警设备安全要求和试验方法》或GB/T 31488-2015《安全防范视频监控人脸识别系统技术要求》检测或判定依据。（提供证明材料复印件做在投标文件中）</w:t>
            </w:r>
          </w:p>
        </w:tc>
      </w:tr>
    </w:tbl>
    <w:p>
      <w:pPr>
        <w:spacing w:line="360" w:lineRule="auto"/>
        <w:ind w:firstLine="480"/>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18、应用服务器-B2</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内存配置容量：≥2根16GB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2000GB SATA 硬盘+1块960G SSD盘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4端口千兆电口+2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b/>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19、应用服务器-B3</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配置≥2个英特尔至强4110处理器(带散热器)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内存配置容量：≥2根16GB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 2000GB SATA 硬盘+1块960G SSD盘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配置独立的磁盘阵列，支持RAID 0/1/10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r>
              <w:rPr>
                <w:rFonts w:hint="eastAsia" w:ascii="微软雅黑" w:hAnsi="微软雅黑" w:eastAsia="微软雅黑" w:cs="宋体"/>
                <w:szCs w:val="21"/>
              </w:rPr>
              <w:t>）。</w:t>
            </w:r>
          </w:p>
        </w:tc>
      </w:tr>
    </w:tbl>
    <w:p>
      <w:pPr>
        <w:spacing w:line="360" w:lineRule="auto"/>
        <w:rPr>
          <w:rFonts w:ascii="微软雅黑" w:hAnsi="微软雅黑" w:eastAsia="微软雅黑"/>
          <w:szCs w:val="21"/>
        </w:rPr>
      </w:pPr>
    </w:p>
    <w:p>
      <w:pPr>
        <w:pStyle w:val="6"/>
        <w:numPr>
          <w:ilvl w:val="2"/>
          <w:numId w:val="0"/>
        </w:numPr>
        <w:spacing w:before="0" w:after="0"/>
        <w:ind w:firstLine="602"/>
        <w:rPr>
          <w:rFonts w:ascii="微软雅黑" w:hAnsi="微软雅黑" w:eastAsia="微软雅黑" w:cs="宋体"/>
          <w:kern w:val="0"/>
          <w:sz w:val="21"/>
          <w:szCs w:val="21"/>
        </w:rPr>
      </w:pPr>
      <w:r>
        <w:rPr>
          <w:rFonts w:hint="eastAsia" w:ascii="微软雅黑" w:hAnsi="微软雅黑" w:eastAsia="微软雅黑" w:cs="宋体"/>
          <w:kern w:val="0"/>
          <w:sz w:val="21"/>
          <w:szCs w:val="21"/>
        </w:rPr>
        <w:t>20、应用服务器-B4</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配置≥2个英特尔至强4110处理器(带散热器)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内置原厂硬盘配置：≥6块 4000GB SATA 硬盘+1块960G SSD盘+1块1200G SAS盘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8端口千兆电口+2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21、应用服务器-B5</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right w:val="single" w:color="000000" w:sz="8" w:space="0"/>
            </w:tcBorders>
            <w:noWrap w:val="0"/>
            <w:vAlign w:val="top"/>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4U  4节点高密服务器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top"/>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配置4个节点，每个节点配置要求如下</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配置≥2个英特尔至强4214处理器(带散热器)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内存配置容量：≥4根32GB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内置原厂硬盘配置：≥6块960G SSD盘+4块1200G SAS盘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4端口千兆电口+2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22、应用服务器-B6</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内置原厂硬盘配置：≥2块2000G SATA盘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配置独立的磁盘阵列卡，支持RAID 0/1/10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23、解析服务器-B1</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配置≥2个英特尔至强5218处理器(带散热器)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内存配置容量：≥8根 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内置原厂硬盘配置：≥5块 4000GB SATA 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GPU卡</w:t>
            </w: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2块T4卡</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r>
              <w:rPr>
                <w:rFonts w:hint="eastAsia" w:ascii="微软雅黑" w:hAnsi="微软雅黑" w:eastAsia="微软雅黑" w:cs="宋体"/>
                <w:szCs w:val="21"/>
              </w:rPr>
              <w:t>）。</w:t>
            </w:r>
          </w:p>
        </w:tc>
      </w:tr>
    </w:tbl>
    <w:p>
      <w:pPr>
        <w:spacing w:line="360" w:lineRule="auto"/>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24、解析服务器-B2</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配置≥2个英特尔至强5218处理器(带散热器)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内存配置容量：≥2根 64GB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内置原厂硬盘配置：≥8块 2400GB SAS 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GPU卡</w:t>
            </w: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1块T4卡</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spacing w:line="360" w:lineRule="auto"/>
        <w:rPr>
          <w:rFonts w:ascii="微软雅黑" w:hAnsi="微软雅黑" w:eastAsia="微软雅黑"/>
          <w:szCs w:val="21"/>
        </w:rPr>
      </w:pPr>
    </w:p>
    <w:p>
      <w:pPr>
        <w:pStyle w:val="6"/>
        <w:numPr>
          <w:ilvl w:val="2"/>
          <w:numId w:val="0"/>
        </w:numPr>
        <w:spacing w:before="0" w:after="0"/>
        <w:ind w:left="567"/>
        <w:rPr>
          <w:rFonts w:ascii="微软雅黑" w:hAnsi="微软雅黑" w:eastAsia="微软雅黑" w:cs="宋体"/>
          <w:kern w:val="0"/>
          <w:sz w:val="21"/>
          <w:szCs w:val="21"/>
        </w:rPr>
      </w:pPr>
      <w:r>
        <w:rPr>
          <w:rFonts w:hint="eastAsia" w:ascii="微软雅黑" w:hAnsi="微软雅黑" w:eastAsia="微软雅黑" w:cs="宋体"/>
          <w:kern w:val="0"/>
          <w:sz w:val="21"/>
          <w:szCs w:val="21"/>
        </w:rPr>
        <w:t>25、解析服务器-B3</w:t>
      </w:r>
    </w:p>
    <w:tbl>
      <w:tblPr>
        <w:tblStyle w:val="47"/>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81"/>
        <w:gridCol w:w="714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tblHeader/>
          <w:jc w:val="center"/>
        </w:trPr>
        <w:tc>
          <w:tcPr>
            <w:tcW w:w="1381"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ascii="微软雅黑" w:hAnsi="微软雅黑" w:eastAsia="微软雅黑" w:cs="Calibri"/>
                <w:b/>
                <w:bCs/>
                <w:szCs w:val="21"/>
              </w:rPr>
              <w:t>指标</w:t>
            </w:r>
            <w:r>
              <w:rPr>
                <w:rFonts w:hint="eastAsia" w:ascii="微软雅黑" w:hAnsi="微软雅黑" w:eastAsia="微软雅黑" w:cs="Calibri"/>
                <w:b/>
                <w:bCs/>
                <w:szCs w:val="21"/>
              </w:rPr>
              <w:t>项</w:t>
            </w:r>
          </w:p>
        </w:tc>
        <w:tc>
          <w:tcPr>
            <w:tcW w:w="7141" w:type="dxa"/>
            <w:tcBorders>
              <w:top w:val="single" w:color="000000" w:sz="8" w:space="0"/>
              <w:bottom w:val="single" w:color="000000" w:sz="8" w:space="0"/>
            </w:tcBorders>
            <w:shd w:val="clear" w:color="auto" w:fill="auto"/>
            <w:noWrap w:val="0"/>
            <w:vAlign w:val="center"/>
          </w:tcPr>
          <w:p>
            <w:pPr>
              <w:snapToGrid w:val="0"/>
              <w:spacing w:line="360" w:lineRule="auto"/>
              <w:contextualSpacing/>
              <w:jc w:val="center"/>
              <w:rPr>
                <w:rFonts w:ascii="微软雅黑" w:hAnsi="微软雅黑" w:eastAsia="微软雅黑" w:cs="Calibri"/>
                <w:b/>
                <w:bCs/>
                <w:szCs w:val="21"/>
              </w:rPr>
            </w:pPr>
            <w:r>
              <w:rPr>
                <w:rFonts w:hint="eastAsia" w:ascii="微软雅黑" w:hAnsi="微软雅黑" w:eastAsia="微软雅黑"/>
                <w:b/>
                <w:bCs/>
                <w:szCs w:val="21"/>
              </w:rPr>
              <w:t xml:space="preserve">技术规格要求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top w:val="single" w:color="000000" w:sz="8" w:space="0"/>
              <w:left w:val="single" w:color="000000" w:sz="8" w:space="0"/>
              <w:bottom w:val="single" w:color="000000" w:sz="8" w:space="0"/>
              <w:right w:val="single" w:color="000000" w:sz="8" w:space="0"/>
            </w:tcBorders>
            <w:noWrap w:val="0"/>
            <w:vAlign w:val="top"/>
          </w:tcPr>
          <w:p>
            <w:pPr>
              <w:snapToGrid w:val="0"/>
              <w:spacing w:line="360" w:lineRule="auto"/>
              <w:rPr>
                <w:rFonts w:ascii="微软雅黑" w:hAnsi="微软雅黑" w:eastAsia="微软雅黑" w:cs="宋体"/>
                <w:b/>
                <w:bCs/>
                <w:szCs w:val="21"/>
              </w:rPr>
            </w:pPr>
            <w:r>
              <w:rPr>
                <w:rFonts w:hint="eastAsia" w:ascii="微软雅黑" w:hAnsi="微软雅黑" w:eastAsia="微软雅黑" w:cs="宋体"/>
                <w:b/>
                <w:bCs/>
                <w:szCs w:val="21"/>
              </w:rPr>
              <w:t>形态</w:t>
            </w:r>
          </w:p>
        </w:tc>
        <w:tc>
          <w:tcPr>
            <w:tcW w:w="7141" w:type="dxa"/>
            <w:tcBorders>
              <w:top w:val="single" w:color="000000" w:sz="8" w:space="0"/>
              <w:bottom w:val="single" w:color="000000" w:sz="8" w:space="0"/>
              <w:right w:val="single" w:color="000000" w:sz="8" w:space="0"/>
            </w:tcBorders>
            <w:noWrap w:val="0"/>
            <w:vAlign w:val="top"/>
          </w:tcPr>
          <w:p>
            <w:pPr>
              <w:tabs>
                <w:tab w:val="center" w:pos="3524"/>
              </w:tabs>
              <w:snapToGrid w:val="0"/>
              <w:spacing w:line="360" w:lineRule="auto"/>
              <w:rPr>
                <w:rFonts w:ascii="微软雅黑" w:hAnsi="微软雅黑" w:eastAsia="微软雅黑" w:cs="宋体"/>
                <w:szCs w:val="21"/>
              </w:rPr>
            </w:pPr>
            <w:r>
              <w:rPr>
                <w:rFonts w:hint="eastAsia" w:ascii="微软雅黑" w:hAnsi="微软雅黑" w:eastAsia="微软雅黑" w:cs="宋体"/>
                <w:szCs w:val="21"/>
              </w:rPr>
              <w:t>2U  2路机架服务器</w:t>
            </w:r>
            <w:r>
              <w:rPr>
                <w:rFonts w:ascii="微软雅黑" w:hAnsi="微软雅黑" w:eastAsia="微软雅黑" w:cs="宋体"/>
                <w:szCs w:val="21"/>
              </w:rPr>
              <w:t>,</w:t>
            </w:r>
            <w:r>
              <w:rPr>
                <w:rFonts w:hint="eastAsia" w:ascii="微软雅黑" w:hAnsi="微软雅黑" w:eastAsia="微软雅黑" w:cs="宋体"/>
                <w:szCs w:val="21"/>
              </w:rPr>
              <w:t>可放入42U标准机柜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处理器</w:t>
            </w: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配置≥2个英特尔至强4114处理器(带散热器)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内存</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内存类型：ECC DDR4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 xml:space="preserve">内存配置容量：≥4根 32GB ECC DDR4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内存扩展能力：≥24个DDR4插槽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内存保护技术：支持ECC、SDDC、内存镜像、内存热备、内存锁步。</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存储</w:t>
            </w: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内置硬盘类型：热插拔SAS/SATA/SSD硬盘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支持热插拔的 M.2 SSD 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内置原厂硬盘配置：≥8块 960GB SSD 硬盘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top w:val="single" w:color="000000" w:sz="8" w:space="0"/>
              <w:bottom w:val="single" w:color="000000" w:sz="8" w:space="0"/>
              <w:right w:val="single" w:color="000000" w:sz="8" w:space="0"/>
            </w:tcBorders>
            <w:noWrap w:val="0"/>
            <w:vAlign w:val="center"/>
          </w:tcPr>
          <w:p>
            <w:pPr>
              <w:widowControl/>
              <w:snapToGrid w:val="0"/>
              <w:spacing w:line="360" w:lineRule="auto"/>
              <w:rPr>
                <w:rFonts w:ascii="微软雅黑" w:hAnsi="微软雅黑" w:eastAsia="微软雅黑" w:cs="宋体"/>
                <w:szCs w:val="21"/>
              </w:rPr>
            </w:pPr>
            <w:r>
              <w:rPr>
                <w:rFonts w:hint="eastAsia" w:ascii="微软雅黑" w:hAnsi="微软雅黑" w:eastAsia="微软雅黑" w:cs="宋体"/>
                <w:szCs w:val="21"/>
              </w:rPr>
              <w:t>配置独立的磁盘阵列卡，2GB缓存，支持RAID 0/1/10/5/50/6/60，含超级电容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I/O扩展</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最大支持</w:t>
            </w:r>
            <w:r>
              <w:rPr>
                <w:rFonts w:ascii="微软雅黑" w:hAnsi="微软雅黑" w:eastAsia="微软雅黑" w:cs="宋体"/>
                <w:szCs w:val="21"/>
              </w:rPr>
              <w:t>≥1</w:t>
            </w:r>
            <w:r>
              <w:rPr>
                <w:rFonts w:hint="eastAsia" w:ascii="微软雅黑" w:hAnsi="微软雅黑" w:eastAsia="微软雅黑" w:cs="宋体"/>
                <w:szCs w:val="21"/>
              </w:rPr>
              <w:t>0</w:t>
            </w:r>
            <w:r>
              <w:rPr>
                <w:rFonts w:ascii="微软雅黑" w:hAnsi="微软雅黑" w:eastAsia="微软雅黑" w:cs="宋体"/>
                <w:szCs w:val="21"/>
              </w:rPr>
              <w:t>个</w:t>
            </w:r>
            <w:r>
              <w:rPr>
                <w:rFonts w:hint="eastAsia" w:ascii="微软雅黑" w:hAnsi="微软雅黑" w:eastAsia="微软雅黑" w:cs="宋体"/>
                <w:szCs w:val="21"/>
              </w:rPr>
              <w:t xml:space="preserve">PCIE </w:t>
            </w:r>
            <w:r>
              <w:rPr>
                <w:rFonts w:ascii="微软雅黑" w:hAnsi="微软雅黑" w:eastAsia="微软雅黑" w:cs="宋体"/>
                <w:szCs w:val="21"/>
              </w:rPr>
              <w:t xml:space="preserve"> I/O</w:t>
            </w:r>
            <w:r>
              <w:rPr>
                <w:rFonts w:hint="eastAsia" w:ascii="微软雅黑" w:hAnsi="微软雅黑" w:eastAsia="微软雅黑" w:cs="宋体"/>
                <w:szCs w:val="21"/>
              </w:rPr>
              <w:t>插槽</w:t>
            </w:r>
            <w:r>
              <w:rPr>
                <w:rFonts w:hint="eastAsia" w:ascii="微软雅黑" w:hAnsi="微软雅黑" w:eastAsia="微软雅黑" w:cs="宋体"/>
                <w:szCs w:val="21"/>
              </w:rPr>
              <w:br w:type="textWrapping"/>
            </w:r>
            <w:r>
              <w:rPr>
                <w:rFonts w:hint="eastAsia" w:ascii="微软雅黑" w:hAnsi="微软雅黑" w:eastAsia="微软雅黑" w:cs="宋体"/>
                <w:szCs w:val="21"/>
              </w:rPr>
              <w:t>配置2个3*x8 (x16 slot) RISER1 模组</w:t>
            </w:r>
          </w:p>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可选配</w:t>
            </w:r>
            <w:r>
              <w:rPr>
                <w:rFonts w:hint="eastAsia" w:ascii="微软雅黑" w:hAnsi="微软雅黑" w:eastAsia="微软雅黑" w:cs="宋体"/>
                <w:szCs w:val="21"/>
              </w:rPr>
              <w:t>同品牌</w:t>
            </w:r>
            <w:r>
              <w:rPr>
                <w:rFonts w:ascii="微软雅黑" w:hAnsi="微软雅黑" w:eastAsia="微软雅黑" w:cs="宋体"/>
                <w:szCs w:val="21"/>
              </w:rPr>
              <w:t>PCIe SSD高性能</w:t>
            </w:r>
            <w:r>
              <w:rPr>
                <w:rFonts w:ascii="微软雅黑" w:hAnsi="微软雅黑" w:eastAsia="微软雅黑"/>
                <w:szCs w:val="21"/>
              </w:rPr>
              <w:fldChar w:fldCharType="begin"/>
            </w:r>
            <w:r>
              <w:rPr>
                <w:rFonts w:ascii="微软雅黑" w:hAnsi="微软雅黑" w:eastAsia="微软雅黑"/>
                <w:szCs w:val="21"/>
              </w:rPr>
              <w:instrText xml:space="preserve"> HYPERLINK "http://enterprise.huawei.com/cn/products/itapp/storage/index.htm" \t "_blank"</w:instrText>
            </w:r>
            <w:r>
              <w:rPr>
                <w:rFonts w:ascii="微软雅黑" w:hAnsi="微软雅黑" w:eastAsia="微软雅黑"/>
                <w:szCs w:val="21"/>
              </w:rPr>
              <w:fldChar w:fldCharType="separate"/>
            </w:r>
            <w:r>
              <w:rPr>
                <w:rFonts w:ascii="微软雅黑" w:hAnsi="微软雅黑" w:eastAsia="微软雅黑" w:cs="宋体"/>
                <w:szCs w:val="21"/>
              </w:rPr>
              <w:t>存储</w:t>
            </w:r>
            <w:r>
              <w:rPr>
                <w:rFonts w:ascii="微软雅黑" w:hAnsi="微软雅黑" w:eastAsia="微软雅黑" w:cs="宋体"/>
                <w:szCs w:val="21"/>
              </w:rPr>
              <w:fldChar w:fldCharType="end"/>
            </w:r>
            <w:r>
              <w:rPr>
                <w:rFonts w:ascii="微软雅黑" w:hAnsi="微软雅黑" w:eastAsia="微软雅黑" w:cs="宋体"/>
                <w:szCs w:val="21"/>
              </w:rPr>
              <w:t>卡，提</w:t>
            </w:r>
            <w:r>
              <w:rPr>
                <w:rFonts w:hint="eastAsia" w:ascii="微软雅黑" w:hAnsi="微软雅黑" w:eastAsia="微软雅黑" w:cs="宋体"/>
                <w:szCs w:val="21"/>
              </w:rPr>
              <w:t>高</w:t>
            </w:r>
            <w:r>
              <w:rPr>
                <w:rFonts w:ascii="微软雅黑" w:hAnsi="微软雅黑" w:eastAsia="微软雅黑" w:cs="宋体"/>
                <w:szCs w:val="21"/>
              </w:rPr>
              <w:t>I/O性能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网卡</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配置</w:t>
            </w:r>
            <w:r>
              <w:rPr>
                <w:rFonts w:ascii="微软雅黑" w:hAnsi="微软雅黑" w:eastAsia="微软雅黑" w:cs="宋体"/>
                <w:szCs w:val="21"/>
              </w:rPr>
              <w:t>≥</w:t>
            </w:r>
            <w:r>
              <w:rPr>
                <w:rFonts w:hint="eastAsia" w:ascii="微软雅黑" w:hAnsi="微软雅黑" w:eastAsia="微软雅黑" w:cs="宋体"/>
                <w:szCs w:val="21"/>
              </w:rPr>
              <w:t>2端口千兆电口+2</w:t>
            </w:r>
            <w:r>
              <w:rPr>
                <w:rFonts w:ascii="微软雅黑" w:hAnsi="微软雅黑" w:eastAsia="微软雅黑" w:cs="宋体"/>
                <w:szCs w:val="21"/>
              </w:rPr>
              <w:t>*</w:t>
            </w:r>
            <w:r>
              <w:rPr>
                <w:rFonts w:hint="eastAsia" w:ascii="微软雅黑" w:hAnsi="微软雅黑" w:eastAsia="微软雅黑" w:cs="宋体"/>
                <w:szCs w:val="21"/>
              </w:rPr>
              <w:t>万兆光口</w:t>
            </w:r>
            <w:r>
              <w:rPr>
                <w:rFonts w:ascii="微软雅黑" w:hAnsi="微软雅黑" w:eastAsia="微软雅黑" w:cs="宋体"/>
                <w:szCs w:val="21"/>
              </w:rPr>
              <w:t>（</w:t>
            </w:r>
            <w:r>
              <w:rPr>
                <w:rFonts w:hint="eastAsia" w:ascii="微软雅黑" w:hAnsi="微软雅黑" w:eastAsia="微软雅黑" w:cs="宋体"/>
                <w:szCs w:val="21"/>
              </w:rPr>
              <w:t>不带</w:t>
            </w:r>
            <w:r>
              <w:rPr>
                <w:rFonts w:ascii="微软雅黑" w:hAnsi="微软雅黑" w:eastAsia="微软雅黑" w:cs="宋体"/>
                <w:szCs w:val="21"/>
              </w:rPr>
              <w:t>光</w:t>
            </w:r>
            <w:r>
              <w:rPr>
                <w:rFonts w:hint="eastAsia" w:ascii="微软雅黑" w:hAnsi="微软雅黑" w:eastAsia="微软雅黑" w:cs="宋体"/>
                <w:szCs w:val="21"/>
              </w:rPr>
              <w:t>模块</w:t>
            </w:r>
            <w:r>
              <w:rPr>
                <w:rFonts w:ascii="微软雅黑" w:hAnsi="微软雅黑" w:eastAsia="微软雅黑" w:cs="宋体"/>
                <w:szCs w:val="21"/>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1381" w:type="dxa"/>
            <w:tcBorders>
              <w:top w:val="single" w:color="000000" w:sz="8"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电源</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电源</w:t>
            </w:r>
            <w:r>
              <w:rPr>
                <w:rFonts w:hint="eastAsia" w:ascii="微软雅黑" w:hAnsi="微软雅黑" w:eastAsia="微软雅黑" w:cs="宋体"/>
                <w:szCs w:val="21"/>
              </w:rPr>
              <w:t>：满配</w:t>
            </w:r>
            <w:r>
              <w:rPr>
                <w:rFonts w:ascii="微软雅黑" w:hAnsi="微软雅黑" w:eastAsia="微软雅黑" w:cs="宋体"/>
                <w:szCs w:val="21"/>
              </w:rPr>
              <w:t>冗余热插拔电源，并提供配套的电源连接线</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1381" w:type="dxa"/>
            <w:tcBorders>
              <w:left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风扇</w:t>
            </w:r>
          </w:p>
        </w:tc>
        <w:tc>
          <w:tcPr>
            <w:tcW w:w="7141" w:type="dxa"/>
            <w:noWrap w:val="0"/>
            <w:vAlign w:val="center"/>
          </w:tcPr>
          <w:p>
            <w:pPr>
              <w:snapToGrid w:val="0"/>
              <w:spacing w:line="360" w:lineRule="auto"/>
              <w:contextualSpacing/>
              <w:rPr>
                <w:rFonts w:ascii="微软雅黑" w:hAnsi="微软雅黑" w:eastAsia="微软雅黑" w:cs="宋体"/>
                <w:szCs w:val="21"/>
              </w:rPr>
            </w:pPr>
            <w:r>
              <w:rPr>
                <w:rFonts w:ascii="微软雅黑" w:hAnsi="微软雅黑" w:eastAsia="微软雅黑" w:cs="宋体"/>
                <w:szCs w:val="21"/>
              </w:rPr>
              <w:t>冗余风扇</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3" w:hRule="atLeast"/>
          <w:jc w:val="center"/>
        </w:trPr>
        <w:tc>
          <w:tcPr>
            <w:tcW w:w="1381" w:type="dxa"/>
            <w:vMerge w:val="restart"/>
            <w:tcBorders>
              <w:top w:val="single" w:color="000000" w:sz="8" w:space="0"/>
              <w:left w:val="single" w:color="000000" w:sz="8" w:space="0"/>
              <w:bottom w:val="single" w:color="000000" w:sz="8"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管理维护功能</w:t>
            </w:r>
          </w:p>
        </w:tc>
        <w:tc>
          <w:tcPr>
            <w:tcW w:w="7141" w:type="dxa"/>
            <w:tcBorders>
              <w:top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可管理和维护性:1. 集成系统管理处理器支持：自动服务器重启、风扇监视和控制、电源监控、温度监控、启动/关闭、按序重启、本地固件更新、错误日志，可通过可视化工具提供系统未来状况的可视显示； 2.具有图形管理界面及其他高级管理功能；3.配置独立的远程管理控制端口，支持远程监控图形界面, 可实现与操作系统无关的远程对服务器的完全控制，包括远程的开机、关机、重启、虚拟软驱、虚拟光驱等操作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3" w:hRule="atLeast"/>
          <w:jc w:val="center"/>
        </w:trPr>
        <w:tc>
          <w:tcPr>
            <w:tcW w:w="1381" w:type="dxa"/>
            <w:vMerge w:val="continue"/>
            <w:tcBorders>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p>
        </w:tc>
        <w:tc>
          <w:tcPr>
            <w:tcW w:w="7141" w:type="dxa"/>
            <w:tcBorders>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支持中文BIOS界面</w:t>
            </w:r>
            <w:r>
              <w:rPr>
                <w:rFonts w:hint="eastAsia" w:ascii="微软雅黑" w:hAnsi="微软雅黑" w:eastAsia="微软雅黑" w:cs="宋体"/>
                <w:b/>
                <w:szCs w:val="21"/>
              </w:rPr>
              <w:t>；（提供官网链接及对应官网中文界面截图复印件做在投标文件中）。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产品资质</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投标产品需 具有CCC认证证书</w:t>
            </w:r>
            <w:r>
              <w:rPr>
                <w:rFonts w:hint="eastAsia" w:ascii="微软雅黑" w:hAnsi="微软雅黑" w:eastAsia="微软雅黑" w:cs="宋体"/>
                <w:b/>
                <w:szCs w:val="21"/>
              </w:rPr>
              <w:t>；（证书复印件做在投标文件中）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3"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ascii="微软雅黑" w:hAnsi="微软雅黑" w:eastAsia="微软雅黑" w:cs="宋体"/>
                <w:b/>
                <w:bCs/>
                <w:szCs w:val="21"/>
              </w:rPr>
              <w:t>故障</w:t>
            </w:r>
            <w:r>
              <w:rPr>
                <w:rFonts w:hint="eastAsia" w:ascii="微软雅黑" w:hAnsi="微软雅黑" w:eastAsia="微软雅黑" w:cs="宋体"/>
                <w:b/>
                <w:bCs/>
                <w:szCs w:val="21"/>
              </w:rPr>
              <w:t>恢复</w:t>
            </w:r>
          </w:p>
        </w:tc>
        <w:tc>
          <w:tcPr>
            <w:tcW w:w="7141" w:type="dxa"/>
            <w:tcBorders>
              <w:top w:val="single" w:color="auto" w:sz="4" w:space="0"/>
              <w:bottom w:val="single" w:color="auto" w:sz="4"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支持最后一屏功能 ，在检测到宕机发生时将系统临终时刻的屏幕以指定的格式保存。当用户发现系统宕机后，可以查看宕机屏幕进行故障定</w:t>
            </w:r>
            <w:r>
              <w:rPr>
                <w:rFonts w:hint="eastAsia" w:ascii="微软雅黑" w:hAnsi="微软雅黑" w:eastAsia="微软雅黑" w:cs="宋体"/>
                <w:b/>
                <w:szCs w:val="21"/>
              </w:rPr>
              <w:t>；（提供官网证明材料复印件做在投标文件中）</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1381" w:type="dxa"/>
            <w:tcBorders>
              <w:top w:val="single" w:color="auto" w:sz="4" w:space="0"/>
              <w:left w:val="single" w:color="000000" w:sz="8"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b/>
                <w:bCs/>
                <w:szCs w:val="21"/>
              </w:rPr>
            </w:pPr>
            <w:r>
              <w:rPr>
                <w:rFonts w:hint="eastAsia" w:ascii="微软雅黑" w:hAnsi="微软雅黑" w:eastAsia="微软雅黑" w:cs="宋体"/>
                <w:b/>
                <w:bCs/>
                <w:szCs w:val="21"/>
              </w:rPr>
              <w:t>安全性</w:t>
            </w:r>
          </w:p>
        </w:tc>
        <w:tc>
          <w:tcPr>
            <w:tcW w:w="7141" w:type="dxa"/>
            <w:tcBorders>
              <w:top w:val="single" w:color="auto" w:sz="4" w:space="0"/>
              <w:bottom w:val="single" w:color="auto" w:sz="4" w:space="0"/>
              <w:right w:val="single" w:color="000000" w:sz="8" w:space="0"/>
            </w:tcBorders>
            <w:noWrap w:val="0"/>
            <w:vAlign w:val="center"/>
          </w:tcPr>
          <w:p>
            <w:pPr>
              <w:snapToGrid w:val="0"/>
              <w:spacing w:line="360" w:lineRule="auto"/>
              <w:contextualSpacing/>
              <w:rPr>
                <w:rFonts w:ascii="微软雅黑" w:hAnsi="微软雅黑" w:eastAsia="微软雅黑" w:cs="宋体"/>
                <w:szCs w:val="21"/>
              </w:rPr>
            </w:pPr>
            <w:r>
              <w:rPr>
                <w:rFonts w:hint="eastAsia" w:ascii="微软雅黑" w:hAnsi="微软雅黑" w:eastAsia="微软雅黑" w:cs="宋体"/>
                <w:szCs w:val="21"/>
              </w:rPr>
              <w:t>服务器管理系统支持国产自研管理芯片，芯片厂家为国产厂家；（</w:t>
            </w:r>
            <w:r>
              <w:rPr>
                <w:rFonts w:hint="eastAsia" w:ascii="微软雅黑" w:hAnsi="微软雅黑" w:eastAsia="微软雅黑" w:cs="宋体"/>
                <w:b/>
                <w:szCs w:val="21"/>
              </w:rPr>
              <w:t>提供证明材料复印件放到投标文件中）。</w:t>
            </w:r>
          </w:p>
        </w:tc>
      </w:tr>
    </w:tbl>
    <w:p>
      <w:pPr>
        <w:pStyle w:val="46"/>
        <w:spacing w:after="0"/>
        <w:ind w:left="0" w:leftChars="0" w:firstLine="0" w:firstLineChars="0"/>
        <w:rPr>
          <w:rFonts w:ascii="微软雅黑" w:hAnsi="微软雅黑" w:eastAsia="微软雅黑"/>
          <w:sz w:val="21"/>
          <w:szCs w:val="21"/>
        </w:rPr>
      </w:pP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26、智能分析卡</w:t>
      </w:r>
    </w:p>
    <w:p>
      <w:pPr>
        <w:spacing w:line="360" w:lineRule="auto"/>
        <w:ind w:firstLine="420"/>
        <w:rPr>
          <w:rFonts w:ascii="微软雅黑" w:hAnsi="微软雅黑" w:eastAsia="微软雅黑"/>
          <w:szCs w:val="21"/>
        </w:rPr>
      </w:pPr>
      <w:r>
        <w:rPr>
          <w:rFonts w:hint="eastAsia" w:ascii="微软雅黑" w:hAnsi="微软雅黑" w:eastAsia="微软雅黑"/>
          <w:szCs w:val="21"/>
        </w:rPr>
        <w:t>PCIe接口：PCIE Gen2.0，兼容1.0_x000b_x4 Lanes，兼容x4/x2/x1</w:t>
      </w:r>
    </w:p>
    <w:p>
      <w:pPr>
        <w:spacing w:line="360" w:lineRule="auto"/>
        <w:ind w:firstLine="420"/>
        <w:rPr>
          <w:rFonts w:ascii="微软雅黑" w:hAnsi="微软雅黑" w:eastAsia="微软雅黑"/>
          <w:szCs w:val="21"/>
        </w:rPr>
      </w:pPr>
      <w:r>
        <w:rPr>
          <w:rFonts w:hint="eastAsia" w:ascii="微软雅黑" w:hAnsi="微软雅黑" w:eastAsia="微软雅黑"/>
          <w:szCs w:val="21"/>
        </w:rPr>
        <w:t xml:space="preserve">算力：16TOPS INT8 </w:t>
      </w:r>
    </w:p>
    <w:p>
      <w:pPr>
        <w:spacing w:line="360" w:lineRule="auto"/>
        <w:ind w:firstLine="420"/>
        <w:rPr>
          <w:rFonts w:ascii="微软雅黑" w:hAnsi="微软雅黑" w:eastAsia="微软雅黑"/>
          <w:szCs w:val="21"/>
        </w:rPr>
      </w:pPr>
      <w:r>
        <w:rPr>
          <w:rFonts w:hint="eastAsia" w:ascii="微软雅黑" w:hAnsi="微软雅黑" w:eastAsia="微软雅黑"/>
          <w:szCs w:val="21"/>
        </w:rPr>
        <w:t>特征比对能力：单张比对卡支持25亿次/秒的比对能力</w:t>
      </w:r>
    </w:p>
    <w:p>
      <w:pPr>
        <w:spacing w:line="360" w:lineRule="auto"/>
        <w:ind w:firstLine="420"/>
        <w:rPr>
          <w:rFonts w:ascii="微软雅黑" w:hAnsi="微软雅黑" w:eastAsia="微软雅黑"/>
          <w:szCs w:val="21"/>
        </w:rPr>
      </w:pPr>
      <w:r>
        <w:rPr>
          <w:rFonts w:hint="eastAsia" w:ascii="微软雅黑" w:hAnsi="微软雅黑" w:eastAsia="微软雅黑"/>
          <w:szCs w:val="21"/>
        </w:rPr>
        <w:t>内存容量：</w:t>
      </w:r>
      <w:r>
        <w:rPr>
          <w:rFonts w:ascii="微软雅黑" w:hAnsi="微软雅黑" w:eastAsia="微软雅黑"/>
          <w:szCs w:val="21"/>
        </w:rPr>
        <w:t xml:space="preserve"> 64GB</w:t>
      </w:r>
    </w:p>
    <w:p>
      <w:pPr>
        <w:spacing w:line="360" w:lineRule="auto"/>
        <w:ind w:firstLine="420"/>
        <w:rPr>
          <w:rFonts w:ascii="微软雅黑" w:hAnsi="微软雅黑" w:eastAsia="微软雅黑"/>
          <w:szCs w:val="21"/>
        </w:rPr>
      </w:pPr>
      <w:r>
        <w:rPr>
          <w:rFonts w:hint="eastAsia" w:ascii="微软雅黑" w:hAnsi="微软雅黑" w:eastAsia="微软雅黑"/>
          <w:szCs w:val="21"/>
        </w:rPr>
        <w:t>40路1080P实时视频活动目标分析；图片流40张/S目标分析；16路1080P公共事件检测；16路1080P交通事件检测；16路1080P特殊场所事件检测</w:t>
      </w:r>
    </w:p>
    <w:p>
      <w:pPr>
        <w:spacing w:line="360" w:lineRule="auto"/>
        <w:ind w:firstLine="420"/>
        <w:rPr>
          <w:rFonts w:ascii="微软雅黑" w:hAnsi="微软雅黑" w:eastAsia="微软雅黑"/>
          <w:szCs w:val="21"/>
        </w:rPr>
      </w:pPr>
      <w:r>
        <w:rPr>
          <w:rFonts w:hint="eastAsia" w:ascii="微软雅黑" w:hAnsi="微软雅黑" w:eastAsia="微软雅黑"/>
          <w:szCs w:val="21"/>
        </w:rPr>
        <w:t>尺寸：38.9mmx111.15mmx255.9mm(高*宽*深)</w:t>
      </w:r>
    </w:p>
    <w:p>
      <w:pPr>
        <w:spacing w:line="360" w:lineRule="auto"/>
        <w:ind w:firstLine="420"/>
        <w:rPr>
          <w:rFonts w:hint="eastAsia" w:ascii="微软雅黑" w:hAnsi="微软雅黑" w:eastAsia="微软雅黑"/>
          <w:b/>
          <w:szCs w:val="21"/>
        </w:rPr>
      </w:pPr>
      <w:r>
        <w:rPr>
          <w:rFonts w:hint="eastAsia" w:ascii="微软雅黑" w:hAnsi="微软雅黑" w:eastAsia="微软雅黑"/>
          <w:b/>
          <w:szCs w:val="21"/>
        </w:rPr>
        <w:t>27、智能比对卡</w:t>
      </w:r>
    </w:p>
    <w:p>
      <w:pPr>
        <w:spacing w:line="360" w:lineRule="auto"/>
        <w:ind w:firstLine="420"/>
        <w:rPr>
          <w:rFonts w:ascii="微软雅黑" w:hAnsi="微软雅黑" w:eastAsia="微软雅黑"/>
          <w:szCs w:val="21"/>
        </w:rPr>
      </w:pPr>
      <w:r>
        <w:rPr>
          <w:rFonts w:hint="eastAsia" w:ascii="微软雅黑" w:hAnsi="微软雅黑" w:eastAsia="微软雅黑"/>
          <w:szCs w:val="21"/>
        </w:rPr>
        <w:t>人脸使用模式</w:t>
      </w:r>
    </w:p>
    <w:p>
      <w:pPr>
        <w:spacing w:line="360" w:lineRule="auto"/>
        <w:ind w:firstLine="420"/>
        <w:rPr>
          <w:rFonts w:ascii="微软雅黑" w:hAnsi="微软雅黑" w:eastAsia="微软雅黑"/>
          <w:szCs w:val="21"/>
        </w:rPr>
      </w:pPr>
      <w:r>
        <w:rPr>
          <w:rFonts w:hint="eastAsia" w:ascii="微软雅黑" w:hAnsi="微软雅黑" w:eastAsia="微软雅黑"/>
          <w:szCs w:val="21"/>
        </w:rPr>
        <w:t>人脸数据比对能力：单张比对卡支持25亿次/秒的比对能力</w:t>
      </w:r>
    </w:p>
    <w:p>
      <w:pPr>
        <w:spacing w:line="360" w:lineRule="auto"/>
        <w:ind w:firstLine="420"/>
        <w:rPr>
          <w:rFonts w:ascii="微软雅黑" w:hAnsi="微软雅黑" w:eastAsia="微软雅黑"/>
          <w:szCs w:val="21"/>
        </w:rPr>
      </w:pPr>
      <w:r>
        <w:rPr>
          <w:rFonts w:hint="eastAsia" w:ascii="微软雅黑" w:hAnsi="微软雅黑" w:eastAsia="微软雅黑"/>
          <w:szCs w:val="21"/>
        </w:rPr>
        <w:t>人脸数据存储容量：单张比对卡最大支持1亿特征数据比对</w:t>
      </w:r>
    </w:p>
    <w:p>
      <w:pPr>
        <w:spacing w:line="360" w:lineRule="auto"/>
        <w:ind w:firstLine="420"/>
        <w:rPr>
          <w:rFonts w:ascii="微软雅黑" w:hAnsi="微软雅黑" w:eastAsia="微软雅黑"/>
          <w:szCs w:val="21"/>
        </w:rPr>
      </w:pPr>
      <w:r>
        <w:rPr>
          <w:rFonts w:hint="eastAsia" w:ascii="微软雅黑" w:hAnsi="微软雅黑" w:eastAsia="微软雅黑"/>
          <w:szCs w:val="21"/>
        </w:rPr>
        <w:t>车辆使用模式</w:t>
      </w:r>
    </w:p>
    <w:p>
      <w:pPr>
        <w:spacing w:line="360" w:lineRule="auto"/>
        <w:ind w:firstLine="420"/>
        <w:rPr>
          <w:rFonts w:ascii="微软雅黑" w:hAnsi="微软雅黑" w:eastAsia="微软雅黑"/>
          <w:szCs w:val="21"/>
        </w:rPr>
      </w:pPr>
      <w:r>
        <w:rPr>
          <w:rFonts w:hint="eastAsia" w:ascii="微软雅黑" w:hAnsi="微软雅黑" w:eastAsia="微软雅黑"/>
          <w:szCs w:val="21"/>
        </w:rPr>
        <w:t>车辆数据比对能力：单张比对卡支持25亿次/秒的比对能力</w:t>
      </w:r>
    </w:p>
    <w:p>
      <w:pPr>
        <w:spacing w:line="360" w:lineRule="auto"/>
        <w:ind w:firstLine="420"/>
        <w:rPr>
          <w:rFonts w:ascii="微软雅黑" w:hAnsi="微软雅黑" w:eastAsia="微软雅黑"/>
          <w:szCs w:val="21"/>
        </w:rPr>
      </w:pPr>
      <w:r>
        <w:rPr>
          <w:rFonts w:hint="eastAsia" w:ascii="微软雅黑" w:hAnsi="微软雅黑" w:eastAsia="微软雅黑"/>
          <w:szCs w:val="21"/>
        </w:rPr>
        <w:t>车辆数据存储容量：单张比对卡最大支持1亿特征数据比对</w:t>
      </w:r>
    </w:p>
    <w:p>
      <w:pPr>
        <w:spacing w:line="360" w:lineRule="auto"/>
        <w:ind w:firstLine="420"/>
        <w:rPr>
          <w:rFonts w:ascii="微软雅黑" w:hAnsi="微软雅黑" w:eastAsia="微软雅黑"/>
          <w:szCs w:val="21"/>
        </w:rPr>
      </w:pPr>
      <w:r>
        <w:rPr>
          <w:rFonts w:hint="eastAsia" w:ascii="微软雅黑" w:hAnsi="微软雅黑" w:eastAsia="微软雅黑"/>
          <w:szCs w:val="21"/>
        </w:rPr>
        <w:t>结构化使用模式</w:t>
      </w:r>
    </w:p>
    <w:p>
      <w:pPr>
        <w:spacing w:line="360" w:lineRule="auto"/>
        <w:ind w:firstLine="420"/>
        <w:rPr>
          <w:rFonts w:ascii="微软雅黑" w:hAnsi="微软雅黑" w:eastAsia="微软雅黑"/>
          <w:szCs w:val="21"/>
        </w:rPr>
      </w:pPr>
      <w:r>
        <w:rPr>
          <w:rFonts w:hint="eastAsia" w:ascii="微软雅黑" w:hAnsi="微软雅黑" w:eastAsia="微软雅黑"/>
          <w:szCs w:val="21"/>
        </w:rPr>
        <w:t>结构化数据比对能力：单张比对卡支持9亿次/秒的比对能力</w:t>
      </w:r>
    </w:p>
    <w:p>
      <w:pPr>
        <w:spacing w:line="360" w:lineRule="auto"/>
        <w:ind w:firstLine="420"/>
        <w:rPr>
          <w:rFonts w:ascii="微软雅黑" w:hAnsi="微软雅黑" w:eastAsia="微软雅黑"/>
          <w:szCs w:val="21"/>
        </w:rPr>
      </w:pPr>
      <w:r>
        <w:rPr>
          <w:rFonts w:hint="eastAsia" w:ascii="微软雅黑" w:hAnsi="微软雅黑" w:eastAsia="微软雅黑"/>
          <w:szCs w:val="21"/>
        </w:rPr>
        <w:t>结构化数据存储容量：单张比对卡最大支持3000万特征数据比对</w:t>
      </w:r>
    </w:p>
    <w:p>
      <w:pPr>
        <w:spacing w:line="360" w:lineRule="auto"/>
        <w:ind w:firstLine="420"/>
        <w:rPr>
          <w:rFonts w:ascii="微软雅黑" w:hAnsi="微软雅黑" w:eastAsia="微软雅黑"/>
          <w:szCs w:val="21"/>
        </w:rPr>
      </w:pPr>
      <w:r>
        <w:rPr>
          <w:rFonts w:hint="eastAsia" w:ascii="微软雅黑" w:hAnsi="微软雅黑" w:eastAsia="微软雅黑"/>
          <w:szCs w:val="21"/>
        </w:rPr>
        <w:t>单卡最高支持80个客户端并发</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28、电箱</w:t>
      </w:r>
    </w:p>
    <w:p>
      <w:pPr>
        <w:spacing w:line="360" w:lineRule="auto"/>
        <w:ind w:firstLine="420"/>
        <w:rPr>
          <w:rFonts w:ascii="微软雅黑" w:hAnsi="微软雅黑" w:eastAsia="微软雅黑"/>
          <w:szCs w:val="21"/>
        </w:rPr>
      </w:pPr>
      <w:r>
        <w:rPr>
          <w:rFonts w:hint="eastAsia" w:ascii="微软雅黑" w:hAnsi="微软雅黑" w:eastAsia="微软雅黑"/>
          <w:szCs w:val="21"/>
        </w:rPr>
        <w:t>设计的设备箱尺寸为525mm*370mm*160mm(H*D*W) ，除抱杆装设备箱采取背部进线设计，其余借杆装以及墙装设备箱都需采取底部进线设计。箱体防护等级为IP54，防雨防尘，室外安装，内部采用绝缘板做为设备载体，上部主要安放空气开关及其它配电及辅助设备，设备箱底部主要安放前瑞稳压电源。为了适应室外环境，更加适应室外抗高温环境，要求在机箱在外观上专门设计上部导热层，避免夏天阳光直射箱体，增强了隔热性能；另一方面在机箱侧面下部加装换气百叶窗，以降低机箱内的温度，保证机箱内设备的安全性。</w:t>
      </w:r>
    </w:p>
    <w:p>
      <w:pPr>
        <w:spacing w:line="360" w:lineRule="auto"/>
        <w:ind w:firstLine="420"/>
        <w:rPr>
          <w:rFonts w:ascii="微软雅黑" w:hAnsi="微软雅黑" w:eastAsia="微软雅黑"/>
          <w:szCs w:val="21"/>
        </w:rPr>
      </w:pPr>
      <w:r>
        <w:rPr>
          <w:rFonts w:hint="eastAsia" w:ascii="微软雅黑" w:hAnsi="微软雅黑" w:eastAsia="微软雅黑"/>
          <w:szCs w:val="21"/>
        </w:rPr>
        <w:t>a）在监控机箱设计电源保护装置，即过流过压保护装置和电源防雷保护装置。</w:t>
      </w:r>
    </w:p>
    <w:p>
      <w:pPr>
        <w:spacing w:line="360" w:lineRule="auto"/>
        <w:ind w:firstLine="420"/>
        <w:rPr>
          <w:rFonts w:ascii="微软雅黑" w:hAnsi="微软雅黑" w:eastAsia="微软雅黑"/>
          <w:szCs w:val="21"/>
        </w:rPr>
      </w:pPr>
      <w:r>
        <w:rPr>
          <w:rFonts w:hint="eastAsia" w:ascii="微软雅黑" w:hAnsi="微软雅黑" w:eastAsia="微软雅黑"/>
          <w:szCs w:val="21"/>
        </w:rPr>
        <w:t>b）在监控机箱中加装电源保护装置，即过流过压保护装置，里面可放置光端机、电源设备，接线端子、光纤终端盒、维修开关和插座。</w:t>
      </w:r>
    </w:p>
    <w:p>
      <w:pPr>
        <w:spacing w:line="360" w:lineRule="auto"/>
        <w:ind w:firstLine="420"/>
        <w:rPr>
          <w:rFonts w:ascii="微软雅黑" w:hAnsi="微软雅黑" w:eastAsia="微软雅黑"/>
          <w:szCs w:val="21"/>
        </w:rPr>
      </w:pPr>
      <w:r>
        <w:rPr>
          <w:rFonts w:hint="eastAsia" w:ascii="微软雅黑" w:hAnsi="微软雅黑" w:eastAsia="微软雅黑"/>
          <w:szCs w:val="21"/>
        </w:rPr>
        <w:t xml:space="preserve">c）机箱锁要求满足防拨、防钻、防撬、防锯、防卸等安全要求： </w:t>
      </w:r>
    </w:p>
    <w:p>
      <w:pPr>
        <w:spacing w:line="360" w:lineRule="auto"/>
        <w:ind w:firstLine="420"/>
        <w:rPr>
          <w:rFonts w:ascii="微软雅黑" w:hAnsi="微软雅黑" w:eastAsia="微软雅黑"/>
          <w:szCs w:val="21"/>
        </w:rPr>
      </w:pPr>
      <w:r>
        <w:rPr>
          <w:rFonts w:hint="eastAsia" w:ascii="微软雅黑" w:hAnsi="微软雅黑" w:eastAsia="微软雅黑"/>
          <w:szCs w:val="21"/>
        </w:rPr>
        <w:t>d）前端机箱安装根据现场环境确定架空安装或落地安装；架空安装位置在离地面3米左右的高度进行安装。</w:t>
      </w:r>
    </w:p>
    <w:p>
      <w:pPr>
        <w:spacing w:line="360" w:lineRule="auto"/>
        <w:ind w:firstLine="420"/>
        <w:rPr>
          <w:rFonts w:ascii="微软雅黑" w:hAnsi="微软雅黑" w:eastAsia="微软雅黑"/>
          <w:szCs w:val="21"/>
        </w:rPr>
      </w:pPr>
      <w:r>
        <w:rPr>
          <w:rFonts w:ascii="微软雅黑" w:hAnsi="微软雅黑" w:eastAsia="微软雅黑"/>
          <w:szCs w:val="21"/>
        </w:rPr>
        <w:t>由于系统处于雷雨多发地域，为了保证设备的安全，本系统全面考虑整个监控</w:t>
      </w:r>
      <w:r>
        <w:rPr>
          <w:rFonts w:hint="eastAsia" w:ascii="微软雅黑" w:hAnsi="微软雅黑" w:eastAsia="微软雅黑"/>
          <w:szCs w:val="21"/>
        </w:rPr>
        <w:t>系统</w:t>
      </w:r>
      <w:r>
        <w:rPr>
          <w:rFonts w:ascii="微软雅黑" w:hAnsi="微软雅黑" w:eastAsia="微软雅黑"/>
          <w:szCs w:val="21"/>
        </w:rPr>
        <w:t>的防雷问题</w:t>
      </w:r>
      <w:r>
        <w:rPr>
          <w:rFonts w:hint="eastAsia" w:ascii="微软雅黑" w:hAnsi="微软雅黑" w:eastAsia="微软雅黑"/>
          <w:szCs w:val="21"/>
        </w:rPr>
        <w:t>。</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29、4米立杆（人脸）</w:t>
      </w:r>
    </w:p>
    <w:p>
      <w:pPr>
        <w:spacing w:line="360" w:lineRule="auto"/>
        <w:ind w:firstLine="420"/>
        <w:rPr>
          <w:rFonts w:ascii="微软雅黑" w:hAnsi="微软雅黑" w:eastAsia="微软雅黑"/>
          <w:szCs w:val="21"/>
        </w:rPr>
      </w:pPr>
      <w:r>
        <w:rPr>
          <w:rFonts w:hint="eastAsia" w:ascii="微软雅黑" w:hAnsi="微软雅黑" w:eastAsia="微软雅黑"/>
          <w:szCs w:val="21"/>
        </w:rPr>
        <w:t>主杆应采用圆锥形状，立杆下端管径应≥220 mm、上端管径应≥140mm，管壁厚度应≥6mm，挑臂长度一般应500mm-4000mm（根据现场实际情况配置），立杆应做灌筑基础，基础深度应不小于1000mm，底部直径应不小于1000mm，基础基本形状为长方体，基准尺寸为1000mm*1000mm*1000mm，具体尺寸根据实际情况略有不同，但应保持总立方数不小于基准尺寸的立方数。杆体要求整体美观保证摄像机的稳定性，不能产生严重的晃动。立杆外观颜色根据现场环境决定。</w:t>
      </w:r>
    </w:p>
    <w:p>
      <w:pPr>
        <w:spacing w:line="360" w:lineRule="auto"/>
        <w:ind w:firstLine="420"/>
        <w:rPr>
          <w:rFonts w:ascii="微软雅黑" w:hAnsi="微软雅黑" w:eastAsia="微软雅黑"/>
          <w:szCs w:val="21"/>
        </w:rPr>
      </w:pPr>
      <w:r>
        <w:rPr>
          <w:rFonts w:hint="eastAsia" w:ascii="微软雅黑" w:hAnsi="微软雅黑" w:eastAsia="微软雅黑"/>
          <w:szCs w:val="21"/>
        </w:rPr>
        <w:t>项目验收时由项目出具立杆参数证明。</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30、6米立杆（球机）</w:t>
      </w:r>
    </w:p>
    <w:p>
      <w:pPr>
        <w:spacing w:line="360" w:lineRule="auto"/>
        <w:ind w:firstLine="420"/>
        <w:rPr>
          <w:rFonts w:ascii="微软雅黑" w:hAnsi="微软雅黑" w:eastAsia="微软雅黑"/>
          <w:szCs w:val="21"/>
        </w:rPr>
      </w:pPr>
      <w:r>
        <w:rPr>
          <w:rFonts w:hint="eastAsia" w:ascii="微软雅黑" w:hAnsi="微软雅黑" w:eastAsia="微软雅黑"/>
          <w:szCs w:val="21"/>
        </w:rPr>
        <w:t>主杆应采用圆锥形状，立杆下端管径应≥220 mm、上端管径应≥140mm，管壁厚度应≥6mm，挑臂长度一般应1000mm-8000mm（根据现场实际情况配置），立杆应做灌筑基础，基础深度应不小于1500mm，底部直径应不小于1000mm，基础基本形状为长方体，基准尺寸为1000mm*1000mm*1500mm，具体尺寸根据实际情况略有不同，但应保持总立方数不小于基准尺寸的立方数。杆体要求整体美观保证摄像机的稳定性，不能产生严重的晃动。立杆外观颜色根据现场环境决定。</w:t>
      </w:r>
    </w:p>
    <w:p>
      <w:pPr>
        <w:spacing w:line="360" w:lineRule="auto"/>
        <w:ind w:firstLine="420"/>
        <w:rPr>
          <w:rFonts w:ascii="微软雅黑" w:hAnsi="微软雅黑" w:eastAsia="微软雅黑"/>
          <w:szCs w:val="21"/>
        </w:rPr>
      </w:pPr>
      <w:r>
        <w:rPr>
          <w:rFonts w:hint="eastAsia" w:ascii="微软雅黑" w:hAnsi="微软雅黑" w:eastAsia="微软雅黑"/>
          <w:szCs w:val="21"/>
        </w:rPr>
        <w:t>项目验收时出具立杆参数证明。</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31、6米立杆（卡口）</w:t>
      </w:r>
    </w:p>
    <w:p>
      <w:pPr>
        <w:spacing w:line="360" w:lineRule="auto"/>
        <w:ind w:firstLine="420"/>
        <w:rPr>
          <w:rFonts w:ascii="微软雅黑" w:hAnsi="微软雅黑" w:eastAsia="微软雅黑"/>
          <w:szCs w:val="21"/>
        </w:rPr>
      </w:pPr>
      <w:r>
        <w:rPr>
          <w:rFonts w:hint="eastAsia" w:ascii="微软雅黑" w:hAnsi="微软雅黑" w:eastAsia="微软雅黑"/>
          <w:szCs w:val="21"/>
        </w:rPr>
        <w:t>主杆应采用圆锥形状（根据现场实际情况配置L型或T型），立杆下端管径应≥260mm、上端管径应≥200mm，管壁厚度应≥6mm，挑臂长度一般应1000mm-13000mm（根据现场实际情况，应在挑臂上方配备可调节导轨），立杆应做灌筑基础，基础深度应不小于1500mm，底部直径应不小于1000mm，基础基本形状为长方体，基准尺寸为1000mm*1000mm*1500mm，具体尺寸根据实际情况略有不同，但应保持总立方数不小于基准尺寸的立方数。杆体要求整体美观保证摄像机的稳定性，不能产生严重的晃动。立杆外观颜色根据现场环境决定。</w:t>
      </w:r>
    </w:p>
    <w:p>
      <w:pPr>
        <w:spacing w:line="360" w:lineRule="auto"/>
        <w:ind w:firstLine="420"/>
        <w:rPr>
          <w:rFonts w:ascii="微软雅黑" w:hAnsi="微软雅黑" w:eastAsia="微软雅黑"/>
          <w:szCs w:val="21"/>
        </w:rPr>
      </w:pPr>
      <w:r>
        <w:rPr>
          <w:rFonts w:hint="eastAsia" w:ascii="微软雅黑" w:hAnsi="微软雅黑" w:eastAsia="微软雅黑"/>
          <w:szCs w:val="21"/>
        </w:rPr>
        <w:t>项目验收时出具立杆参数证明。</w:t>
      </w:r>
    </w:p>
    <w:p>
      <w:pPr>
        <w:spacing w:line="360" w:lineRule="auto"/>
        <w:ind w:firstLine="420"/>
        <w:rPr>
          <w:rFonts w:hint="eastAsia" w:ascii="微软雅黑" w:hAnsi="微软雅黑" w:eastAsia="微软雅黑"/>
          <w:b/>
          <w:szCs w:val="21"/>
        </w:rPr>
      </w:pPr>
    </w:p>
    <w:p>
      <w:pPr>
        <w:spacing w:line="360" w:lineRule="auto"/>
        <w:ind w:firstLine="420"/>
        <w:rPr>
          <w:rFonts w:ascii="微软雅黑" w:hAnsi="微软雅黑" w:eastAsia="微软雅黑"/>
          <w:b/>
          <w:szCs w:val="21"/>
        </w:rPr>
      </w:pPr>
      <w:r>
        <w:rPr>
          <w:rFonts w:hint="eastAsia" w:ascii="微软雅黑" w:hAnsi="微软雅黑" w:eastAsia="微软雅黑"/>
          <w:b/>
          <w:szCs w:val="21"/>
        </w:rPr>
        <w:t>本项目所有机箱、杆件满足以上类型杆件参数外，还需要满足以下要求：</w:t>
      </w:r>
    </w:p>
    <w:p>
      <w:pPr>
        <w:spacing w:line="360" w:lineRule="auto"/>
        <w:ind w:firstLine="420"/>
        <w:rPr>
          <w:rFonts w:ascii="微软雅黑" w:hAnsi="微软雅黑" w:eastAsia="微软雅黑"/>
          <w:szCs w:val="21"/>
        </w:rPr>
      </w:pPr>
      <w:r>
        <w:rPr>
          <w:rFonts w:hint="eastAsia" w:ascii="微软雅黑" w:hAnsi="微软雅黑" w:eastAsia="微软雅黑"/>
          <w:szCs w:val="21"/>
        </w:rPr>
        <w:t>a) 根据部位与要求选择摄像机安装方式。采用立杆安装方式时，除特殊情况外，4-5米杆件安装摄像机离地面高度一般不低于3500mm，6米杆件安装摄像机离地面高度一般不低于5000mm.</w:t>
      </w:r>
    </w:p>
    <w:p>
      <w:pPr>
        <w:spacing w:line="360" w:lineRule="auto"/>
        <w:ind w:firstLine="420"/>
        <w:rPr>
          <w:rFonts w:ascii="微软雅黑" w:hAnsi="微软雅黑" w:eastAsia="微软雅黑"/>
          <w:szCs w:val="21"/>
        </w:rPr>
      </w:pPr>
      <w:r>
        <w:rPr>
          <w:rFonts w:hint="eastAsia" w:ascii="微软雅黑" w:hAnsi="微软雅黑" w:eastAsia="微软雅黑"/>
          <w:szCs w:val="21"/>
        </w:rPr>
        <w:t>b）主杆钢管杆立柱及横臂为整根不分段式（挑臂长度超过9米的除外）。</w:t>
      </w:r>
    </w:p>
    <w:p>
      <w:pPr>
        <w:spacing w:line="360" w:lineRule="auto"/>
        <w:ind w:firstLine="420"/>
        <w:rPr>
          <w:rFonts w:ascii="微软雅黑" w:hAnsi="微软雅黑" w:eastAsia="微软雅黑"/>
          <w:szCs w:val="21"/>
        </w:rPr>
      </w:pPr>
      <w:r>
        <w:rPr>
          <w:rFonts w:hint="eastAsia" w:ascii="微软雅黑" w:hAnsi="微软雅黑" w:eastAsia="微软雅黑"/>
          <w:szCs w:val="21"/>
        </w:rPr>
        <w:t>c）杆体、机箱设计要求美观大方，机箱、杆件、挑臂等统一为黑色，所有负载安装就位。</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d）杆体可抗10级台风，疲劳寿命大于10年。</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e)不允许飞线，相关线路不得外露。</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电源</w:t>
      </w:r>
    </w:p>
    <w:p>
      <w:pPr>
        <w:spacing w:line="360" w:lineRule="auto"/>
        <w:ind w:firstLine="420"/>
        <w:rPr>
          <w:rFonts w:ascii="微软雅黑" w:hAnsi="微软雅黑" w:eastAsia="微软雅黑"/>
          <w:szCs w:val="21"/>
        </w:rPr>
      </w:pPr>
      <w:r>
        <w:rPr>
          <w:rFonts w:hint="eastAsia" w:ascii="微软雅黑" w:hAnsi="微软雅黑" w:eastAsia="微软雅黑"/>
          <w:szCs w:val="21"/>
        </w:rPr>
        <w:t>a) 电源应有过流过压保护装置；应具备接地防雷装置，防雷接地符合国家标准。</w:t>
      </w:r>
    </w:p>
    <w:p>
      <w:pPr>
        <w:spacing w:line="360" w:lineRule="auto"/>
        <w:ind w:firstLine="420"/>
        <w:rPr>
          <w:rFonts w:ascii="微软雅黑" w:hAnsi="微软雅黑" w:eastAsia="微软雅黑"/>
          <w:szCs w:val="21"/>
        </w:rPr>
      </w:pPr>
      <w:r>
        <w:rPr>
          <w:rFonts w:hint="eastAsia" w:ascii="微软雅黑" w:hAnsi="微软雅黑" w:eastAsia="微软雅黑"/>
          <w:szCs w:val="21"/>
        </w:rPr>
        <w:t>b) 采取最合理取电的方式为前端设备来进行供电。</w:t>
      </w:r>
    </w:p>
    <w:p>
      <w:pPr>
        <w:spacing w:line="360" w:lineRule="auto"/>
        <w:ind w:firstLine="420"/>
        <w:rPr>
          <w:rFonts w:ascii="微软雅黑" w:hAnsi="微软雅黑" w:eastAsia="微软雅黑"/>
          <w:szCs w:val="21"/>
        </w:rPr>
      </w:pPr>
      <w:r>
        <w:rPr>
          <w:rFonts w:hint="eastAsia" w:ascii="微软雅黑" w:hAnsi="微软雅黑" w:eastAsia="微软雅黑"/>
          <w:szCs w:val="21"/>
        </w:rPr>
        <w:t>c) 项目的设计与施工中所有设备必需充分考虑防止出现漏电隐患，杜绝触电等安全事故的发生。</w:t>
      </w:r>
    </w:p>
    <w:p>
      <w:pPr>
        <w:pStyle w:val="2"/>
        <w:spacing w:after="0"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d) 本项目中，严格执行国家的有关标准和规范，立杆防雷接地电阻≦10Ω。接地网布置依据地形进行设计，当土壤电阻率太高而不能满足要求时，采用垂直接地极＋减阻剂的方法使地网接地电阻符合要求。</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cs="微软雅黑"/>
          <w:b/>
          <w:szCs w:val="21"/>
        </w:rPr>
        <w:t>四、项目中所含软件系统要求</w:t>
      </w:r>
    </w:p>
    <w:p>
      <w:pPr>
        <w:pStyle w:val="2"/>
        <w:spacing w:after="0"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1、软件应用平台</w:t>
      </w:r>
    </w:p>
    <w:p>
      <w:pPr>
        <w:pStyle w:val="2"/>
        <w:spacing w:after="0"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（1）系统总体要求</w:t>
      </w:r>
    </w:p>
    <w:p>
      <w:pPr>
        <w:pStyle w:val="2"/>
        <w:spacing w:after="0" w:line="360" w:lineRule="auto"/>
        <w:ind w:firstLine="420" w:firstLineChars="200"/>
        <w:jc w:val="left"/>
        <w:rPr>
          <w:rFonts w:hint="eastAsia" w:ascii="微软雅黑" w:hAnsi="微软雅黑" w:eastAsia="微软雅黑"/>
          <w:szCs w:val="21"/>
          <w:lang w:val="en-US" w:eastAsia="zh-CN"/>
        </w:rPr>
      </w:pPr>
      <w:r>
        <w:rPr>
          <w:rFonts w:hint="eastAsia" w:ascii="微软雅黑" w:hAnsi="微软雅黑" w:eastAsia="微软雅黑"/>
          <w:szCs w:val="21"/>
        </w:rPr>
        <w:t>采用海量数据计算架构，深度分析卡口过人/车与公安**数据内在种种联系，从时间、</w:t>
      </w:r>
      <w:r>
        <w:rPr>
          <w:rFonts w:hint="eastAsia" w:ascii="微软雅黑" w:hAnsi="微软雅黑" w:eastAsia="微软雅黑"/>
          <w:szCs w:val="21"/>
          <w:lang w:val="en-US" w:eastAsia="zh-CN"/>
        </w:rPr>
        <w:t>空间、人脸、人体、车辆、行为和关系人等多个维度建立业务模型，通过分析覆盖核心区域与关键点位的视频监控，挖掘隐藏在海量过人/车中的价值信息，提升公安战力，极大的满足公安对重点人员的事前预警和事后追查需求。同时可利旧现有普通监控，支持对接入的高清前端视频流数据进行解析，形成一系列的轨迹信息，用大数据技术对信息进行综合研判</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应用系统涉及公安网和视频专网，投标人须考虑边界的安全性，在此基础上部署应用系统。</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（2）平台支撑服务</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基础支撑服务是支撑整个平台用户、角色、菜单权限、日志等运维管理部分的模块包括：</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1.用户管理：对用户的新增、修改、删除、分配角色、登录授权等；</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2.角色管理：对角色的新增、修改、删除、分配菜单权限等；</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3.白名单管理：提供白名单功能，在该名单内的人员不列入任何监控行为；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4.权限控制：提供完备的权限控制，根据公安规范需求对接权限体系，依据要求进行权限控制；根据应用本地的要求，精准控制功能菜单及操作项目，切实保障数据安全和应用安全</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5.行为审计：对用户在本系统的使用行为进行记录，并支持行为定向查询，保证系统被安全合理的使用</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6.监控分类管理：可以根据定义的规则，对监控级别进行调整，不同级别可定义不同的处置措施</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（3）数据治理服务</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资源管理服务是对数据资产做管理：</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1.治理数据范围调研：确定需要纳入治理的数据表范围及对接方式；</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2.数据组织设计：对确定的数据，定义必要的数据标准，为后续数据新增提供规范；</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3.数据源接入：与上级部门、本地的数据提供方逐一对接，确保接入链路的长期稳定。对可靠数据进行梳理，并将结果汇聚到本地；</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4.经开数据治理：对隶属经开本地的数据，进行数据清洗、转换、翻译等治理工作；</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5.专用治理规则开发:按数据特性，开发用于本项目的专项治理规则;</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6.数据质量管理: 按照数据质量管理流程，即质量定义、度量、分析和改进等进行管理，可以对已有数据进行概要分析，发现和监控其中的质量问题，并进行质量改进;</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7.专题库建设: 建设专题库，形成专用的数据仓库，输出应用系统需要的数据;</w:t>
      </w:r>
    </w:p>
    <w:p>
      <w:pPr>
        <w:spacing w:line="360" w:lineRule="auto"/>
        <w:ind w:firstLine="420"/>
        <w:rPr>
          <w:rFonts w:ascii="微软雅黑" w:hAnsi="微软雅黑" w:eastAsia="微软雅黑"/>
          <w:b/>
          <w:szCs w:val="21"/>
        </w:rPr>
      </w:pPr>
      <w:r>
        <w:rPr>
          <w:rFonts w:hint="eastAsia" w:ascii="微软雅黑" w:hAnsi="微软雅黑" w:eastAsia="微软雅黑"/>
          <w:b/>
          <w:szCs w:val="21"/>
        </w:rPr>
        <w:t>（4）软件关键功能要求</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多维应用包含人像、车辆、多维基础框架及关键功能应用。</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 xml:space="preserve"> </w:t>
      </w:r>
      <w:r>
        <w:rPr>
          <w:rFonts w:hint="eastAsia" w:ascii="微软雅黑" w:hAnsi="微软雅黑" w:eastAsia="微软雅黑"/>
          <w:szCs w:val="21"/>
        </w:rPr>
        <w:t>人像功能：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A．静态1：1人像核验功能。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B．静态人像1:N功能。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C．新建、更新、编辑及删除人像库。支持建立不少于200个静态库，系统支持多种数据导入方式。</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D．系统具备动态视频流处理能力，支持2MP（1920×1080），4MP（2592x1520），6MP（3072x2048），8MP（3840×2160）分辨率。</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E．动态布控报警，实时进行报警的功能。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F．路人检索。</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G．结构化搜图，为公安用户提供多样化的手段，支撑公安用户在案件发生后进行线索提取，以提高案件侦破概率。</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H．宏观态势，展现整体的治安态势。</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I．一人一档，为每个人建立一个“档案”。</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支持对水平转动角不超过±60°侧脸图片的底库聚档功能，支持对俯仰角不超过±45°的人脸图片的底库聚档功能。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 xml:space="preserve">支持在档案中进行人体检索，检索结果包括人脸或人体档案、人体汇聚档案。 </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支持查询360天档案数据，返回平均时间不超过2秒，支持对5000路摄像机检索360天内的单人轨迹信息，检索返回平均时间不超过2秒。</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J．各类技战法（不少于7种），在多个时间、空间范围内，帮助民警进行精细化管理。</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 xml:space="preserve"> </w:t>
      </w:r>
      <w:r>
        <w:rPr>
          <w:rFonts w:hint="eastAsia" w:ascii="微软雅黑" w:hAnsi="微软雅黑" w:eastAsia="微软雅黑"/>
          <w:szCs w:val="21"/>
        </w:rPr>
        <w:t>融合检索：</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A. 融合检索模块支持融合人员、车辆感知数据以及档案数据的全文检索；</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B．支持精准检索、模糊检索、标签检索等多种检索方式；</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C．支持按感知数据的地点条件过滤检索；</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 xml:space="preserve"> </w:t>
      </w:r>
      <w:r>
        <w:rPr>
          <w:rFonts w:hint="eastAsia" w:ascii="微软雅黑" w:hAnsi="微软雅黑" w:eastAsia="微软雅黑"/>
          <w:szCs w:val="21"/>
        </w:rPr>
        <w:t>布控管理：</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A．支持对案件嫌疑人、特定人员等进行临控和专题库的布控服务；</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B．支持对人像、车辆多维度的专题布控等功能；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C．支持区域布控等多维度布控规则以及布控审核等功能；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 xml:space="preserve"> </w:t>
      </w:r>
      <w:r>
        <w:rPr>
          <w:rFonts w:hint="eastAsia" w:ascii="微软雅黑" w:hAnsi="微软雅黑" w:eastAsia="微软雅黑"/>
          <w:szCs w:val="21"/>
        </w:rPr>
        <w:t>预警管理：</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A．对接上级部门预警信息，进行预警反馈、预警详情信息查看，为实现业务闭环提供重要一环。</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B．支持对敏感物资数据的多条件维度查询。</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C．支持查看人像、车辆预警统计信息以及各类实时预警信息，同时支持对预案订阅展示等功能。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D．实时接收布控报警信息并支持视图和地图两种模式进行展示。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 xml:space="preserve"> </w:t>
      </w:r>
      <w:r>
        <w:rPr>
          <w:rFonts w:hint="eastAsia" w:ascii="微软雅黑" w:hAnsi="微软雅黑" w:eastAsia="微软雅黑"/>
          <w:szCs w:val="21"/>
        </w:rPr>
        <w:t>人员管控：</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A. 支持人员四色管理，对人员进行分级分类分色标签化管理。</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B. 人员全息档案，支持档案信息检索、档案详情查看等功能，档案详情信息包括人员信息、车辆信息、轨迹信息等信息。</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C．本地管控，支持对人员的本地管控等功能，为研判提供依据。</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6.</w:t>
      </w:r>
      <w:r>
        <w:rPr>
          <w:rFonts w:ascii="微软雅黑" w:hAnsi="微软雅黑" w:eastAsia="微软雅黑"/>
          <w:szCs w:val="21"/>
        </w:rPr>
        <w:t xml:space="preserve">  </w:t>
      </w:r>
      <w:r>
        <w:rPr>
          <w:rFonts w:hint="eastAsia" w:ascii="微软雅黑" w:hAnsi="微软雅黑" w:eastAsia="微软雅黑"/>
          <w:szCs w:val="21"/>
        </w:rPr>
        <w:t>研判分析：</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A．人像检索，包含身份比对、以图搜图、抓拍检索、1:1等；</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B．车辆检索：包含过车查询、特征检索、以图搜图等；</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C．研判模型：支持同行分析、以图搜档等常用实战技战法，AI矩阵模型；</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D．人工核录：支持对外获取的信息的核录功能；</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E．结构化：包含视频特征检索、图片检索功能，为研判分析提供线索；</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 xml:space="preserve">7. </w:t>
      </w:r>
      <w:r>
        <w:rPr>
          <w:rFonts w:ascii="微软雅黑" w:hAnsi="微软雅黑" w:eastAsia="微软雅黑"/>
          <w:szCs w:val="21"/>
        </w:rPr>
        <w:t xml:space="preserve"> </w:t>
      </w:r>
      <w:r>
        <w:rPr>
          <w:rFonts w:hint="eastAsia" w:ascii="微软雅黑" w:hAnsi="微软雅黑" w:eastAsia="微软雅黑"/>
          <w:szCs w:val="21"/>
        </w:rPr>
        <w:t xml:space="preserve">重点区域管控：包括融合轨迹、时空碰撞、落脚点分析、同行分析功能； </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 xml:space="preserve">8. </w:t>
      </w:r>
      <w:r>
        <w:rPr>
          <w:rFonts w:ascii="微软雅黑" w:hAnsi="微软雅黑" w:eastAsia="微软雅黑"/>
          <w:szCs w:val="21"/>
        </w:rPr>
        <w:t xml:space="preserve"> </w:t>
      </w:r>
      <w:r>
        <w:rPr>
          <w:rFonts w:hint="eastAsia" w:ascii="微软雅黑" w:hAnsi="微软雅黑" w:eastAsia="微软雅黑"/>
          <w:szCs w:val="21"/>
        </w:rPr>
        <w:t>数据统计大屏：对分析结果做可视化大屏看板界面展示，针对接入的多种数据多维度统计结果进行数据大盘的展示;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 xml:space="preserve">9. </w:t>
      </w:r>
      <w:r>
        <w:rPr>
          <w:rFonts w:ascii="微软雅黑" w:hAnsi="微软雅黑" w:eastAsia="微软雅黑"/>
          <w:szCs w:val="21"/>
        </w:rPr>
        <w:t xml:space="preserve"> </w:t>
      </w:r>
      <w:r>
        <w:rPr>
          <w:rFonts w:hint="eastAsia" w:ascii="微软雅黑" w:hAnsi="微软雅黑" w:eastAsia="微软雅黑"/>
          <w:szCs w:val="21"/>
        </w:rPr>
        <w:t>领导驾驶舱：对整体平台的预警、轨迹等日常分析研判结果结合地图方式进行展示。</w:t>
      </w:r>
    </w:p>
    <w:p>
      <w:pPr>
        <w:spacing w:line="360" w:lineRule="auto"/>
        <w:ind w:firstLine="420"/>
        <w:rPr>
          <w:rFonts w:hint="eastAsia" w:ascii="微软雅黑" w:hAnsi="微软雅黑" w:eastAsia="微软雅黑"/>
          <w:szCs w:val="21"/>
        </w:rPr>
      </w:pPr>
      <w:r>
        <w:rPr>
          <w:rFonts w:hint="eastAsia" w:ascii="微软雅黑" w:hAnsi="微软雅黑" w:eastAsia="微软雅黑"/>
          <w:szCs w:val="21"/>
        </w:rPr>
        <w:t>10．标签管理：支持对标签的自定义分层分级管理，同时支持对不同对象自定义建立标签目录等功能。</w:t>
      </w:r>
    </w:p>
    <w:p>
      <w:pPr>
        <w:spacing w:line="360" w:lineRule="auto"/>
        <w:ind w:firstLine="420"/>
        <w:rPr>
          <w:rFonts w:ascii="微软雅黑" w:hAnsi="微软雅黑" w:eastAsia="微软雅黑"/>
          <w:szCs w:val="21"/>
        </w:rPr>
      </w:pPr>
      <w:r>
        <w:rPr>
          <w:rFonts w:hint="eastAsia" w:ascii="微软雅黑" w:hAnsi="微软雅黑" w:eastAsia="微软雅黑"/>
          <w:szCs w:val="21"/>
        </w:rPr>
        <w:t>11. 白名单管理：支持对白名单管理的数据记录进行访问限制。</w:t>
      </w:r>
    </w:p>
    <w:p>
      <w:pPr>
        <w:pStyle w:val="2"/>
        <w:spacing w:after="0" w:line="360" w:lineRule="auto"/>
        <w:ind w:firstLine="420" w:firstLineChars="200"/>
        <w:jc w:val="left"/>
        <w:rPr>
          <w:rFonts w:hint="eastAsia" w:ascii="微软雅黑" w:hAnsi="微软雅黑" w:eastAsia="微软雅黑"/>
          <w:b/>
          <w:szCs w:val="21"/>
          <w:lang w:eastAsia="zh-CN"/>
        </w:rPr>
      </w:pPr>
      <w:r>
        <w:rPr>
          <w:rFonts w:hint="eastAsia" w:ascii="微软雅黑" w:hAnsi="微软雅黑" w:eastAsia="微软雅黑"/>
          <w:szCs w:val="21"/>
          <w:lang w:val="en-US" w:eastAsia="zh-CN"/>
        </w:rPr>
        <w:t>多维系统应提供不少于500路视频、3000路人像、1700路车辆的解析能力。</w:t>
      </w:r>
      <w:r>
        <w:rPr>
          <w:rFonts w:hint="eastAsia" w:ascii="微软雅黑" w:hAnsi="微软雅黑" w:eastAsia="微软雅黑"/>
          <w:szCs w:val="21"/>
          <w:lang w:val="en-US" w:eastAsia="zh-CN"/>
        </w:rPr>
        <w:br w:type="textWrapping"/>
      </w:r>
      <w:r>
        <w:rPr>
          <w:rFonts w:hint="eastAsia" w:ascii="微软雅黑" w:hAnsi="微软雅黑" w:eastAsia="微软雅黑"/>
          <w:szCs w:val="21"/>
          <w:lang w:val="en-US" w:eastAsia="zh-CN"/>
        </w:rPr>
        <w:t>人像系统应提供不少于500路200万视频流+3000路人像图片流规模的解析、存储及应用能力。</w:t>
      </w:r>
    </w:p>
    <w:p>
      <w:pPr>
        <w:pStyle w:val="2"/>
        <w:spacing w:after="0"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2、视图库系统</w:t>
      </w:r>
    </w:p>
    <w:p>
      <w:pPr>
        <w:pStyle w:val="2"/>
        <w:spacing w:after="0" w:line="360" w:lineRule="auto"/>
        <w:ind w:firstLine="420" w:firstLineChars="200"/>
        <w:jc w:val="left"/>
        <w:rPr>
          <w:rFonts w:hint="eastAsia" w:ascii="微软雅黑" w:hAnsi="微软雅黑" w:eastAsia="微软雅黑"/>
          <w:szCs w:val="21"/>
          <w:lang w:eastAsia="zh-CN"/>
        </w:rPr>
      </w:pPr>
      <w:r>
        <w:rPr>
          <w:rFonts w:hint="eastAsia" w:ascii="微软雅黑" w:hAnsi="微软雅黑" w:eastAsia="微软雅黑"/>
          <w:szCs w:val="21"/>
          <w:lang w:eastAsia="zh-CN"/>
        </w:rPr>
        <w:t>包含：</w:t>
      </w:r>
      <w:r>
        <w:rPr>
          <w:rFonts w:hint="eastAsia" w:ascii="微软雅黑" w:hAnsi="微软雅黑" w:eastAsia="微软雅黑"/>
          <w:szCs w:val="21"/>
        </w:rPr>
        <w:t>视频图像信息数据库系统软件1套；视频图像信息数据库管理系统软件1套；视图库采集接口软件2套；视图库数据服务接口软件1套；视图库级联接口软件2套；视频大数据平台软件1套。</w:t>
      </w:r>
    </w:p>
    <w:p>
      <w:pPr>
        <w:spacing w:line="360" w:lineRule="auto"/>
        <w:rPr>
          <w:rFonts w:hint="eastAsia" w:ascii="微软雅黑" w:hAnsi="微软雅黑" w:eastAsia="微软雅黑"/>
          <w:b/>
          <w:szCs w:val="21"/>
        </w:rPr>
      </w:pPr>
      <w:r>
        <w:rPr>
          <w:rFonts w:ascii="微软雅黑" w:hAnsi="微软雅黑" w:eastAsia="微软雅黑"/>
          <w:b/>
          <w:szCs w:val="21"/>
        </w:rPr>
        <w:t xml:space="preserve">    </w:t>
      </w:r>
      <w:r>
        <w:rPr>
          <w:rFonts w:hint="eastAsia" w:ascii="微软雅黑" w:hAnsi="微软雅黑" w:eastAsia="微软雅黑"/>
          <w:b/>
          <w:szCs w:val="21"/>
        </w:rPr>
        <w:t>2</w:t>
      </w:r>
      <w:r>
        <w:rPr>
          <w:rFonts w:ascii="微软雅黑" w:hAnsi="微软雅黑" w:eastAsia="微软雅黑"/>
          <w:b/>
          <w:szCs w:val="21"/>
        </w:rPr>
        <w:t>.</w:t>
      </w:r>
      <w:r>
        <w:rPr>
          <w:rFonts w:hint="eastAsia" w:ascii="微软雅黑" w:hAnsi="微软雅黑" w:eastAsia="微软雅黑"/>
          <w:b/>
          <w:szCs w:val="21"/>
        </w:rPr>
        <w:t>1、视图库信息数据库系统软件</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(1)系统设计</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实现对经开区已建各类视频图像信息资源的整合接入、汇聚、存储、分析；建设车辆汇聚库、人像汇聚库、案事件库。</w:t>
      </w:r>
    </w:p>
    <w:p>
      <w:pPr>
        <w:spacing w:line="360" w:lineRule="auto"/>
        <w:ind w:firstLine="420" w:firstLineChars="200"/>
        <w:rPr>
          <w:rFonts w:ascii="微软雅黑" w:hAnsi="微软雅黑" w:eastAsia="微软雅黑"/>
          <w:b/>
          <w:szCs w:val="21"/>
        </w:rPr>
      </w:pPr>
      <w:r>
        <w:rPr>
          <w:rFonts w:ascii="微软雅黑" w:hAnsi="微软雅黑" w:eastAsia="微软雅黑"/>
          <w:szCs w:val="21"/>
        </w:rPr>
        <w:t>(2)主要实现功能</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702"/>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6"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项目</w:t>
            </w:r>
          </w:p>
        </w:tc>
        <w:tc>
          <w:tcPr>
            <w:tcW w:w="1702"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子项</w:t>
            </w:r>
          </w:p>
        </w:tc>
        <w:tc>
          <w:tcPr>
            <w:tcW w:w="5962"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56" w:type="dxa"/>
            <w:vMerge w:val="restart"/>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功能要求</w:t>
            </w: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数据接入管理</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根据视频图像应用业务需求，分析整理要接入的视频图像数据、案事件数据和公安业务数据等，根据数据接入标准规范确定接入数据的种类和方式，确保数据接入的及时性、完整性和准确性。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数据同步管理</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实现对数据变化情况的同步管理。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数据存储</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实现数据汇聚、计算、存储、分析的集成，对数据存储与管理体系进行统一的规划与设计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数据库分类</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实现对数据进行分类存储、分类应用，根据管理和业务应用的需要建立多个专题库。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数据库管理</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实现数据管控功能，确保数据采集不丢失、不重复、可审计、可考核，对数据进行实时清洗、分类、补充、整理。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车辆汇聚库建设</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支持按照业务需求和车辆属性建立车辆专题库，并提供相应的数据管理功能。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人像汇聚库建设</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支持按照业务需求和人员属性建立人像专题库，并提供相应的数据管理功能。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2"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案事件库建设</w:t>
            </w:r>
          </w:p>
        </w:tc>
        <w:tc>
          <w:tcPr>
            <w:tcW w:w="5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支持按照业务需求和案件关联信息建立案事件专题库，并提供相应的数据管理功能。</w:t>
            </w:r>
          </w:p>
        </w:tc>
      </w:tr>
    </w:tbl>
    <w:p>
      <w:pPr>
        <w:spacing w:line="360" w:lineRule="auto"/>
        <w:ind w:firstLine="420" w:firstLineChars="200"/>
        <w:rPr>
          <w:rFonts w:ascii="微软雅黑" w:hAnsi="微软雅黑" w:eastAsia="微软雅黑"/>
          <w:b/>
          <w:szCs w:val="21"/>
        </w:rPr>
      </w:pPr>
      <w:r>
        <w:rPr>
          <w:rFonts w:ascii="微软雅黑" w:hAnsi="微软雅黑" w:eastAsia="微软雅黑"/>
          <w:b/>
          <w:szCs w:val="21"/>
        </w:rPr>
        <w:t>2.2</w:t>
      </w:r>
      <w:r>
        <w:rPr>
          <w:rFonts w:hint="eastAsia" w:ascii="微软雅黑" w:hAnsi="微软雅黑" w:eastAsia="微软雅黑"/>
          <w:b/>
          <w:szCs w:val="21"/>
        </w:rPr>
        <w:t>、视频图像信息数据库管理系统软件设计</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（1）系统设计</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实现数据查询、布控与告警、订阅与通知等功能；通过视图库用户管理、权限管理、日志管理、运行状态监控等功能，保障视频图像信息数据库的运行安全和性能。</w:t>
      </w:r>
    </w:p>
    <w:p>
      <w:pPr>
        <w:spacing w:line="360" w:lineRule="auto"/>
        <w:ind w:firstLine="420" w:firstLineChars="200"/>
        <w:rPr>
          <w:rFonts w:ascii="微软雅黑" w:hAnsi="微软雅黑" w:eastAsia="微软雅黑"/>
          <w:szCs w:val="21"/>
        </w:rPr>
      </w:pPr>
      <w:r>
        <w:rPr>
          <w:rFonts w:ascii="微软雅黑" w:hAnsi="微软雅黑" w:eastAsia="微软雅黑"/>
          <w:szCs w:val="21"/>
        </w:rPr>
        <w:t>（2）主要实现功能</w:t>
      </w:r>
    </w:p>
    <w:tbl>
      <w:tblPr>
        <w:tblStyle w:val="47"/>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706"/>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1096"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项目</w:t>
            </w:r>
          </w:p>
        </w:tc>
        <w:tc>
          <w:tcPr>
            <w:tcW w:w="1706"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子项</w:t>
            </w:r>
          </w:p>
        </w:tc>
        <w:tc>
          <w:tcPr>
            <w:tcW w:w="6206"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restart"/>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功能要求</w:t>
            </w: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系统门户</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提供平台软件功能的统一访问入口及应用集成管理，提供视频图像信息各类数据的汇总展示，可根据用户需求对展现界面进行灵活定制。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服务接口管理</w:t>
            </w:r>
          </w:p>
        </w:tc>
        <w:tc>
          <w:tcPr>
            <w:tcW w:w="6206" w:type="dxa"/>
            <w:noWrap/>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提供对采集接口、数据服务接口、级联接口管理及统计分析功能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API管理</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（1）提供对API接口的查询及在线测试功能。</w:t>
            </w:r>
            <w:r>
              <w:rPr>
                <w:rFonts w:hint="eastAsia" w:ascii="微软雅黑" w:hAnsi="微软雅黑" w:eastAsia="微软雅黑" w:cs="宋体"/>
                <w:kern w:val="0"/>
                <w:szCs w:val="21"/>
              </w:rPr>
              <w:br w:type="textWrapping"/>
            </w:r>
            <w:r>
              <w:rPr>
                <w:rFonts w:hint="eastAsia" w:ascii="微软雅黑" w:hAnsi="微软雅黑" w:eastAsia="微软雅黑" w:cs="宋体"/>
                <w:b/>
                <w:kern w:val="0"/>
                <w:szCs w:val="21"/>
              </w:rPr>
              <w:t>(提供相关界面截图，截图须包含项目名称</w:t>
            </w:r>
            <w:r>
              <w:rPr>
                <w:rFonts w:ascii="微软雅黑" w:hAnsi="微软雅黑" w:eastAsia="微软雅黑" w:cs="宋体"/>
                <w:b/>
                <w:kern w:val="0"/>
                <w:szCs w:val="21"/>
              </w:rPr>
              <w:t>,</w:t>
            </w:r>
            <w:r>
              <w:rPr>
                <w:rFonts w:hint="eastAsia" w:ascii="微软雅黑" w:hAnsi="微软雅黑" w:eastAsia="微软雅黑" w:cs="宋体"/>
                <w:b/>
                <w:kern w:val="0"/>
                <w:szCs w:val="21"/>
              </w:rPr>
              <w:t>复印件做在投标文件中）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服务状态监控</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提供对服务接口的登记申请及服务状态监控功能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联网功能</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w:t>
            </w:r>
            <w:r>
              <w:rPr>
                <w:rFonts w:ascii="微软雅黑" w:hAnsi="微软雅黑" w:eastAsia="微软雅黑" w:cs="宋体"/>
                <w:kern w:val="0"/>
                <w:szCs w:val="21"/>
              </w:rPr>
              <w:t>2</w:t>
            </w:r>
            <w:r>
              <w:rPr>
                <w:rFonts w:hint="eastAsia" w:ascii="微软雅黑" w:hAnsi="微软雅黑" w:eastAsia="微软雅黑" w:cs="宋体"/>
                <w:kern w:val="0"/>
                <w:szCs w:val="21"/>
              </w:rPr>
              <w:t>）提供向上下级视图库注册、保活和注销功能。</w:t>
            </w:r>
            <w:r>
              <w:rPr>
                <w:rFonts w:hint="eastAsia" w:ascii="微软雅黑" w:hAnsi="微软雅黑" w:eastAsia="微软雅黑" w:cs="宋体"/>
                <w:kern w:val="0"/>
                <w:szCs w:val="21"/>
              </w:rPr>
              <w:br w:type="textWrapping"/>
            </w:r>
            <w:r>
              <w:rPr>
                <w:rFonts w:hint="eastAsia" w:ascii="微软雅黑" w:hAnsi="微软雅黑" w:eastAsia="微软雅黑" w:cs="宋体"/>
                <w:b/>
                <w:kern w:val="0"/>
                <w:szCs w:val="21"/>
              </w:rPr>
              <w:t>(提供相关界面截图，截图须包含项目名称</w:t>
            </w:r>
            <w:r>
              <w:rPr>
                <w:rFonts w:ascii="微软雅黑" w:hAnsi="微软雅黑" w:eastAsia="微软雅黑" w:cs="宋体"/>
                <w:b/>
                <w:kern w:val="0"/>
                <w:szCs w:val="21"/>
              </w:rPr>
              <w:t>,</w:t>
            </w:r>
            <w:r>
              <w:rPr>
                <w:rFonts w:hint="eastAsia" w:ascii="微软雅黑" w:hAnsi="微软雅黑" w:eastAsia="微软雅黑" w:cs="宋体"/>
                <w:b/>
                <w:kern w:val="0"/>
                <w:szCs w:val="21"/>
              </w:rPr>
              <w:t>复印件做在投标文件中）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查询与检索</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提供按照车辆、人员、案事件、采集设备或系统等属性组合进行查询与检索，并支持分布式检索。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布控与告警</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w:t>
            </w:r>
            <w:r>
              <w:rPr>
                <w:rFonts w:ascii="微软雅黑" w:hAnsi="微软雅黑" w:eastAsia="微软雅黑" w:cs="宋体"/>
                <w:kern w:val="0"/>
                <w:szCs w:val="21"/>
              </w:rPr>
              <w:t>3</w:t>
            </w:r>
            <w:r>
              <w:rPr>
                <w:rFonts w:hint="eastAsia" w:ascii="微软雅黑" w:hAnsi="微软雅黑" w:eastAsia="微软雅黑" w:cs="宋体"/>
                <w:kern w:val="0"/>
                <w:szCs w:val="21"/>
              </w:rPr>
              <w:t>）支持接收上级视图库的布控指令，并能够根据布控范围将布控指令转发或分发给下级视图库，当收到下级视图库的告警时，应将告警转发给上级视图库。</w:t>
            </w:r>
          </w:p>
          <w:p>
            <w:pPr>
              <w:widowControl/>
              <w:spacing w:line="360" w:lineRule="auto"/>
              <w:rPr>
                <w:rFonts w:ascii="微软雅黑" w:hAnsi="微软雅黑" w:eastAsia="微软雅黑" w:cs="宋体"/>
                <w:kern w:val="0"/>
                <w:szCs w:val="21"/>
              </w:rPr>
            </w:pPr>
            <w:r>
              <w:rPr>
                <w:rFonts w:hint="eastAsia" w:ascii="微软雅黑" w:hAnsi="微软雅黑" w:eastAsia="微软雅黑" w:cs="宋体"/>
                <w:b/>
                <w:kern w:val="0"/>
                <w:szCs w:val="21"/>
              </w:rPr>
              <w:t>(提供相关界面截图，截图须包含项目名称</w:t>
            </w:r>
            <w:r>
              <w:rPr>
                <w:rFonts w:ascii="微软雅黑" w:hAnsi="微软雅黑" w:eastAsia="微软雅黑" w:cs="宋体"/>
                <w:b/>
                <w:kern w:val="0"/>
                <w:szCs w:val="21"/>
              </w:rPr>
              <w:t>,</w:t>
            </w:r>
            <w:r>
              <w:rPr>
                <w:rFonts w:hint="eastAsia" w:ascii="微软雅黑" w:hAnsi="微软雅黑" w:eastAsia="微软雅黑" w:cs="宋体"/>
                <w:b/>
                <w:kern w:val="0"/>
                <w:szCs w:val="21"/>
              </w:rPr>
              <w:t>复印件做在投标文件中）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订阅与通知</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w:t>
            </w:r>
            <w:r>
              <w:rPr>
                <w:rFonts w:ascii="微软雅黑" w:hAnsi="微软雅黑" w:eastAsia="微软雅黑" w:cs="宋体"/>
                <w:kern w:val="0"/>
                <w:szCs w:val="21"/>
              </w:rPr>
              <w:t>4</w:t>
            </w:r>
            <w:r>
              <w:rPr>
                <w:rFonts w:hint="eastAsia" w:ascii="微软雅黑" w:hAnsi="微软雅黑" w:eastAsia="微软雅黑" w:cs="宋体"/>
                <w:kern w:val="0"/>
                <w:szCs w:val="21"/>
              </w:rPr>
              <w:t>）支持上下级视图库向其订阅或撤销订阅车辆、人像、案事件、设备目录、告警等数据，当被订阅资源产生新的数据时，即时通知上下级视图库进行数据同步。</w:t>
            </w:r>
            <w:r>
              <w:rPr>
                <w:rFonts w:hint="eastAsia" w:ascii="微软雅黑" w:hAnsi="微软雅黑" w:eastAsia="微软雅黑" w:cs="宋体"/>
                <w:kern w:val="0"/>
                <w:szCs w:val="21"/>
              </w:rPr>
              <w:br w:type="textWrapping"/>
            </w:r>
            <w:r>
              <w:rPr>
                <w:rFonts w:hint="eastAsia" w:ascii="微软雅黑" w:hAnsi="微软雅黑" w:eastAsia="微软雅黑" w:cs="宋体"/>
                <w:b/>
                <w:kern w:val="0"/>
                <w:szCs w:val="21"/>
              </w:rPr>
              <w:t>(提供相关界面截图，截图须包含项目名称</w:t>
            </w:r>
            <w:r>
              <w:rPr>
                <w:rFonts w:ascii="微软雅黑" w:hAnsi="微软雅黑" w:eastAsia="微软雅黑" w:cs="宋体"/>
                <w:b/>
                <w:kern w:val="0"/>
                <w:szCs w:val="21"/>
              </w:rPr>
              <w:t>,</w:t>
            </w:r>
            <w:r>
              <w:rPr>
                <w:rFonts w:hint="eastAsia" w:ascii="微软雅黑" w:hAnsi="微软雅黑" w:eastAsia="微软雅黑" w:cs="宋体"/>
                <w:b/>
                <w:kern w:val="0"/>
                <w:szCs w:val="21"/>
              </w:rPr>
              <w:t>复印件做在投标文件中）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用户管理</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应符合 GA/T 669.2 的相关规定；限制用户登录端的 IP 地址；限制用户多点登录；应具有添加、修改和删除系统用户权限等功能。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设备管理</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w:t>
            </w:r>
            <w:r>
              <w:rPr>
                <w:rFonts w:ascii="微软雅黑" w:hAnsi="微软雅黑" w:eastAsia="微软雅黑" w:cs="宋体"/>
                <w:kern w:val="0"/>
                <w:szCs w:val="21"/>
              </w:rPr>
              <w:t>1</w:t>
            </w:r>
            <w:r>
              <w:rPr>
                <w:rFonts w:hint="eastAsia" w:ascii="微软雅黑" w:hAnsi="微软雅黑" w:eastAsia="微软雅黑" w:cs="宋体"/>
                <w:kern w:val="0"/>
                <w:szCs w:val="21"/>
              </w:rPr>
              <w:t>）支持配置应用平台、分析系统和上级视图库等服务器的地址信息及访问账号信息；支持采集系统、采集设备、视频卡口、车道对象的创建、查询、更新、删除操作；应支持配置采集系统、采集设备访问账号信息。</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w:t>
            </w:r>
            <w:r>
              <w:rPr>
                <w:rFonts w:hint="eastAsia" w:ascii="微软雅黑" w:hAnsi="微软雅黑" w:eastAsia="微软雅黑" w:cs="宋体"/>
                <w:b/>
                <w:kern w:val="0"/>
                <w:szCs w:val="21"/>
              </w:rPr>
              <w:t>(提供相关界面截图，截图须包含项目名称</w:t>
            </w:r>
            <w:r>
              <w:rPr>
                <w:rFonts w:ascii="微软雅黑" w:hAnsi="微软雅黑" w:eastAsia="微软雅黑" w:cs="宋体"/>
                <w:b/>
                <w:kern w:val="0"/>
                <w:szCs w:val="21"/>
              </w:rPr>
              <w:t>,</w:t>
            </w:r>
            <w:r>
              <w:rPr>
                <w:rFonts w:hint="eastAsia" w:ascii="微软雅黑" w:hAnsi="微软雅黑" w:eastAsia="微软雅黑" w:cs="宋体"/>
                <w:b/>
                <w:kern w:val="0"/>
                <w:szCs w:val="21"/>
              </w:rPr>
              <w:t>复印件做在投标文件中）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存储管理</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支持设置自动采集视频图像信息对象的存储时间；支持设置视频分析规则对象的存储时间；支持存储容量的平滑扩展；支持配置数据导入与导出；支持业务数据备份与恢复；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日志管理</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支持记录系统运行日志和操作日志，运行日志包括视图库内服务模块的启动、停止，操作日志包括管理用户登录、退出、配置操作等使用信息；运行日志及操作日志的存储时间均应不少于六个月；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109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0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时钟同步</w:t>
            </w:r>
          </w:p>
        </w:tc>
        <w:tc>
          <w:tcPr>
            <w:tcW w:w="6206"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支持基于 NTP/SNTP 协议与 NTP 时钟源同步；可支持向所管理的采集设备提供时钟同步功能；</w:t>
            </w:r>
          </w:p>
        </w:tc>
      </w:tr>
    </w:tbl>
    <w:p>
      <w:pPr>
        <w:spacing w:line="360" w:lineRule="auto"/>
        <w:ind w:firstLine="420" w:firstLineChars="200"/>
        <w:rPr>
          <w:rFonts w:ascii="微软雅黑" w:hAnsi="微软雅黑" w:eastAsia="微软雅黑"/>
          <w:b/>
          <w:szCs w:val="21"/>
        </w:rPr>
      </w:pPr>
      <w:r>
        <w:rPr>
          <w:rFonts w:ascii="微软雅黑" w:hAnsi="微软雅黑" w:eastAsia="微软雅黑"/>
          <w:b/>
          <w:szCs w:val="21"/>
        </w:rPr>
        <w:t>2.3、</w:t>
      </w:r>
      <w:r>
        <w:rPr>
          <w:rFonts w:hint="eastAsia" w:ascii="微软雅黑" w:hAnsi="微软雅黑" w:eastAsia="微软雅黑"/>
          <w:b/>
          <w:szCs w:val="21"/>
        </w:rPr>
        <w:t>视图库采集接口软件设计</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(1)系统设计</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采集接口软件，对前端智能设备或者采集系统产生的事件图片、文本、视频片段、设备、状态等数据、设备、状态类的信息实时采集，并将采集到的最终结果实时写入视频图像信息数据库。</w:t>
      </w:r>
    </w:p>
    <w:p>
      <w:pPr>
        <w:spacing w:line="360" w:lineRule="auto"/>
        <w:ind w:firstLine="420" w:firstLineChars="200"/>
        <w:rPr>
          <w:rFonts w:ascii="微软雅黑" w:hAnsi="微软雅黑" w:eastAsia="微软雅黑"/>
          <w:szCs w:val="21"/>
        </w:rPr>
      </w:pPr>
      <w:r>
        <w:rPr>
          <w:rFonts w:ascii="微软雅黑" w:hAnsi="微软雅黑" w:eastAsia="微软雅黑"/>
          <w:szCs w:val="21"/>
        </w:rPr>
        <w:t>(2)主要实现功能</w:t>
      </w:r>
    </w:p>
    <w:tbl>
      <w:tblPr>
        <w:tblStyle w:val="47"/>
        <w:tblW w:w="9039" w:type="dxa"/>
        <w:tblInd w:w="0" w:type="dxa"/>
        <w:tblLayout w:type="fixed"/>
        <w:tblCellMar>
          <w:top w:w="0" w:type="dxa"/>
          <w:left w:w="108" w:type="dxa"/>
          <w:bottom w:w="0" w:type="dxa"/>
          <w:right w:w="108" w:type="dxa"/>
        </w:tblCellMar>
      </w:tblPr>
      <w:tblGrid>
        <w:gridCol w:w="1116"/>
        <w:gridCol w:w="2332"/>
        <w:gridCol w:w="5591"/>
      </w:tblGrid>
      <w:tr>
        <w:tblPrEx>
          <w:tblCellMar>
            <w:top w:w="0" w:type="dxa"/>
            <w:left w:w="108" w:type="dxa"/>
            <w:bottom w:w="0" w:type="dxa"/>
            <w:right w:w="108" w:type="dxa"/>
          </w:tblCellMar>
        </w:tblPrEx>
        <w:trPr>
          <w:wBefore w:w="0" w:type="dxa"/>
          <w:wAfter w:w="0" w:type="dxa"/>
          <w:trHeight w:val="229" w:hRule="atLeast"/>
        </w:trPr>
        <w:tc>
          <w:tcPr>
            <w:tcW w:w="111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项目</w:t>
            </w:r>
          </w:p>
        </w:tc>
        <w:tc>
          <w:tcPr>
            <w:tcW w:w="233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子项</w:t>
            </w:r>
          </w:p>
        </w:tc>
        <w:tc>
          <w:tcPr>
            <w:tcW w:w="559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技术参数</w:t>
            </w:r>
          </w:p>
        </w:tc>
      </w:tr>
      <w:tr>
        <w:tblPrEx>
          <w:tblCellMar>
            <w:top w:w="0" w:type="dxa"/>
            <w:left w:w="108" w:type="dxa"/>
            <w:bottom w:w="0" w:type="dxa"/>
            <w:right w:w="108" w:type="dxa"/>
          </w:tblCellMar>
        </w:tblPrEx>
        <w:trPr>
          <w:wBefore w:w="0" w:type="dxa"/>
          <w:wAfter w:w="0" w:type="dxa"/>
          <w:trHeight w:val="459" w:hRule="atLeast"/>
        </w:trPr>
        <w:tc>
          <w:tcPr>
            <w:tcW w:w="1116"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功能要求</w:t>
            </w:r>
          </w:p>
        </w:tc>
        <w:tc>
          <w:tcPr>
            <w:tcW w:w="233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认证与鉴权服务</w:t>
            </w:r>
          </w:p>
        </w:tc>
        <w:tc>
          <w:tcPr>
            <w:tcW w:w="5591" w:type="dxa"/>
            <w:tcBorders>
              <w:top w:val="nil"/>
              <w:left w:val="nil"/>
              <w:bottom w:val="single" w:color="auto" w:sz="4" w:space="0"/>
              <w:right w:val="single" w:color="auto"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通过采集接口为在线视频图像信息采集设备和在线视频图像信息采集系统提供接入认证与鉴权服务</w:t>
            </w:r>
          </w:p>
        </w:tc>
      </w:tr>
      <w:tr>
        <w:tblPrEx>
          <w:tblCellMar>
            <w:top w:w="0" w:type="dxa"/>
            <w:left w:w="108" w:type="dxa"/>
            <w:bottom w:w="0" w:type="dxa"/>
            <w:right w:w="108" w:type="dxa"/>
          </w:tblCellMar>
        </w:tblPrEx>
        <w:trPr>
          <w:wBefore w:w="0" w:type="dxa"/>
          <w:wAfter w:w="0" w:type="dxa"/>
          <w:trHeight w:val="1149" w:hRule="atLeast"/>
        </w:trPr>
        <w:tc>
          <w:tcPr>
            <w:tcW w:w="11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微软雅黑" w:hAnsi="微软雅黑" w:eastAsia="微软雅黑" w:cs="宋体"/>
                <w:kern w:val="0"/>
                <w:szCs w:val="21"/>
              </w:rPr>
            </w:pPr>
          </w:p>
        </w:tc>
        <w:tc>
          <w:tcPr>
            <w:tcW w:w="233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数据采集</w:t>
            </w:r>
          </w:p>
        </w:tc>
        <w:tc>
          <w:tcPr>
            <w:tcW w:w="5591" w:type="dxa"/>
            <w:tcBorders>
              <w:top w:val="nil"/>
              <w:left w:val="nil"/>
              <w:bottom w:val="single" w:color="auto" w:sz="4" w:space="0"/>
              <w:right w:val="single" w:color="auto"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支持采集设备、采集系统、分析系统向视图库进行自动采集视频图像信息的上传。包括：图片、文本、视频片段、声音信息、设备、状态等数据。</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扩展支持多维数据接入，包括门禁数据、Wi-Fi信息数据等多维度的数据</w:t>
            </w:r>
          </w:p>
        </w:tc>
      </w:tr>
      <w:tr>
        <w:tblPrEx>
          <w:tblCellMar>
            <w:top w:w="0" w:type="dxa"/>
            <w:left w:w="108" w:type="dxa"/>
            <w:bottom w:w="0" w:type="dxa"/>
            <w:right w:w="108" w:type="dxa"/>
          </w:tblCellMar>
        </w:tblPrEx>
        <w:trPr>
          <w:wBefore w:w="0" w:type="dxa"/>
          <w:wAfter w:w="0" w:type="dxa"/>
          <w:trHeight w:val="229" w:hRule="atLeast"/>
        </w:trPr>
        <w:tc>
          <w:tcPr>
            <w:tcW w:w="11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微软雅黑" w:hAnsi="微软雅黑" w:eastAsia="微软雅黑" w:cs="宋体"/>
                <w:kern w:val="0"/>
                <w:szCs w:val="21"/>
              </w:rPr>
            </w:pPr>
          </w:p>
        </w:tc>
        <w:tc>
          <w:tcPr>
            <w:tcW w:w="233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可扩展性</w:t>
            </w:r>
          </w:p>
        </w:tc>
        <w:tc>
          <w:tcPr>
            <w:tcW w:w="5591" w:type="dxa"/>
            <w:tcBorders>
              <w:top w:val="nil"/>
              <w:left w:val="nil"/>
              <w:bottom w:val="single" w:color="auto" w:sz="4" w:space="0"/>
              <w:right w:val="single" w:color="auto"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支持多套采集接口集群扩容。</w:t>
            </w:r>
          </w:p>
        </w:tc>
      </w:tr>
      <w:tr>
        <w:tblPrEx>
          <w:tblCellMar>
            <w:top w:w="0" w:type="dxa"/>
            <w:left w:w="108" w:type="dxa"/>
            <w:bottom w:w="0" w:type="dxa"/>
            <w:right w:w="108" w:type="dxa"/>
          </w:tblCellMar>
        </w:tblPrEx>
        <w:trPr>
          <w:wBefore w:w="0" w:type="dxa"/>
          <w:wAfter w:w="0" w:type="dxa"/>
          <w:trHeight w:val="1149" w:hRule="atLeast"/>
        </w:trPr>
        <w:tc>
          <w:tcPr>
            <w:tcW w:w="1116" w:type="dxa"/>
            <w:vMerge w:val="restart"/>
            <w:tcBorders>
              <w:top w:val="nil"/>
              <w:left w:val="single" w:color="auto" w:sz="4" w:space="0"/>
              <w:bottom w:val="single" w:color="000000"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标准符合性要求</w:t>
            </w:r>
          </w:p>
        </w:tc>
        <w:tc>
          <w:tcPr>
            <w:tcW w:w="233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上传自动采集视频图像信息接口</w:t>
            </w:r>
          </w:p>
        </w:tc>
        <w:tc>
          <w:tcPr>
            <w:tcW w:w="5591" w:type="dxa"/>
            <w:tcBorders>
              <w:top w:val="nil"/>
              <w:left w:val="nil"/>
              <w:bottom w:val="single" w:color="auto" w:sz="4" w:space="0"/>
              <w:right w:val="single" w:color="auto"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上传自动采集视频片段、上传自动采集视频片段数据、上传自动采集图像、上传自动采集图像数据、上传自动采集文件、上传自动采集文件数据、上传自动采集人员、上传自动采集人脸、上传自动采集机动车、上传自动采集非机动车、上传自动采集物品、上传自动采集场景、上传自动采集视频图像标签等接口</w:t>
            </w:r>
          </w:p>
        </w:tc>
      </w:tr>
      <w:tr>
        <w:tblPrEx>
          <w:tblCellMar>
            <w:top w:w="0" w:type="dxa"/>
            <w:left w:w="108" w:type="dxa"/>
            <w:bottom w:w="0" w:type="dxa"/>
            <w:right w:w="108" w:type="dxa"/>
          </w:tblCellMar>
        </w:tblPrEx>
        <w:trPr>
          <w:wBefore w:w="0" w:type="dxa"/>
          <w:wAfter w:w="0" w:type="dxa"/>
          <w:trHeight w:val="459" w:hRule="atLeast"/>
        </w:trPr>
        <w:tc>
          <w:tcPr>
            <w:tcW w:w="1116"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微软雅黑" w:hAnsi="微软雅黑" w:eastAsia="微软雅黑" w:cs="宋体"/>
                <w:kern w:val="0"/>
                <w:szCs w:val="21"/>
              </w:rPr>
            </w:pPr>
          </w:p>
        </w:tc>
        <w:tc>
          <w:tcPr>
            <w:tcW w:w="233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查询采集设备列表、更改口令接口</w:t>
            </w:r>
          </w:p>
        </w:tc>
        <w:tc>
          <w:tcPr>
            <w:tcW w:w="5591" w:type="dxa"/>
            <w:tcBorders>
              <w:top w:val="nil"/>
              <w:left w:val="nil"/>
              <w:bottom w:val="single" w:color="auto" w:sz="4" w:space="0"/>
              <w:right w:val="single" w:color="auto"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支持：查询采集设备、更改采集设备口令、查询采集系统、查询视频卡口、查询车道</w:t>
            </w:r>
          </w:p>
        </w:tc>
      </w:tr>
      <w:tr>
        <w:tblPrEx>
          <w:tblCellMar>
            <w:top w:w="0" w:type="dxa"/>
            <w:left w:w="108" w:type="dxa"/>
            <w:bottom w:w="0" w:type="dxa"/>
            <w:right w:w="108" w:type="dxa"/>
          </w:tblCellMar>
        </w:tblPrEx>
        <w:trPr>
          <w:wBefore w:w="0" w:type="dxa"/>
          <w:wAfter w:w="0" w:type="dxa"/>
          <w:trHeight w:val="229" w:hRule="atLeast"/>
        </w:trPr>
        <w:tc>
          <w:tcPr>
            <w:tcW w:w="1116"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微软雅黑" w:hAnsi="微软雅黑" w:eastAsia="微软雅黑" w:cs="宋体"/>
                <w:kern w:val="0"/>
                <w:szCs w:val="21"/>
              </w:rPr>
            </w:pPr>
          </w:p>
        </w:tc>
        <w:tc>
          <w:tcPr>
            <w:tcW w:w="2332"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上传视频图像分析规则接口</w:t>
            </w:r>
          </w:p>
        </w:tc>
        <w:tc>
          <w:tcPr>
            <w:tcW w:w="5591" w:type="dxa"/>
            <w:tcBorders>
              <w:top w:val="nil"/>
              <w:left w:val="nil"/>
              <w:bottom w:val="single" w:color="auto" w:sz="4" w:space="0"/>
              <w:right w:val="single" w:color="auto" w:sz="4" w:space="0"/>
            </w:tcBorders>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支持上传视频图像分析规则</w:t>
            </w:r>
          </w:p>
        </w:tc>
      </w:tr>
    </w:tbl>
    <w:p>
      <w:pPr>
        <w:spacing w:line="360" w:lineRule="auto"/>
        <w:ind w:firstLine="420" w:firstLineChars="200"/>
        <w:rPr>
          <w:rFonts w:ascii="微软雅黑" w:hAnsi="微软雅黑" w:eastAsia="微软雅黑"/>
          <w:b/>
          <w:szCs w:val="21"/>
        </w:rPr>
      </w:pPr>
      <w:r>
        <w:rPr>
          <w:rFonts w:ascii="微软雅黑" w:hAnsi="微软雅黑" w:eastAsia="微软雅黑"/>
          <w:b/>
          <w:szCs w:val="21"/>
        </w:rPr>
        <w:t>2.4</w:t>
      </w:r>
      <w:r>
        <w:rPr>
          <w:rFonts w:hint="eastAsia" w:ascii="微软雅黑" w:hAnsi="微软雅黑" w:eastAsia="微软雅黑"/>
          <w:b/>
          <w:szCs w:val="21"/>
        </w:rPr>
        <w:t>、视图库数据服务接口软件设计</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(1)系统设计</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数据服务接口软件，实现应用平台、其他信息系统等向视图库进行基于视频图像信息对象、视频案事件、布控任务与告警记录、订阅任务与通知记录、视频图像分析规则等的特征属性及其组合的查询，支持分析系统向视图库进行基于视频图像信息对象等的特征属性及其组合的查询。</w:t>
      </w:r>
    </w:p>
    <w:p>
      <w:pPr>
        <w:spacing w:line="360" w:lineRule="auto"/>
        <w:ind w:firstLine="420" w:firstLineChars="200"/>
        <w:rPr>
          <w:rFonts w:ascii="微软雅黑" w:hAnsi="微软雅黑" w:eastAsia="微软雅黑"/>
          <w:szCs w:val="21"/>
        </w:rPr>
      </w:pPr>
      <w:r>
        <w:rPr>
          <w:rFonts w:ascii="微软雅黑" w:hAnsi="微软雅黑" w:eastAsia="微软雅黑"/>
          <w:szCs w:val="21"/>
        </w:rPr>
        <w:t>(2)主要实现功能</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253"/>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1095"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项目</w:t>
            </w:r>
          </w:p>
        </w:tc>
        <w:tc>
          <w:tcPr>
            <w:tcW w:w="2253"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子项</w:t>
            </w:r>
          </w:p>
        </w:tc>
        <w:tc>
          <w:tcPr>
            <w:tcW w:w="5691"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1095" w:type="dxa"/>
            <w:vMerge w:val="restart"/>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功能要求</w:t>
            </w:r>
          </w:p>
        </w:tc>
        <w:tc>
          <w:tcPr>
            <w:tcW w:w="2253"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认证与鉴权服务</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通过数据服务接口为公安视频图像综合应用平台或其他公安信息应用系统（如各警种的应用平台）提供接入认证与鉴权。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1095"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253"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数据服务接口功能</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应用平台、其他信息系统等向视图库进行基于视频图像信息对象、视频案事件、布控任务与告警记录、订阅任务与通知记录、视频图像分析规则等的特征属性及其组合的查询，支持分析系统向视图库进行基于视频图像信息对象等的特征属性及其组合的查询。</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支持通过定制接口为其他公安信息应用系统提供数据服务。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1095"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253"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可扩展性</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支持多套数据服务接口集群扩容。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75" w:hRule="atLeast"/>
        </w:trPr>
        <w:tc>
          <w:tcPr>
            <w:tcW w:w="1095" w:type="dxa"/>
            <w:vMerge w:val="restart"/>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标准符合性要求</w:t>
            </w:r>
          </w:p>
        </w:tc>
        <w:tc>
          <w:tcPr>
            <w:tcW w:w="2253"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特征属性查询接口</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包括：批量查询视频片段、查询单个视频片段、查询视频片段对象信息、下载视频片段数据、批量查询图像、查询单个图像、查询图像对象信息、下载图像数据、查询文件、查询单个文件、查询文件对象信息、下载文件数据、查询人员、查询单个人员、批量查询人脸、查询单个人脸、批量查询机动车、查询单个机动车、批量查询非机动车、查询单个非机动车、批量查询物品、查询单个物品、批量查询场景、查询单个场景、批量查询视频案事件、查询单个视频案事件、查询视频案事件对象信息、查询布控任务、查询告警记录、查询订阅任务、查询通知记录、查询视频图像分析规则、查询视频图像标签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41" w:hRule="atLeast"/>
        </w:trPr>
        <w:tc>
          <w:tcPr>
            <w:tcW w:w="1095"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253"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视频图像信息对象的创建、更新、删除，人工采集视频图像信息对象接口</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批量创建视频案事件；更新、删除单个视频案事件；更新、删除视频案事件对象信息；批量创建人工采集视频片段；更新、删除人工采集单个视频片段；更新、删除人工采集视频片段对象信息；创建、删除人工采集视频片段数据；批量创建人工采集图像；更新、删除人工采集单个图像；更新、删除人工采集图像对象信息；创建、删除人工采集图像数据；批量创建人工采集文件；更新、删除人工采集单个文件；更新、删除人工采集文件对象信息；创建、删除人工采集文件数据；批量创建、更新、删除人员；更新、删除单个人员；批量创建、更新、删除人脸；更新、删除单个人脸；批量创建、更新、删除机动车；更新、删除单个机动车；批量创建、更新、删除非机动车；更新、删除单个非机动车；批量创建、更新、删除物品；更新、删除单个物品；批量创建、更新、删除场景；更新、删除单个场景；创建、更新、删除视频图像标签；批量创建、更新、删除视频图像分析规则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1095"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253"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查询、更新采集设备或采集系统接口</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支持：查询采集设备、更改采集设备口令、查询采集系统、查询视频卡口、查询车道接口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1095"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253"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布控告警接口</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支持：批量布控；批量修改、删除布控任务；撤控；告警；删除告警记录接口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1095"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253"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订阅通知接口</w:t>
            </w:r>
          </w:p>
        </w:tc>
        <w:tc>
          <w:tcPr>
            <w:tcW w:w="5691"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支持：批量订阅；批量修改、删除订阅任务；取消订阅；通知；删除通知记录接口</w:t>
            </w:r>
          </w:p>
        </w:tc>
      </w:tr>
    </w:tbl>
    <w:p>
      <w:pPr>
        <w:spacing w:line="360" w:lineRule="auto"/>
        <w:ind w:firstLine="420" w:firstLineChars="200"/>
        <w:rPr>
          <w:rFonts w:ascii="微软雅黑" w:hAnsi="微软雅黑" w:eastAsia="微软雅黑"/>
          <w:b/>
          <w:szCs w:val="21"/>
        </w:rPr>
      </w:pPr>
      <w:r>
        <w:rPr>
          <w:rFonts w:ascii="微软雅黑" w:hAnsi="微软雅黑" w:eastAsia="微软雅黑"/>
          <w:b/>
          <w:szCs w:val="21"/>
        </w:rPr>
        <w:t>2.5</w:t>
      </w:r>
      <w:r>
        <w:rPr>
          <w:rFonts w:hint="eastAsia" w:ascii="微软雅黑" w:hAnsi="微软雅黑" w:eastAsia="微软雅黑"/>
          <w:b/>
          <w:szCs w:val="21"/>
        </w:rPr>
        <w:t>、视图库级联接口软件设计</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(1)系统设计</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级联接口软件，实现上下级视图库之间进行基于视频图像信息对象、视频案事件、布控任务与告警记录、订阅任务与通知记录、视频图像分析规则等的特征属性及其组合的查询。</w:t>
      </w:r>
    </w:p>
    <w:p>
      <w:pPr>
        <w:spacing w:line="360" w:lineRule="auto"/>
        <w:ind w:firstLine="420" w:firstLineChars="200"/>
        <w:rPr>
          <w:rFonts w:ascii="微软雅黑" w:hAnsi="微软雅黑" w:eastAsia="微软雅黑"/>
          <w:szCs w:val="21"/>
        </w:rPr>
      </w:pPr>
      <w:r>
        <w:rPr>
          <w:rFonts w:ascii="微软雅黑" w:hAnsi="微软雅黑" w:eastAsia="微软雅黑"/>
          <w:szCs w:val="21"/>
        </w:rPr>
        <w:t>(2)主要实现功能</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32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6" w:hRule="atLeast"/>
        </w:trPr>
        <w:tc>
          <w:tcPr>
            <w:tcW w:w="1756"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项目</w:t>
            </w:r>
          </w:p>
        </w:tc>
        <w:tc>
          <w:tcPr>
            <w:tcW w:w="2321"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子项</w:t>
            </w:r>
          </w:p>
        </w:tc>
        <w:tc>
          <w:tcPr>
            <w:tcW w:w="4962"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6" w:hRule="atLeast"/>
        </w:trPr>
        <w:tc>
          <w:tcPr>
            <w:tcW w:w="1756" w:type="dxa"/>
            <w:vMerge w:val="restart"/>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功能要求</w:t>
            </w:r>
          </w:p>
        </w:tc>
        <w:tc>
          <w:tcPr>
            <w:tcW w:w="2321"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认证与鉴权服务</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通过级联接口为上下级视图库提供接入认证与鉴权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5" w:hRule="atLeast"/>
        </w:trPr>
        <w:tc>
          <w:tcPr>
            <w:tcW w:w="17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321"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级联接口功能</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支持上级视图库向视图库进行基于视频图像信息对象、视频案事件、布控任务与告警记录、订阅任务与通知记录、视频图像分析规则等的特征属性及其组合的查询,特征属性查询等。</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支持通过定制接口级联其他数据。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6" w:hRule="atLeast"/>
        </w:trPr>
        <w:tc>
          <w:tcPr>
            <w:tcW w:w="17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321"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可扩展性</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支持多套数据服务接口集群扩容。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1" w:hRule="atLeast"/>
        </w:trPr>
        <w:tc>
          <w:tcPr>
            <w:tcW w:w="1756" w:type="dxa"/>
            <w:vMerge w:val="restart"/>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标准符合性要求</w:t>
            </w:r>
          </w:p>
        </w:tc>
        <w:tc>
          <w:tcPr>
            <w:tcW w:w="2321"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特征属性查询接口</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批量查询视频片段；查询单个视频片段；查询视频片段对象信息；下载视频片段数据；批量查询图像；查询单个图像；查询图像对象信息；下载图像数据；查询文件；查询单个文件；查询文件对象信息；下载文件数据；查询人员；查询单个人员；批量查询人脸；查询单个人脸；批量查询机动车；查询单个机动车；批量查询非机动车；查询单个非机动车；批量查询物品；查询单个物品；批量查询场景；查询单个场景；批量查询视频案事件；查询单个视频案事件；查询视频案事件对象信息；查询布控任务；查询告警记录；查询订阅任务；查询通知记录；查询视频图像分析规则；查询视频图像标签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17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321"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查询、更新采集设备或采集系统接口</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支持：查询采集设备、更改采集设备口令、查询采集系统、查询视频卡口、查询车道接口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6" w:hRule="atLeast"/>
        </w:trPr>
        <w:tc>
          <w:tcPr>
            <w:tcW w:w="17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321"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布控告警接口</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支持：批量布控；批量修改、删除布控任务；撤控；告警；删除告警记录接口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6" w:hRule="atLeast"/>
        </w:trPr>
        <w:tc>
          <w:tcPr>
            <w:tcW w:w="17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321"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订阅通知接口</w:t>
            </w:r>
          </w:p>
        </w:tc>
        <w:tc>
          <w:tcPr>
            <w:tcW w:w="4962"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支持：批量订阅；批量修改、删除订阅任务；取消订阅；通知；删除通知记录接口</w:t>
            </w:r>
          </w:p>
        </w:tc>
      </w:tr>
    </w:tbl>
    <w:p>
      <w:pPr>
        <w:spacing w:line="360" w:lineRule="auto"/>
        <w:ind w:firstLine="420" w:firstLineChars="200"/>
        <w:rPr>
          <w:rFonts w:ascii="微软雅黑" w:hAnsi="微软雅黑" w:eastAsia="微软雅黑"/>
          <w:b/>
          <w:szCs w:val="21"/>
        </w:rPr>
      </w:pPr>
      <w:r>
        <w:rPr>
          <w:rFonts w:ascii="微软雅黑" w:hAnsi="微软雅黑" w:eastAsia="微软雅黑"/>
          <w:b/>
          <w:szCs w:val="21"/>
        </w:rPr>
        <w:t>2.6</w:t>
      </w:r>
      <w:r>
        <w:rPr>
          <w:rFonts w:hint="eastAsia" w:ascii="微软雅黑" w:hAnsi="微软雅黑" w:eastAsia="微软雅黑"/>
          <w:b/>
          <w:szCs w:val="21"/>
        </w:rPr>
        <w:t>、</w:t>
      </w:r>
      <w:r>
        <w:rPr>
          <w:rFonts w:ascii="微软雅黑" w:hAnsi="微软雅黑" w:eastAsia="微软雅黑"/>
          <w:b/>
          <w:szCs w:val="21"/>
        </w:rPr>
        <w:t>视频</w:t>
      </w:r>
      <w:r>
        <w:rPr>
          <w:rFonts w:hint="eastAsia" w:ascii="微软雅黑" w:hAnsi="微软雅黑" w:eastAsia="微软雅黑"/>
          <w:b/>
          <w:szCs w:val="21"/>
        </w:rPr>
        <w:t>大数据平台软件设计</w:t>
      </w:r>
    </w:p>
    <w:p>
      <w:pPr>
        <w:spacing w:line="360" w:lineRule="auto"/>
        <w:ind w:firstLine="420" w:firstLineChars="200"/>
        <w:rPr>
          <w:rFonts w:ascii="微软雅黑" w:hAnsi="微软雅黑" w:eastAsia="微软雅黑"/>
          <w:szCs w:val="21"/>
        </w:rPr>
      </w:pPr>
      <w:r>
        <w:rPr>
          <w:rFonts w:ascii="微软雅黑" w:hAnsi="微软雅黑" w:eastAsia="微软雅黑"/>
          <w:szCs w:val="21"/>
        </w:rPr>
        <w:t>(1)系统设计</w:t>
      </w:r>
    </w:p>
    <w:p>
      <w:pPr>
        <w:spacing w:line="360" w:lineRule="auto"/>
        <w:ind w:firstLine="420" w:firstLineChars="200"/>
        <w:rPr>
          <w:rFonts w:ascii="微软雅黑" w:hAnsi="微软雅黑" w:eastAsia="微软雅黑"/>
          <w:szCs w:val="21"/>
        </w:rPr>
      </w:pPr>
      <w:r>
        <w:rPr>
          <w:rFonts w:hint="eastAsia" w:ascii="微软雅黑" w:hAnsi="微软雅黑" w:eastAsia="微软雅黑"/>
          <w:szCs w:val="21"/>
        </w:rPr>
        <w:t>经开区视频大数据平台软件构成了整个系统的支撑平台，应基于大规模x86服务器集群构建，底层是大规模分布式计算和存储系统，在大规模分布式计算存储系统之上构建各种基础服务，主要的服务有大数据处理服务、资源调度服务、安全</w:t>
      </w:r>
      <w:r>
        <w:rPr>
          <w:rFonts w:ascii="微软雅黑" w:hAnsi="微软雅黑" w:eastAsia="微软雅黑"/>
          <w:szCs w:val="21"/>
        </w:rPr>
        <w:t>保障服务</w:t>
      </w:r>
      <w:r>
        <w:rPr>
          <w:rFonts w:hint="eastAsia" w:ascii="微软雅黑" w:hAnsi="微软雅黑" w:eastAsia="微软雅黑"/>
          <w:szCs w:val="21"/>
        </w:rPr>
        <w:t>、大数据分析处理服务、数据运维服务等。</w:t>
      </w:r>
    </w:p>
    <w:p>
      <w:pPr>
        <w:spacing w:line="360" w:lineRule="auto"/>
        <w:ind w:firstLine="420" w:firstLineChars="200"/>
        <w:rPr>
          <w:rFonts w:ascii="微软雅黑" w:hAnsi="微软雅黑" w:eastAsia="微软雅黑"/>
          <w:szCs w:val="21"/>
        </w:rPr>
      </w:pPr>
      <w:r>
        <w:rPr>
          <w:rFonts w:ascii="微软雅黑" w:hAnsi="微软雅黑" w:eastAsia="微软雅黑"/>
          <w:szCs w:val="21"/>
        </w:rPr>
        <w:t>(2)主要实现功能</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9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trPr>
        <w:tc>
          <w:tcPr>
            <w:tcW w:w="708"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项目</w:t>
            </w:r>
          </w:p>
        </w:tc>
        <w:tc>
          <w:tcPr>
            <w:tcW w:w="2094"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子项</w:t>
            </w:r>
          </w:p>
        </w:tc>
        <w:tc>
          <w:tcPr>
            <w:tcW w:w="6237" w:type="dxa"/>
            <w:noWrap/>
            <w:vAlign w:val="center"/>
          </w:tcPr>
          <w:p>
            <w:pPr>
              <w:widowControl/>
              <w:spacing w:line="360" w:lineRule="auto"/>
              <w:jc w:val="center"/>
              <w:rPr>
                <w:rFonts w:ascii="微软雅黑" w:hAnsi="微软雅黑" w:eastAsia="微软雅黑" w:cs="宋体"/>
                <w:b/>
                <w:bCs/>
                <w:kern w:val="0"/>
                <w:szCs w:val="21"/>
              </w:rPr>
            </w:pPr>
            <w:r>
              <w:rPr>
                <w:rFonts w:hint="eastAsia" w:ascii="微软雅黑" w:hAnsi="微软雅黑" w:eastAsia="微软雅黑"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6" w:hRule="atLeast"/>
        </w:trPr>
        <w:tc>
          <w:tcPr>
            <w:tcW w:w="708" w:type="dxa"/>
            <w:vMerge w:val="restart"/>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功能要求</w:t>
            </w:r>
          </w:p>
        </w:tc>
        <w:tc>
          <w:tcPr>
            <w:tcW w:w="2094"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大数据存储服务基础框架</w:t>
            </w:r>
          </w:p>
        </w:tc>
        <w:tc>
          <w:tcPr>
            <w:tcW w:w="6237"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提供高度容错的分布式文件系统HDFS，支持高吞吐读写能力。支持部署分布式数据库框架，支持海量结构化和非结构化数据管理，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1" w:hRule="atLeast"/>
        </w:trPr>
        <w:tc>
          <w:tcPr>
            <w:tcW w:w="708"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094"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大数据数据处理框架</w:t>
            </w:r>
          </w:p>
        </w:tc>
        <w:tc>
          <w:tcPr>
            <w:tcW w:w="6237"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支持部署ZooKeeper，集群管理监控系统。</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提供Spark批量方式的计算和处理，支持处理实时的流数据。</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提供分布式数据处理计算模型MR，支持海量数据的离线处理。</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提供内存计算框架Impala，支持基于内存的高性能计算。</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支持高吞吐量的分布式发布订阅Kafka消息系统，并可以使用各种消费终端将消息转存分布式存储系统中。</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支持分布式，高效的ES搜索引擎。</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支持分布式框架部署。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9" w:hRule="atLeast"/>
        </w:trPr>
        <w:tc>
          <w:tcPr>
            <w:tcW w:w="708"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094"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资源调度服务</w:t>
            </w:r>
          </w:p>
        </w:tc>
        <w:tc>
          <w:tcPr>
            <w:tcW w:w="6237"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提供统一的资源调度，合理的安排任务。</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提供分布式服务框架</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支持集群管理监控系统，统一管理集群内各类型节点。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7" w:hRule="atLeast"/>
        </w:trPr>
        <w:tc>
          <w:tcPr>
            <w:tcW w:w="708"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2094" w:type="dxa"/>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安全保障服务</w:t>
            </w:r>
          </w:p>
        </w:tc>
        <w:tc>
          <w:tcPr>
            <w:tcW w:w="6237"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支持在任一节点掉线、断电、停止运行情况下，集群业务仍可运行，数据不丢失。</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支持监视关键进程运行情况，自动重启崩溃的进程。</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支持数据多副本存储，支持数据备份、恢复功能。</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支持管理节点主备切换，单一故障系统服务正常</w:t>
            </w:r>
          </w:p>
        </w:tc>
      </w:tr>
    </w:tbl>
    <w:p>
      <w:pPr>
        <w:spacing w:line="360" w:lineRule="auto"/>
        <w:rPr>
          <w:rFonts w:hint="eastAsia" w:ascii="微软雅黑" w:hAnsi="微软雅黑" w:eastAsia="微软雅黑"/>
          <w:b/>
          <w:szCs w:val="21"/>
        </w:rPr>
      </w:pPr>
    </w:p>
    <w:p>
      <w:pPr>
        <w:spacing w:line="360" w:lineRule="auto"/>
        <w:ind w:firstLine="420" w:firstLineChars="200"/>
        <w:rPr>
          <w:rFonts w:ascii="微软雅黑" w:hAnsi="微软雅黑" w:eastAsia="微软雅黑"/>
          <w:b/>
          <w:szCs w:val="21"/>
        </w:rPr>
      </w:pPr>
      <w:r>
        <w:rPr>
          <w:rFonts w:ascii="微软雅黑" w:hAnsi="微软雅黑" w:eastAsia="微软雅黑"/>
          <w:b/>
          <w:szCs w:val="21"/>
        </w:rPr>
        <w:t>3</w:t>
      </w:r>
      <w:r>
        <w:rPr>
          <w:rFonts w:hint="eastAsia" w:ascii="微软雅黑" w:hAnsi="微软雅黑" w:eastAsia="微软雅黑"/>
          <w:b/>
          <w:szCs w:val="21"/>
        </w:rPr>
        <w:t>、</w:t>
      </w:r>
      <w:r>
        <w:rPr>
          <w:rFonts w:ascii="微软雅黑" w:hAnsi="微软雅黑" w:eastAsia="微软雅黑"/>
          <w:b/>
          <w:szCs w:val="21"/>
        </w:rPr>
        <w:t>系统</w:t>
      </w:r>
      <w:r>
        <w:rPr>
          <w:rFonts w:hint="eastAsia" w:ascii="微软雅黑" w:hAnsi="微软雅黑" w:eastAsia="微软雅黑"/>
          <w:b/>
          <w:szCs w:val="21"/>
        </w:rPr>
        <w:t>性能要求</w:t>
      </w:r>
    </w:p>
    <w:tbl>
      <w:tblPr>
        <w:tblStyle w:val="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74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056" w:type="dxa"/>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项目</w:t>
            </w:r>
          </w:p>
        </w:tc>
        <w:tc>
          <w:tcPr>
            <w:tcW w:w="1746" w:type="dxa"/>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子项</w:t>
            </w:r>
          </w:p>
        </w:tc>
        <w:tc>
          <w:tcPr>
            <w:tcW w:w="6237" w:type="dxa"/>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1056" w:type="dxa"/>
            <w:vMerge w:val="restart"/>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性能要求</w:t>
            </w:r>
          </w:p>
        </w:tc>
        <w:tc>
          <w:tcPr>
            <w:tcW w:w="1746" w:type="dxa"/>
            <w:noWrap w:val="0"/>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对象存储时间</w:t>
            </w:r>
          </w:p>
        </w:tc>
        <w:tc>
          <w:tcPr>
            <w:tcW w:w="6237" w:type="dxa"/>
            <w:noWrap w:val="0"/>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自动采集的视频图像信息对象的存储时间不少于六个月；</w:t>
            </w:r>
          </w:p>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视频分析规则对象存储时间不少于六个月；</w:t>
            </w:r>
          </w:p>
          <w:p>
            <w:pPr>
              <w:widowControl/>
              <w:spacing w:line="360" w:lineRule="auto"/>
              <w:rPr>
                <w:rFonts w:hint="eastAsia" w:ascii="微软雅黑" w:hAnsi="微软雅黑" w:eastAsia="微软雅黑" w:cs="宋体"/>
                <w:kern w:val="0"/>
                <w:szCs w:val="21"/>
              </w:rPr>
            </w:pPr>
            <w:r>
              <w:rPr>
                <w:rFonts w:hint="eastAsia" w:ascii="微软雅黑" w:hAnsi="微软雅黑" w:eastAsia="微软雅黑" w:cs="宋体"/>
                <w:kern w:val="0"/>
                <w:szCs w:val="21"/>
              </w:rPr>
              <w:t>人工采集的视频图像信息对象的存储时间满足管理要求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86"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46" w:type="dxa"/>
            <w:noWrap w:val="0"/>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存储对象格式</w:t>
            </w:r>
          </w:p>
        </w:tc>
        <w:tc>
          <w:tcPr>
            <w:tcW w:w="6237" w:type="dxa"/>
            <w:noWrap w:val="0"/>
            <w:vAlign w:val="center"/>
          </w:tcPr>
          <w:p>
            <w:pPr>
              <w:widowControl/>
              <w:spacing w:line="360" w:lineRule="auto"/>
              <w:rPr>
                <w:rFonts w:hint="eastAsia" w:ascii="微软雅黑" w:hAnsi="微软雅黑" w:eastAsia="微软雅黑" w:cs="宋体"/>
                <w:kern w:val="0"/>
                <w:szCs w:val="21"/>
              </w:rPr>
            </w:pPr>
            <w:r>
              <w:rPr>
                <w:rFonts w:hint="eastAsia" w:ascii="微软雅黑" w:hAnsi="微软雅黑" w:eastAsia="微软雅黑" w:cs="宋体"/>
                <w:kern w:val="0"/>
                <w:szCs w:val="21"/>
              </w:rPr>
              <w:t>支持存储管理 JPEG、JPEG 2000、BMP、PNG 格式的图像资源；</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支持存储管理 H.264、H.265、MPEG-4、MPEG-2、MJPEG 、SVAC 编码压缩标准的视频资源，可兼容 CIF（352×288）、2CIF（704×288）、4CIF（704×576）、D1（720×576）、720P（1280×720）、1080P（1920×1080）、4K（4096×2160）或以上视频分辨率；视频文件格式应支持.ps、.avi、.ts、 .mp4 等；</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支持存储管理 SVAC、G.711a、G.711u、G.723、G.729编码压缩标准的音频资源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3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46" w:type="dxa"/>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并发性能规格</w:t>
            </w:r>
          </w:p>
        </w:tc>
        <w:tc>
          <w:tcPr>
            <w:tcW w:w="6237" w:type="dxa"/>
            <w:noWrap w:val="0"/>
            <w:vAlign w:val="center"/>
          </w:tcPr>
          <w:p>
            <w:pPr>
              <w:widowControl/>
              <w:spacing w:line="360" w:lineRule="auto"/>
              <w:rPr>
                <w:rFonts w:hint="eastAsia" w:ascii="微软雅黑" w:hAnsi="微软雅黑" w:eastAsia="微软雅黑" w:cs="宋体"/>
                <w:kern w:val="0"/>
                <w:szCs w:val="21"/>
              </w:rPr>
            </w:pPr>
            <w:r>
              <w:rPr>
                <w:rFonts w:hint="eastAsia" w:ascii="微软雅黑" w:hAnsi="微软雅黑" w:eastAsia="微软雅黑" w:cs="宋体"/>
                <w:kern w:val="0"/>
                <w:szCs w:val="21"/>
              </w:rPr>
              <w:t>并发接收图像对象的速度不小于2</w:t>
            </w:r>
            <w:r>
              <w:rPr>
                <w:rFonts w:hint="eastAsia" w:ascii="微软雅黑" w:hAnsi="微软雅黑" w:eastAsia="微软雅黑" w:cs="宋体"/>
                <w:kern w:val="0"/>
                <w:szCs w:val="21"/>
                <w:vertAlign w:val="superscript"/>
              </w:rPr>
              <w:t>7</w:t>
            </w:r>
            <w:r>
              <w:rPr>
                <w:rFonts w:hint="eastAsia" w:ascii="微软雅黑" w:hAnsi="微软雅黑" w:eastAsia="微软雅黑" w:cs="宋体"/>
                <w:kern w:val="0"/>
                <w:szCs w:val="21"/>
              </w:rPr>
              <w:t xml:space="preserve"> 张/秒；</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并发接入系统用户数不少于 2</w:t>
            </w:r>
            <w:r>
              <w:rPr>
                <w:rFonts w:hint="eastAsia" w:ascii="微软雅黑" w:hAnsi="微软雅黑" w:eastAsia="微软雅黑" w:cs="宋体"/>
                <w:kern w:val="0"/>
                <w:szCs w:val="21"/>
                <w:vertAlign w:val="superscript"/>
              </w:rPr>
              <w:t>5</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视图库管理的采集设备对象不少于2</w:t>
            </w:r>
            <w:r>
              <w:rPr>
                <w:rFonts w:hint="eastAsia" w:ascii="微软雅黑" w:hAnsi="微软雅黑" w:eastAsia="微软雅黑" w:cs="宋体"/>
                <w:kern w:val="0"/>
                <w:szCs w:val="21"/>
                <w:vertAlign w:val="superscript"/>
              </w:rPr>
              <w:t>13</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视图库管理的采集系统对象不少于2</w:t>
            </w:r>
            <w:r>
              <w:rPr>
                <w:rFonts w:hint="eastAsia" w:ascii="微软雅黑" w:hAnsi="微软雅黑" w:eastAsia="微软雅黑" w:cs="宋体"/>
                <w:kern w:val="0"/>
                <w:szCs w:val="21"/>
                <w:vertAlign w:val="superscript"/>
              </w:rPr>
              <w:t>7</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视图库管理的视频图像信息对象不少于2</w:t>
            </w:r>
            <w:r>
              <w:rPr>
                <w:rFonts w:hint="eastAsia" w:ascii="微软雅黑" w:hAnsi="微软雅黑" w:eastAsia="微软雅黑" w:cs="宋体"/>
                <w:kern w:val="0"/>
                <w:szCs w:val="21"/>
                <w:vertAlign w:val="superscript"/>
              </w:rPr>
              <w:t>30</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视图库管理的视频分析规则对象不少于2</w:t>
            </w:r>
            <w:r>
              <w:rPr>
                <w:rFonts w:hint="eastAsia" w:ascii="微软雅黑" w:hAnsi="微软雅黑" w:eastAsia="微软雅黑" w:cs="宋体"/>
                <w:kern w:val="0"/>
                <w:szCs w:val="21"/>
                <w:vertAlign w:val="superscript"/>
              </w:rPr>
              <w:t>17</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视图库管理的视频标签对象不少于2</w:t>
            </w:r>
            <w:r>
              <w:rPr>
                <w:rFonts w:hint="eastAsia" w:ascii="微软雅黑" w:hAnsi="微软雅黑" w:eastAsia="微软雅黑" w:cs="宋体"/>
                <w:kern w:val="0"/>
                <w:szCs w:val="21"/>
                <w:vertAlign w:val="superscript"/>
              </w:rPr>
              <w:t>30</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视图库管理的目标统计信息对象不少于2</w:t>
            </w:r>
            <w:r>
              <w:rPr>
                <w:rFonts w:hint="eastAsia" w:ascii="微软雅黑" w:hAnsi="微软雅黑" w:eastAsia="微软雅黑" w:cs="宋体"/>
                <w:kern w:val="0"/>
                <w:szCs w:val="21"/>
                <w:vertAlign w:val="superscript"/>
              </w:rPr>
              <w:t>17</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视图库管理的视频案事件对象不少于2</w:t>
            </w:r>
            <w:r>
              <w:rPr>
                <w:rFonts w:hint="eastAsia" w:ascii="微软雅黑" w:hAnsi="微软雅黑" w:eastAsia="微软雅黑" w:cs="宋体"/>
                <w:kern w:val="0"/>
                <w:szCs w:val="21"/>
                <w:vertAlign w:val="superscript"/>
              </w:rPr>
              <w:t>17</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视图库支持的并发处于布控状态的布控对象不少于2</w:t>
            </w:r>
            <w:r>
              <w:rPr>
                <w:rFonts w:hint="eastAsia" w:ascii="微软雅黑" w:hAnsi="微软雅黑" w:eastAsia="微软雅黑" w:cs="宋体"/>
                <w:kern w:val="0"/>
                <w:szCs w:val="21"/>
                <w:vertAlign w:val="superscript"/>
              </w:rPr>
              <w:t>10</w:t>
            </w:r>
            <w:r>
              <w:rPr>
                <w:rFonts w:hint="eastAsia" w:ascii="微软雅黑" w:hAnsi="微软雅黑" w:eastAsia="微软雅黑" w:cs="宋体"/>
                <w:kern w:val="0"/>
                <w:szCs w:val="21"/>
              </w:rPr>
              <w:t>个；</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视图库支持的并发处于订阅状态的订阅对象不少于2</w:t>
            </w:r>
            <w:r>
              <w:rPr>
                <w:rFonts w:hint="eastAsia" w:ascii="微软雅黑" w:hAnsi="微软雅黑" w:eastAsia="微软雅黑" w:cs="宋体"/>
                <w:kern w:val="0"/>
                <w:szCs w:val="21"/>
                <w:vertAlign w:val="superscript"/>
              </w:rPr>
              <w:t>10</w:t>
            </w:r>
            <w:r>
              <w:rPr>
                <w:rFonts w:hint="eastAsia" w:ascii="微软雅黑" w:hAnsi="微软雅黑" w:eastAsia="微软雅黑"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8" w:hRule="atLeast"/>
        </w:trPr>
        <w:tc>
          <w:tcPr>
            <w:tcW w:w="1056" w:type="dxa"/>
            <w:vMerge w:val="continue"/>
            <w:noWrap w:val="0"/>
            <w:vAlign w:val="center"/>
          </w:tcPr>
          <w:p>
            <w:pPr>
              <w:widowControl/>
              <w:spacing w:line="360" w:lineRule="auto"/>
              <w:jc w:val="center"/>
              <w:rPr>
                <w:rFonts w:ascii="微软雅黑" w:hAnsi="微软雅黑" w:eastAsia="微软雅黑" w:cs="宋体"/>
                <w:kern w:val="0"/>
                <w:szCs w:val="21"/>
              </w:rPr>
            </w:pPr>
          </w:p>
        </w:tc>
        <w:tc>
          <w:tcPr>
            <w:tcW w:w="1746" w:type="dxa"/>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检索</w:t>
            </w:r>
          </w:p>
        </w:tc>
        <w:tc>
          <w:tcPr>
            <w:tcW w:w="6237" w:type="dxa"/>
            <w:noWrap w:val="0"/>
            <w:vAlign w:val="center"/>
          </w:tcPr>
          <w:p>
            <w:pPr>
              <w:widowControl/>
              <w:spacing w:line="360" w:lineRule="auto"/>
              <w:rPr>
                <w:rFonts w:hint="eastAsia" w:ascii="微软雅黑" w:hAnsi="微软雅黑" w:eastAsia="微软雅黑" w:cs="宋体"/>
                <w:kern w:val="0"/>
                <w:szCs w:val="21"/>
              </w:rPr>
            </w:pPr>
            <w:r>
              <w:rPr>
                <w:rFonts w:hint="eastAsia" w:ascii="微软雅黑" w:hAnsi="微软雅黑" w:eastAsia="微软雅黑" w:cs="宋体"/>
                <w:kern w:val="0"/>
                <w:szCs w:val="21"/>
              </w:rPr>
              <w:t>视图库的简单条件查询在 5s 内完成，模糊查询和复杂条件组合查询应在 7s 内完成；</w:t>
            </w:r>
            <w:r>
              <w:rPr>
                <w:rFonts w:hint="eastAsia" w:ascii="微软雅黑" w:hAnsi="微软雅黑" w:eastAsia="微软雅黑" w:cs="宋体"/>
                <w:kern w:val="0"/>
                <w:szCs w:val="21"/>
              </w:rPr>
              <w:br w:type="textWrapping"/>
            </w:r>
            <w:r>
              <w:rPr>
                <w:rFonts w:hint="eastAsia" w:ascii="微软雅黑" w:hAnsi="微软雅黑" w:eastAsia="微软雅黑" w:cs="宋体"/>
                <w:kern w:val="0"/>
                <w:szCs w:val="21"/>
              </w:rPr>
              <w:t>多个视图库的级联查询在 5s 内完成</w:t>
            </w:r>
          </w:p>
        </w:tc>
      </w:tr>
    </w:tbl>
    <w:p>
      <w:pPr>
        <w:spacing w:line="360" w:lineRule="auto"/>
        <w:rPr>
          <w:rFonts w:ascii="微软雅黑" w:hAnsi="微软雅黑" w:eastAsia="微软雅黑"/>
          <w:szCs w:val="21"/>
        </w:rPr>
      </w:pPr>
    </w:p>
    <w:p>
      <w:pPr>
        <w:spacing w:line="360" w:lineRule="auto"/>
        <w:ind w:firstLine="420" w:firstLineChars="200"/>
        <w:jc w:val="left"/>
        <w:rPr>
          <w:rFonts w:hint="eastAsia" w:ascii="微软雅黑" w:hAnsi="微软雅黑" w:eastAsia="微软雅黑" w:cs="微软雅黑"/>
          <w:b/>
          <w:szCs w:val="21"/>
        </w:rPr>
      </w:pPr>
      <w:r>
        <w:rPr>
          <w:rFonts w:hint="eastAsia" w:ascii="微软雅黑" w:hAnsi="微软雅黑" w:eastAsia="微软雅黑" w:cs="微软雅黑"/>
          <w:b/>
          <w:szCs w:val="21"/>
        </w:rPr>
        <w:t>五、商务响应表</w:t>
      </w:r>
    </w:p>
    <w:tbl>
      <w:tblPr>
        <w:tblStyle w:val="4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1701" w:type="dxa"/>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内容</w:t>
            </w:r>
          </w:p>
        </w:tc>
        <w:tc>
          <w:tcPr>
            <w:tcW w:w="7371" w:type="dxa"/>
            <w:noWrap w:val="0"/>
            <w:vAlign w:val="top"/>
          </w:tcPr>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4" w:hRule="atLeast"/>
        </w:trPr>
        <w:tc>
          <w:tcPr>
            <w:tcW w:w="1701" w:type="dxa"/>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项目时间</w:t>
            </w:r>
          </w:p>
        </w:tc>
        <w:tc>
          <w:tcPr>
            <w:tcW w:w="7371" w:type="dxa"/>
            <w:noWrap w:val="0"/>
            <w:vAlign w:val="top"/>
          </w:tcPr>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项目服务期包括项目建设完成期及项目租赁服务期；</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项目建设完成期为2020年12月</w:t>
            </w:r>
            <w:r>
              <w:rPr>
                <w:rFonts w:ascii="微软雅黑" w:hAnsi="微软雅黑" w:eastAsia="微软雅黑"/>
                <w:szCs w:val="21"/>
              </w:rPr>
              <w:t>15</w:t>
            </w:r>
            <w:r>
              <w:rPr>
                <w:rFonts w:hint="eastAsia" w:ascii="微软雅黑" w:hAnsi="微软雅黑" w:eastAsia="微软雅黑"/>
                <w:szCs w:val="21"/>
              </w:rPr>
              <w:t>日前，完成项目建设，实现相关数据推入公安应用平台；</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2021年3月31日前进行项目建设初步验收，进入项目试运行；</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2021年6月30日前进行项目建设完成验收；</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项目进行建设验收完成后，明确项目符合采购人要求，进入租赁服务期；</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    项目租赁服务期时间：5年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rPr>
        <w:tc>
          <w:tcPr>
            <w:tcW w:w="1701" w:type="dxa"/>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培训要求</w:t>
            </w:r>
          </w:p>
        </w:tc>
        <w:tc>
          <w:tcPr>
            <w:tcW w:w="7371" w:type="dxa"/>
            <w:noWrap w:val="0"/>
            <w:vAlign w:val="top"/>
          </w:tcPr>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成交供应商应对招标人的操作人员、维修人员提供培训，使其能对系统进行日常的维护保养及能对一般故障进行维修；</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培训分为现场培训及集中培训；培训计划有供应商制订，培训费用包含在总价中；</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供应商在投标文件中提供详细的培训计划。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1" w:hRule="atLeast"/>
        </w:trPr>
        <w:tc>
          <w:tcPr>
            <w:tcW w:w="1701" w:type="dxa"/>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实施地点</w:t>
            </w:r>
          </w:p>
        </w:tc>
        <w:tc>
          <w:tcPr>
            <w:tcW w:w="7371" w:type="dxa"/>
            <w:noWrap w:val="0"/>
            <w:vAlign w:val="top"/>
          </w:tcPr>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7" w:hRule="atLeast"/>
        </w:trPr>
        <w:tc>
          <w:tcPr>
            <w:tcW w:w="1701" w:type="dxa"/>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付款方式</w:t>
            </w:r>
          </w:p>
        </w:tc>
        <w:tc>
          <w:tcPr>
            <w:tcW w:w="7371" w:type="dxa"/>
            <w:noWrap w:val="0"/>
            <w:vAlign w:val="top"/>
          </w:tcPr>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一、预付款</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根据《浙江省财政厅关于坚决打赢疫情防控阻击战进一步做好政府采购资金支持企业发展工作的通知》[浙财采监〔2020〕3号]规定：</w:t>
            </w:r>
            <w:r>
              <w:rPr>
                <w:rFonts w:hint="eastAsia" w:ascii="微软雅黑" w:hAnsi="微软雅黑" w:eastAsia="微软雅黑"/>
                <w:szCs w:val="21"/>
              </w:rPr>
              <w:br w:type="textWrapping"/>
            </w:r>
            <w:r>
              <w:rPr>
                <w:rFonts w:hint="eastAsia" w:ascii="微软雅黑" w:hAnsi="微软雅黑" w:eastAsia="微软雅黑"/>
                <w:szCs w:val="21"/>
              </w:rPr>
              <w:t xml:space="preserve">    1、各采购单位应当在政府采购合同中约定预付款，预付款比例原则上不低于合同金额的30％；项目分年安排预算的，每年预付款比例不低于项目年度计划支付资金额的30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r>
              <w:rPr>
                <w:rFonts w:hint="eastAsia" w:ascii="微软雅黑" w:hAnsi="微软雅黑" w:eastAsia="微软雅黑"/>
                <w:szCs w:val="21"/>
              </w:rPr>
              <w:br w:type="textWrapping"/>
            </w:r>
            <w:r>
              <w:rPr>
                <w:rFonts w:hint="eastAsia" w:ascii="微软雅黑" w:hAnsi="微软雅黑" w:eastAsia="微软雅黑"/>
                <w:szCs w:val="21"/>
              </w:rPr>
              <w:t xml:space="preserve">    2、政府采购预付款应在合同生效以及具备实施条件后15日内支付。项目分年安排预算的，第二年预付时间为次年相对应月份，以此类推；当年度预付款尚未扣回的，次年不重复安排。</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各采购单位可根据项目特点、供应商信用等情况，决定是否要求供应商提交银行、保险公司等金融机构出具的预付款保函或其他担保措施。疫情期间，对受疫情影响严重的中小微企业应当取消或者减少预付款担保</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二、项目进度款</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项目金额按5年平均分配，按季度付款，下一季度首月10日前支付上季度项目资金。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6" w:hRule="atLeast"/>
        </w:trPr>
        <w:tc>
          <w:tcPr>
            <w:tcW w:w="1701" w:type="dxa"/>
            <w:noWrap w:val="0"/>
            <w:vAlign w:val="top"/>
          </w:tcPr>
          <w:p>
            <w:pPr>
              <w:spacing w:line="360" w:lineRule="auto"/>
              <w:jc w:val="left"/>
              <w:rPr>
                <w:rFonts w:ascii="微软雅黑" w:hAnsi="微软雅黑" w:eastAsia="微软雅黑"/>
                <w:szCs w:val="21"/>
              </w:rPr>
            </w:pPr>
            <w:r>
              <w:rPr>
                <w:rFonts w:hint="eastAsia" w:ascii="微软雅黑" w:hAnsi="微软雅黑" w:eastAsia="微软雅黑"/>
                <w:szCs w:val="21"/>
              </w:rPr>
              <w:t>验收条件及标准</w:t>
            </w:r>
          </w:p>
        </w:tc>
        <w:tc>
          <w:tcPr>
            <w:tcW w:w="7371" w:type="dxa"/>
            <w:noWrap w:val="0"/>
            <w:vAlign w:val="top"/>
          </w:tcPr>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项目的验收包括项目建设完成具备项目使用要求验收及项目租赁服务验收。</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项目建设完成期为2020年12月</w:t>
            </w:r>
            <w:r>
              <w:rPr>
                <w:rFonts w:ascii="微软雅黑" w:hAnsi="微软雅黑" w:eastAsia="微软雅黑"/>
                <w:szCs w:val="21"/>
              </w:rPr>
              <w:t>15</w:t>
            </w:r>
            <w:r>
              <w:rPr>
                <w:rFonts w:hint="eastAsia" w:ascii="微软雅黑" w:hAnsi="微软雅黑" w:eastAsia="微软雅黑"/>
                <w:szCs w:val="21"/>
              </w:rPr>
              <w:t>日前，完成项目建设，实现相关数据推入公安应用平台；</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2021年3月31日前进行项目建设初步验收，进入项目试运行；</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2021年6月30日前进行项目建设完成验收；</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项目进行建设验收完成后，明确项目符合采购人要求，进入租赁服务期；项目租赁服务期时间：5年</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由于中标人原因造成延期的，每延期一天的扣除履约及质量保证金总额的0.3%。</w:t>
            </w:r>
            <w:r>
              <w:rPr>
                <w:rFonts w:ascii="微软雅黑" w:hAnsi="微软雅黑" w:eastAsia="微软雅黑"/>
                <w:szCs w:val="21"/>
              </w:rPr>
              <w:t>本项目的验收</w:t>
            </w:r>
            <w:r>
              <w:rPr>
                <w:rFonts w:hint="eastAsia" w:ascii="微软雅黑" w:hAnsi="微软雅黑" w:eastAsia="微软雅黑"/>
                <w:szCs w:val="21"/>
              </w:rPr>
              <w:t>由嘉兴市公安局</w:t>
            </w:r>
            <w:r>
              <w:rPr>
                <w:rFonts w:ascii="微软雅黑" w:hAnsi="微软雅黑" w:eastAsia="微软雅黑"/>
                <w:szCs w:val="21"/>
              </w:rPr>
              <w:t>技防</w:t>
            </w:r>
            <w:r>
              <w:rPr>
                <w:rFonts w:hint="eastAsia" w:ascii="微软雅黑" w:hAnsi="微软雅黑" w:eastAsia="微软雅黑"/>
                <w:szCs w:val="21"/>
              </w:rPr>
              <w:t>办、</w:t>
            </w:r>
            <w:r>
              <w:rPr>
                <w:rFonts w:ascii="微软雅黑" w:hAnsi="微软雅黑" w:eastAsia="微软雅黑"/>
                <w:szCs w:val="21"/>
              </w:rPr>
              <w:t>用户</w:t>
            </w:r>
            <w:r>
              <w:rPr>
                <w:rFonts w:hint="eastAsia" w:ascii="微软雅黑" w:hAnsi="微软雅黑" w:eastAsia="微软雅黑"/>
                <w:szCs w:val="21"/>
              </w:rPr>
              <w:t>单位相关人员进行</w:t>
            </w:r>
            <w:r>
              <w:rPr>
                <w:rFonts w:ascii="微软雅黑" w:hAnsi="微软雅黑" w:eastAsia="微软雅黑"/>
                <w:szCs w:val="21"/>
              </w:rPr>
              <w:t>验收通过之日起计算</w:t>
            </w:r>
            <w:r>
              <w:rPr>
                <w:rFonts w:hint="eastAsia" w:ascii="微软雅黑" w:hAnsi="微软雅黑" w:eastAsia="微软雅黑"/>
                <w:szCs w:val="21"/>
              </w:rPr>
              <w:t>租赁服务</w:t>
            </w:r>
            <w:r>
              <w:rPr>
                <w:rFonts w:ascii="微软雅黑" w:hAnsi="微软雅黑" w:eastAsia="微软雅黑"/>
                <w:szCs w:val="21"/>
              </w:rPr>
              <w:t>期</w:t>
            </w:r>
            <w:r>
              <w:rPr>
                <w:rFonts w:hint="eastAsia" w:ascii="微软雅黑" w:hAnsi="微软雅黑" w:eastAsia="微软雅黑"/>
                <w:szCs w:val="21"/>
              </w:rPr>
              <w:t>。</w:t>
            </w:r>
            <w:r>
              <w:rPr>
                <w:rFonts w:ascii="微软雅黑" w:hAnsi="微软雅黑" w:eastAsia="微软雅黑"/>
                <w:szCs w:val="21"/>
              </w:rPr>
              <w:t>如果验收不通过，应根据要求整改</w:t>
            </w:r>
            <w:r>
              <w:rPr>
                <w:rFonts w:hint="eastAsia" w:ascii="微软雅黑" w:hAnsi="微软雅黑" w:eastAsia="微软雅黑"/>
                <w:szCs w:val="21"/>
              </w:rPr>
              <w:t>完毕并通过复验</w:t>
            </w:r>
            <w:r>
              <w:rPr>
                <w:rFonts w:ascii="微软雅黑" w:hAnsi="微软雅黑" w:eastAsia="微软雅黑"/>
                <w:szCs w:val="21"/>
              </w:rPr>
              <w:t>，并从</w:t>
            </w:r>
            <w:r>
              <w:rPr>
                <w:rFonts w:hint="eastAsia" w:ascii="微软雅黑" w:hAnsi="微软雅黑" w:eastAsia="微软雅黑"/>
                <w:szCs w:val="21"/>
              </w:rPr>
              <w:t>复验审计</w:t>
            </w:r>
            <w:r>
              <w:rPr>
                <w:rFonts w:ascii="微软雅黑" w:hAnsi="微软雅黑" w:eastAsia="微软雅黑"/>
                <w:szCs w:val="21"/>
              </w:rPr>
              <w:t>通过之次日起计算租赁服务期。</w:t>
            </w:r>
            <w:r>
              <w:rPr>
                <w:rFonts w:hint="eastAsia" w:ascii="微软雅黑" w:hAnsi="微软雅黑" w:eastAsia="微软雅黑"/>
                <w:szCs w:val="21"/>
              </w:rPr>
              <w:t>不能通过复验的，没收全部履约保证金。</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2、租赁服务期验收</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租赁服务期内，中标单位保证项目正常运作，按采购方提出的要求提供各项应用需求，如不满足的，需及时添加或更新硬件设备，如不更新添加硬件设备的，采购方可单方终止合同，由此造成的一切损失均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6" w:hRule="atLeast"/>
        </w:trPr>
        <w:tc>
          <w:tcPr>
            <w:tcW w:w="1701" w:type="dxa"/>
            <w:noWrap w:val="0"/>
            <w:vAlign w:val="top"/>
          </w:tcPr>
          <w:p>
            <w:pPr>
              <w:spacing w:line="360" w:lineRule="auto"/>
              <w:jc w:val="left"/>
              <w:rPr>
                <w:rFonts w:hint="eastAsia" w:ascii="微软雅黑" w:hAnsi="微软雅黑" w:eastAsia="微软雅黑"/>
                <w:szCs w:val="21"/>
              </w:rPr>
            </w:pPr>
            <w:r>
              <w:rPr>
                <w:rFonts w:hint="eastAsia" w:ascii="微软雅黑" w:hAnsi="微软雅黑" w:eastAsia="微软雅黑"/>
                <w:szCs w:val="21"/>
              </w:rPr>
              <w:t>平台接入要求</w:t>
            </w:r>
          </w:p>
        </w:tc>
        <w:tc>
          <w:tcPr>
            <w:tcW w:w="7371" w:type="dxa"/>
            <w:noWrap w:val="0"/>
            <w:vAlign w:val="center"/>
          </w:tcPr>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投标人提供所投产品，视频监控需全部接入嘉兴公安视频一体化平台，人脸抓拍数据接入嘉兴经开公安视图库，车辆抓拍数据接入嘉兴公安视频一体化平台。投标人需提供接入承诺函做在投标文件中。</w:t>
            </w:r>
          </w:p>
          <w:p>
            <w:pPr>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投标单位在投标文件中提供详细的接入方案。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12" w:hRule="atLeast"/>
        </w:trPr>
        <w:tc>
          <w:tcPr>
            <w:tcW w:w="1701" w:type="dxa"/>
            <w:noWrap w:val="0"/>
            <w:vAlign w:val="top"/>
          </w:tcPr>
          <w:p>
            <w:pPr>
              <w:spacing w:line="360" w:lineRule="auto"/>
              <w:jc w:val="left"/>
              <w:rPr>
                <w:rFonts w:hint="eastAsia" w:ascii="微软雅黑" w:hAnsi="微软雅黑" w:eastAsia="微软雅黑"/>
                <w:szCs w:val="21"/>
              </w:rPr>
            </w:pPr>
            <w:r>
              <w:rPr>
                <w:rFonts w:hint="eastAsia" w:ascii="微软雅黑" w:hAnsi="微软雅黑" w:eastAsia="微软雅黑"/>
                <w:szCs w:val="21"/>
              </w:rPr>
              <w:t>保密</w:t>
            </w:r>
          </w:p>
        </w:tc>
        <w:tc>
          <w:tcPr>
            <w:tcW w:w="7371" w:type="dxa"/>
            <w:noWrap w:val="0"/>
            <w:vAlign w:val="top"/>
          </w:tcPr>
          <w:p>
            <w:pPr>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签订本项目</w:t>
            </w:r>
            <w:r>
              <w:rPr>
                <w:rFonts w:hint="eastAsia" w:ascii="微软雅黑" w:hAnsi="微软雅黑" w:eastAsia="微软雅黑"/>
                <w:szCs w:val="21"/>
              </w:rPr>
              <w:t>合同</w:t>
            </w:r>
            <w:r>
              <w:rPr>
                <w:rFonts w:ascii="微软雅黑" w:hAnsi="微软雅黑" w:eastAsia="微软雅黑"/>
                <w:szCs w:val="21"/>
              </w:rPr>
              <w:t>之前，必须先签署</w:t>
            </w:r>
            <w:r>
              <w:rPr>
                <w:rFonts w:hint="eastAsia" w:ascii="微软雅黑" w:hAnsi="微软雅黑" w:eastAsia="微软雅黑"/>
                <w:szCs w:val="21"/>
              </w:rPr>
              <w:t>与</w:t>
            </w:r>
            <w:r>
              <w:rPr>
                <w:rFonts w:ascii="微软雅黑" w:hAnsi="微软雅黑" w:eastAsia="微软雅黑"/>
                <w:szCs w:val="21"/>
              </w:rPr>
              <w:t>本项目配套的安全保密协议</w:t>
            </w:r>
            <w:r>
              <w:rPr>
                <w:rFonts w:hint="eastAsia" w:ascii="微软雅黑" w:hAnsi="微软雅黑" w:eastAsia="微软雅黑"/>
                <w:szCs w:val="21"/>
              </w:rPr>
              <w:t>和施工维护安全责任书及维保承诺书，中标方</w:t>
            </w:r>
            <w:r>
              <w:rPr>
                <w:rFonts w:ascii="微软雅黑" w:hAnsi="微软雅黑" w:eastAsia="微软雅黑"/>
                <w:szCs w:val="21"/>
              </w:rPr>
              <w:t>拒签的，视作自动放弃</w:t>
            </w:r>
            <w:r>
              <w:rPr>
                <w:rFonts w:hint="eastAsia" w:ascii="微软雅黑" w:hAnsi="微软雅黑" w:eastAsia="微软雅黑"/>
                <w:szCs w:val="21"/>
              </w:rPr>
              <w:t>中标资格</w:t>
            </w:r>
            <w:r>
              <w:rPr>
                <w:rFonts w:ascii="微软雅黑" w:hAnsi="微软雅黑" w:eastAsia="微软雅黑"/>
                <w:szCs w:val="21"/>
              </w:rPr>
              <w:t>。</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系统中的声音、图像和其他数据信息的所有权和使用权都属采购人。未经采购人允许，中标人无权使用、转让或处理系统中的声音、图像和其他数据信息。中标人应妥善保存和备份系统的声音、图像和其他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1701" w:type="dxa"/>
            <w:noWrap w:val="0"/>
            <w:vAlign w:val="top"/>
          </w:tcPr>
          <w:p>
            <w:pPr>
              <w:pStyle w:val="25"/>
              <w:snapToGrid w:val="0"/>
              <w:spacing w:line="360" w:lineRule="auto"/>
              <w:jc w:val="left"/>
              <w:rPr>
                <w:rFonts w:hint="eastAsia" w:ascii="微软雅黑" w:hAnsi="微软雅黑" w:eastAsia="微软雅黑"/>
                <w:szCs w:val="21"/>
                <w:lang w:eastAsia="zh-CN"/>
              </w:rPr>
            </w:pPr>
            <w:r>
              <w:rPr>
                <w:rFonts w:hint="eastAsia" w:ascii="微软雅黑" w:hAnsi="微软雅黑" w:eastAsia="微软雅黑"/>
                <w:szCs w:val="21"/>
                <w:lang w:eastAsia="zh-CN"/>
              </w:rPr>
              <w:t>知识产权</w:t>
            </w:r>
          </w:p>
        </w:tc>
        <w:tc>
          <w:tcPr>
            <w:tcW w:w="7371" w:type="dxa"/>
            <w:noWrap w:val="0"/>
            <w:vAlign w:val="top"/>
          </w:tcPr>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乙方应保证提供服务过程中不会侵犯任何第三方的知识产权</w:t>
            </w:r>
            <w:r>
              <w:rPr>
                <w:rFonts w:ascii="微软雅黑" w:hAnsi="微软雅黑" w:eastAsia="微软雅黑"/>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1701" w:type="dxa"/>
            <w:noWrap w:val="0"/>
            <w:vAlign w:val="top"/>
          </w:tcPr>
          <w:p>
            <w:pPr>
              <w:pStyle w:val="25"/>
              <w:snapToGrid w:val="0"/>
              <w:spacing w:line="360" w:lineRule="auto"/>
              <w:jc w:val="left"/>
              <w:rPr>
                <w:rFonts w:hint="eastAsia" w:ascii="微软雅黑" w:hAnsi="微软雅黑" w:eastAsia="微软雅黑"/>
                <w:szCs w:val="21"/>
                <w:lang w:eastAsia="zh-CN"/>
              </w:rPr>
            </w:pPr>
            <w:r>
              <w:rPr>
                <w:rFonts w:hint="eastAsia" w:ascii="微软雅黑" w:hAnsi="微软雅黑" w:eastAsia="微软雅黑"/>
                <w:szCs w:val="21"/>
                <w:lang w:eastAsia="zh-CN"/>
              </w:rPr>
              <w:t>其它</w:t>
            </w:r>
          </w:p>
        </w:tc>
        <w:tc>
          <w:tcPr>
            <w:tcW w:w="7371" w:type="dxa"/>
            <w:noWrap w:val="0"/>
            <w:vAlign w:val="center"/>
          </w:tcPr>
          <w:p>
            <w:pPr>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全面落实全市共建共享政策方针，落实经开公安分局关于提优售后维保的要求，提供与经开公安分局签订《监控杆件资源共享协议》、《视频监控维保协议》。</w:t>
            </w:r>
          </w:p>
        </w:tc>
      </w:tr>
    </w:tbl>
    <w:p>
      <w:pPr>
        <w:pStyle w:val="2"/>
        <w:spacing w:after="0" w:line="360" w:lineRule="auto"/>
        <w:ind w:firstLine="420" w:firstLineChars="200"/>
        <w:jc w:val="left"/>
        <w:rPr>
          <w:rFonts w:hint="eastAsia" w:ascii="微软雅黑" w:hAnsi="微软雅黑" w:eastAsia="微软雅黑"/>
          <w:szCs w:val="21"/>
        </w:rPr>
      </w:pPr>
    </w:p>
    <w:p>
      <w:pPr>
        <w:spacing w:line="360" w:lineRule="auto"/>
        <w:ind w:firstLine="420" w:firstLineChars="200"/>
        <w:jc w:val="left"/>
        <w:rPr>
          <w:rFonts w:ascii="微软雅黑" w:hAnsi="微软雅黑" w:eastAsia="微软雅黑" w:cs="微软雅黑"/>
          <w:b/>
          <w:szCs w:val="21"/>
        </w:rPr>
        <w:sectPr>
          <w:pgSz w:w="11906" w:h="16838"/>
          <w:pgMar w:top="1474" w:right="1797" w:bottom="1247" w:left="1797" w:header="851" w:footer="851" w:gutter="0"/>
          <w:cols w:space="720" w:num="1"/>
          <w:docGrid w:linePitch="312" w:charSpace="0"/>
        </w:sectPr>
      </w:pPr>
    </w:p>
    <w:p>
      <w:pPr>
        <w:pStyle w:val="95"/>
        <w:ind w:firstLine="600"/>
        <w:rPr>
          <w:rFonts w:hint="eastAsia"/>
        </w:rPr>
      </w:pPr>
      <w:bookmarkStart w:id="21" w:name="_Toc50012815"/>
      <w:r>
        <w:rPr>
          <w:rFonts w:hint="eastAsia"/>
        </w:rPr>
        <w:t>第三章  投标人须知</w:t>
      </w:r>
      <w:bookmarkEnd w:id="15"/>
      <w:bookmarkEnd w:id="20"/>
      <w:bookmarkEnd w:id="21"/>
    </w:p>
    <w:p>
      <w:pPr>
        <w:spacing w:line="360" w:lineRule="auto"/>
        <w:ind w:firstLine="420" w:firstLineChars="200"/>
        <w:jc w:val="center"/>
        <w:outlineLvl w:val="1"/>
        <w:rPr>
          <w:rFonts w:hint="eastAsia" w:ascii="微软雅黑" w:hAnsi="微软雅黑" w:eastAsia="微软雅黑"/>
          <w:b/>
          <w:szCs w:val="21"/>
        </w:rPr>
      </w:pPr>
      <w:bookmarkStart w:id="22" w:name="_Toc177870535"/>
      <w:bookmarkStart w:id="23" w:name="_Toc50012816"/>
      <w:bookmarkStart w:id="24" w:name="_Toc493511543"/>
      <w:r>
        <w:rPr>
          <w:rFonts w:hint="eastAsia" w:ascii="微软雅黑" w:hAnsi="微软雅黑" w:eastAsia="微软雅黑"/>
          <w:b/>
          <w:szCs w:val="21"/>
        </w:rPr>
        <w:t>前附表</w:t>
      </w:r>
      <w:bookmarkEnd w:id="22"/>
      <w:bookmarkEnd w:id="23"/>
      <w:bookmarkEnd w:id="24"/>
    </w:p>
    <w:tbl>
      <w:tblPr>
        <w:tblStyle w:val="47"/>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序号</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b/>
                <w:bCs/>
                <w:szCs w:val="21"/>
              </w:rPr>
              <w:t>嘉兴经济技术开发区(国际商务区)雪亮工程第十期视频监控租赁服务项目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招标编号：千秋-JXQQGK（2020）第69号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4"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 xml:space="preserve">预算金额： 人民币6300.00万元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 xml:space="preserve">演示时间及地点：按（本章节 二、招标文件  </w:t>
            </w:r>
            <w:r>
              <w:rPr>
                <w:rFonts w:hint="eastAsia" w:ascii="微软雅黑" w:hAnsi="微软雅黑" w:eastAsia="微软雅黑" w:cs="微软雅黑"/>
                <w:b/>
                <w:szCs w:val="21"/>
              </w:rPr>
              <w:t>（三）招标文件的澄清与修改）执行。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8</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9</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微软雅黑" w:hAnsi="微软雅黑" w:eastAsia="微软雅黑" w:cs="微软雅黑"/>
                <w:szCs w:val="21"/>
              </w:rPr>
            </w:pPr>
            <w:r>
              <w:rPr>
                <w:rFonts w:hint="eastAsia" w:ascii="微软雅黑" w:hAnsi="微软雅黑" w:eastAsia="微软雅黑" w:cs="微软雅黑"/>
                <w:szCs w:val="21"/>
              </w:rPr>
              <w:t>投标文件组成：</w:t>
            </w:r>
            <w:r>
              <w:rPr>
                <w:rFonts w:hint="eastAsia" w:ascii="微软雅黑" w:hAnsi="微软雅黑" w:eastAsia="微软雅黑" w:cs="微软雅黑"/>
                <w:bCs/>
                <w:szCs w:val="21"/>
              </w:rPr>
              <w:t>完整的《投标文件》由</w:t>
            </w:r>
            <w:r>
              <w:rPr>
                <w:rFonts w:hint="eastAsia" w:ascii="微软雅黑" w:hAnsi="微软雅黑" w:eastAsia="微软雅黑" w:cs="微软雅黑"/>
                <w:b/>
                <w:szCs w:val="21"/>
              </w:rPr>
              <w:t>资格响应文件、商务技术文件、报价文件三部份组成</w:t>
            </w:r>
            <w:r>
              <w:rPr>
                <w:rFonts w:hint="eastAsia" w:ascii="微软雅黑" w:hAnsi="微软雅黑" w:eastAsia="微软雅黑" w:cs="微软雅黑"/>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10</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bCs/>
                <w:szCs w:val="21"/>
              </w:rPr>
            </w:pPr>
            <w:r>
              <w:rPr>
                <w:rFonts w:hint="eastAsia" w:ascii="微软雅黑" w:hAnsi="微软雅黑" w:eastAsia="微软雅黑" w:cs="微软雅黑"/>
                <w:szCs w:val="21"/>
              </w:rPr>
              <w:t>投标文件的形式：</w:t>
            </w:r>
            <w:r>
              <w:rPr>
                <w:rFonts w:hint="eastAsia" w:ascii="微软雅黑" w:hAnsi="宋体" w:eastAsia="MS Mincho" w:cs="MS Mincho"/>
                <w:bCs/>
                <w:szCs w:val="21"/>
              </w:rPr>
              <w:t>☑</w:t>
            </w:r>
            <w:r>
              <w:rPr>
                <w:rFonts w:hint="eastAsia" w:ascii="微软雅黑" w:hAnsi="微软雅黑" w:eastAsia="微软雅黑" w:cs="宋体"/>
                <w:bCs/>
                <w:szCs w:val="21"/>
              </w:rPr>
              <w:t>电子投标文件（包括“电子加密投标文</w:t>
            </w:r>
            <w:r>
              <w:rPr>
                <w:rFonts w:hint="eastAsia" w:ascii="微软雅黑" w:hAnsi="微软雅黑" w:eastAsia="微软雅黑" w:cs="微软雅黑"/>
                <w:bCs/>
                <w:szCs w:val="21"/>
              </w:rPr>
              <w:t>件”和“备份投标文件”，在投标文件编制完成后同时生成）；</w:t>
            </w:r>
          </w:p>
          <w:p>
            <w:pPr>
              <w:spacing w:line="360" w:lineRule="auto"/>
              <w:jc w:val="left"/>
              <w:rPr>
                <w:rFonts w:hint="eastAsia" w:ascii="微软雅黑" w:hAnsi="微软雅黑" w:eastAsia="微软雅黑" w:cs="微软雅黑"/>
                <w:bCs/>
                <w:szCs w:val="21"/>
              </w:rPr>
            </w:pPr>
            <w:r>
              <w:rPr>
                <w:rFonts w:hint="eastAsia" w:ascii="微软雅黑" w:hAnsi="微软雅黑" w:eastAsia="微软雅黑" w:cs="微软雅黑"/>
                <w:bCs/>
                <w:szCs w:val="21"/>
              </w:rPr>
              <w:t>（1）“电子加密投标文件”是指通过“政采云电子交易客户端”完成投标文件编制后生成并加密的数据电文形式的投标文件。</w:t>
            </w:r>
          </w:p>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bCs/>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投标文件份数：</w:t>
            </w:r>
            <w:r>
              <w:rPr>
                <w:rFonts w:hint="eastAsia" w:ascii="微软雅黑" w:hAnsi="微软雅黑" w:eastAsia="微软雅黑" w:cs="微软雅黑"/>
                <w:bCs/>
                <w:szCs w:val="21"/>
              </w:rPr>
              <w:t>（1）“电子加密投标文件”：在线上传递交、一份。（2）“备份投标文件”：密封包装后（邮寄形式）投标截止时间前递交、一份（邮寄地址：嘉兴市秀洲区新平路299号中禾广场23楼嘉兴市千秋工程咨询有限公司（章莉莉  电话：13605735186）。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投标文件的上传和递交：</w:t>
            </w:r>
          </w:p>
          <w:p>
            <w:pPr>
              <w:spacing w:line="360" w:lineRule="auto"/>
              <w:jc w:val="left"/>
              <w:rPr>
                <w:rFonts w:hint="eastAsia" w:ascii="微软雅黑" w:hAnsi="微软雅黑" w:eastAsia="微软雅黑" w:cs="微软雅黑"/>
                <w:bCs/>
                <w:szCs w:val="21"/>
              </w:rPr>
            </w:pPr>
            <w:r>
              <w:rPr>
                <w:rFonts w:hint="eastAsia" w:ascii="微软雅黑" w:hAnsi="微软雅黑" w:eastAsia="微软雅黑" w:cs="微软雅黑"/>
                <w:bCs/>
                <w:szCs w:val="21"/>
              </w:rPr>
              <w:t>（1）“电子加密投标文件”的上传、递交：</w:t>
            </w:r>
          </w:p>
          <w:p>
            <w:pPr>
              <w:spacing w:line="360" w:lineRule="auto"/>
              <w:ind w:firstLine="420" w:firstLineChars="200"/>
              <w:jc w:val="left"/>
              <w:rPr>
                <w:rFonts w:hint="eastAsia" w:ascii="微软雅黑" w:hAnsi="微软雅黑" w:eastAsia="微软雅黑" w:cs="微软雅黑"/>
                <w:bCs/>
                <w:szCs w:val="21"/>
              </w:rPr>
            </w:pPr>
            <w:r>
              <w:rPr>
                <w:rFonts w:hint="eastAsia" w:ascii="微软雅黑" w:hAnsi="微软雅黑" w:eastAsia="微软雅黑" w:cs="微软雅黑"/>
                <w:bCs/>
                <w:szCs w:val="21"/>
              </w:rPr>
              <w:t>a.投标供应商应在投标截止时间前将“电子加密投标文件”成功上传递交至“政府采购云平台”，否则投标无效。</w:t>
            </w:r>
          </w:p>
          <w:p>
            <w:pPr>
              <w:spacing w:line="360" w:lineRule="auto"/>
              <w:ind w:firstLine="420" w:firstLineChars="200"/>
              <w:jc w:val="left"/>
              <w:rPr>
                <w:rFonts w:hint="eastAsia" w:ascii="微软雅黑" w:hAnsi="微软雅黑" w:eastAsia="微软雅黑" w:cs="微软雅黑"/>
                <w:bCs/>
                <w:szCs w:val="21"/>
              </w:rPr>
            </w:pPr>
            <w:r>
              <w:rPr>
                <w:rFonts w:hint="eastAsia" w:ascii="微软雅黑" w:hAnsi="微软雅黑" w:eastAsia="微软雅黑" w:cs="微软雅黑"/>
                <w:bCs/>
                <w:szCs w:val="21"/>
              </w:rPr>
              <w:t>b.“电子加密投标文件”成功上传递交后，供应商可自行打印投标文件接收回执。</w:t>
            </w:r>
          </w:p>
          <w:p>
            <w:pPr>
              <w:spacing w:line="360" w:lineRule="auto"/>
              <w:jc w:val="left"/>
              <w:rPr>
                <w:rFonts w:hint="eastAsia" w:ascii="微软雅黑" w:hAnsi="微软雅黑" w:eastAsia="微软雅黑" w:cs="微软雅黑"/>
                <w:bCs/>
                <w:szCs w:val="21"/>
              </w:rPr>
            </w:pPr>
            <w:r>
              <w:rPr>
                <w:rFonts w:hint="eastAsia" w:ascii="微软雅黑" w:hAnsi="微软雅黑" w:eastAsia="微软雅黑" w:cs="微软雅黑"/>
                <w:bCs/>
                <w:szCs w:val="21"/>
              </w:rPr>
              <w:t>（2）“备份投标文件”的密封包装、递交：</w:t>
            </w:r>
          </w:p>
          <w:p>
            <w:pPr>
              <w:spacing w:line="360" w:lineRule="auto"/>
              <w:ind w:firstLine="420" w:firstLineChars="200"/>
              <w:jc w:val="left"/>
              <w:rPr>
                <w:rFonts w:hint="eastAsia" w:ascii="微软雅黑" w:hAnsi="微软雅黑" w:eastAsia="微软雅黑" w:cs="微软雅黑"/>
                <w:bCs/>
                <w:szCs w:val="21"/>
              </w:rPr>
            </w:pPr>
            <w:r>
              <w:rPr>
                <w:rFonts w:hint="eastAsia" w:ascii="微软雅黑" w:hAnsi="微软雅黑" w:eastAsia="微软雅黑" w:cs="微软雅黑"/>
                <w:bCs/>
                <w:szCs w:val="21"/>
              </w:rPr>
              <w:t>a.投标供应商在“政府采购云平台”完成“电子加密投标文件”的上传递交后，还可以（邮寄形式）在投标截止时间前递交以介质（U盘）存储的 “备份投标文件”（一份）；</w:t>
            </w:r>
          </w:p>
          <w:p>
            <w:pPr>
              <w:spacing w:line="360" w:lineRule="auto"/>
              <w:ind w:firstLine="420" w:firstLineChars="200"/>
              <w:jc w:val="left"/>
              <w:rPr>
                <w:rFonts w:hint="eastAsia" w:ascii="微软雅黑" w:hAnsi="微软雅黑" w:eastAsia="微软雅黑" w:cs="微软雅黑"/>
                <w:b/>
                <w:bCs/>
                <w:szCs w:val="21"/>
              </w:rPr>
            </w:pPr>
            <w:r>
              <w:rPr>
                <w:rFonts w:hint="eastAsia" w:ascii="微软雅黑" w:hAnsi="微软雅黑" w:eastAsia="微软雅黑" w:cs="微软雅黑"/>
                <w:b/>
                <w:bCs/>
                <w:szCs w:val="21"/>
              </w:rPr>
              <w:t>b.“备份投标文件”应当密封包装，并在包装上标注投标项目名称、投标单位名称并加盖公章。没有密封包装或者逾期邮寄送达至上述邮寄地点的“备份投标文件”将不予接收；</w:t>
            </w:r>
          </w:p>
          <w:p>
            <w:pPr>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15</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电子加密投标文件的解密和异常情况处理：</w:t>
            </w:r>
          </w:p>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（1）开标后，采购组织机构将向各投标供应商发出“电子加密投标文件”的解密通知，各投标供应商代表应当在接到解密通知后30分钟内自行完成“电子加密投标文件”的在线解密。</w:t>
            </w:r>
          </w:p>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投标截止时间及地点：</w:t>
            </w:r>
            <w:r>
              <w:rPr>
                <w:rStyle w:val="82"/>
                <w:rFonts w:ascii="微软雅黑" w:hAnsi="微软雅黑" w:eastAsia="微软雅黑" w:cs="Arial"/>
                <w:szCs w:val="21"/>
                <w:u w:val="single"/>
              </w:rPr>
              <w:t>2020年</w:t>
            </w:r>
            <w:r>
              <w:rPr>
                <w:rStyle w:val="82"/>
                <w:rFonts w:hint="eastAsia" w:ascii="微软雅黑" w:hAnsi="微软雅黑" w:eastAsia="微软雅黑" w:cs="Arial"/>
                <w:szCs w:val="21"/>
                <w:u w:val="single"/>
              </w:rPr>
              <w:t>10</w:t>
            </w:r>
            <w:r>
              <w:rPr>
                <w:rStyle w:val="82"/>
                <w:rFonts w:ascii="微软雅黑" w:hAnsi="微软雅黑" w:eastAsia="微软雅黑" w:cs="Arial"/>
                <w:szCs w:val="21"/>
                <w:u w:val="single"/>
              </w:rPr>
              <w:t>月</w:t>
            </w:r>
            <w:r>
              <w:rPr>
                <w:rStyle w:val="82"/>
                <w:rFonts w:hint="eastAsia" w:ascii="微软雅黑" w:hAnsi="微软雅黑" w:eastAsia="微软雅黑" w:cs="Arial"/>
                <w:szCs w:val="21"/>
                <w:u w:val="single"/>
              </w:rPr>
              <w:t>10</w:t>
            </w:r>
            <w:r>
              <w:rPr>
                <w:rStyle w:val="82"/>
                <w:rFonts w:ascii="微软雅黑" w:hAnsi="微软雅黑" w:eastAsia="微软雅黑" w:cs="Arial"/>
                <w:szCs w:val="21"/>
                <w:u w:val="single"/>
              </w:rPr>
              <w:t>日</w:t>
            </w:r>
            <w:r>
              <w:rPr>
                <w:rStyle w:val="82"/>
                <w:rFonts w:hint="eastAsia" w:ascii="微软雅黑" w:hAnsi="微软雅黑" w:eastAsia="微软雅黑" w:cs="Arial"/>
                <w:szCs w:val="21"/>
                <w:u w:val="single"/>
              </w:rPr>
              <w:t>14:00</w:t>
            </w:r>
          </w:p>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kern w:val="0"/>
                <w:szCs w:val="21"/>
              </w:rPr>
              <w:t xml:space="preserve">                     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开标时间及地点：</w:t>
            </w:r>
            <w:r>
              <w:rPr>
                <w:rStyle w:val="82"/>
                <w:rFonts w:ascii="微软雅黑" w:hAnsi="微软雅黑" w:eastAsia="微软雅黑" w:cs="Arial"/>
                <w:szCs w:val="21"/>
                <w:u w:val="single"/>
              </w:rPr>
              <w:t>2020年</w:t>
            </w:r>
            <w:r>
              <w:rPr>
                <w:rStyle w:val="82"/>
                <w:rFonts w:hint="eastAsia" w:ascii="微软雅黑" w:hAnsi="微软雅黑" w:eastAsia="微软雅黑" w:cs="Arial"/>
                <w:szCs w:val="21"/>
                <w:u w:val="single"/>
              </w:rPr>
              <w:t>10</w:t>
            </w:r>
            <w:r>
              <w:rPr>
                <w:rStyle w:val="82"/>
                <w:rFonts w:ascii="微软雅黑" w:hAnsi="微软雅黑" w:eastAsia="微软雅黑" w:cs="Arial"/>
                <w:szCs w:val="21"/>
                <w:u w:val="single"/>
              </w:rPr>
              <w:t>月</w:t>
            </w:r>
            <w:r>
              <w:rPr>
                <w:rStyle w:val="82"/>
                <w:rFonts w:hint="eastAsia" w:ascii="微软雅黑" w:hAnsi="微软雅黑" w:eastAsia="微软雅黑" w:cs="Arial"/>
                <w:szCs w:val="21"/>
                <w:u w:val="single"/>
              </w:rPr>
              <w:t>10</w:t>
            </w:r>
            <w:r>
              <w:rPr>
                <w:rStyle w:val="82"/>
                <w:rFonts w:ascii="微软雅黑" w:hAnsi="微软雅黑" w:eastAsia="微软雅黑" w:cs="Arial"/>
                <w:szCs w:val="21"/>
                <w:u w:val="single"/>
              </w:rPr>
              <w:t>日</w:t>
            </w:r>
            <w:r>
              <w:rPr>
                <w:rStyle w:val="82"/>
                <w:rFonts w:hint="eastAsia" w:ascii="微软雅黑" w:hAnsi="微软雅黑" w:eastAsia="微软雅黑" w:cs="Arial"/>
                <w:szCs w:val="21"/>
                <w:u w:val="single"/>
              </w:rPr>
              <w:t>14:00</w:t>
            </w:r>
          </w:p>
          <w:p>
            <w:pPr>
              <w:snapToGrid w:val="0"/>
              <w:spacing w:line="360" w:lineRule="auto"/>
              <w:jc w:val="left"/>
              <w:rPr>
                <w:rFonts w:hint="eastAsia" w:ascii="微软雅黑" w:hAnsi="微软雅黑" w:eastAsia="微软雅黑" w:cs="微软雅黑"/>
                <w:szCs w:val="21"/>
              </w:rPr>
            </w:pPr>
            <w:r>
              <w:rPr>
                <w:rStyle w:val="82"/>
                <w:rFonts w:hint="eastAsia" w:ascii="微软雅黑" w:hAnsi="微软雅黑" w:eastAsia="微软雅黑" w:cs="微软雅黑"/>
                <w:szCs w:val="21"/>
                <w:u w:val="single"/>
              </w:rPr>
              <w:t>嘉兴市公共资源交易中心开标室（嘉兴市广场路350号）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微软雅黑" w:hAnsi="微软雅黑" w:eastAsia="微软雅黑" w:cs="微软雅黑"/>
                <w:b/>
                <w:szCs w:val="21"/>
              </w:rPr>
            </w:pPr>
            <w:r>
              <w:rPr>
                <w:rFonts w:hint="eastAsia" w:ascii="微软雅黑" w:hAnsi="微软雅黑" w:eastAsia="微软雅黑" w:cs="微软雅黑"/>
                <w:szCs w:val="21"/>
              </w:rPr>
              <w:t>投标费用：中标单位支付招标代理服务费（收费标准详见招标文件）；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微软雅黑" w:hAnsi="微软雅黑" w:eastAsia="微软雅黑" w:cs="微软雅黑"/>
                <w:szCs w:val="21"/>
              </w:rPr>
            </w:pPr>
            <w:r>
              <w:rPr>
                <w:rFonts w:hint="eastAsia" w:ascii="微软雅黑" w:hAnsi="微软雅黑" w:eastAsia="微软雅黑" w:cs="微软雅黑"/>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ascii="微软雅黑" w:hAnsi="微软雅黑" w:eastAsia="微软雅黑"/>
                <w:szCs w:val="21"/>
                <w:shd w:val="clear" w:color="auto" w:fill="FFFFFF"/>
              </w:rPr>
            </w:pPr>
            <w:r>
              <w:rPr>
                <w:rFonts w:hint="eastAsia" w:ascii="微软雅黑" w:hAnsi="微软雅黑" w:eastAsia="微软雅黑" w:cs="微软雅黑"/>
                <w:szCs w:val="21"/>
                <w:shd w:val="clear" w:color="auto" w:fill="FFFFFF"/>
              </w:rPr>
              <w:t>履约保证金的收取及退还:</w:t>
            </w:r>
            <w:r>
              <w:rPr>
                <w:rFonts w:hint="eastAsia" w:ascii="微软雅黑" w:hAnsi="微软雅黑" w:eastAsia="微软雅黑"/>
                <w:szCs w:val="21"/>
                <w:shd w:val="clear" w:color="auto" w:fill="FFFFFF"/>
              </w:rPr>
              <w:t xml:space="preserve"> 履约保证金的收取及退还</w:t>
            </w:r>
            <w:r>
              <w:rPr>
                <w:rFonts w:ascii="微软雅黑" w:hAnsi="微软雅黑" w:eastAsia="微软雅黑"/>
                <w:szCs w:val="21"/>
                <w:shd w:val="clear" w:color="auto" w:fill="FFFFFF"/>
              </w:rPr>
              <w:t>:</w:t>
            </w:r>
            <w:r>
              <w:rPr>
                <w:rFonts w:hint="eastAsia" w:ascii="微软雅黑" w:hAnsi="微软雅黑" w:eastAsia="微软雅黑"/>
                <w:szCs w:val="21"/>
                <w:shd w:val="clear" w:color="auto" w:fill="FFFFFF"/>
              </w:rPr>
              <w:t xml:space="preserve"> 根据《浙江省财政厅关于进一步做好新冠肺炎疫情防控期间政府采购管理工作的通知》[浙财采监〔2020〕2号]第五条规定：</w:t>
            </w:r>
          </w:p>
          <w:p>
            <w:pPr>
              <w:autoSpaceDE w:val="0"/>
              <w:autoSpaceDN w:val="0"/>
              <w:snapToGrid w:val="0"/>
              <w:spacing w:line="360" w:lineRule="auto"/>
              <w:jc w:val="left"/>
              <w:textAlignment w:val="bottom"/>
              <w:rPr>
                <w:rFonts w:hint="eastAsia" w:ascii="微软雅黑" w:hAnsi="微软雅黑" w:eastAsia="微软雅黑"/>
                <w:szCs w:val="21"/>
                <w:shd w:val="clear" w:color="auto" w:fill="FFFFFF"/>
              </w:rPr>
            </w:pPr>
            <w:r>
              <w:rPr>
                <w:rFonts w:hint="eastAsia" w:ascii="微软雅黑" w:hAnsi="微软雅黑" w:eastAsia="微软雅黑"/>
                <w:szCs w:val="21"/>
                <w:shd w:val="clear" w:color="auto" w:fill="FFFFFF"/>
              </w:rPr>
              <w:t>各地各部门应进一步加大采购保证金监管力度。继续巩固2019年6月1日起保证金免收及清退的工作成果，鼓励采购单位根据供应商诚信等情况免收履约保证金或降低缴纳比例，政府采购项目履约保证金不得超过采购合同金额的5%，供应商可以银行、保险公司出具的保函形式提交，减少资金占用，切实降低交易成本。</w:t>
            </w:r>
          </w:p>
          <w:p>
            <w:pPr>
              <w:autoSpaceDE w:val="0"/>
              <w:autoSpaceDN w:val="0"/>
              <w:snapToGrid w:val="0"/>
              <w:spacing w:line="360" w:lineRule="auto"/>
              <w:jc w:val="left"/>
              <w:textAlignment w:val="bottom"/>
              <w:rPr>
                <w:rFonts w:hint="eastAsia" w:ascii="微软雅黑" w:hAnsi="微软雅黑" w:eastAsia="微软雅黑" w:cs="微软雅黑"/>
                <w:szCs w:val="21"/>
              </w:rPr>
            </w:pPr>
            <w:r>
              <w:rPr>
                <w:rFonts w:hint="eastAsia" w:ascii="微软雅黑" w:hAnsi="微软雅黑" w:eastAsia="微软雅黑"/>
                <w:b/>
                <w:bCs/>
                <w:szCs w:val="21"/>
                <w:shd w:val="clear" w:color="auto" w:fill="FFFFFF"/>
              </w:rPr>
              <w:t>若收取履约保证金的，合同到期后退还。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21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投标文件有效期：</w:t>
            </w:r>
            <w:r>
              <w:rPr>
                <w:rFonts w:hint="eastAsia" w:ascii="微软雅黑" w:hAnsi="微软雅黑" w:eastAsia="微软雅黑" w:cs="微软雅黑"/>
                <w:szCs w:val="21"/>
                <w:u w:val="single"/>
              </w:rPr>
              <w:t>60</w:t>
            </w:r>
            <w:r>
              <w:rPr>
                <w:rFonts w:hint="eastAsia" w:ascii="微软雅黑" w:hAnsi="微软雅黑" w:eastAsia="微软雅黑" w:cs="微软雅黑"/>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kern w:val="0"/>
                <w:szCs w:val="21"/>
              </w:rPr>
              <w:t>网上注册：</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本项目不接受现场报名，须注册后进行网上报名。在浙江政府采购网进行供应商注册后完成报名；（详情请见第一章公告报名及招标文件的获取）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23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解释：本招标文件的解释权属于招标采购单位。</w:t>
            </w:r>
          </w:p>
        </w:tc>
      </w:tr>
    </w:tbl>
    <w:p>
      <w:pPr>
        <w:snapToGrid w:val="0"/>
        <w:spacing w:line="360" w:lineRule="auto"/>
        <w:ind w:firstLine="420" w:firstLineChars="200"/>
        <w:jc w:val="left"/>
        <w:outlineLvl w:val="1"/>
        <w:rPr>
          <w:rFonts w:ascii="微软雅黑" w:hAnsi="微软雅黑" w:eastAsia="微软雅黑"/>
          <w:b/>
          <w:szCs w:val="21"/>
        </w:rPr>
        <w:sectPr>
          <w:pgSz w:w="11906" w:h="16838"/>
          <w:pgMar w:top="1474" w:right="1797" w:bottom="1247" w:left="1797" w:header="851" w:footer="851" w:gutter="0"/>
          <w:cols w:space="720" w:num="1"/>
          <w:docGrid w:linePitch="312" w:charSpace="0"/>
        </w:sectPr>
      </w:pPr>
      <w:bookmarkStart w:id="25" w:name="_Toc493511580"/>
      <w:bookmarkStart w:id="26" w:name="_Toc177870536"/>
      <w:bookmarkStart w:id="27" w:name="_Toc50012817"/>
    </w:p>
    <w:p>
      <w:pPr>
        <w:snapToGrid w:val="0"/>
        <w:spacing w:line="360" w:lineRule="auto"/>
        <w:ind w:firstLine="420" w:firstLineChars="200"/>
        <w:jc w:val="left"/>
        <w:outlineLvl w:val="1"/>
        <w:rPr>
          <w:rFonts w:hint="eastAsia" w:ascii="微软雅黑" w:hAnsi="微软雅黑" w:eastAsia="微软雅黑"/>
          <w:b/>
          <w:szCs w:val="21"/>
        </w:rPr>
      </w:pPr>
      <w:r>
        <w:rPr>
          <w:rFonts w:hint="eastAsia" w:ascii="微软雅黑" w:hAnsi="微软雅黑" w:eastAsia="微软雅黑"/>
          <w:b/>
          <w:szCs w:val="21"/>
        </w:rPr>
        <w:t>一、总  则</w:t>
      </w:r>
      <w:bookmarkEnd w:id="25"/>
      <w:bookmarkEnd w:id="26"/>
      <w:bookmarkEnd w:id="27"/>
    </w:p>
    <w:p>
      <w:pPr>
        <w:snapToGrid w:val="0"/>
        <w:spacing w:line="360" w:lineRule="auto"/>
        <w:ind w:firstLine="420" w:firstLineChars="200"/>
        <w:jc w:val="left"/>
        <w:outlineLvl w:val="1"/>
        <w:rPr>
          <w:rFonts w:hint="eastAsia" w:ascii="微软雅黑" w:hAnsi="微软雅黑" w:eastAsia="微软雅黑"/>
          <w:szCs w:val="21"/>
        </w:rPr>
      </w:pPr>
      <w:bookmarkStart w:id="28" w:name="_Toc427915759"/>
      <w:bookmarkStart w:id="29" w:name="_Toc177824939"/>
      <w:bookmarkStart w:id="30" w:name="_Toc177824872"/>
      <w:bookmarkStart w:id="31" w:name="_Toc177825120"/>
      <w:bookmarkStart w:id="32" w:name="_Toc50012818"/>
      <w:bookmarkStart w:id="33" w:name="_Toc493511581"/>
      <w:bookmarkStart w:id="34" w:name="_Toc177870537"/>
      <w:r>
        <w:rPr>
          <w:rFonts w:hint="eastAsia" w:ascii="微软雅黑" w:hAnsi="微软雅黑" w:eastAsia="微软雅黑"/>
          <w:szCs w:val="21"/>
        </w:rPr>
        <w:t>1、 适用范围</w:t>
      </w:r>
      <w:bookmarkEnd w:id="28"/>
      <w:bookmarkEnd w:id="29"/>
      <w:bookmarkEnd w:id="30"/>
      <w:bookmarkEnd w:id="31"/>
      <w:bookmarkEnd w:id="32"/>
      <w:bookmarkEnd w:id="33"/>
      <w:bookmarkEnd w:id="34"/>
    </w:p>
    <w:p>
      <w:pPr>
        <w:snapToGrid w:val="0"/>
        <w:spacing w:line="360" w:lineRule="auto"/>
        <w:ind w:firstLine="420" w:firstLineChars="200"/>
        <w:jc w:val="left"/>
        <w:outlineLvl w:val="1"/>
        <w:rPr>
          <w:rFonts w:hint="eastAsia" w:ascii="微软雅黑" w:hAnsi="微软雅黑" w:eastAsia="微软雅黑"/>
          <w:szCs w:val="21"/>
        </w:rPr>
      </w:pPr>
      <w:bookmarkStart w:id="35" w:name="_Toc50012819"/>
      <w:bookmarkStart w:id="36" w:name="_Toc493511582"/>
      <w:r>
        <w:rPr>
          <w:rFonts w:hint="eastAsia" w:ascii="微软雅黑" w:hAnsi="微软雅黑" w:eastAsia="微软雅黑"/>
          <w:szCs w:val="21"/>
        </w:rPr>
        <w:t>1.1、本招标文件适用于本次所述项目的招标。</w:t>
      </w:r>
      <w:bookmarkEnd w:id="35"/>
      <w:bookmarkEnd w:id="36"/>
      <w:bookmarkStart w:id="37" w:name="_Toc177824873"/>
      <w:bookmarkStart w:id="38" w:name="_Toc177824940"/>
      <w:bookmarkStart w:id="39" w:name="_Toc177825121"/>
      <w:bookmarkStart w:id="40" w:name="_Toc427915760"/>
      <w:bookmarkStart w:id="41" w:name="_Toc177870538"/>
    </w:p>
    <w:p>
      <w:pPr>
        <w:snapToGrid w:val="0"/>
        <w:spacing w:line="360" w:lineRule="auto"/>
        <w:ind w:firstLine="420" w:firstLineChars="200"/>
        <w:jc w:val="left"/>
        <w:outlineLvl w:val="1"/>
        <w:rPr>
          <w:rFonts w:hint="eastAsia" w:ascii="微软雅黑" w:hAnsi="微软雅黑" w:eastAsia="微软雅黑"/>
          <w:szCs w:val="21"/>
        </w:rPr>
      </w:pPr>
      <w:bookmarkStart w:id="42" w:name="_Toc493511583"/>
      <w:bookmarkStart w:id="43" w:name="_Toc50012820"/>
      <w:r>
        <w:rPr>
          <w:rFonts w:hint="eastAsia" w:ascii="微软雅黑" w:hAnsi="微软雅黑" w:eastAsia="微软雅黑"/>
          <w:szCs w:val="21"/>
        </w:rPr>
        <w:t>2、定义</w:t>
      </w:r>
      <w:bookmarkEnd w:id="37"/>
      <w:bookmarkEnd w:id="38"/>
      <w:bookmarkEnd w:id="39"/>
      <w:bookmarkEnd w:id="40"/>
      <w:bookmarkEnd w:id="41"/>
      <w:bookmarkEnd w:id="42"/>
      <w:bookmarkEnd w:id="43"/>
    </w:p>
    <w:p>
      <w:pPr>
        <w:snapToGrid w:val="0"/>
        <w:spacing w:line="360" w:lineRule="auto"/>
        <w:ind w:firstLine="420" w:firstLineChars="200"/>
        <w:jc w:val="left"/>
        <w:outlineLvl w:val="1"/>
        <w:rPr>
          <w:rFonts w:hint="eastAsia" w:ascii="微软雅黑" w:hAnsi="微软雅黑" w:eastAsia="微软雅黑"/>
          <w:szCs w:val="21"/>
        </w:rPr>
      </w:pPr>
      <w:bookmarkStart w:id="44" w:name="_Toc493511584"/>
      <w:bookmarkStart w:id="45" w:name="_Toc50012821"/>
      <w:r>
        <w:rPr>
          <w:rFonts w:hint="eastAsia" w:ascii="微软雅黑" w:hAnsi="微软雅黑" w:eastAsia="微软雅黑"/>
          <w:szCs w:val="21"/>
        </w:rPr>
        <w:t>2.1、“招标人”系指组织本次招标的代理机构或采购人。</w:t>
      </w:r>
      <w:bookmarkEnd w:id="44"/>
      <w:bookmarkEnd w:id="45"/>
    </w:p>
    <w:p>
      <w:pPr>
        <w:snapToGrid w:val="0"/>
        <w:spacing w:line="360" w:lineRule="auto"/>
        <w:ind w:firstLine="420" w:firstLineChars="200"/>
        <w:jc w:val="left"/>
        <w:outlineLvl w:val="1"/>
        <w:rPr>
          <w:rFonts w:hint="eastAsia" w:ascii="微软雅黑" w:hAnsi="微软雅黑" w:eastAsia="微软雅黑"/>
          <w:szCs w:val="21"/>
        </w:rPr>
      </w:pPr>
      <w:bookmarkStart w:id="46" w:name="_Toc50012822"/>
      <w:bookmarkStart w:id="47" w:name="_Toc493511585"/>
      <w:r>
        <w:rPr>
          <w:rFonts w:hint="eastAsia" w:ascii="微软雅黑" w:hAnsi="微软雅黑" w:eastAsia="微软雅黑"/>
          <w:szCs w:val="21"/>
        </w:rPr>
        <w:t>2.2、“投标人”系指向招标方提交投标文件的供应商。</w:t>
      </w:r>
      <w:bookmarkEnd w:id="46"/>
      <w:bookmarkEnd w:id="47"/>
    </w:p>
    <w:p>
      <w:pPr>
        <w:snapToGrid w:val="0"/>
        <w:spacing w:line="360" w:lineRule="auto"/>
        <w:ind w:firstLine="420" w:firstLineChars="200"/>
        <w:jc w:val="left"/>
        <w:outlineLvl w:val="1"/>
        <w:rPr>
          <w:rFonts w:hint="eastAsia" w:ascii="微软雅黑" w:hAnsi="微软雅黑" w:eastAsia="微软雅黑"/>
          <w:szCs w:val="21"/>
        </w:rPr>
      </w:pPr>
      <w:bookmarkStart w:id="48" w:name="_Toc493511586"/>
      <w:bookmarkStart w:id="49" w:name="_Toc50012823"/>
      <w:r>
        <w:rPr>
          <w:rFonts w:hint="eastAsia" w:ascii="微软雅黑" w:hAnsi="微软雅黑" w:eastAsia="微软雅黑"/>
          <w:szCs w:val="21"/>
        </w:rPr>
        <w:t>2.3、“产品”系指供方按招标文件规定，须向采购人提供的一切设备、保险、税金、备品备件、工具、手册及其它有关技术资料和材料。</w:t>
      </w:r>
      <w:bookmarkEnd w:id="48"/>
      <w:bookmarkEnd w:id="49"/>
    </w:p>
    <w:p>
      <w:pPr>
        <w:snapToGrid w:val="0"/>
        <w:spacing w:line="360" w:lineRule="auto"/>
        <w:ind w:firstLine="420" w:firstLineChars="200"/>
        <w:jc w:val="left"/>
        <w:outlineLvl w:val="1"/>
        <w:rPr>
          <w:rFonts w:hint="eastAsia" w:ascii="微软雅黑" w:hAnsi="微软雅黑" w:eastAsia="微软雅黑"/>
          <w:szCs w:val="21"/>
        </w:rPr>
      </w:pPr>
      <w:bookmarkStart w:id="50" w:name="_Toc493511587"/>
      <w:bookmarkStart w:id="51" w:name="_Toc50012824"/>
      <w:r>
        <w:rPr>
          <w:rFonts w:hint="eastAsia" w:ascii="微软雅黑" w:hAnsi="微软雅黑" w:eastAsia="微软雅黑"/>
          <w:szCs w:val="21"/>
        </w:rPr>
        <w:t>2.4、“服务”系指招标文件规定投标人须承担的安装、调试、技术协助、校准、培训、技术指导以及其他类似的义务。</w:t>
      </w:r>
      <w:bookmarkEnd w:id="50"/>
      <w:bookmarkEnd w:id="51"/>
    </w:p>
    <w:p>
      <w:pPr>
        <w:snapToGrid w:val="0"/>
        <w:spacing w:line="360" w:lineRule="auto"/>
        <w:ind w:firstLine="420" w:firstLineChars="200"/>
        <w:jc w:val="left"/>
        <w:outlineLvl w:val="1"/>
        <w:rPr>
          <w:rFonts w:hint="eastAsia" w:ascii="微软雅黑" w:hAnsi="微软雅黑" w:eastAsia="微软雅黑"/>
          <w:szCs w:val="21"/>
        </w:rPr>
      </w:pPr>
      <w:bookmarkStart w:id="52" w:name="_Toc493511588"/>
      <w:bookmarkStart w:id="53" w:name="_Toc50012825"/>
      <w:r>
        <w:rPr>
          <w:rFonts w:hint="eastAsia" w:ascii="微软雅黑" w:hAnsi="微软雅黑" w:eastAsia="微软雅黑"/>
          <w:szCs w:val="21"/>
        </w:rPr>
        <w:t>2.5、“项目”系指投标人按招标文件规定向采购人提供的产品和服务。</w:t>
      </w:r>
      <w:bookmarkEnd w:id="52"/>
      <w:bookmarkEnd w:id="53"/>
    </w:p>
    <w:p>
      <w:pPr>
        <w:snapToGrid w:val="0"/>
        <w:spacing w:line="360" w:lineRule="auto"/>
        <w:ind w:firstLine="420" w:firstLineChars="200"/>
        <w:jc w:val="left"/>
        <w:outlineLvl w:val="1"/>
        <w:rPr>
          <w:rFonts w:hint="eastAsia" w:ascii="微软雅黑" w:hAnsi="微软雅黑" w:eastAsia="微软雅黑"/>
          <w:szCs w:val="21"/>
        </w:rPr>
      </w:pPr>
      <w:bookmarkStart w:id="54" w:name="_Toc50012826"/>
      <w:bookmarkStart w:id="55" w:name="_Toc493511589"/>
      <w:r>
        <w:rPr>
          <w:rFonts w:hint="eastAsia" w:ascii="微软雅黑" w:hAnsi="微软雅黑" w:eastAsia="微软雅黑"/>
          <w:szCs w:val="21"/>
        </w:rPr>
        <w:t>2.6、“书面形式”包括信函、传真、电报、电子文档等。</w:t>
      </w:r>
      <w:bookmarkEnd w:id="54"/>
      <w:bookmarkEnd w:id="55"/>
    </w:p>
    <w:p>
      <w:pPr>
        <w:snapToGrid w:val="0"/>
        <w:spacing w:line="360" w:lineRule="auto"/>
        <w:ind w:firstLine="420" w:firstLineChars="200"/>
        <w:jc w:val="left"/>
        <w:outlineLvl w:val="1"/>
        <w:rPr>
          <w:rFonts w:hint="eastAsia" w:ascii="微软雅黑" w:hAnsi="微软雅黑" w:eastAsia="微软雅黑"/>
          <w:szCs w:val="21"/>
        </w:rPr>
      </w:pPr>
      <w:bookmarkStart w:id="56" w:name="_Toc50012827"/>
      <w:bookmarkStart w:id="57" w:name="_Toc493511590"/>
      <w:r>
        <w:rPr>
          <w:rFonts w:hint="eastAsia" w:ascii="微软雅黑" w:hAnsi="微软雅黑" w:eastAsia="微软雅黑"/>
          <w:szCs w:val="21"/>
        </w:rPr>
        <w:t>2.7、“▲”系指实质性要求条款。</w:t>
      </w:r>
      <w:bookmarkEnd w:id="56"/>
      <w:bookmarkEnd w:id="57"/>
      <w:bookmarkStart w:id="58" w:name="_Toc177870539"/>
      <w:bookmarkStart w:id="59" w:name="_Toc427915761"/>
    </w:p>
    <w:p>
      <w:pPr>
        <w:snapToGrid w:val="0"/>
        <w:spacing w:line="360" w:lineRule="auto"/>
        <w:ind w:firstLine="420" w:firstLineChars="200"/>
        <w:jc w:val="left"/>
        <w:outlineLvl w:val="1"/>
        <w:rPr>
          <w:rFonts w:hint="eastAsia" w:ascii="微软雅黑" w:hAnsi="微软雅黑" w:eastAsia="微软雅黑"/>
          <w:szCs w:val="21"/>
        </w:rPr>
      </w:pPr>
      <w:bookmarkStart w:id="60" w:name="_Toc50012828"/>
      <w:bookmarkStart w:id="61" w:name="_Toc493511591"/>
      <w:r>
        <w:rPr>
          <w:rFonts w:hint="eastAsia" w:ascii="微软雅黑" w:hAnsi="微软雅黑" w:eastAsia="微软雅黑"/>
          <w:szCs w:val="21"/>
        </w:rPr>
        <w:t>3、招标方式</w:t>
      </w:r>
      <w:bookmarkEnd w:id="58"/>
      <w:bookmarkEnd w:id="59"/>
      <w:bookmarkEnd w:id="60"/>
      <w:bookmarkEnd w:id="61"/>
    </w:p>
    <w:p>
      <w:pPr>
        <w:snapToGrid w:val="0"/>
        <w:spacing w:line="360" w:lineRule="auto"/>
        <w:ind w:firstLine="420" w:firstLineChars="200"/>
        <w:jc w:val="left"/>
        <w:outlineLvl w:val="1"/>
        <w:rPr>
          <w:rFonts w:hint="eastAsia" w:ascii="微软雅黑" w:hAnsi="微软雅黑" w:eastAsia="微软雅黑"/>
          <w:szCs w:val="21"/>
        </w:rPr>
      </w:pPr>
      <w:bookmarkStart w:id="62" w:name="_Toc493511592"/>
      <w:bookmarkStart w:id="63" w:name="_Toc50012829"/>
      <w:r>
        <w:rPr>
          <w:rFonts w:hint="eastAsia" w:ascii="微软雅黑" w:hAnsi="微软雅黑" w:eastAsia="微软雅黑"/>
          <w:szCs w:val="21"/>
        </w:rPr>
        <w:t>3.1、本次招标采用公开招标方式进行。</w:t>
      </w:r>
      <w:bookmarkEnd w:id="62"/>
      <w:bookmarkEnd w:id="63"/>
    </w:p>
    <w:p>
      <w:pPr>
        <w:snapToGrid w:val="0"/>
        <w:spacing w:line="360" w:lineRule="auto"/>
        <w:ind w:firstLine="420" w:firstLineChars="200"/>
        <w:jc w:val="left"/>
        <w:outlineLvl w:val="1"/>
        <w:rPr>
          <w:rFonts w:hint="eastAsia" w:ascii="微软雅黑" w:hAnsi="微软雅黑" w:eastAsia="微软雅黑"/>
          <w:szCs w:val="21"/>
        </w:rPr>
      </w:pPr>
      <w:bookmarkStart w:id="64" w:name="_Toc50012830"/>
      <w:bookmarkStart w:id="65" w:name="_Toc493511593"/>
      <w:r>
        <w:rPr>
          <w:rFonts w:hint="eastAsia" w:ascii="微软雅黑" w:hAnsi="微软雅黑" w:eastAsia="微软雅黑"/>
          <w:szCs w:val="21"/>
        </w:rPr>
        <w:t>3.2、本次招标设定上限价为预算价。</w:t>
      </w:r>
      <w:bookmarkEnd w:id="64"/>
      <w:bookmarkEnd w:id="65"/>
      <w:bookmarkStart w:id="66" w:name="_Toc177825122"/>
      <w:bookmarkStart w:id="67" w:name="_Toc427915762"/>
      <w:bookmarkStart w:id="68" w:name="_Toc177824874"/>
      <w:bookmarkStart w:id="69" w:name="_Toc177824941"/>
      <w:bookmarkStart w:id="70" w:name="_Toc177870540"/>
    </w:p>
    <w:p>
      <w:pPr>
        <w:snapToGrid w:val="0"/>
        <w:spacing w:line="360" w:lineRule="auto"/>
        <w:ind w:firstLine="420" w:firstLineChars="200"/>
        <w:jc w:val="left"/>
        <w:outlineLvl w:val="1"/>
        <w:rPr>
          <w:rFonts w:hint="eastAsia" w:ascii="微软雅黑" w:hAnsi="微软雅黑" w:eastAsia="微软雅黑"/>
          <w:szCs w:val="21"/>
        </w:rPr>
      </w:pPr>
      <w:bookmarkStart w:id="71" w:name="_Toc493511594"/>
      <w:bookmarkStart w:id="72" w:name="_Toc50012831"/>
      <w:r>
        <w:rPr>
          <w:rFonts w:hint="eastAsia" w:ascii="微软雅黑" w:hAnsi="微软雅黑" w:eastAsia="微软雅黑"/>
          <w:szCs w:val="21"/>
        </w:rPr>
        <w:t>4、投标委托</w:t>
      </w:r>
      <w:bookmarkEnd w:id="66"/>
      <w:bookmarkEnd w:id="67"/>
      <w:bookmarkEnd w:id="68"/>
      <w:bookmarkEnd w:id="69"/>
      <w:bookmarkEnd w:id="70"/>
      <w:bookmarkEnd w:id="71"/>
      <w:bookmarkEnd w:id="72"/>
    </w:p>
    <w:p>
      <w:pPr>
        <w:snapToGrid w:val="0"/>
        <w:spacing w:line="360" w:lineRule="auto"/>
        <w:ind w:firstLine="420" w:firstLineChars="200"/>
        <w:jc w:val="left"/>
        <w:outlineLvl w:val="1"/>
        <w:rPr>
          <w:rFonts w:hint="eastAsia" w:ascii="微软雅黑" w:hAnsi="微软雅黑" w:eastAsia="微软雅黑"/>
          <w:szCs w:val="21"/>
        </w:rPr>
      </w:pPr>
      <w:bookmarkStart w:id="73" w:name="_Toc493511595"/>
      <w:bookmarkStart w:id="74" w:name="_Toc50012832"/>
      <w:r>
        <w:rPr>
          <w:rFonts w:hint="eastAsia" w:ascii="微软雅黑" w:hAnsi="微软雅黑" w:eastAsia="微软雅黑"/>
          <w:szCs w:val="21"/>
        </w:rPr>
        <w:t>投标人代表须携带居民身份证。如投标人代表不是法定代表人，须有法定代表人出具的授权委托书。（正本用原件，副本可用复印件，格式见第六部分）。</w:t>
      </w:r>
      <w:bookmarkEnd w:id="73"/>
      <w:bookmarkEnd w:id="74"/>
      <w:bookmarkStart w:id="75" w:name="_Toc177824942"/>
      <w:bookmarkStart w:id="76" w:name="_Toc177825123"/>
      <w:bookmarkStart w:id="77" w:name="_Toc177870541"/>
      <w:bookmarkStart w:id="78" w:name="_Toc177824875"/>
      <w:bookmarkStart w:id="79" w:name="_Toc427915763"/>
    </w:p>
    <w:p>
      <w:pPr>
        <w:snapToGrid w:val="0"/>
        <w:spacing w:line="360" w:lineRule="auto"/>
        <w:ind w:firstLine="420" w:firstLineChars="200"/>
        <w:jc w:val="left"/>
        <w:outlineLvl w:val="1"/>
        <w:rPr>
          <w:rFonts w:hint="eastAsia" w:ascii="微软雅黑" w:hAnsi="微软雅黑" w:eastAsia="微软雅黑"/>
          <w:szCs w:val="21"/>
        </w:rPr>
      </w:pPr>
      <w:bookmarkStart w:id="80" w:name="_Toc493511596"/>
      <w:bookmarkStart w:id="81" w:name="_Toc50012833"/>
      <w:r>
        <w:rPr>
          <w:rFonts w:hint="eastAsia" w:ascii="微软雅黑" w:hAnsi="微软雅黑" w:eastAsia="微软雅黑"/>
          <w:szCs w:val="21"/>
        </w:rPr>
        <w:t>5、投标费用</w:t>
      </w:r>
      <w:bookmarkEnd w:id="75"/>
      <w:bookmarkEnd w:id="76"/>
      <w:bookmarkEnd w:id="77"/>
      <w:bookmarkEnd w:id="78"/>
      <w:bookmarkEnd w:id="79"/>
      <w:bookmarkEnd w:id="80"/>
      <w:bookmarkEnd w:id="81"/>
    </w:p>
    <w:p>
      <w:pPr>
        <w:snapToGrid w:val="0"/>
        <w:spacing w:line="360" w:lineRule="auto"/>
        <w:ind w:firstLine="420" w:firstLineChars="200"/>
        <w:jc w:val="left"/>
        <w:outlineLvl w:val="1"/>
        <w:rPr>
          <w:rFonts w:hint="eastAsia" w:ascii="微软雅黑" w:hAnsi="微软雅黑" w:eastAsia="微软雅黑"/>
          <w:szCs w:val="21"/>
        </w:rPr>
      </w:pPr>
      <w:bookmarkStart w:id="82" w:name="_Toc50012834"/>
      <w:bookmarkStart w:id="83" w:name="_Toc493511597"/>
      <w:r>
        <w:rPr>
          <w:rFonts w:hint="eastAsia" w:ascii="微软雅黑" w:hAnsi="微软雅黑" w:eastAsia="微软雅黑"/>
          <w:szCs w:val="21"/>
        </w:rPr>
        <w:t>不论投标结果如何，投标人均应自行承担所有与投标有关的全部费用。</w:t>
      </w:r>
      <w:bookmarkEnd w:id="82"/>
      <w:bookmarkEnd w:id="83"/>
    </w:p>
    <w:p>
      <w:pPr>
        <w:snapToGrid w:val="0"/>
        <w:spacing w:line="360" w:lineRule="auto"/>
        <w:ind w:firstLine="420" w:firstLineChars="200"/>
        <w:jc w:val="left"/>
        <w:outlineLvl w:val="1"/>
        <w:rPr>
          <w:rFonts w:hint="eastAsia" w:ascii="微软雅黑" w:hAnsi="微软雅黑" w:eastAsia="微软雅黑"/>
          <w:szCs w:val="21"/>
        </w:rPr>
      </w:pPr>
      <w:bookmarkStart w:id="84" w:name="_Toc50012835"/>
      <w:bookmarkStart w:id="85" w:name="_Toc493511598"/>
      <w:r>
        <w:rPr>
          <w:rFonts w:hint="eastAsia" w:ascii="微软雅黑" w:hAnsi="微软雅黑" w:eastAsia="微软雅黑"/>
          <w:szCs w:val="21"/>
        </w:rPr>
        <w:t>6、联合体投标</w:t>
      </w:r>
      <w:bookmarkEnd w:id="84"/>
      <w:bookmarkEnd w:id="85"/>
    </w:p>
    <w:p>
      <w:pPr>
        <w:snapToGrid w:val="0"/>
        <w:spacing w:line="360" w:lineRule="auto"/>
        <w:ind w:firstLine="420" w:firstLineChars="200"/>
        <w:jc w:val="left"/>
        <w:outlineLvl w:val="1"/>
        <w:rPr>
          <w:rFonts w:hint="eastAsia" w:ascii="微软雅黑" w:hAnsi="微软雅黑" w:eastAsia="微软雅黑"/>
          <w:szCs w:val="21"/>
        </w:rPr>
      </w:pPr>
      <w:bookmarkStart w:id="86" w:name="_Toc493511599"/>
      <w:bookmarkStart w:id="87" w:name="_Toc50012836"/>
      <w:r>
        <w:rPr>
          <w:rFonts w:hint="eastAsia" w:ascii="微软雅黑" w:hAnsi="微软雅黑" w:eastAsia="微软雅黑"/>
          <w:szCs w:val="21"/>
        </w:rPr>
        <w:t>本项目不接受联合体投标。</w:t>
      </w:r>
      <w:bookmarkEnd w:id="86"/>
      <w:bookmarkEnd w:id="87"/>
      <w:bookmarkStart w:id="88" w:name="_Toc177870544"/>
    </w:p>
    <w:p>
      <w:pPr>
        <w:snapToGrid w:val="0"/>
        <w:spacing w:line="360" w:lineRule="auto"/>
        <w:ind w:firstLine="420" w:firstLineChars="200"/>
        <w:jc w:val="left"/>
        <w:outlineLvl w:val="1"/>
        <w:rPr>
          <w:rFonts w:hint="eastAsia" w:ascii="微软雅黑" w:hAnsi="微软雅黑" w:eastAsia="微软雅黑"/>
          <w:b/>
          <w:szCs w:val="21"/>
        </w:rPr>
      </w:pPr>
      <w:r>
        <w:rPr>
          <w:rFonts w:hint="eastAsia" w:ascii="微软雅黑" w:hAnsi="微软雅黑" w:eastAsia="微软雅黑"/>
          <w:b/>
          <w:szCs w:val="21"/>
        </w:rPr>
        <w:t xml:space="preserve"> </w:t>
      </w:r>
      <w:bookmarkStart w:id="89" w:name="_Toc50012837"/>
      <w:r>
        <w:rPr>
          <w:rFonts w:hint="eastAsia" w:ascii="微软雅黑" w:hAnsi="微软雅黑" w:eastAsia="微软雅黑"/>
          <w:b/>
          <w:szCs w:val="21"/>
        </w:rPr>
        <w:t>7.转包与分包</w:t>
      </w:r>
      <w:bookmarkEnd w:id="89"/>
    </w:p>
    <w:p>
      <w:pPr>
        <w:snapToGrid w:val="0"/>
        <w:spacing w:line="360" w:lineRule="auto"/>
        <w:ind w:firstLine="420" w:firstLineChars="200"/>
        <w:jc w:val="left"/>
        <w:outlineLvl w:val="1"/>
        <w:rPr>
          <w:rFonts w:hint="eastAsia" w:ascii="微软雅黑" w:hAnsi="微软雅黑" w:eastAsia="微软雅黑"/>
          <w:szCs w:val="21"/>
        </w:rPr>
      </w:pPr>
      <w:bookmarkStart w:id="90" w:name="_Toc50012838"/>
      <w:r>
        <w:rPr>
          <w:rFonts w:hint="eastAsia" w:ascii="微软雅黑" w:hAnsi="微软雅黑" w:eastAsia="微软雅黑"/>
          <w:szCs w:val="21"/>
        </w:rPr>
        <w:t>7.1本项目不允许转包；</w:t>
      </w:r>
      <w:bookmarkEnd w:id="90"/>
    </w:p>
    <w:p>
      <w:pPr>
        <w:snapToGrid w:val="0"/>
        <w:spacing w:line="360" w:lineRule="auto"/>
        <w:ind w:firstLine="420" w:firstLineChars="200"/>
        <w:jc w:val="left"/>
        <w:outlineLvl w:val="1"/>
        <w:rPr>
          <w:rFonts w:hint="eastAsia" w:ascii="微软雅黑" w:hAnsi="微软雅黑" w:eastAsia="微软雅黑" w:cs="宋体"/>
          <w:kern w:val="0"/>
          <w:szCs w:val="21"/>
        </w:rPr>
      </w:pPr>
      <w:bookmarkStart w:id="91" w:name="_Toc50012839"/>
      <w:r>
        <w:rPr>
          <w:rFonts w:hint="eastAsia" w:ascii="微软雅黑" w:hAnsi="微软雅黑" w:eastAsia="微软雅黑" w:cs="宋体"/>
          <w:kern w:val="0"/>
          <w:szCs w:val="21"/>
        </w:rPr>
        <w:t>7.2</w:t>
      </w:r>
      <w:r>
        <w:rPr>
          <w:rFonts w:hint="eastAsia" w:ascii="微软雅黑" w:hAnsi="微软雅黑" w:eastAsia="微软雅黑"/>
          <w:szCs w:val="21"/>
        </w:rPr>
        <w:t>本项目不允许分包</w:t>
      </w:r>
      <w:r>
        <w:rPr>
          <w:rFonts w:hint="eastAsia" w:ascii="微软雅黑" w:hAnsi="微软雅黑" w:eastAsia="微软雅黑" w:cs="宋体"/>
          <w:kern w:val="0"/>
          <w:szCs w:val="21"/>
        </w:rPr>
        <w:t>。</w:t>
      </w:r>
      <w:bookmarkEnd w:id="91"/>
      <w:bookmarkStart w:id="92" w:name="_Toc177870542"/>
      <w:bookmarkStart w:id="93" w:name="_Toc430786267"/>
    </w:p>
    <w:p>
      <w:pPr>
        <w:snapToGrid w:val="0"/>
        <w:spacing w:line="360" w:lineRule="auto"/>
        <w:ind w:firstLine="420" w:firstLineChars="200"/>
        <w:jc w:val="left"/>
        <w:outlineLvl w:val="1"/>
        <w:rPr>
          <w:rFonts w:hint="eastAsia" w:ascii="微软雅黑" w:hAnsi="微软雅黑" w:eastAsia="微软雅黑"/>
          <w:b/>
          <w:szCs w:val="21"/>
        </w:rPr>
      </w:pPr>
      <w:bookmarkStart w:id="94" w:name="_Toc50012840"/>
      <w:r>
        <w:rPr>
          <w:rFonts w:hint="eastAsia" w:ascii="微软雅黑" w:hAnsi="微软雅黑" w:eastAsia="微软雅黑"/>
          <w:b/>
          <w:szCs w:val="21"/>
        </w:rPr>
        <w:t>8.特别说明：</w:t>
      </w:r>
      <w:bookmarkEnd w:id="92"/>
      <w:bookmarkEnd w:id="93"/>
      <w:bookmarkEnd w:id="94"/>
    </w:p>
    <w:p>
      <w:pPr>
        <w:pStyle w:val="20"/>
        <w:snapToGrid w:val="0"/>
        <w:spacing w:line="360" w:lineRule="auto"/>
        <w:ind w:firstLine="420" w:firstLineChars="200"/>
        <w:jc w:val="left"/>
        <w:rPr>
          <w:rFonts w:ascii="微软雅黑" w:hAnsi="微软雅黑" w:eastAsia="微软雅黑"/>
          <w:spacing w:val="0"/>
          <w:sz w:val="21"/>
          <w:szCs w:val="21"/>
        </w:rPr>
      </w:pPr>
      <w:bookmarkStart w:id="95" w:name="_Toc177870543"/>
      <w:bookmarkStart w:id="96" w:name="_Toc430786268"/>
      <w:bookmarkStart w:id="97" w:name="_Toc495603533"/>
      <w:r>
        <w:rPr>
          <w:rFonts w:hint="eastAsia" w:ascii="微软雅黑" w:hAnsi="微软雅黑" w:eastAsia="微软雅黑"/>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line="360" w:lineRule="auto"/>
        <w:ind w:firstLine="420" w:firstLineChars="200"/>
        <w:jc w:val="left"/>
        <w:rPr>
          <w:rFonts w:ascii="微软雅黑" w:hAnsi="微软雅黑" w:eastAsia="微软雅黑"/>
          <w:spacing w:val="0"/>
          <w:sz w:val="21"/>
          <w:szCs w:val="21"/>
        </w:rPr>
      </w:pPr>
      <w:r>
        <w:rPr>
          <w:rFonts w:hint="eastAsia" w:ascii="微软雅黑" w:hAnsi="微软雅黑" w:eastAsia="微软雅黑"/>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line="360" w:lineRule="auto"/>
        <w:ind w:firstLine="420" w:firstLineChars="200"/>
        <w:jc w:val="left"/>
        <w:rPr>
          <w:rFonts w:hint="eastAsia" w:ascii="微软雅黑" w:hAnsi="微软雅黑" w:eastAsia="微软雅黑"/>
          <w:spacing w:val="0"/>
          <w:sz w:val="21"/>
          <w:szCs w:val="21"/>
        </w:rPr>
      </w:pPr>
      <w:r>
        <w:rPr>
          <w:rFonts w:hint="eastAsia" w:ascii="微软雅黑" w:hAnsi="微软雅黑" w:eastAsia="微软雅黑"/>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firstLine="420" w:firstLineChars="200"/>
        <w:jc w:val="left"/>
        <w:outlineLvl w:val="1"/>
        <w:rPr>
          <w:rFonts w:hint="eastAsia" w:ascii="微软雅黑" w:hAnsi="微软雅黑" w:eastAsia="微软雅黑"/>
          <w:b/>
          <w:szCs w:val="21"/>
        </w:rPr>
      </w:pPr>
      <w:bookmarkStart w:id="98" w:name="_Toc50012841"/>
      <w:r>
        <w:rPr>
          <w:rFonts w:hint="eastAsia" w:ascii="微软雅黑" w:hAnsi="微软雅黑" w:eastAsia="微软雅黑"/>
          <w:b/>
          <w:szCs w:val="21"/>
        </w:rPr>
        <w:t>9.质疑</w:t>
      </w:r>
      <w:bookmarkEnd w:id="95"/>
      <w:bookmarkEnd w:id="96"/>
      <w:bookmarkEnd w:id="97"/>
      <w:bookmarkEnd w:id="98"/>
    </w:p>
    <w:p>
      <w:pPr>
        <w:pStyle w:val="25"/>
        <w:spacing w:line="360" w:lineRule="auto"/>
        <w:ind w:firstLine="420" w:firstLineChars="200"/>
        <w:jc w:val="left"/>
        <w:outlineLvl w:val="1"/>
        <w:rPr>
          <w:rFonts w:hint="eastAsia" w:ascii="微软雅黑" w:hAnsi="微软雅黑" w:eastAsia="微软雅黑"/>
          <w:b/>
          <w:szCs w:val="21"/>
        </w:rPr>
      </w:pPr>
      <w:bookmarkStart w:id="99" w:name="_Toc495603534"/>
      <w:bookmarkStart w:id="100" w:name="_Toc50012842"/>
      <w:r>
        <w:rPr>
          <w:rFonts w:hint="eastAsia" w:ascii="微软雅黑" w:hAnsi="微软雅黑" w:eastAsia="微软雅黑"/>
          <w:b/>
          <w:szCs w:val="21"/>
        </w:rPr>
        <w:t>9.</w:t>
      </w:r>
      <w:r>
        <w:rPr>
          <w:rFonts w:ascii="微软雅黑" w:hAnsi="微软雅黑" w:eastAsia="微软雅黑"/>
          <w:b/>
          <w:szCs w:val="21"/>
        </w:rPr>
        <w:t>1</w:t>
      </w:r>
      <w:r>
        <w:rPr>
          <w:rFonts w:hint="eastAsia" w:ascii="微软雅黑" w:hAnsi="微软雅黑" w:eastAsia="微软雅黑"/>
          <w:b/>
          <w:szCs w:val="21"/>
        </w:rPr>
        <w:t>.</w:t>
      </w:r>
      <w:r>
        <w:rPr>
          <w:rFonts w:ascii="微软雅黑" w:hAnsi="微软雅黑" w:eastAsia="微软雅黑"/>
          <w:b/>
          <w:szCs w:val="21"/>
        </w:rPr>
        <w:t>投标人认为招标文件、招标过程</w:t>
      </w:r>
      <w:r>
        <w:rPr>
          <w:rFonts w:hint="eastAsia" w:ascii="微软雅黑" w:hAnsi="微软雅黑" w:eastAsia="微软雅黑"/>
          <w:b/>
          <w:szCs w:val="21"/>
        </w:rPr>
        <w:t>或</w:t>
      </w:r>
      <w:r>
        <w:rPr>
          <w:rFonts w:ascii="微软雅黑" w:hAnsi="微软雅黑" w:eastAsia="微软雅黑"/>
          <w:b/>
          <w:szCs w:val="21"/>
        </w:rPr>
        <w:t>中标结果使自己的合法权益受到损害的，应当在知道或者应知其权益受到损害之日起七个工作日内，以书面形式向采购人、</w:t>
      </w:r>
      <w:r>
        <w:rPr>
          <w:rFonts w:hint="eastAsia" w:ascii="微软雅黑" w:hAnsi="微软雅黑" w:eastAsia="微软雅黑"/>
          <w:b/>
          <w:szCs w:val="21"/>
        </w:rPr>
        <w:t>代理机构</w:t>
      </w:r>
      <w:r>
        <w:rPr>
          <w:rFonts w:ascii="微软雅黑" w:hAnsi="微软雅黑" w:eastAsia="微软雅黑"/>
          <w:b/>
          <w:szCs w:val="21"/>
        </w:rPr>
        <w:t>提出质疑。投标人对招标采购单位的质疑答复不满意或者招标采购单位未在规定时间内作出答复的，可以在答复期满后十五个工作日内向同级采购监管部门投诉。</w:t>
      </w:r>
      <w:bookmarkEnd w:id="99"/>
      <w:bookmarkEnd w:id="100"/>
      <w:bookmarkStart w:id="101" w:name="_Toc495603535"/>
    </w:p>
    <w:p>
      <w:pPr>
        <w:pStyle w:val="25"/>
        <w:spacing w:line="360" w:lineRule="auto"/>
        <w:ind w:firstLine="420" w:firstLineChars="200"/>
        <w:jc w:val="left"/>
        <w:outlineLvl w:val="1"/>
        <w:rPr>
          <w:rFonts w:hint="eastAsia" w:ascii="微软雅黑" w:hAnsi="微软雅黑" w:eastAsia="微软雅黑"/>
          <w:b/>
          <w:szCs w:val="21"/>
        </w:rPr>
      </w:pPr>
      <w:bookmarkStart w:id="102" w:name="_Toc50012843"/>
      <w:r>
        <w:rPr>
          <w:rFonts w:hint="eastAsia" w:ascii="微软雅黑" w:hAnsi="微软雅黑" w:eastAsia="微软雅黑"/>
          <w:b/>
          <w:szCs w:val="21"/>
        </w:rPr>
        <w:t>9.</w:t>
      </w:r>
      <w:r>
        <w:rPr>
          <w:rFonts w:ascii="微软雅黑" w:hAnsi="微软雅黑" w:eastAsia="微软雅黑"/>
          <w:b/>
          <w:szCs w:val="21"/>
        </w:rPr>
        <w:t>2</w:t>
      </w:r>
      <w:r>
        <w:rPr>
          <w:rFonts w:hint="eastAsia" w:ascii="微软雅黑" w:hAnsi="微软雅黑" w:eastAsia="微软雅黑"/>
          <w:b/>
          <w:szCs w:val="21"/>
        </w:rPr>
        <w:t>.</w:t>
      </w:r>
      <w:r>
        <w:rPr>
          <w:rFonts w:ascii="微软雅黑" w:hAnsi="微软雅黑" w:eastAsia="微软雅黑"/>
          <w:b/>
          <w:szCs w:val="21"/>
        </w:rPr>
        <w:t>质疑、投诉应当采用书面形式，质疑书、投诉书均应明确阐述招标文件、招标过程</w:t>
      </w:r>
      <w:r>
        <w:rPr>
          <w:rFonts w:hint="eastAsia" w:ascii="微软雅黑" w:hAnsi="微软雅黑" w:eastAsia="微软雅黑"/>
          <w:b/>
          <w:szCs w:val="21"/>
        </w:rPr>
        <w:t>或</w:t>
      </w:r>
      <w:r>
        <w:rPr>
          <w:rFonts w:ascii="微软雅黑" w:hAnsi="微软雅黑" w:eastAsia="微软雅黑"/>
          <w:b/>
          <w:szCs w:val="21"/>
        </w:rPr>
        <w:t>中标结果中使自己合法权益受到损害的实质性内容，提供相关事实、依据和证据及其来源或线索，便于有关单位调查、答复和处理</w:t>
      </w:r>
      <w:r>
        <w:rPr>
          <w:rFonts w:hint="eastAsia" w:ascii="微软雅黑" w:hAnsi="微软雅黑" w:eastAsia="微软雅黑"/>
          <w:b/>
          <w:szCs w:val="21"/>
        </w:rPr>
        <w:t>。</w:t>
      </w:r>
      <w:bookmarkEnd w:id="101"/>
      <w:bookmarkEnd w:id="102"/>
    </w:p>
    <w:p>
      <w:pPr>
        <w:snapToGrid w:val="0"/>
        <w:spacing w:line="360" w:lineRule="auto"/>
        <w:ind w:firstLine="420" w:firstLineChars="200"/>
        <w:jc w:val="left"/>
        <w:outlineLvl w:val="1"/>
        <w:rPr>
          <w:rFonts w:hint="eastAsia" w:ascii="微软雅黑" w:hAnsi="微软雅黑" w:eastAsia="微软雅黑"/>
          <w:b/>
          <w:szCs w:val="21"/>
        </w:rPr>
      </w:pPr>
      <w:bookmarkStart w:id="103" w:name="_Toc493511613"/>
      <w:bookmarkStart w:id="104" w:name="_Toc50012844"/>
      <w:r>
        <w:rPr>
          <w:rFonts w:hint="eastAsia" w:ascii="微软雅黑" w:hAnsi="微软雅黑" w:eastAsia="微软雅黑"/>
          <w:b/>
          <w:szCs w:val="21"/>
        </w:rPr>
        <w:t>二 、招标文件</w:t>
      </w:r>
      <w:bookmarkEnd w:id="88"/>
      <w:bookmarkEnd w:id="103"/>
      <w:bookmarkEnd w:id="104"/>
    </w:p>
    <w:p>
      <w:pPr>
        <w:snapToGrid w:val="0"/>
        <w:spacing w:line="360" w:lineRule="auto"/>
        <w:ind w:firstLine="420" w:firstLineChars="200"/>
        <w:jc w:val="left"/>
        <w:outlineLvl w:val="1"/>
        <w:rPr>
          <w:rFonts w:hint="eastAsia" w:ascii="微软雅黑" w:hAnsi="微软雅黑" w:eastAsia="微软雅黑"/>
          <w:b/>
          <w:szCs w:val="21"/>
        </w:rPr>
      </w:pPr>
      <w:bookmarkStart w:id="105" w:name="_Toc50012845"/>
      <w:bookmarkStart w:id="106" w:name="_Toc493511614"/>
      <w:r>
        <w:rPr>
          <w:rFonts w:hint="eastAsia" w:ascii="微软雅黑" w:hAnsi="微软雅黑" w:eastAsia="微软雅黑"/>
          <w:b/>
          <w:szCs w:val="21"/>
        </w:rPr>
        <w:t>1、招标文件的构成</w:t>
      </w:r>
      <w:bookmarkEnd w:id="105"/>
      <w:bookmarkEnd w:id="106"/>
    </w:p>
    <w:p>
      <w:pPr>
        <w:snapToGrid w:val="0"/>
        <w:spacing w:line="360" w:lineRule="auto"/>
        <w:ind w:firstLine="420" w:firstLineChars="200"/>
        <w:jc w:val="left"/>
        <w:outlineLvl w:val="1"/>
        <w:rPr>
          <w:rFonts w:hint="eastAsia" w:ascii="微软雅黑" w:hAnsi="微软雅黑" w:eastAsia="微软雅黑"/>
          <w:szCs w:val="21"/>
        </w:rPr>
      </w:pPr>
      <w:bookmarkStart w:id="107" w:name="_Toc50012846"/>
      <w:bookmarkStart w:id="108" w:name="_Toc493511615"/>
      <w:r>
        <w:rPr>
          <w:rFonts w:hint="eastAsia" w:ascii="微软雅黑" w:hAnsi="微软雅黑" w:eastAsia="微软雅黑"/>
          <w:szCs w:val="21"/>
        </w:rPr>
        <w:t>1.1、公开招标采购公告</w:t>
      </w:r>
      <w:bookmarkEnd w:id="107"/>
      <w:bookmarkEnd w:id="108"/>
    </w:p>
    <w:p>
      <w:pPr>
        <w:snapToGrid w:val="0"/>
        <w:spacing w:line="360" w:lineRule="auto"/>
        <w:ind w:firstLine="420" w:firstLineChars="200"/>
        <w:jc w:val="left"/>
        <w:outlineLvl w:val="1"/>
        <w:rPr>
          <w:rFonts w:hint="eastAsia" w:ascii="微软雅黑" w:hAnsi="微软雅黑" w:eastAsia="微软雅黑"/>
          <w:szCs w:val="21"/>
        </w:rPr>
      </w:pPr>
      <w:bookmarkStart w:id="109" w:name="_Toc50012847"/>
      <w:bookmarkStart w:id="110" w:name="_Toc493511616"/>
      <w:r>
        <w:rPr>
          <w:rFonts w:hint="eastAsia" w:ascii="微软雅黑" w:hAnsi="微软雅黑" w:eastAsia="微软雅黑"/>
          <w:szCs w:val="21"/>
        </w:rPr>
        <w:t>1.2、招标项目要求</w:t>
      </w:r>
      <w:bookmarkEnd w:id="109"/>
      <w:bookmarkEnd w:id="110"/>
    </w:p>
    <w:p>
      <w:pPr>
        <w:snapToGrid w:val="0"/>
        <w:spacing w:line="360" w:lineRule="auto"/>
        <w:ind w:firstLine="420" w:firstLineChars="200"/>
        <w:jc w:val="left"/>
        <w:outlineLvl w:val="1"/>
        <w:rPr>
          <w:rFonts w:hint="eastAsia" w:ascii="微软雅黑" w:hAnsi="微软雅黑" w:eastAsia="微软雅黑"/>
          <w:szCs w:val="21"/>
        </w:rPr>
      </w:pPr>
      <w:bookmarkStart w:id="111" w:name="_Toc50012848"/>
      <w:bookmarkStart w:id="112" w:name="_Toc493511617"/>
      <w:r>
        <w:rPr>
          <w:rFonts w:hint="eastAsia" w:ascii="微软雅黑" w:hAnsi="微软雅黑" w:eastAsia="微软雅黑"/>
          <w:szCs w:val="21"/>
        </w:rPr>
        <w:t>1.3、投标人须知</w:t>
      </w:r>
      <w:bookmarkEnd w:id="111"/>
      <w:bookmarkEnd w:id="112"/>
    </w:p>
    <w:p>
      <w:pPr>
        <w:snapToGrid w:val="0"/>
        <w:spacing w:line="360" w:lineRule="auto"/>
        <w:ind w:firstLine="420" w:firstLineChars="200"/>
        <w:jc w:val="left"/>
        <w:outlineLvl w:val="1"/>
        <w:rPr>
          <w:rFonts w:hint="eastAsia" w:ascii="微软雅黑" w:hAnsi="微软雅黑" w:eastAsia="微软雅黑"/>
          <w:szCs w:val="21"/>
        </w:rPr>
      </w:pPr>
      <w:bookmarkStart w:id="113" w:name="_Toc493511618"/>
      <w:bookmarkStart w:id="114" w:name="_Toc50012849"/>
      <w:r>
        <w:rPr>
          <w:rFonts w:hint="eastAsia" w:ascii="微软雅黑" w:hAnsi="微软雅黑" w:eastAsia="微软雅黑"/>
          <w:szCs w:val="21"/>
        </w:rPr>
        <w:t>1.4、评标办法</w:t>
      </w:r>
      <w:bookmarkEnd w:id="113"/>
      <w:bookmarkEnd w:id="114"/>
    </w:p>
    <w:p>
      <w:pPr>
        <w:snapToGrid w:val="0"/>
        <w:spacing w:line="360" w:lineRule="auto"/>
        <w:ind w:firstLine="420" w:firstLineChars="200"/>
        <w:jc w:val="left"/>
        <w:outlineLvl w:val="1"/>
        <w:rPr>
          <w:rFonts w:hint="eastAsia" w:ascii="微软雅黑" w:hAnsi="微软雅黑" w:eastAsia="微软雅黑"/>
          <w:szCs w:val="21"/>
        </w:rPr>
      </w:pPr>
      <w:bookmarkStart w:id="115" w:name="_Toc493511619"/>
      <w:bookmarkStart w:id="116" w:name="_Toc50012850"/>
      <w:r>
        <w:rPr>
          <w:rFonts w:hint="eastAsia" w:ascii="微软雅黑" w:hAnsi="微软雅黑" w:eastAsia="微软雅黑"/>
          <w:szCs w:val="21"/>
        </w:rPr>
        <w:t>1.5、政府采购合同</w:t>
      </w:r>
      <w:bookmarkEnd w:id="115"/>
      <w:bookmarkEnd w:id="116"/>
    </w:p>
    <w:p>
      <w:pPr>
        <w:snapToGrid w:val="0"/>
        <w:spacing w:line="360" w:lineRule="auto"/>
        <w:ind w:firstLine="420" w:firstLineChars="200"/>
        <w:jc w:val="left"/>
        <w:outlineLvl w:val="1"/>
        <w:rPr>
          <w:rFonts w:hint="eastAsia" w:ascii="微软雅黑" w:hAnsi="微软雅黑" w:eastAsia="微软雅黑"/>
          <w:szCs w:val="21"/>
        </w:rPr>
      </w:pPr>
      <w:bookmarkStart w:id="117" w:name="_Toc50012851"/>
      <w:bookmarkStart w:id="118" w:name="_Toc493511620"/>
      <w:r>
        <w:rPr>
          <w:rFonts w:hint="eastAsia" w:ascii="微软雅黑" w:hAnsi="微软雅黑" w:eastAsia="微软雅黑"/>
          <w:szCs w:val="21"/>
        </w:rPr>
        <w:t>1.6、投标文件相关文件格式</w:t>
      </w:r>
      <w:bookmarkEnd w:id="117"/>
      <w:bookmarkEnd w:id="118"/>
      <w:bookmarkStart w:id="119" w:name="_Toc482363722"/>
    </w:p>
    <w:p>
      <w:pPr>
        <w:snapToGrid w:val="0"/>
        <w:spacing w:line="360" w:lineRule="auto"/>
        <w:ind w:firstLine="420" w:firstLineChars="200"/>
        <w:jc w:val="left"/>
        <w:outlineLvl w:val="1"/>
        <w:rPr>
          <w:rFonts w:ascii="微软雅黑" w:hAnsi="微软雅黑" w:eastAsia="微软雅黑"/>
          <w:szCs w:val="21"/>
        </w:rPr>
      </w:pPr>
      <w:bookmarkStart w:id="120" w:name="_Toc493511621"/>
      <w:bookmarkStart w:id="121" w:name="_Toc50012852"/>
      <w:r>
        <w:rPr>
          <w:rFonts w:ascii="微软雅黑" w:hAnsi="微软雅黑" w:eastAsia="微软雅黑"/>
          <w:szCs w:val="21"/>
        </w:rPr>
        <w:t>1.7、本项目招标文件的澄清、答复、修改、补充的内容（所有内容将以电子文档形式上传于浙江省政府采购网网站（http://www.zjzfcg.gov.cn/）。澄清、答复、修改、补充的内容均作为招标文件的组成部分，具有约束作用。投标人必须自行下载。）</w:t>
      </w:r>
      <w:bookmarkEnd w:id="119"/>
      <w:bookmarkEnd w:id="120"/>
      <w:bookmarkEnd w:id="121"/>
    </w:p>
    <w:p>
      <w:pPr>
        <w:snapToGrid w:val="0"/>
        <w:spacing w:line="360" w:lineRule="auto"/>
        <w:ind w:firstLine="420" w:firstLineChars="200"/>
        <w:jc w:val="left"/>
        <w:outlineLvl w:val="1"/>
        <w:rPr>
          <w:rFonts w:hint="eastAsia" w:ascii="微软雅黑" w:hAnsi="微软雅黑" w:eastAsia="微软雅黑"/>
          <w:b/>
          <w:szCs w:val="21"/>
        </w:rPr>
      </w:pPr>
      <w:bookmarkStart w:id="122" w:name="_Toc493511622"/>
      <w:bookmarkStart w:id="123" w:name="_Toc50012853"/>
      <w:r>
        <w:rPr>
          <w:rFonts w:hint="eastAsia" w:ascii="微软雅黑" w:hAnsi="微软雅黑" w:eastAsia="微软雅黑"/>
          <w:b/>
          <w:szCs w:val="21"/>
        </w:rPr>
        <w:t>2、存在的风险</w:t>
      </w:r>
      <w:bookmarkEnd w:id="122"/>
      <w:bookmarkEnd w:id="123"/>
    </w:p>
    <w:p>
      <w:pPr>
        <w:snapToGrid w:val="0"/>
        <w:spacing w:line="360" w:lineRule="auto"/>
        <w:ind w:firstLine="420" w:firstLineChars="200"/>
        <w:jc w:val="left"/>
        <w:outlineLvl w:val="1"/>
        <w:rPr>
          <w:rFonts w:hint="eastAsia" w:ascii="微软雅黑" w:hAnsi="微软雅黑" w:eastAsia="微软雅黑"/>
          <w:szCs w:val="21"/>
        </w:rPr>
      </w:pPr>
      <w:bookmarkStart w:id="124" w:name="_Toc50012854"/>
      <w:bookmarkStart w:id="125" w:name="_Toc493511623"/>
      <w:r>
        <w:rPr>
          <w:rFonts w:hint="eastAsia" w:ascii="微软雅黑" w:hAnsi="微软雅黑" w:eastAsia="微软雅黑"/>
          <w:szCs w:val="21"/>
        </w:rPr>
        <w:t>投标人没有按照招标文件要求提供全部资料，或者投标人没有对招标文件在各方面作出实质性响应是投标人的风险，并可能导致其投标无效。</w:t>
      </w:r>
      <w:bookmarkEnd w:id="124"/>
      <w:bookmarkEnd w:id="125"/>
    </w:p>
    <w:p>
      <w:pPr>
        <w:snapToGrid w:val="0"/>
        <w:spacing w:line="360" w:lineRule="auto"/>
        <w:ind w:firstLine="420" w:firstLineChars="200"/>
        <w:jc w:val="left"/>
        <w:outlineLvl w:val="1"/>
        <w:rPr>
          <w:rFonts w:hint="eastAsia" w:ascii="微软雅黑" w:hAnsi="微软雅黑" w:eastAsia="微软雅黑"/>
          <w:b/>
          <w:szCs w:val="21"/>
        </w:rPr>
      </w:pPr>
      <w:bookmarkStart w:id="126" w:name="_Toc493511624"/>
      <w:bookmarkStart w:id="127" w:name="_Toc50012855"/>
      <w:r>
        <w:rPr>
          <w:rFonts w:hint="eastAsia" w:ascii="微软雅黑" w:hAnsi="微软雅黑" w:eastAsia="微软雅黑"/>
          <w:b/>
          <w:szCs w:val="21"/>
        </w:rPr>
        <w:t>3、招标文件的澄清与修改</w:t>
      </w:r>
      <w:bookmarkEnd w:id="126"/>
      <w:bookmarkEnd w:id="127"/>
      <w:r>
        <w:rPr>
          <w:rFonts w:hint="eastAsia" w:ascii="微软雅黑" w:hAnsi="微软雅黑" w:eastAsia="微软雅黑"/>
          <w:b/>
          <w:szCs w:val="21"/>
        </w:rPr>
        <w:t xml:space="preserve"> </w:t>
      </w:r>
    </w:p>
    <w:p>
      <w:pPr>
        <w:snapToGrid w:val="0"/>
        <w:spacing w:line="360" w:lineRule="auto"/>
        <w:ind w:firstLine="420" w:firstLineChars="200"/>
        <w:jc w:val="left"/>
        <w:outlineLvl w:val="1"/>
        <w:rPr>
          <w:rFonts w:hint="eastAsia" w:ascii="微软雅黑" w:hAnsi="微软雅黑" w:eastAsia="微软雅黑"/>
          <w:szCs w:val="21"/>
        </w:rPr>
      </w:pPr>
      <w:bookmarkStart w:id="128" w:name="_Toc50012856"/>
      <w:bookmarkStart w:id="129" w:name="_Toc493511625"/>
      <w:r>
        <w:rPr>
          <w:rFonts w:hint="eastAsia" w:ascii="微软雅黑" w:hAnsi="微软雅黑" w:eastAsia="微软雅黑"/>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128"/>
      <w:bookmarkEnd w:id="129"/>
    </w:p>
    <w:p>
      <w:pPr>
        <w:snapToGrid w:val="0"/>
        <w:spacing w:line="360" w:lineRule="auto"/>
        <w:ind w:firstLine="420" w:firstLineChars="200"/>
        <w:jc w:val="left"/>
        <w:outlineLvl w:val="1"/>
        <w:rPr>
          <w:rFonts w:hint="eastAsia" w:ascii="微软雅黑" w:hAnsi="微软雅黑" w:eastAsia="微软雅黑"/>
          <w:szCs w:val="21"/>
        </w:rPr>
      </w:pPr>
      <w:bookmarkStart w:id="130" w:name="_Toc493511626"/>
      <w:bookmarkStart w:id="131" w:name="_Toc50012857"/>
      <w:r>
        <w:rPr>
          <w:rFonts w:hint="eastAsia" w:ascii="微软雅黑" w:hAnsi="微软雅黑" w:eastAsia="微软雅黑"/>
          <w:szCs w:val="21"/>
        </w:rPr>
        <w:t>3.2、采购代理机构必须以书面形式答复所有购买招标文件的投标人（答复中不包含问题的来源）要求澄清的问题，同时认定其他澄清方式为无效。</w:t>
      </w:r>
      <w:bookmarkEnd w:id="130"/>
      <w:bookmarkEnd w:id="131"/>
    </w:p>
    <w:p>
      <w:pPr>
        <w:snapToGrid w:val="0"/>
        <w:spacing w:line="360" w:lineRule="auto"/>
        <w:ind w:firstLine="420" w:firstLineChars="200"/>
        <w:jc w:val="left"/>
        <w:outlineLvl w:val="1"/>
        <w:rPr>
          <w:rFonts w:hint="eastAsia" w:ascii="微软雅黑" w:hAnsi="微软雅黑" w:eastAsia="微软雅黑"/>
          <w:szCs w:val="21"/>
        </w:rPr>
      </w:pPr>
      <w:bookmarkStart w:id="132" w:name="_Toc493511627"/>
      <w:bookmarkStart w:id="133" w:name="_Toc50012858"/>
      <w:r>
        <w:rPr>
          <w:rFonts w:hint="eastAsia" w:ascii="微软雅黑" w:hAnsi="微软雅黑" w:eastAsia="微软雅黑"/>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32"/>
      <w:bookmarkEnd w:id="133"/>
    </w:p>
    <w:p>
      <w:pPr>
        <w:snapToGrid w:val="0"/>
        <w:spacing w:line="360" w:lineRule="auto"/>
        <w:ind w:firstLine="420" w:firstLineChars="200"/>
        <w:jc w:val="left"/>
        <w:outlineLvl w:val="1"/>
        <w:rPr>
          <w:rFonts w:hint="eastAsia" w:ascii="微软雅黑" w:hAnsi="微软雅黑" w:eastAsia="微软雅黑"/>
          <w:szCs w:val="21"/>
        </w:rPr>
      </w:pPr>
      <w:bookmarkStart w:id="134" w:name="_Toc50012859"/>
      <w:bookmarkStart w:id="135" w:name="_Toc493511628"/>
      <w:r>
        <w:rPr>
          <w:rFonts w:hint="eastAsia" w:ascii="微软雅黑" w:hAnsi="微软雅黑" w:eastAsia="微软雅黑"/>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34"/>
      <w:bookmarkEnd w:id="135"/>
    </w:p>
    <w:p>
      <w:pPr>
        <w:snapToGrid w:val="0"/>
        <w:spacing w:line="360" w:lineRule="auto"/>
        <w:ind w:firstLine="420" w:firstLineChars="200"/>
        <w:jc w:val="left"/>
        <w:outlineLvl w:val="1"/>
        <w:rPr>
          <w:rFonts w:hint="eastAsia" w:ascii="微软雅黑" w:hAnsi="微软雅黑" w:eastAsia="微软雅黑"/>
          <w:szCs w:val="21"/>
        </w:rPr>
      </w:pPr>
      <w:bookmarkStart w:id="136" w:name="_Toc50012860"/>
      <w:bookmarkStart w:id="137" w:name="_Toc493511629"/>
      <w:r>
        <w:rPr>
          <w:rFonts w:hint="eastAsia" w:ascii="微软雅黑" w:hAnsi="微软雅黑" w:eastAsia="微软雅黑"/>
          <w:szCs w:val="21"/>
        </w:rPr>
        <w:t>3.5、招标文件的澄清或者修改都应该通过本代理机构以法定形式发布，采购人非通过本机构，不得擅自澄清或者修改招标文件。</w:t>
      </w:r>
      <w:bookmarkEnd w:id="136"/>
      <w:bookmarkEnd w:id="137"/>
    </w:p>
    <w:p>
      <w:pPr>
        <w:snapToGrid w:val="0"/>
        <w:spacing w:line="360" w:lineRule="auto"/>
        <w:ind w:firstLine="420" w:firstLineChars="200"/>
        <w:jc w:val="left"/>
        <w:outlineLvl w:val="1"/>
        <w:rPr>
          <w:rFonts w:hint="eastAsia" w:ascii="微软雅黑" w:hAnsi="微软雅黑" w:eastAsia="微软雅黑"/>
          <w:b/>
          <w:szCs w:val="21"/>
        </w:rPr>
      </w:pPr>
      <w:bookmarkStart w:id="138" w:name="_Toc177870545"/>
      <w:bookmarkStart w:id="139" w:name="_Toc493511630"/>
      <w:bookmarkStart w:id="140" w:name="_Toc50012861"/>
      <w:r>
        <w:rPr>
          <w:rFonts w:hint="eastAsia" w:ascii="微软雅黑" w:hAnsi="微软雅黑" w:eastAsia="微软雅黑"/>
          <w:b/>
          <w:szCs w:val="21"/>
        </w:rPr>
        <w:t>三、 投标文件的编制</w:t>
      </w:r>
      <w:bookmarkEnd w:id="138"/>
      <w:bookmarkEnd w:id="139"/>
      <w:bookmarkEnd w:id="140"/>
    </w:p>
    <w:p>
      <w:pPr>
        <w:pStyle w:val="25"/>
        <w:snapToGrid w:val="0"/>
        <w:spacing w:line="360" w:lineRule="auto"/>
        <w:ind w:firstLine="420" w:firstLineChars="200"/>
        <w:jc w:val="left"/>
        <w:outlineLvl w:val="1"/>
        <w:rPr>
          <w:rFonts w:hint="eastAsia" w:ascii="微软雅黑" w:hAnsi="微软雅黑" w:eastAsia="微软雅黑" w:cs="宋体"/>
          <w:b/>
          <w:szCs w:val="21"/>
        </w:rPr>
      </w:pPr>
      <w:bookmarkStart w:id="141" w:name="_Toc33535356"/>
      <w:bookmarkStart w:id="142" w:name="_Toc50012862"/>
      <w:bookmarkStart w:id="143" w:name="_Toc493511643"/>
      <w:bookmarkStart w:id="144" w:name="_Toc177870547"/>
      <w:bookmarkStart w:id="145" w:name="_Toc177824877"/>
      <w:bookmarkStart w:id="146" w:name="_Toc177825125"/>
      <w:bookmarkStart w:id="147" w:name="_Toc177824944"/>
      <w:r>
        <w:rPr>
          <w:rFonts w:hint="eastAsia" w:ascii="微软雅黑" w:hAnsi="微软雅黑" w:eastAsia="微软雅黑" w:cs="宋体"/>
          <w:b/>
          <w:szCs w:val="21"/>
        </w:rPr>
        <w:t>本项目所涉投标文件格式请详见第六章，未给出的格式请自拟。资信商务及技术文件中不得出现报价，否则投标文件将被视为无效。</w:t>
      </w:r>
      <w:bookmarkEnd w:id="141"/>
      <w:bookmarkEnd w:id="142"/>
    </w:p>
    <w:p>
      <w:pPr>
        <w:pStyle w:val="25"/>
        <w:snapToGrid w:val="0"/>
        <w:spacing w:line="360" w:lineRule="auto"/>
        <w:ind w:firstLine="420" w:firstLineChars="200"/>
        <w:jc w:val="left"/>
        <w:outlineLvl w:val="1"/>
        <w:rPr>
          <w:rFonts w:hint="eastAsia" w:ascii="微软雅黑" w:hAnsi="微软雅黑" w:eastAsia="微软雅黑" w:cs="宋体"/>
          <w:b/>
          <w:szCs w:val="21"/>
        </w:rPr>
      </w:pPr>
      <w:bookmarkStart w:id="148" w:name="_Toc50012863"/>
      <w:bookmarkStart w:id="149" w:name="_Toc33535357"/>
      <w:r>
        <w:rPr>
          <w:rFonts w:hint="eastAsia" w:ascii="微软雅黑" w:hAnsi="微软雅黑" w:eastAsia="微软雅黑" w:cs="宋体"/>
          <w:b/>
          <w:szCs w:val="21"/>
        </w:rPr>
        <w:t>总体要求：</w:t>
      </w:r>
      <w:bookmarkEnd w:id="148"/>
      <w:bookmarkEnd w:id="149"/>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1、供应商</w:t>
      </w:r>
      <w:r>
        <w:rPr>
          <w:rFonts w:ascii="微软雅黑" w:hAnsi="微软雅黑" w:eastAsia="微软雅黑"/>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2、投标文件及供应商与采购有关的来往通知，函件和文件均应使用中文。</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3、供应商应按本文件中提供的文件格式、内容和要求制作投标文件。</w:t>
      </w:r>
    </w:p>
    <w:p>
      <w:pPr>
        <w:spacing w:line="360" w:lineRule="auto"/>
        <w:ind w:firstLine="420" w:firstLineChars="200"/>
        <w:jc w:val="left"/>
        <w:rPr>
          <w:rFonts w:hint="eastAsia" w:ascii="微软雅黑" w:hAnsi="微软雅黑" w:eastAsia="微软雅黑" w:cs="宋体"/>
          <w:bCs/>
          <w:szCs w:val="21"/>
        </w:rPr>
      </w:pPr>
      <w:r>
        <w:rPr>
          <w:rFonts w:hint="eastAsia" w:ascii="微软雅黑" w:hAnsi="微软雅黑" w:eastAsia="微软雅黑"/>
          <w:b/>
          <w:szCs w:val="21"/>
        </w:rPr>
        <w:t>4、投标文件的效力：投标文件的启用，按先后顺位分别为电子投标文件、电子</w:t>
      </w:r>
      <w:r>
        <w:rPr>
          <w:rFonts w:hint="eastAsia" w:ascii="微软雅黑" w:hAnsi="微软雅黑" w:eastAsia="微软雅黑" w:cs="宋体"/>
          <w:bCs/>
          <w:szCs w:val="21"/>
        </w:rPr>
        <w:t>备份投标文件</w:t>
      </w:r>
      <w:r>
        <w:rPr>
          <w:rFonts w:hint="eastAsia" w:ascii="微软雅黑" w:hAnsi="微软雅黑" w:eastAsia="微软雅黑"/>
          <w:b/>
          <w:szCs w:val="21"/>
        </w:rPr>
        <w:t>。</w:t>
      </w:r>
      <w:r>
        <w:rPr>
          <w:rFonts w:hint="eastAsia" w:ascii="微软雅黑" w:hAnsi="微软雅黑" w:eastAsia="微软雅黑" w:cs="宋体"/>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ind w:firstLine="420" w:firstLineChars="200"/>
        <w:jc w:val="left"/>
        <w:outlineLvl w:val="0"/>
        <w:rPr>
          <w:rFonts w:hint="eastAsia" w:ascii="微软雅黑" w:hAnsi="微软雅黑" w:eastAsia="微软雅黑"/>
          <w:b/>
          <w:szCs w:val="21"/>
        </w:rPr>
      </w:pPr>
      <w:bookmarkStart w:id="150" w:name="_Toc33535358"/>
      <w:bookmarkStart w:id="151" w:name="_Toc50012864"/>
      <w:bookmarkStart w:id="152" w:name="_Toc406402944"/>
      <w:bookmarkStart w:id="153" w:name="_Toc406402988"/>
      <w:r>
        <w:rPr>
          <w:rFonts w:hint="eastAsia" w:ascii="微软雅黑" w:hAnsi="微软雅黑" w:eastAsia="微软雅黑"/>
          <w:b/>
          <w:szCs w:val="21"/>
        </w:rPr>
        <w:t>（一）投标文件的组成</w:t>
      </w:r>
      <w:bookmarkEnd w:id="150"/>
      <w:bookmarkEnd w:id="151"/>
      <w:bookmarkEnd w:id="152"/>
      <w:bookmarkEnd w:id="153"/>
    </w:p>
    <w:p>
      <w:pPr>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包括电子投标文件和电子</w:t>
      </w:r>
      <w:r>
        <w:rPr>
          <w:rFonts w:hint="eastAsia" w:ascii="微软雅黑" w:hAnsi="微软雅黑" w:eastAsia="微软雅黑" w:cs="宋体"/>
          <w:bCs/>
          <w:szCs w:val="21"/>
        </w:rPr>
        <w:t>备份投标文件（选送）</w:t>
      </w:r>
      <w:r>
        <w:rPr>
          <w:rFonts w:hint="eastAsia" w:ascii="微软雅黑" w:hAnsi="微软雅黑" w:eastAsia="微软雅黑"/>
          <w:b/>
          <w:szCs w:val="21"/>
        </w:rPr>
        <w:t>，均由资格响应文件、商务技术文件及投标报价文件三部份组成。其中电子投标文件中所须加盖公章部分均采用CA签章。</w:t>
      </w:r>
    </w:p>
    <w:p>
      <w:pPr>
        <w:numPr>
          <w:ilvl w:val="0"/>
          <w:numId w:val="3"/>
        </w:numPr>
        <w:snapToGrid w:val="0"/>
        <w:spacing w:line="360" w:lineRule="auto"/>
        <w:ind w:left="0" w:firstLine="420" w:firstLineChars="200"/>
        <w:jc w:val="left"/>
        <w:rPr>
          <w:rFonts w:hint="eastAsia" w:ascii="微软雅黑" w:hAnsi="微软雅黑" w:eastAsia="微软雅黑"/>
          <w:szCs w:val="21"/>
        </w:rPr>
      </w:pPr>
      <w:r>
        <w:rPr>
          <w:rFonts w:hint="eastAsia" w:ascii="微软雅黑" w:hAnsi="微软雅黑" w:eastAsia="微软雅黑"/>
          <w:b/>
          <w:szCs w:val="21"/>
        </w:rPr>
        <w:t>资格响应文件：</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1、具有独立承担民事责任的能力（供应商营业执照副本复印件）；</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2、具有良好的商业信誉和健全的财务会计制度【供应商最近三个月中任意一个月的财务报表（截止本项目投标截止日前2个月内新注册的单位为则不需提供）】；</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1.3、具有履行合同所必需的设备和专业技术能力的承诺函（格式见附件））；</w:t>
      </w:r>
    </w:p>
    <w:p>
      <w:pPr>
        <w:snapToGrid w:val="0"/>
        <w:spacing w:line="360" w:lineRule="auto"/>
        <w:ind w:firstLine="420" w:firstLineChars="200"/>
        <w:jc w:val="left"/>
        <w:rPr>
          <w:rFonts w:ascii="微软雅黑" w:hAnsi="微软雅黑" w:eastAsia="微软雅黑" w:cs="Arial"/>
          <w:szCs w:val="21"/>
        </w:rPr>
      </w:pPr>
      <w:r>
        <w:rPr>
          <w:rFonts w:hint="eastAsia" w:ascii="微软雅黑" w:hAnsi="微软雅黑" w:eastAsia="微软雅黑"/>
          <w:szCs w:val="21"/>
        </w:rPr>
        <w:t>1.4、有依法缴纳税收和社会保障资金的良好记录【（供应商最近三个月中任意一个月的</w:t>
      </w:r>
      <w:r>
        <w:rPr>
          <w:rFonts w:hint="eastAsia" w:ascii="微软雅黑" w:hAnsi="微软雅黑" w:eastAsia="微软雅黑"/>
          <w:szCs w:val="21"/>
          <w:shd w:val="clear" w:color="auto" w:fill="FFFFFF"/>
        </w:rPr>
        <w:t>完税证明或纳税证明或银行缴税付款凭证等</w:t>
      </w:r>
      <w:r>
        <w:rPr>
          <w:rFonts w:hint="eastAsia" w:ascii="微软雅黑" w:hAnsi="微软雅黑" w:eastAsia="微软雅黑"/>
          <w:szCs w:val="21"/>
        </w:rPr>
        <w:t>）（截止本项目投标截止日前2个月内新注册的单位为则不需提供）】</w:t>
      </w:r>
      <w:r>
        <w:rPr>
          <w:rFonts w:hint="eastAsia" w:ascii="微软雅黑" w:hAnsi="微软雅黑" w:eastAsia="微软雅黑" w:cs="Arial"/>
          <w:szCs w:val="21"/>
        </w:rPr>
        <w:t>；</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5、参加政府采购活动前三年，在经营活动中没有重大违法记录（承诺函（格式见附件））；</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1.6提供自招标公告发布之日起至投标截止日内任意时间的“信用中国”网站（www.creditchina.gov.cn）</w:t>
      </w:r>
      <w:r>
        <w:rPr>
          <w:rFonts w:hint="eastAsia" w:ascii="微软雅黑" w:hAnsi="微软雅黑" w:eastAsia="微软雅黑"/>
          <w:szCs w:val="21"/>
          <w:shd w:val="pct10" w:color="auto" w:fill="FFFFFF"/>
        </w:rPr>
        <w:t>（未被信用中国网站</w:t>
      </w:r>
      <w:r>
        <w:rPr>
          <w:rFonts w:ascii="微软雅黑" w:hAnsi="微软雅黑" w:eastAsia="微软雅黑"/>
          <w:szCs w:val="21"/>
          <w:shd w:val="pct10" w:color="auto" w:fill="FFFFFF"/>
        </w:rPr>
        <w:fldChar w:fldCharType="begin"/>
      </w:r>
      <w:r>
        <w:rPr>
          <w:rFonts w:ascii="微软雅黑" w:hAnsi="微软雅黑" w:eastAsia="微软雅黑"/>
          <w:szCs w:val="21"/>
          <w:shd w:val="pct10" w:color="auto" w:fill="FFFFFF"/>
        </w:rPr>
        <w:instrText xml:space="preserve"> HYPERLINK "http://www.creditchina.gov.cn)%E5%88%97%E5%85%A5%E5%A4%B1%E4%BF%A1%E8%A2%AB%E6%89%A7%E8%A1%8C%E4%BA%BA%E3%80%81%E9%87%8D%E5%A4%A7%E7%A8%8E%E6%94%B6%E8%BF%9D%E6%B3%95%E6%A1%88%E4%BB%B6%E5%BD%93%E4%BA%8B%E4%BA%BA%E5%90%8D%E5%8D%95/" \t "_blank" </w:instrText>
      </w:r>
      <w:r>
        <w:rPr>
          <w:rFonts w:ascii="微软雅黑" w:hAnsi="微软雅黑" w:eastAsia="微软雅黑"/>
          <w:szCs w:val="21"/>
          <w:shd w:val="pct10" w:color="auto" w:fill="FFFFFF"/>
        </w:rPr>
        <w:fldChar w:fldCharType="separate"/>
      </w:r>
      <w:r>
        <w:rPr>
          <w:rStyle w:val="54"/>
          <w:rFonts w:hint="eastAsia" w:ascii="微软雅黑" w:hAnsi="微软雅黑" w:eastAsia="微软雅黑"/>
          <w:color w:val="auto"/>
          <w:szCs w:val="21"/>
          <w:shd w:val="pct10" w:color="auto" w:fill="FFFFFF"/>
        </w:rPr>
        <w:t>列入失信被执行人、重大税收违法案件当事人名单</w:t>
      </w:r>
      <w:r>
        <w:rPr>
          <w:rFonts w:ascii="微软雅黑" w:hAnsi="微软雅黑" w:eastAsia="微软雅黑"/>
          <w:szCs w:val="21"/>
          <w:shd w:val="pct10" w:color="auto" w:fill="FFFFFF"/>
        </w:rPr>
        <w:fldChar w:fldCharType="end"/>
      </w:r>
      <w:r>
        <w:rPr>
          <w:rFonts w:ascii="微软雅黑" w:hAnsi="微软雅黑" w:eastAsia="微软雅黑"/>
          <w:szCs w:val="21"/>
          <w:shd w:val="pct10" w:color="auto" w:fill="FFFFFF"/>
        </w:rPr>
        <w:t>的</w:t>
      </w:r>
      <w:r>
        <w:rPr>
          <w:rFonts w:hint="eastAsia" w:ascii="微软雅黑" w:hAnsi="微软雅黑" w:eastAsia="微软雅黑"/>
          <w:szCs w:val="21"/>
          <w:shd w:val="pct10" w:color="auto" w:fill="FFFFFF"/>
        </w:rPr>
        <w:t>查询网页截图</w:t>
      </w:r>
      <w:r>
        <w:rPr>
          <w:rFonts w:ascii="微软雅黑" w:hAnsi="微软雅黑" w:eastAsia="微软雅黑"/>
          <w:szCs w:val="21"/>
          <w:shd w:val="pct10" w:color="auto" w:fill="FFFFFF"/>
        </w:rPr>
        <w:t>）</w:t>
      </w:r>
      <w:r>
        <w:rPr>
          <w:rFonts w:hint="eastAsia" w:ascii="微软雅黑" w:hAnsi="微软雅黑" w:eastAsia="微软雅黑"/>
          <w:szCs w:val="21"/>
        </w:rPr>
        <w:t>、中国政府采购网（www.ccgp.gov.cn）</w:t>
      </w:r>
      <w:r>
        <w:rPr>
          <w:rFonts w:hint="eastAsia" w:ascii="微软雅黑" w:hAnsi="微软雅黑" w:eastAsia="微软雅黑"/>
          <w:szCs w:val="21"/>
          <w:shd w:val="pct10" w:color="auto" w:fill="FFFFFF"/>
        </w:rPr>
        <w:t>（未被中国政府采购网</w:t>
      </w:r>
      <w:r>
        <w:rPr>
          <w:rFonts w:ascii="微软雅黑" w:hAnsi="微软雅黑" w:eastAsia="微软雅黑"/>
          <w:szCs w:val="21"/>
          <w:shd w:val="pct10" w:color="auto" w:fill="FFFFFF"/>
        </w:rPr>
        <w:fldChar w:fldCharType="begin"/>
      </w:r>
      <w:r>
        <w:rPr>
          <w:rFonts w:ascii="微软雅黑" w:hAnsi="微软雅黑" w:eastAsia="微软雅黑"/>
          <w:szCs w:val="21"/>
          <w:shd w:val="pct10" w:color="auto" w:fill="FFFFFF"/>
        </w:rPr>
        <w:instrText xml:space="preserve"> HYPERLINK "http://www.ccgp.gov.cn)%E5%88%97%E5%85%A5%E6%94%BF%E5%BA%9C%E9%87%87%E8%B4%AD%E4%B8%A5%E9%87%8D%E8%BF%9D%E6%B3%95%E5%A4%B1%E4%BF%A1%E8%A1%8C%E4%B8%BA%E8%AE%B0%E5%BD%95%E5%90%8D%E5%8D%95/" \t "_blank" </w:instrText>
      </w:r>
      <w:r>
        <w:rPr>
          <w:rFonts w:ascii="微软雅黑" w:hAnsi="微软雅黑" w:eastAsia="微软雅黑"/>
          <w:szCs w:val="21"/>
          <w:shd w:val="pct10" w:color="auto" w:fill="FFFFFF"/>
        </w:rPr>
        <w:fldChar w:fldCharType="separate"/>
      </w:r>
      <w:r>
        <w:rPr>
          <w:rStyle w:val="54"/>
          <w:rFonts w:hint="eastAsia" w:ascii="微软雅黑" w:hAnsi="微软雅黑" w:eastAsia="微软雅黑"/>
          <w:color w:val="auto"/>
          <w:szCs w:val="21"/>
          <w:shd w:val="pct10" w:color="auto" w:fill="FFFFFF"/>
        </w:rPr>
        <w:t>列入政府采购严重违法失信行为记录名单</w:t>
      </w:r>
      <w:r>
        <w:rPr>
          <w:rFonts w:ascii="微软雅黑" w:hAnsi="微软雅黑" w:eastAsia="微软雅黑"/>
          <w:szCs w:val="21"/>
          <w:shd w:val="pct10" w:color="auto" w:fill="FFFFFF"/>
        </w:rPr>
        <w:fldChar w:fldCharType="end"/>
      </w:r>
      <w:r>
        <w:rPr>
          <w:rFonts w:ascii="微软雅黑" w:hAnsi="微软雅黑" w:eastAsia="微软雅黑"/>
          <w:szCs w:val="21"/>
          <w:shd w:val="pct10" w:color="auto" w:fill="FFFFFF"/>
        </w:rPr>
        <w:t>的</w:t>
      </w:r>
      <w:r>
        <w:rPr>
          <w:rFonts w:hint="eastAsia" w:ascii="微软雅黑" w:hAnsi="微软雅黑" w:eastAsia="微软雅黑"/>
          <w:szCs w:val="21"/>
          <w:shd w:val="pct10" w:color="auto" w:fill="FFFFFF"/>
        </w:rPr>
        <w:t>查询网页截图）</w:t>
      </w:r>
      <w:r>
        <w:rPr>
          <w:rFonts w:hint="eastAsia" w:ascii="微软雅黑" w:hAnsi="微软雅黑" w:eastAsia="微软雅黑"/>
          <w:szCs w:val="21"/>
        </w:rPr>
        <w:t>（以开标当日采购单位或由采购单位委托的评标委员会核实的查询结果为准）。</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7、</w:t>
      </w:r>
      <w:r>
        <w:rPr>
          <w:rFonts w:ascii="微软雅黑" w:hAnsi="微软雅黑" w:eastAsia="微软雅黑"/>
          <w:szCs w:val="21"/>
        </w:rPr>
        <w:t>法定代表人授权委托书</w:t>
      </w:r>
      <w:r>
        <w:rPr>
          <w:rFonts w:hint="eastAsia" w:ascii="微软雅黑" w:hAnsi="微软雅黑" w:eastAsia="微软雅黑"/>
          <w:szCs w:val="21"/>
        </w:rPr>
        <w:t>；</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b/>
          <w:szCs w:val="21"/>
        </w:rPr>
        <w:t>2、商务技术文件</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2.1、投标声明书；</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szCs w:val="21"/>
        </w:rPr>
        <w:t>2、类似案例成功的业绩（合同复印件）；</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szCs w:val="21"/>
        </w:rPr>
        <w:t>3、与本项目实施相关的供应商各类资质证书、认证证书、许可证等（如信誉荣誉、本地化服务等。提供复印件）；</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2.4、供应商情况介绍；</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2.5、商务响应表；</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2.6、投标产品详细清单（不含报价）及技术响应表，详细列明所投项目主要设备清单，完整配置方案及技术指标；任何含糊不清的表述对评标结果的影响将是供应商的责任。</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2.7、</w:t>
      </w:r>
      <w:r>
        <w:rPr>
          <w:rFonts w:ascii="微软雅黑" w:hAnsi="微软雅黑" w:eastAsia="微软雅黑"/>
          <w:szCs w:val="21"/>
        </w:rPr>
        <w:t>对本项目系统总体要求的理解</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2.8、</w:t>
      </w:r>
      <w:r>
        <w:rPr>
          <w:rFonts w:ascii="微软雅黑" w:hAnsi="微软雅黑" w:eastAsia="微软雅黑"/>
          <w:szCs w:val="21"/>
        </w:rPr>
        <w:t>供应商建议的安装、调试、验收方法或方案</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2.9、</w:t>
      </w:r>
      <w:r>
        <w:rPr>
          <w:rFonts w:ascii="微软雅黑" w:hAnsi="微软雅黑" w:eastAsia="微软雅黑"/>
          <w:szCs w:val="21"/>
        </w:rPr>
        <w:t>技术服务、技术培训、售后服务的内容和措施</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2.10、项目实施人员一览表；</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2.11、投入本项目的设备一览表；</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2.12、</w:t>
      </w:r>
      <w:r>
        <w:rPr>
          <w:rFonts w:ascii="微软雅黑" w:hAnsi="微软雅黑" w:eastAsia="微软雅黑"/>
          <w:szCs w:val="21"/>
        </w:rPr>
        <w:t>优惠条件：供应商承诺给予采购人的各种优惠条件，包括售后服务、备品备件、专用耗材等方面的优惠</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2.13、供应商截止投标时间前三年内的奖惩情况说明，格式自拟.</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2.14、</w:t>
      </w:r>
      <w:r>
        <w:rPr>
          <w:rFonts w:ascii="微软雅黑" w:hAnsi="微软雅黑" w:eastAsia="微软雅黑"/>
          <w:szCs w:val="21"/>
        </w:rPr>
        <w:t>技术</w:t>
      </w:r>
      <w:r>
        <w:rPr>
          <w:rFonts w:hint="eastAsia" w:ascii="微软雅黑" w:hAnsi="微软雅黑" w:eastAsia="微软雅黑"/>
          <w:szCs w:val="21"/>
        </w:rPr>
        <w:t>规范偏离</w:t>
      </w:r>
      <w:r>
        <w:rPr>
          <w:rFonts w:ascii="微软雅黑" w:hAnsi="微软雅黑" w:eastAsia="微软雅黑"/>
          <w:szCs w:val="21"/>
        </w:rPr>
        <w:t>表</w:t>
      </w:r>
      <w:r>
        <w:rPr>
          <w:rFonts w:hint="eastAsia" w:ascii="微软雅黑" w:hAnsi="微软雅黑" w:eastAsia="微软雅黑"/>
          <w:szCs w:val="21"/>
        </w:rPr>
        <w:t>（格式见附件）</w:t>
      </w:r>
      <w:r>
        <w:rPr>
          <w:rFonts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2.15、投标单位对本项目的合理化建议和改进措施；</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2.16、</w:t>
      </w:r>
      <w:r>
        <w:rPr>
          <w:rFonts w:ascii="微软雅黑" w:hAnsi="微软雅黑" w:eastAsia="微软雅黑"/>
          <w:szCs w:val="21"/>
        </w:rPr>
        <w:t>投标人需要说明的其他文件和说明（格式</w:t>
      </w:r>
      <w:r>
        <w:rPr>
          <w:rFonts w:hint="eastAsia" w:ascii="微软雅黑" w:hAnsi="微软雅黑" w:eastAsia="微软雅黑"/>
          <w:szCs w:val="21"/>
        </w:rPr>
        <w:t>自拟</w:t>
      </w:r>
      <w:r>
        <w:rPr>
          <w:rFonts w:ascii="微软雅黑" w:hAnsi="微软雅黑" w:eastAsia="微软雅黑"/>
          <w:szCs w:val="21"/>
        </w:rPr>
        <w:t>）</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b/>
          <w:bCs/>
          <w:szCs w:val="21"/>
          <w:shd w:val="pct10" w:color="auto" w:fill="FFFFFF"/>
        </w:rPr>
      </w:pPr>
      <w:r>
        <w:rPr>
          <w:rFonts w:hint="eastAsia" w:ascii="微软雅黑" w:hAnsi="微软雅黑" w:eastAsia="微软雅黑"/>
          <w:szCs w:val="21"/>
        </w:rPr>
        <w:t>2.17、</w:t>
      </w:r>
      <w:r>
        <w:rPr>
          <w:rFonts w:hint="eastAsia" w:ascii="微软雅黑" w:hAnsi="微软雅黑" w:eastAsia="微软雅黑"/>
          <w:b/>
          <w:bCs/>
          <w:szCs w:val="21"/>
          <w:shd w:val="pct10" w:color="auto" w:fill="FFFFFF"/>
        </w:rPr>
        <w:t>未尽事宜请各供应商按评分细则制作。</w:t>
      </w:r>
    </w:p>
    <w:p>
      <w:pPr>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3、投标报价文件：</w:t>
      </w:r>
    </w:p>
    <w:p>
      <w:pPr>
        <w:tabs>
          <w:tab w:val="left" w:pos="3870"/>
          <w:tab w:val="left" w:pos="4085"/>
        </w:tabs>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3.1、投标函； </w:t>
      </w:r>
    </w:p>
    <w:p>
      <w:pPr>
        <w:pStyle w:val="27"/>
        <w:snapToGrid w:val="0"/>
        <w:spacing w:line="360" w:lineRule="auto"/>
        <w:ind w:leftChars="0" w:firstLine="420" w:firstLineChars="200"/>
        <w:jc w:val="left"/>
        <w:rPr>
          <w:rFonts w:hint="eastAsia" w:ascii="微软雅黑" w:hAnsi="微软雅黑" w:eastAsia="微软雅黑"/>
          <w:sz w:val="21"/>
          <w:szCs w:val="21"/>
          <w:lang w:eastAsia="zh-CN"/>
        </w:rPr>
      </w:pPr>
      <w:r>
        <w:rPr>
          <w:rFonts w:hint="eastAsia" w:ascii="微软雅黑" w:hAnsi="微软雅黑" w:eastAsia="微软雅黑"/>
          <w:sz w:val="21"/>
          <w:szCs w:val="21"/>
        </w:rPr>
        <w:t>3.2</w:t>
      </w:r>
      <w:r>
        <w:rPr>
          <w:rFonts w:hint="eastAsia" w:ascii="微软雅黑" w:hAnsi="微软雅黑" w:eastAsia="微软雅黑"/>
          <w:sz w:val="21"/>
          <w:szCs w:val="21"/>
          <w:lang w:eastAsia="zh-CN"/>
        </w:rPr>
        <w:t>、</w:t>
      </w:r>
      <w:r>
        <w:rPr>
          <w:rFonts w:hint="eastAsia" w:ascii="微软雅黑" w:hAnsi="微软雅黑" w:eastAsia="微软雅黑"/>
          <w:sz w:val="21"/>
          <w:szCs w:val="21"/>
        </w:rPr>
        <w:t>开标一览表；</w:t>
      </w:r>
    </w:p>
    <w:p>
      <w:pPr>
        <w:pStyle w:val="27"/>
        <w:snapToGrid w:val="0"/>
        <w:spacing w:line="360" w:lineRule="auto"/>
        <w:ind w:leftChars="0" w:firstLine="420" w:firstLineChars="200"/>
        <w:jc w:val="left"/>
        <w:rPr>
          <w:rFonts w:hint="eastAsia" w:ascii="微软雅黑" w:hAnsi="微软雅黑" w:eastAsia="微软雅黑"/>
          <w:sz w:val="21"/>
          <w:szCs w:val="21"/>
        </w:rPr>
      </w:pPr>
      <w:r>
        <w:rPr>
          <w:rFonts w:hint="eastAsia" w:ascii="微软雅黑" w:hAnsi="微软雅黑" w:eastAsia="微软雅黑"/>
          <w:sz w:val="21"/>
          <w:szCs w:val="21"/>
          <w:lang w:eastAsia="zh-CN"/>
        </w:rPr>
        <w:t>3.3、报价明细表（格式自拟）</w:t>
      </w:r>
      <w:r>
        <w:rPr>
          <w:rFonts w:hint="eastAsia" w:ascii="微软雅黑" w:hAnsi="微软雅黑" w:eastAsia="微软雅黑"/>
          <w:sz w:val="21"/>
          <w:szCs w:val="21"/>
        </w:rPr>
        <w:t xml:space="preserve"> </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3.4、中小企业声明函、残疾人福利性单位声明函及其他符合政策性条件的承诺函或证明材料。</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3.5、供应商针对报价需要说明的其他文件和说明。</w:t>
      </w:r>
    </w:p>
    <w:bookmarkEnd w:id="143"/>
    <w:p>
      <w:pPr>
        <w:snapToGrid w:val="0"/>
        <w:spacing w:line="360" w:lineRule="auto"/>
        <w:ind w:firstLine="420" w:firstLineChars="200"/>
        <w:jc w:val="left"/>
        <w:outlineLvl w:val="1"/>
        <w:rPr>
          <w:rFonts w:hint="eastAsia" w:ascii="微软雅黑" w:hAnsi="微软雅黑" w:eastAsia="微软雅黑"/>
          <w:szCs w:val="21"/>
        </w:rPr>
      </w:pPr>
      <w:bookmarkStart w:id="154" w:name="_Toc50012865"/>
      <w:bookmarkStart w:id="155" w:name="_Toc493511656"/>
      <w:r>
        <w:rPr>
          <w:rFonts w:hint="eastAsia" w:ascii="微软雅黑" w:hAnsi="微软雅黑" w:eastAsia="微软雅黑"/>
          <w:szCs w:val="21"/>
        </w:rPr>
        <w:t>▲</w:t>
      </w:r>
      <w:r>
        <w:rPr>
          <w:rFonts w:ascii="微软雅黑" w:hAnsi="微软雅黑" w:eastAsia="微软雅黑"/>
          <w:szCs w:val="21"/>
        </w:rPr>
        <w:t>注：法定代表人授权委托书、投标声明书、投标函、开标一览表必须由法定代表人</w:t>
      </w:r>
      <w:r>
        <w:rPr>
          <w:rFonts w:hint="eastAsia" w:ascii="微软雅黑" w:hAnsi="微软雅黑" w:eastAsia="微软雅黑"/>
          <w:szCs w:val="21"/>
        </w:rPr>
        <w:t>或负责人或授权代表</w:t>
      </w:r>
      <w:r>
        <w:rPr>
          <w:rFonts w:ascii="微软雅黑" w:hAnsi="微软雅黑" w:eastAsia="微软雅黑"/>
          <w:szCs w:val="21"/>
        </w:rPr>
        <w:t>签名并加盖单位公章。</w:t>
      </w:r>
      <w:bookmarkEnd w:id="154"/>
      <w:bookmarkEnd w:id="155"/>
    </w:p>
    <w:bookmarkEnd w:id="144"/>
    <w:bookmarkEnd w:id="145"/>
    <w:bookmarkEnd w:id="146"/>
    <w:bookmarkEnd w:id="147"/>
    <w:p>
      <w:pPr>
        <w:snapToGrid w:val="0"/>
        <w:spacing w:line="360" w:lineRule="auto"/>
        <w:ind w:firstLine="420" w:firstLineChars="200"/>
        <w:jc w:val="left"/>
        <w:outlineLvl w:val="0"/>
        <w:rPr>
          <w:rFonts w:ascii="微软雅黑" w:hAnsi="微软雅黑" w:eastAsia="微软雅黑"/>
          <w:b/>
          <w:szCs w:val="21"/>
        </w:rPr>
      </w:pPr>
      <w:bookmarkStart w:id="156" w:name="_Toc406402946"/>
      <w:bookmarkStart w:id="157" w:name="_Toc50012866"/>
      <w:bookmarkStart w:id="158" w:name="_Toc33535360"/>
      <w:bookmarkStart w:id="159" w:name="_Toc402963117"/>
      <w:bookmarkStart w:id="160" w:name="_Toc402963084"/>
      <w:bookmarkStart w:id="161" w:name="_Toc406402990"/>
      <w:bookmarkStart w:id="162" w:name="_Toc385854146"/>
      <w:bookmarkStart w:id="163" w:name="_Toc385854100"/>
      <w:bookmarkStart w:id="164" w:name="_Toc493511751"/>
      <w:r>
        <w:rPr>
          <w:rFonts w:hint="eastAsia" w:ascii="微软雅黑" w:hAnsi="微软雅黑" w:eastAsia="微软雅黑"/>
          <w:b/>
          <w:szCs w:val="21"/>
        </w:rPr>
        <w:t>（二）投标文件的语言及计量</w:t>
      </w:r>
      <w:bookmarkEnd w:id="156"/>
      <w:bookmarkEnd w:id="157"/>
      <w:bookmarkEnd w:id="158"/>
      <w:bookmarkEnd w:id="159"/>
      <w:bookmarkEnd w:id="160"/>
      <w:bookmarkEnd w:id="161"/>
      <w:bookmarkEnd w:id="162"/>
      <w:bookmarkEnd w:id="163"/>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20" w:firstLineChars="200"/>
        <w:jc w:val="left"/>
        <w:outlineLvl w:val="0"/>
        <w:rPr>
          <w:rFonts w:ascii="微软雅黑" w:hAnsi="微软雅黑" w:eastAsia="微软雅黑"/>
          <w:b/>
          <w:szCs w:val="21"/>
        </w:rPr>
      </w:pPr>
      <w:bookmarkStart w:id="165" w:name="_Toc33535361"/>
      <w:bookmarkStart w:id="166" w:name="_Toc385854147"/>
      <w:bookmarkStart w:id="167" w:name="_Toc50012867"/>
      <w:bookmarkStart w:id="168" w:name="_Toc385854101"/>
      <w:bookmarkStart w:id="169" w:name="_Toc402963118"/>
      <w:bookmarkStart w:id="170" w:name="_Toc406402947"/>
      <w:bookmarkStart w:id="171" w:name="_Toc402963085"/>
      <w:bookmarkStart w:id="172" w:name="_Toc406402991"/>
      <w:r>
        <w:rPr>
          <w:rFonts w:hint="eastAsia" w:ascii="微软雅黑" w:hAnsi="微软雅黑" w:eastAsia="微软雅黑"/>
          <w:b/>
          <w:szCs w:val="21"/>
        </w:rPr>
        <w:t>（三）投标报价</w:t>
      </w:r>
      <w:bookmarkEnd w:id="165"/>
      <w:bookmarkEnd w:id="166"/>
      <w:bookmarkEnd w:id="167"/>
      <w:bookmarkEnd w:id="168"/>
      <w:bookmarkEnd w:id="169"/>
      <w:bookmarkEnd w:id="170"/>
      <w:bookmarkEnd w:id="171"/>
      <w:bookmarkEnd w:id="172"/>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投标报价应按招标文件中相关附表格式填写。</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项目为交钥</w:t>
      </w:r>
      <w:r>
        <w:rPr>
          <w:rFonts w:hint="eastAsia" w:ascii="微软雅黑" w:hAnsi="微软雅黑" w:eastAsia="微软雅黑"/>
          <w:szCs w:val="21"/>
        </w:rPr>
        <w:t>匙项目，报价必须包括</w:t>
      </w:r>
      <w:r>
        <w:rPr>
          <w:rFonts w:hint="eastAsia" w:ascii="微软雅黑" w:hAnsi="微软雅黑" w:eastAsia="微软雅黑"/>
          <w:szCs w:val="21"/>
          <w:lang w:eastAsia="zh-CN"/>
        </w:rPr>
        <w:t>设备</w:t>
      </w:r>
      <w:r>
        <w:rPr>
          <w:rFonts w:hint="eastAsia" w:ascii="微软雅黑" w:hAnsi="微软雅黑" w:eastAsia="微软雅黑"/>
          <w:szCs w:val="21"/>
        </w:rPr>
        <w:t>租赁、</w:t>
      </w:r>
      <w:r>
        <w:rPr>
          <w:rFonts w:hint="eastAsia" w:ascii="微软雅黑" w:hAnsi="微软雅黑" w:eastAsia="微软雅黑"/>
          <w:szCs w:val="21"/>
          <w:lang w:eastAsia="zh-CN"/>
        </w:rPr>
        <w:t>平台服务等</w:t>
      </w:r>
      <w:r>
        <w:rPr>
          <w:rFonts w:hint="eastAsia" w:ascii="微软雅黑" w:hAnsi="微软雅黑" w:eastAsia="微软雅黑"/>
          <w:szCs w:val="21"/>
        </w:rPr>
        <w:t>，所有关于本项目产生的运输、装卸、安装、维修、产品保护、维护费、税费、利润等完成合同所需的一切本身和不可或缺的、政策性文件规定及合同包含的所有风险、责任等各项全部费用并承担一切风险责任。</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投标文件只允许有一个报价，有选择的</w:t>
      </w:r>
      <w:r>
        <w:rPr>
          <w:rFonts w:hint="eastAsia" w:ascii="微软雅黑" w:hAnsi="微软雅黑" w:eastAsia="微软雅黑"/>
          <w:szCs w:val="21"/>
        </w:rPr>
        <w:t>或有条件的</w:t>
      </w:r>
      <w:r>
        <w:rPr>
          <w:rFonts w:ascii="微软雅黑" w:hAnsi="微软雅黑" w:eastAsia="微软雅黑"/>
          <w:szCs w:val="21"/>
        </w:rPr>
        <w:t>报价将不予接受。</w:t>
      </w:r>
    </w:p>
    <w:p>
      <w:pPr>
        <w:pStyle w:val="15"/>
        <w:widowControl w:val="0"/>
        <w:numPr>
          <w:ilvl w:val="0"/>
          <w:numId w:val="0"/>
        </w:numPr>
        <w:tabs>
          <w:tab w:val="clear" w:pos="454"/>
        </w:tabs>
        <w:snapToGrid w:val="0"/>
        <w:spacing w:after="0" w:afterLines="0" w:line="360" w:lineRule="auto"/>
        <w:ind w:firstLine="420" w:firstLineChars="200"/>
        <w:rPr>
          <w:rFonts w:ascii="微软雅黑" w:hAnsi="微软雅黑" w:eastAsia="微软雅黑"/>
          <w:b/>
          <w:sz w:val="21"/>
          <w:szCs w:val="21"/>
        </w:rPr>
      </w:pPr>
      <w:r>
        <w:rPr>
          <w:rFonts w:hint="eastAsia" w:ascii="微软雅黑" w:hAnsi="微软雅黑" w:eastAsia="微软雅黑"/>
          <w:b/>
          <w:sz w:val="21"/>
          <w:szCs w:val="21"/>
        </w:rPr>
        <w:t>（四）投标文件的有效期</w:t>
      </w:r>
    </w:p>
    <w:p>
      <w:pPr>
        <w:pStyle w:val="15"/>
        <w:widowControl w:val="0"/>
        <w:numPr>
          <w:ilvl w:val="0"/>
          <w:numId w:val="0"/>
        </w:numPr>
        <w:tabs>
          <w:tab w:val="left" w:pos="4500"/>
          <w:tab w:val="clear" w:pos="454"/>
        </w:tabs>
        <w:snapToGrid w:val="0"/>
        <w:spacing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自投标截止日起</w:t>
      </w:r>
      <w:r>
        <w:rPr>
          <w:rFonts w:hint="eastAsia" w:ascii="微软雅黑" w:hAnsi="微软雅黑" w:eastAsia="微软雅黑"/>
          <w:sz w:val="21"/>
          <w:szCs w:val="21"/>
          <w:u w:val="single"/>
        </w:rPr>
        <w:t>60</w:t>
      </w:r>
      <w:r>
        <w:rPr>
          <w:rFonts w:ascii="微软雅黑" w:hAnsi="微软雅黑" w:eastAsia="微软雅黑"/>
          <w:sz w:val="21"/>
          <w:szCs w:val="21"/>
        </w:rPr>
        <w:t>天投标</w:t>
      </w:r>
      <w:r>
        <w:rPr>
          <w:rFonts w:hint="eastAsia" w:ascii="微软雅黑" w:hAnsi="微软雅黑" w:eastAsia="微软雅黑"/>
          <w:sz w:val="21"/>
          <w:szCs w:val="21"/>
        </w:rPr>
        <w:t>文件</w:t>
      </w:r>
      <w:r>
        <w:rPr>
          <w:rFonts w:ascii="微软雅黑" w:hAnsi="微软雅黑" w:eastAsia="微软雅黑"/>
          <w:sz w:val="21"/>
          <w:szCs w:val="21"/>
        </w:rPr>
        <w:t>应保持有效。有效期</w:t>
      </w:r>
      <w:r>
        <w:rPr>
          <w:rFonts w:hint="eastAsia" w:ascii="微软雅黑" w:hAnsi="微软雅黑" w:eastAsia="微软雅黑"/>
          <w:sz w:val="21"/>
          <w:szCs w:val="21"/>
        </w:rPr>
        <w:t>不足</w:t>
      </w:r>
      <w:r>
        <w:rPr>
          <w:rFonts w:ascii="微软雅黑" w:hAnsi="微软雅黑" w:eastAsia="微软雅黑"/>
          <w:sz w:val="21"/>
          <w:szCs w:val="21"/>
        </w:rPr>
        <w:t>的投标</w:t>
      </w:r>
      <w:r>
        <w:rPr>
          <w:rFonts w:hint="eastAsia" w:ascii="微软雅黑" w:hAnsi="微软雅黑" w:eastAsia="微软雅黑"/>
          <w:sz w:val="21"/>
          <w:szCs w:val="21"/>
        </w:rPr>
        <w:t>文件</w:t>
      </w:r>
      <w:r>
        <w:rPr>
          <w:rFonts w:ascii="微软雅黑" w:hAnsi="微软雅黑" w:eastAsia="微软雅黑"/>
          <w:sz w:val="21"/>
          <w:szCs w:val="21"/>
        </w:rPr>
        <w:t>将被拒绝。</w:t>
      </w:r>
    </w:p>
    <w:p>
      <w:pPr>
        <w:pStyle w:val="15"/>
        <w:widowControl w:val="0"/>
        <w:numPr>
          <w:ilvl w:val="0"/>
          <w:numId w:val="0"/>
        </w:numPr>
        <w:tabs>
          <w:tab w:val="clear" w:pos="454"/>
        </w:tabs>
        <w:snapToGrid w:val="0"/>
        <w:spacing w:after="0" w:afterLines="0" w:line="360" w:lineRule="auto"/>
        <w:ind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在特殊情况下，</w:t>
      </w:r>
      <w:r>
        <w:rPr>
          <w:rFonts w:hint="eastAsia" w:ascii="微软雅黑" w:hAnsi="微软雅黑" w:eastAsia="微软雅黑"/>
          <w:sz w:val="21"/>
          <w:szCs w:val="21"/>
        </w:rPr>
        <w:t>采购人</w:t>
      </w:r>
      <w:r>
        <w:rPr>
          <w:rFonts w:ascii="微软雅黑" w:hAnsi="微软雅黑" w:eastAsia="微软雅黑"/>
          <w:sz w:val="21"/>
          <w:szCs w:val="21"/>
        </w:rPr>
        <w:t>可与供应商协商延长投标书的有效期，这种要求和答复均以书面形式进行。</w:t>
      </w:r>
    </w:p>
    <w:p>
      <w:pPr>
        <w:pStyle w:val="15"/>
        <w:widowControl w:val="0"/>
        <w:numPr>
          <w:ilvl w:val="0"/>
          <w:numId w:val="0"/>
        </w:numPr>
        <w:tabs>
          <w:tab w:val="left" w:pos="4500"/>
          <w:tab w:val="clear" w:pos="454"/>
        </w:tabs>
        <w:snapToGrid w:val="0"/>
        <w:spacing w:after="0" w:afterLines="0" w:line="360" w:lineRule="auto"/>
        <w:ind w:firstLine="420" w:firstLineChars="200"/>
        <w:rPr>
          <w:rFonts w:ascii="微软雅黑" w:hAnsi="微软雅黑" w:eastAsia="微软雅黑"/>
          <w:sz w:val="21"/>
          <w:szCs w:val="21"/>
        </w:rPr>
      </w:pPr>
      <w:bookmarkStart w:id="173" w:name="_Toc385854102"/>
      <w:bookmarkStart w:id="174" w:name="_Toc50012868"/>
      <w:bookmarkStart w:id="175" w:name="_Toc406402992"/>
      <w:bookmarkStart w:id="176" w:name="_Toc402963119"/>
      <w:bookmarkStart w:id="177" w:name="_Toc406402948"/>
      <w:bookmarkStart w:id="178" w:name="_Toc385854148"/>
      <w:bookmarkStart w:id="179" w:name="_Toc402963086"/>
      <w:bookmarkStart w:id="180" w:name="_Toc33535362"/>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供应商可拒绝接受延期要求。同意延长有效期的供应商不能修改投标文件。</w:t>
      </w:r>
      <w:bookmarkEnd w:id="173"/>
      <w:bookmarkEnd w:id="174"/>
      <w:bookmarkEnd w:id="175"/>
      <w:bookmarkEnd w:id="176"/>
      <w:bookmarkEnd w:id="177"/>
      <w:bookmarkEnd w:id="178"/>
      <w:bookmarkEnd w:id="179"/>
      <w:bookmarkEnd w:id="180"/>
      <w:r>
        <w:rPr>
          <w:rFonts w:ascii="微软雅黑" w:hAnsi="微软雅黑" w:eastAsia="微软雅黑"/>
          <w:sz w:val="21"/>
          <w:szCs w:val="21"/>
        </w:rPr>
        <w:t xml:space="preserve"> </w:t>
      </w:r>
    </w:p>
    <w:p>
      <w:pPr>
        <w:pStyle w:val="15"/>
        <w:widowControl w:val="0"/>
        <w:numPr>
          <w:ilvl w:val="0"/>
          <w:numId w:val="0"/>
        </w:numPr>
        <w:tabs>
          <w:tab w:val="left" w:pos="4500"/>
          <w:tab w:val="clear" w:pos="454"/>
        </w:tabs>
        <w:snapToGrid w:val="0"/>
        <w:spacing w:after="0" w:afterLines="0" w:line="360" w:lineRule="auto"/>
        <w:ind w:firstLine="420" w:firstLineChars="200"/>
        <w:rPr>
          <w:rFonts w:ascii="微软雅黑" w:hAnsi="微软雅黑" w:eastAsia="微软雅黑"/>
          <w:sz w:val="21"/>
          <w:szCs w:val="21"/>
        </w:rPr>
      </w:pPr>
      <w:bookmarkStart w:id="181" w:name="_Toc402963087"/>
      <w:bookmarkStart w:id="182" w:name="_Toc385854103"/>
      <w:bookmarkStart w:id="183" w:name="_Toc402963120"/>
      <w:bookmarkStart w:id="184" w:name="_Toc50012869"/>
      <w:bookmarkStart w:id="185" w:name="_Toc33535363"/>
      <w:bookmarkStart w:id="186" w:name="_Toc406402993"/>
      <w:bookmarkStart w:id="187" w:name="_Toc406402949"/>
      <w:bookmarkStart w:id="188" w:name="_Toc385854149"/>
      <w:r>
        <w:rPr>
          <w:rFonts w:ascii="微软雅黑" w:hAnsi="微软雅黑" w:eastAsia="微软雅黑"/>
          <w:sz w:val="21"/>
          <w:szCs w:val="21"/>
        </w:rPr>
        <w:t>4</w:t>
      </w:r>
      <w:r>
        <w:rPr>
          <w:rFonts w:hint="eastAsia" w:ascii="微软雅黑" w:hAnsi="微软雅黑" w:eastAsia="微软雅黑"/>
          <w:sz w:val="21"/>
          <w:szCs w:val="21"/>
        </w:rPr>
        <w:t>、</w:t>
      </w:r>
      <w:r>
        <w:rPr>
          <w:rFonts w:ascii="微软雅黑" w:hAnsi="微软雅黑" w:eastAsia="微软雅黑"/>
          <w:sz w:val="21"/>
          <w:szCs w:val="21"/>
        </w:rPr>
        <w:t>中标人的投标文件自开标之日起至合同履行完毕止均应保持有效。</w:t>
      </w:r>
      <w:bookmarkEnd w:id="181"/>
      <w:bookmarkEnd w:id="182"/>
      <w:bookmarkEnd w:id="183"/>
      <w:bookmarkEnd w:id="184"/>
      <w:bookmarkEnd w:id="185"/>
      <w:bookmarkEnd w:id="186"/>
      <w:bookmarkEnd w:id="187"/>
      <w:bookmarkEnd w:id="188"/>
    </w:p>
    <w:p>
      <w:pPr>
        <w:snapToGrid w:val="0"/>
        <w:spacing w:line="360" w:lineRule="auto"/>
        <w:ind w:firstLine="420" w:firstLineChars="200"/>
        <w:jc w:val="left"/>
        <w:outlineLvl w:val="0"/>
        <w:rPr>
          <w:rFonts w:hint="eastAsia" w:ascii="微软雅黑" w:hAnsi="微软雅黑" w:eastAsia="微软雅黑"/>
          <w:b/>
          <w:szCs w:val="21"/>
        </w:rPr>
      </w:pPr>
      <w:bookmarkStart w:id="189" w:name="_Toc406402951"/>
      <w:bookmarkStart w:id="190" w:name="_Toc402963089"/>
      <w:bookmarkStart w:id="191" w:name="_Toc385854151"/>
      <w:bookmarkStart w:id="192" w:name="_Toc402963122"/>
      <w:bookmarkStart w:id="193" w:name="_Toc385854105"/>
      <w:bookmarkStart w:id="194" w:name="_Toc406402995"/>
      <w:bookmarkStart w:id="195" w:name="_Toc33535364"/>
      <w:bookmarkStart w:id="196" w:name="_Toc50012870"/>
      <w:r>
        <w:rPr>
          <w:rFonts w:hint="eastAsia" w:ascii="微软雅黑" w:hAnsi="微软雅黑" w:eastAsia="微软雅黑"/>
          <w:b/>
          <w:szCs w:val="21"/>
        </w:rPr>
        <w:t>（五）投标文件的签署和份数</w:t>
      </w:r>
      <w:bookmarkEnd w:id="189"/>
      <w:bookmarkEnd w:id="190"/>
      <w:bookmarkEnd w:id="191"/>
      <w:bookmarkEnd w:id="192"/>
      <w:bookmarkEnd w:id="193"/>
      <w:bookmarkEnd w:id="194"/>
      <w:bookmarkEnd w:id="195"/>
      <w:bookmarkEnd w:id="196"/>
    </w:p>
    <w:p>
      <w:pPr>
        <w:snapToGrid w:val="0"/>
        <w:spacing w:line="360" w:lineRule="auto"/>
        <w:ind w:firstLine="420" w:firstLineChars="200"/>
        <w:jc w:val="left"/>
        <w:outlineLvl w:val="0"/>
        <w:rPr>
          <w:rFonts w:hint="eastAsia" w:ascii="微软雅黑" w:hAnsi="微软雅黑" w:eastAsia="微软雅黑" w:cs="微软雅黑"/>
          <w:b/>
          <w:bCs/>
          <w:szCs w:val="21"/>
        </w:rPr>
      </w:pPr>
      <w:bookmarkStart w:id="197" w:name="_Toc50012871"/>
      <w:r>
        <w:rPr>
          <w:rFonts w:hint="eastAsia" w:ascii="微软雅黑" w:hAnsi="微软雅黑" w:eastAsia="微软雅黑" w:cs="宋体"/>
          <w:szCs w:val="21"/>
        </w:rPr>
        <w:t>投标文件的形式：</w:t>
      </w:r>
      <w:r>
        <w:rPr>
          <w:rFonts w:hint="eastAsia" w:ascii="微软雅黑" w:hAnsi="宋体" w:eastAsia="MS Mincho" w:cs="MS Mincho"/>
          <w:b/>
          <w:bCs/>
          <w:szCs w:val="21"/>
        </w:rPr>
        <w:t>☑</w:t>
      </w:r>
      <w:r>
        <w:rPr>
          <w:rFonts w:hint="eastAsia" w:ascii="微软雅黑" w:hAnsi="微软雅黑" w:eastAsia="微软雅黑" w:cs="微软雅黑"/>
          <w:b/>
          <w:bCs/>
          <w:szCs w:val="21"/>
        </w:rPr>
        <w:t>电子投标文件（包括“电子加密投标文件”和“备份投标文件”，在投标文件编制完成后同时生成）；</w:t>
      </w:r>
      <w:bookmarkEnd w:id="197"/>
    </w:p>
    <w:p>
      <w:pPr>
        <w:snapToGrid w:val="0"/>
        <w:spacing w:line="360" w:lineRule="auto"/>
        <w:ind w:firstLine="420" w:firstLineChars="200"/>
        <w:jc w:val="left"/>
        <w:outlineLvl w:val="0"/>
        <w:rPr>
          <w:rFonts w:hint="eastAsia" w:ascii="微软雅黑" w:hAnsi="微软雅黑" w:eastAsia="微软雅黑" w:cs="宋体"/>
          <w:b/>
          <w:bCs/>
          <w:szCs w:val="21"/>
        </w:rPr>
      </w:pPr>
      <w:bookmarkStart w:id="198" w:name="_Toc50012872"/>
      <w:r>
        <w:rPr>
          <w:rFonts w:hint="eastAsia" w:ascii="微软雅黑" w:hAnsi="微软雅黑" w:eastAsia="微软雅黑" w:cs="宋体"/>
          <w:b/>
          <w:bCs/>
          <w:szCs w:val="21"/>
        </w:rPr>
        <w:t>（1）“电子加密投标文件”是指通过“政采云电子交易客户端”完成投标文件编制后生成并加密的数据电文形式的投标文件。</w:t>
      </w:r>
      <w:bookmarkEnd w:id="198"/>
    </w:p>
    <w:p>
      <w:pPr>
        <w:snapToGrid w:val="0"/>
        <w:spacing w:line="360" w:lineRule="auto"/>
        <w:ind w:firstLine="420" w:firstLineChars="200"/>
        <w:jc w:val="left"/>
        <w:outlineLvl w:val="0"/>
        <w:rPr>
          <w:rFonts w:hint="eastAsia" w:ascii="微软雅黑" w:hAnsi="微软雅黑" w:eastAsia="微软雅黑" w:cs="宋体"/>
          <w:b/>
          <w:bCs/>
          <w:szCs w:val="21"/>
        </w:rPr>
      </w:pPr>
      <w:bookmarkStart w:id="199" w:name="_Toc50012873"/>
      <w:r>
        <w:rPr>
          <w:rFonts w:hint="eastAsia" w:ascii="微软雅黑" w:hAnsi="微软雅黑" w:eastAsia="微软雅黑" w:cs="宋体"/>
          <w:b/>
          <w:bCs/>
          <w:szCs w:val="21"/>
        </w:rPr>
        <w:t>（2）“备份投标文件”是指与“电子加密投标文件”同时生成的数据电文形式的电子文件（备份标书），其他方式编制的备份投标文件视为无效备份投标文件。</w:t>
      </w:r>
      <w:bookmarkEnd w:id="199"/>
    </w:p>
    <w:p>
      <w:pPr>
        <w:snapToGrid w:val="0"/>
        <w:spacing w:line="360" w:lineRule="auto"/>
        <w:ind w:firstLine="420" w:firstLineChars="200"/>
        <w:jc w:val="left"/>
        <w:outlineLvl w:val="0"/>
        <w:rPr>
          <w:rFonts w:hint="eastAsia" w:ascii="微软雅黑" w:hAnsi="微软雅黑" w:eastAsia="微软雅黑" w:cs="宋体"/>
          <w:b/>
          <w:bCs/>
          <w:szCs w:val="21"/>
        </w:rPr>
      </w:pPr>
      <w:bookmarkStart w:id="200" w:name="_Toc50012874"/>
      <w:r>
        <w:rPr>
          <w:rFonts w:hint="eastAsia" w:ascii="微软雅黑" w:hAnsi="微软雅黑" w:eastAsia="微软雅黑" w:cs="宋体"/>
          <w:b/>
          <w:bCs/>
          <w:szCs w:val="21"/>
        </w:rPr>
        <w:t>（六）</w:t>
      </w:r>
      <w:bookmarkStart w:id="201" w:name="_Toc33535368"/>
      <w:r>
        <w:rPr>
          <w:rFonts w:hint="eastAsia" w:ascii="微软雅黑" w:hAnsi="微软雅黑" w:eastAsia="微软雅黑" w:cs="宋体"/>
          <w:b/>
          <w:bCs/>
          <w:szCs w:val="21"/>
        </w:rPr>
        <w:t>投标文件的上传和递交：</w:t>
      </w:r>
      <w:bookmarkEnd w:id="200"/>
    </w:p>
    <w:p>
      <w:pPr>
        <w:snapToGrid w:val="0"/>
        <w:spacing w:line="360" w:lineRule="auto"/>
        <w:ind w:firstLine="420" w:firstLineChars="200"/>
        <w:jc w:val="left"/>
        <w:outlineLvl w:val="0"/>
        <w:rPr>
          <w:rFonts w:hint="eastAsia" w:ascii="微软雅黑" w:hAnsi="微软雅黑" w:eastAsia="微软雅黑" w:cs="宋体"/>
          <w:b/>
          <w:bCs/>
          <w:szCs w:val="21"/>
        </w:rPr>
      </w:pPr>
      <w:bookmarkStart w:id="202" w:name="_Toc50012875"/>
      <w:r>
        <w:rPr>
          <w:rFonts w:hint="eastAsia" w:ascii="微软雅黑" w:hAnsi="微软雅黑" w:eastAsia="微软雅黑" w:cs="宋体"/>
          <w:b/>
          <w:bCs/>
          <w:szCs w:val="21"/>
        </w:rPr>
        <w:t>（1）“电子加密投标文件”的上传、递交：</w:t>
      </w:r>
      <w:bookmarkEnd w:id="202"/>
    </w:p>
    <w:p>
      <w:pPr>
        <w:snapToGrid w:val="0"/>
        <w:spacing w:line="360" w:lineRule="auto"/>
        <w:ind w:firstLine="420" w:firstLineChars="200"/>
        <w:jc w:val="left"/>
        <w:outlineLvl w:val="0"/>
        <w:rPr>
          <w:rFonts w:hint="eastAsia" w:ascii="微软雅黑" w:hAnsi="微软雅黑" w:eastAsia="微软雅黑" w:cs="宋体"/>
          <w:b/>
          <w:bCs/>
          <w:szCs w:val="21"/>
        </w:rPr>
      </w:pPr>
      <w:bookmarkStart w:id="203" w:name="_Toc50012876"/>
      <w:r>
        <w:rPr>
          <w:rFonts w:ascii="微软雅黑" w:hAnsi="微软雅黑" w:eastAsia="微软雅黑" w:cs="宋体"/>
          <w:b/>
          <w:bCs/>
          <w:szCs w:val="21"/>
        </w:rPr>
        <w:t>A</w:t>
      </w:r>
      <w:r>
        <w:rPr>
          <w:rFonts w:hint="eastAsia" w:ascii="微软雅黑" w:hAnsi="微软雅黑" w:eastAsia="微软雅黑" w:cs="宋体"/>
          <w:b/>
          <w:bCs/>
          <w:szCs w:val="21"/>
        </w:rPr>
        <w:t>、投标供应商应在投标截止时间前将“电子加密投标文件”成功上传递交至“政府采购云平台”，否则投标无效。</w:t>
      </w:r>
      <w:bookmarkEnd w:id="203"/>
    </w:p>
    <w:p>
      <w:pPr>
        <w:snapToGrid w:val="0"/>
        <w:spacing w:line="360" w:lineRule="auto"/>
        <w:ind w:firstLine="420" w:firstLineChars="200"/>
        <w:jc w:val="left"/>
        <w:outlineLvl w:val="0"/>
        <w:rPr>
          <w:rFonts w:hint="eastAsia" w:ascii="微软雅黑" w:hAnsi="微软雅黑" w:eastAsia="微软雅黑" w:cs="宋体"/>
          <w:b/>
          <w:bCs/>
          <w:szCs w:val="21"/>
        </w:rPr>
      </w:pPr>
      <w:bookmarkStart w:id="204" w:name="_Toc50012877"/>
      <w:r>
        <w:rPr>
          <w:rFonts w:ascii="微软雅黑" w:hAnsi="微软雅黑" w:eastAsia="微软雅黑" w:cs="宋体"/>
          <w:b/>
          <w:bCs/>
          <w:szCs w:val="21"/>
        </w:rPr>
        <w:t>B</w:t>
      </w:r>
      <w:r>
        <w:rPr>
          <w:rFonts w:hint="eastAsia" w:ascii="微软雅黑" w:hAnsi="微软雅黑" w:eastAsia="微软雅黑" w:cs="宋体"/>
          <w:b/>
          <w:bCs/>
          <w:szCs w:val="21"/>
        </w:rPr>
        <w:t>、“电子加密投标文件”成功上传递交后，供应商可自行打印投标文件接收回执。</w:t>
      </w:r>
      <w:bookmarkEnd w:id="204"/>
    </w:p>
    <w:p>
      <w:pPr>
        <w:snapToGrid w:val="0"/>
        <w:spacing w:line="360" w:lineRule="auto"/>
        <w:ind w:firstLine="420" w:firstLineChars="200"/>
        <w:jc w:val="left"/>
        <w:outlineLvl w:val="0"/>
        <w:rPr>
          <w:rFonts w:hint="eastAsia" w:ascii="微软雅黑" w:hAnsi="微软雅黑" w:eastAsia="微软雅黑" w:cs="宋体"/>
          <w:b/>
          <w:bCs/>
          <w:szCs w:val="21"/>
        </w:rPr>
      </w:pPr>
      <w:bookmarkStart w:id="205" w:name="_Toc50012878"/>
      <w:r>
        <w:rPr>
          <w:rFonts w:hint="eastAsia" w:ascii="微软雅黑" w:hAnsi="微软雅黑" w:eastAsia="微软雅黑" w:cs="宋体"/>
          <w:b/>
          <w:bCs/>
          <w:szCs w:val="21"/>
        </w:rPr>
        <w:t>（2）“备份投标文件”的密封包装、递交：</w:t>
      </w:r>
      <w:bookmarkEnd w:id="205"/>
    </w:p>
    <w:p>
      <w:pPr>
        <w:snapToGrid w:val="0"/>
        <w:spacing w:line="360" w:lineRule="auto"/>
        <w:ind w:firstLine="420" w:firstLineChars="200"/>
        <w:jc w:val="left"/>
        <w:outlineLvl w:val="0"/>
        <w:rPr>
          <w:rFonts w:hint="eastAsia" w:ascii="微软雅黑" w:hAnsi="微软雅黑" w:eastAsia="微软雅黑" w:cs="宋体"/>
          <w:b/>
          <w:bCs/>
          <w:szCs w:val="21"/>
        </w:rPr>
      </w:pPr>
      <w:bookmarkStart w:id="206" w:name="_Toc50012879"/>
      <w:r>
        <w:rPr>
          <w:rFonts w:ascii="微软雅黑" w:hAnsi="微软雅黑" w:eastAsia="微软雅黑" w:cs="宋体"/>
          <w:b/>
          <w:bCs/>
          <w:szCs w:val="21"/>
        </w:rPr>
        <w:t>A</w:t>
      </w:r>
      <w:r>
        <w:rPr>
          <w:rFonts w:hint="eastAsia" w:ascii="微软雅黑" w:hAnsi="微软雅黑" w:eastAsia="微软雅黑" w:cs="宋体"/>
          <w:b/>
          <w:bCs/>
          <w:szCs w:val="21"/>
        </w:rPr>
        <w:t>、投标供应商在“政府采购云平台”完成“电子加密投标文件”的上传递交后，还可以（邮寄形式）在投标截止时间前递交以介质（U盘）存储的 “备份投标文件”（一份）；</w:t>
      </w:r>
      <w:bookmarkEnd w:id="206"/>
    </w:p>
    <w:p>
      <w:pPr>
        <w:snapToGrid w:val="0"/>
        <w:spacing w:line="360" w:lineRule="auto"/>
        <w:ind w:firstLine="420" w:firstLineChars="200"/>
        <w:jc w:val="left"/>
        <w:outlineLvl w:val="0"/>
        <w:rPr>
          <w:rFonts w:hint="eastAsia" w:ascii="微软雅黑" w:hAnsi="微软雅黑" w:eastAsia="微软雅黑" w:cs="宋体"/>
          <w:b/>
          <w:bCs/>
          <w:szCs w:val="21"/>
        </w:rPr>
      </w:pPr>
      <w:bookmarkStart w:id="207" w:name="_Toc50012880"/>
      <w:r>
        <w:rPr>
          <w:rFonts w:ascii="微软雅黑" w:hAnsi="微软雅黑" w:eastAsia="微软雅黑" w:cs="宋体"/>
          <w:b/>
          <w:bCs/>
          <w:szCs w:val="21"/>
        </w:rPr>
        <w:t>B</w:t>
      </w:r>
      <w:r>
        <w:rPr>
          <w:rFonts w:hint="eastAsia" w:ascii="微软雅黑" w:hAnsi="微软雅黑" w:eastAsia="微软雅黑" w:cs="宋体"/>
          <w:b/>
          <w:bCs/>
          <w:szCs w:val="21"/>
        </w:rPr>
        <w:t>、“备份投标文件”应当密封包装，并在包装上标注投标项目名称、投标单位名称并加盖公章。没有密封包装或者逾期邮寄送达至邮寄接收地点的“备份投标文件”将不予接收；</w:t>
      </w:r>
      <w:bookmarkEnd w:id="207"/>
    </w:p>
    <w:p>
      <w:pPr>
        <w:snapToGrid w:val="0"/>
        <w:spacing w:line="360" w:lineRule="auto"/>
        <w:ind w:firstLine="420" w:firstLineChars="200"/>
        <w:jc w:val="left"/>
        <w:outlineLvl w:val="0"/>
        <w:rPr>
          <w:rFonts w:hint="eastAsia" w:ascii="微软雅黑" w:hAnsi="微软雅黑" w:eastAsia="微软雅黑" w:cs="宋体"/>
          <w:b/>
          <w:bCs/>
          <w:szCs w:val="21"/>
        </w:rPr>
      </w:pPr>
      <w:bookmarkStart w:id="208" w:name="_Toc50012881"/>
      <w:r>
        <w:rPr>
          <w:rFonts w:ascii="微软雅黑" w:hAnsi="微软雅黑" w:eastAsia="微软雅黑" w:cs="宋体"/>
          <w:b/>
          <w:bCs/>
          <w:szCs w:val="21"/>
        </w:rPr>
        <w:t>C</w:t>
      </w:r>
      <w:r>
        <w:rPr>
          <w:rFonts w:hint="eastAsia" w:ascii="微软雅黑" w:hAnsi="微软雅黑" w:eastAsia="微软雅黑" w:cs="宋体"/>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208"/>
    </w:p>
    <w:p>
      <w:pPr>
        <w:snapToGrid w:val="0"/>
        <w:spacing w:line="360" w:lineRule="auto"/>
        <w:ind w:firstLine="420" w:firstLineChars="200"/>
        <w:jc w:val="left"/>
        <w:outlineLvl w:val="0"/>
        <w:rPr>
          <w:rFonts w:hint="eastAsia" w:ascii="微软雅黑" w:hAnsi="微软雅黑" w:eastAsia="微软雅黑"/>
          <w:b/>
          <w:szCs w:val="21"/>
        </w:rPr>
      </w:pPr>
      <w:bookmarkStart w:id="209" w:name="_Toc50012882"/>
      <w:r>
        <w:rPr>
          <w:rFonts w:hint="eastAsia" w:ascii="微软雅黑" w:hAnsi="微软雅黑" w:eastAsia="微软雅黑"/>
          <w:b/>
          <w:szCs w:val="21"/>
        </w:rPr>
        <w:t>（七）投标无效的情形</w:t>
      </w:r>
      <w:bookmarkEnd w:id="201"/>
      <w:bookmarkEnd w:id="209"/>
    </w:p>
    <w:p>
      <w:pPr>
        <w:snapToGrid w:val="0"/>
        <w:spacing w:line="360" w:lineRule="auto"/>
        <w:ind w:firstLine="420" w:firstLineChars="200"/>
        <w:jc w:val="left"/>
        <w:outlineLvl w:val="0"/>
        <w:rPr>
          <w:rFonts w:hint="eastAsia" w:ascii="微软雅黑" w:hAnsi="微软雅黑" w:eastAsia="微软雅黑"/>
          <w:szCs w:val="21"/>
        </w:rPr>
      </w:pPr>
      <w:bookmarkStart w:id="210" w:name="_Toc50012883"/>
      <w:r>
        <w:rPr>
          <w:rFonts w:hint="eastAsia" w:ascii="微软雅黑" w:hAnsi="微软雅黑" w:eastAsia="微软雅黑"/>
          <w:szCs w:val="21"/>
        </w:rPr>
        <w:t>根据《政府采购货物和服务招标投标管理办法》有下列情形之一的，视为供应商串通投标，其投标无效：</w:t>
      </w:r>
      <w:bookmarkEnd w:id="210"/>
    </w:p>
    <w:p>
      <w:pPr>
        <w:snapToGrid w:val="0"/>
        <w:spacing w:line="360" w:lineRule="auto"/>
        <w:ind w:firstLine="420" w:firstLineChars="200"/>
        <w:jc w:val="left"/>
        <w:outlineLvl w:val="0"/>
        <w:rPr>
          <w:rFonts w:ascii="微软雅黑" w:hAnsi="微软雅黑" w:eastAsia="微软雅黑"/>
          <w:szCs w:val="21"/>
        </w:rPr>
      </w:pPr>
      <w:bookmarkStart w:id="211" w:name="_Toc50012884"/>
      <w:r>
        <w:rPr>
          <w:rFonts w:hint="eastAsia" w:ascii="微软雅黑" w:hAnsi="微软雅黑" w:eastAsia="微软雅黑"/>
          <w:szCs w:val="21"/>
        </w:rPr>
        <w:t>(一)不同供应商的投标文件由同一单位或者个人编制;</w:t>
      </w:r>
      <w:bookmarkEnd w:id="211"/>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(二)不同供应商委托同一单位或者个人办理投标事宜;</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(三)不同供应商的投标文件载明的项目管理成员或者联系人员为同一人;</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(四)不同供应商的投标文件异常一致或者投标报价呈规律性差异;</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(五)不同供应商的投标文件相互混装;</w:t>
      </w:r>
    </w:p>
    <w:p>
      <w:pPr>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rPr>
        <w:t>实质上没有响应招标文件要求的投标将被视为无效投标。</w:t>
      </w:r>
    </w:p>
    <w:p>
      <w:pPr>
        <w:snapToGrid w:val="0"/>
        <w:spacing w:line="360" w:lineRule="auto"/>
        <w:ind w:firstLine="420" w:firstLineChars="200"/>
        <w:jc w:val="left"/>
        <w:rPr>
          <w:rFonts w:hint="eastAsia" w:ascii="微软雅黑" w:hAnsi="微软雅黑" w:eastAsia="微软雅黑"/>
          <w:b/>
          <w:bCs/>
          <w:szCs w:val="21"/>
        </w:rPr>
      </w:pPr>
      <w:r>
        <w:rPr>
          <w:rFonts w:hint="eastAsia" w:ascii="微软雅黑" w:hAnsi="微软雅黑" w:eastAsia="微软雅黑"/>
          <w:b/>
          <w:bCs/>
          <w:szCs w:val="21"/>
        </w:rPr>
        <w:t>1、</w:t>
      </w:r>
      <w:r>
        <w:rPr>
          <w:rFonts w:ascii="微软雅黑" w:hAnsi="微软雅黑" w:eastAsia="微软雅黑"/>
          <w:b/>
          <w:bCs/>
          <w:szCs w:val="21"/>
        </w:rPr>
        <w:t>电子投标文件解密失败的，且未在规定时间内提交备份投标文件的</w:t>
      </w:r>
      <w:r>
        <w:rPr>
          <w:rFonts w:hint="eastAsia" w:ascii="微软雅黑" w:hAnsi="微软雅黑" w:eastAsia="微软雅黑"/>
          <w:b/>
          <w:bCs/>
          <w:szCs w:val="21"/>
        </w:rPr>
        <w:t>。</w:t>
      </w:r>
    </w:p>
    <w:p>
      <w:pPr>
        <w:snapToGrid w:val="0"/>
        <w:spacing w:line="360" w:lineRule="auto"/>
        <w:ind w:firstLine="420" w:firstLineChars="200"/>
        <w:jc w:val="left"/>
        <w:rPr>
          <w:rFonts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、没有通过资格审查的，</w:t>
      </w:r>
      <w:r>
        <w:rPr>
          <w:rFonts w:ascii="微软雅黑" w:hAnsi="微软雅黑" w:eastAsia="微软雅黑"/>
          <w:b/>
          <w:bCs/>
          <w:szCs w:val="21"/>
        </w:rPr>
        <w:t>投标文件将被视为无效。</w:t>
      </w:r>
    </w:p>
    <w:p>
      <w:pPr>
        <w:snapToGrid w:val="0"/>
        <w:spacing w:line="360" w:lineRule="auto"/>
        <w:ind w:firstLine="420" w:firstLineChars="200"/>
        <w:jc w:val="left"/>
        <w:rPr>
          <w:rFonts w:hint="eastAsia" w:ascii="微软雅黑" w:hAnsi="微软雅黑" w:eastAsia="微软雅黑"/>
          <w:b/>
          <w:bCs/>
          <w:szCs w:val="21"/>
        </w:rPr>
      </w:pPr>
      <w:r>
        <w:rPr>
          <w:rFonts w:ascii="微软雅黑" w:hAnsi="微软雅黑" w:eastAsia="微软雅黑"/>
          <w:b/>
          <w:bCs/>
          <w:szCs w:val="21"/>
        </w:rPr>
        <w:t>3</w:t>
      </w:r>
      <w:r>
        <w:rPr>
          <w:rFonts w:hint="eastAsia" w:ascii="微软雅黑" w:hAnsi="微软雅黑" w:eastAsia="微软雅黑"/>
          <w:b/>
          <w:bCs/>
          <w:szCs w:val="21"/>
        </w:rPr>
        <w:t>、</w:t>
      </w:r>
      <w:r>
        <w:rPr>
          <w:rFonts w:ascii="微软雅黑" w:hAnsi="微软雅黑" w:eastAsia="微软雅黑"/>
          <w:b/>
          <w:bCs/>
          <w:szCs w:val="21"/>
        </w:rPr>
        <w:t>在符合性审查和商务评审时，如发现下列情形之一的，投标文件将被视为无效：</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bCs/>
          <w:szCs w:val="21"/>
        </w:rPr>
        <w:t>（1）</w:t>
      </w:r>
      <w:r>
        <w:rPr>
          <w:rFonts w:ascii="微软雅黑" w:hAnsi="微软雅黑" w:eastAsia="微软雅黑"/>
          <w:szCs w:val="21"/>
        </w:rPr>
        <w:t>电子投标文件未按规定要求提供电子签章的</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szCs w:val="21"/>
        </w:rPr>
        <w:t>在资信商务技术文件中出现报价的；</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）资格证明文件不全的，或者不符合招标文件标明的资格要求的</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bCs/>
          <w:kern w:val="0"/>
          <w:szCs w:val="21"/>
        </w:rPr>
      </w:pPr>
      <w:r>
        <w:rPr>
          <w:rFonts w:hint="eastAsia" w:ascii="微软雅黑" w:hAnsi="微软雅黑" w:eastAsia="微软雅黑"/>
          <w:szCs w:val="21"/>
        </w:rPr>
        <w:t>（4</w:t>
      </w:r>
      <w:r>
        <w:rPr>
          <w:rFonts w:ascii="微软雅黑" w:hAnsi="微软雅黑" w:eastAsia="微软雅黑"/>
          <w:szCs w:val="21"/>
        </w:rPr>
        <w:t>）投标文件无法定代表人签字</w:t>
      </w:r>
      <w:r>
        <w:rPr>
          <w:rFonts w:hint="eastAsia" w:ascii="微软雅黑" w:hAnsi="微软雅黑" w:eastAsia="微软雅黑"/>
          <w:szCs w:val="21"/>
        </w:rPr>
        <w:t>（或盖章）</w:t>
      </w:r>
      <w:r>
        <w:rPr>
          <w:rFonts w:ascii="微软雅黑" w:hAnsi="微软雅黑" w:eastAsia="微软雅黑"/>
          <w:szCs w:val="21"/>
        </w:rPr>
        <w:t>,或未</w:t>
      </w:r>
      <w:r>
        <w:rPr>
          <w:rFonts w:hint="eastAsia" w:ascii="微软雅黑" w:hAnsi="微软雅黑" w:eastAsia="微软雅黑"/>
          <w:bCs/>
          <w:kern w:val="0"/>
          <w:szCs w:val="21"/>
        </w:rPr>
        <w:t>提供法定代表人授权委托书、投标声明书或者填写项目不齐全的；</w:t>
      </w: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w:t>
      </w:r>
      <w:r>
        <w:rPr>
          <w:rFonts w:hint="eastAsia" w:ascii="微软雅黑" w:hAnsi="微软雅黑" w:eastAsia="微软雅黑"/>
          <w:snapToGrid w:val="0"/>
          <w:szCs w:val="21"/>
        </w:rPr>
        <w:t>5</w:t>
      </w:r>
      <w:r>
        <w:rPr>
          <w:rFonts w:ascii="微软雅黑" w:hAnsi="微软雅黑" w:eastAsia="微软雅黑"/>
          <w:snapToGrid w:val="0"/>
          <w:szCs w:val="21"/>
        </w:rPr>
        <w:t>）</w:t>
      </w:r>
      <w:r>
        <w:rPr>
          <w:rFonts w:ascii="微软雅黑" w:hAnsi="微软雅黑" w:eastAsia="微软雅黑"/>
          <w:szCs w:val="21"/>
        </w:rPr>
        <w:t>投标文件格式不规范、项目不齐全或者内容虚假的；</w:t>
      </w: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6</w:t>
      </w:r>
      <w:r>
        <w:rPr>
          <w:rFonts w:ascii="微软雅黑" w:hAnsi="微软雅黑" w:eastAsia="微软雅黑"/>
          <w:szCs w:val="21"/>
        </w:rPr>
        <w:t>）投标文件的实质性内容未使用中文表述、意思表述不明确、前后矛盾或者使用计量单位不符合招标文件要求的（经评标委员会认定</w:t>
      </w:r>
      <w:r>
        <w:rPr>
          <w:rFonts w:hint="eastAsia" w:ascii="微软雅黑" w:hAnsi="微软雅黑" w:eastAsia="微软雅黑"/>
          <w:szCs w:val="21"/>
        </w:rPr>
        <w:t>并</w:t>
      </w:r>
      <w:r>
        <w:rPr>
          <w:rFonts w:ascii="微软雅黑" w:hAnsi="微软雅黑" w:eastAsia="微软雅黑"/>
          <w:szCs w:val="21"/>
        </w:rPr>
        <w:t>允许其当场更正的笔误除外）</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napToGrid w:val="0"/>
          <w:szCs w:val="21"/>
        </w:rPr>
      </w:pPr>
      <w:r>
        <w:rPr>
          <w:rFonts w:ascii="微软雅黑" w:hAnsi="微软雅黑" w:eastAsia="微软雅黑"/>
          <w:szCs w:val="21"/>
        </w:rPr>
        <w:t>（</w:t>
      </w:r>
      <w:r>
        <w:rPr>
          <w:rFonts w:hint="eastAsia" w:ascii="微软雅黑" w:hAnsi="微软雅黑" w:eastAsia="微软雅黑"/>
          <w:snapToGrid w:val="0"/>
          <w:szCs w:val="21"/>
        </w:rPr>
        <w:t>7</w:t>
      </w:r>
      <w:r>
        <w:rPr>
          <w:rFonts w:ascii="微软雅黑" w:hAnsi="微软雅黑" w:eastAsia="微软雅黑"/>
          <w:snapToGrid w:val="0"/>
          <w:szCs w:val="21"/>
        </w:rPr>
        <w:t>）投标有效期、交货时间、质保期等商务条款不能满足招标文件要求的；</w:t>
      </w: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8</w:t>
      </w:r>
      <w:r>
        <w:rPr>
          <w:rFonts w:ascii="微软雅黑" w:hAnsi="微软雅黑" w:eastAsia="微软雅黑"/>
          <w:szCs w:val="21"/>
        </w:rPr>
        <w:t>）</w:t>
      </w:r>
      <w:r>
        <w:rPr>
          <w:rFonts w:hint="eastAsia" w:ascii="微软雅黑" w:hAnsi="微软雅黑" w:eastAsia="微软雅黑"/>
          <w:szCs w:val="21"/>
        </w:rPr>
        <w:t>未实质性</w:t>
      </w:r>
      <w:r>
        <w:rPr>
          <w:rFonts w:ascii="微软雅黑" w:hAnsi="微软雅黑" w:eastAsia="微软雅黑"/>
          <w:szCs w:val="21"/>
        </w:rPr>
        <w:t>响应招标文件要求或者投标文件有招标方不能接受的附加条件的</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（9）不符合本招标文件中的实质性要求条款。</w:t>
      </w:r>
    </w:p>
    <w:p>
      <w:pPr>
        <w:snapToGrid w:val="0"/>
        <w:spacing w:line="360" w:lineRule="auto"/>
        <w:ind w:firstLine="420" w:firstLineChars="200"/>
        <w:jc w:val="left"/>
        <w:rPr>
          <w:rFonts w:hint="eastAsia" w:ascii="微软雅黑" w:hAnsi="微软雅黑" w:eastAsia="微软雅黑"/>
          <w:b/>
          <w:bCs/>
          <w:szCs w:val="21"/>
        </w:rPr>
      </w:pPr>
      <w:r>
        <w:rPr>
          <w:rFonts w:hint="eastAsia" w:ascii="微软雅黑" w:hAnsi="微软雅黑" w:eastAsia="微软雅黑"/>
          <w:b/>
          <w:bCs/>
          <w:szCs w:val="21"/>
        </w:rPr>
        <w:t>3、</w:t>
      </w:r>
      <w:r>
        <w:rPr>
          <w:rFonts w:ascii="微软雅黑" w:hAnsi="微软雅黑" w:eastAsia="微软雅黑"/>
          <w:b/>
          <w:bCs/>
          <w:szCs w:val="21"/>
        </w:rPr>
        <w:t>在技术评审时，如发现下列情形之一的，投标文件将被视为无效：</w:t>
      </w: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（1）未提供或未如实提供投标货物的技术参数，或者投标文件标明的响应或偏离与事实不符或虚假投标的；</w:t>
      </w: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（2）</w:t>
      </w:r>
      <w:r>
        <w:rPr>
          <w:rFonts w:ascii="微软雅黑" w:hAnsi="微软雅黑" w:eastAsia="微软雅黑"/>
          <w:snapToGrid w:val="0"/>
          <w:szCs w:val="21"/>
        </w:rPr>
        <w:t>明显不符合招标文件</w:t>
      </w:r>
      <w:r>
        <w:rPr>
          <w:rFonts w:hint="eastAsia" w:ascii="微软雅黑" w:hAnsi="微软雅黑" w:eastAsia="微软雅黑"/>
          <w:snapToGrid w:val="0"/>
          <w:szCs w:val="21"/>
        </w:rPr>
        <w:t>要求</w:t>
      </w:r>
      <w:r>
        <w:rPr>
          <w:rFonts w:ascii="微软雅黑" w:hAnsi="微软雅黑" w:eastAsia="微软雅黑"/>
          <w:snapToGrid w:val="0"/>
          <w:szCs w:val="21"/>
        </w:rPr>
        <w:t>的规格型号、质量标准，或者</w:t>
      </w:r>
      <w:r>
        <w:rPr>
          <w:rFonts w:hint="eastAsia" w:ascii="微软雅黑" w:hAnsi="微软雅黑" w:eastAsia="微软雅黑"/>
          <w:snapToGrid w:val="0"/>
          <w:szCs w:val="21"/>
        </w:rPr>
        <w:t>与</w:t>
      </w:r>
      <w:r>
        <w:rPr>
          <w:rFonts w:ascii="微软雅黑" w:hAnsi="微软雅黑" w:eastAsia="微软雅黑"/>
          <w:szCs w:val="21"/>
        </w:rPr>
        <w:t>招标文件中标“▲”的技术指标、主要功能项目发生实质性偏离的；</w:t>
      </w:r>
    </w:p>
    <w:p>
      <w:pPr>
        <w:pStyle w:val="20"/>
        <w:snapToGrid w:val="0"/>
        <w:spacing w:line="360" w:lineRule="auto"/>
        <w:ind w:firstLine="404" w:firstLineChars="200"/>
        <w:jc w:val="left"/>
        <w:rPr>
          <w:rFonts w:hint="eastAsia" w:ascii="微软雅黑" w:hAnsi="微软雅黑" w:eastAsia="微软雅黑"/>
          <w:sz w:val="21"/>
          <w:szCs w:val="21"/>
          <w:lang w:eastAsia="zh-CN"/>
        </w:rPr>
      </w:pPr>
      <w:r>
        <w:rPr>
          <w:rFonts w:ascii="微软雅黑" w:hAnsi="微软雅黑" w:eastAsia="微软雅黑"/>
          <w:snapToGrid w:val="0"/>
          <w:sz w:val="21"/>
          <w:szCs w:val="21"/>
        </w:rPr>
        <w:t>（</w:t>
      </w:r>
      <w:r>
        <w:rPr>
          <w:rFonts w:hint="eastAsia" w:ascii="微软雅黑" w:hAnsi="微软雅黑" w:eastAsia="微软雅黑"/>
          <w:snapToGrid w:val="0"/>
          <w:sz w:val="21"/>
          <w:szCs w:val="21"/>
        </w:rPr>
        <w:t>3</w:t>
      </w:r>
      <w:r>
        <w:rPr>
          <w:rFonts w:ascii="微软雅黑" w:hAnsi="微软雅黑" w:eastAsia="微软雅黑"/>
          <w:snapToGrid w:val="0"/>
          <w:sz w:val="21"/>
          <w:szCs w:val="21"/>
        </w:rPr>
        <w:t>）</w:t>
      </w:r>
      <w:r>
        <w:rPr>
          <w:rFonts w:ascii="微软雅黑" w:hAnsi="微软雅黑" w:eastAsia="微软雅黑"/>
          <w:sz w:val="21"/>
          <w:szCs w:val="21"/>
        </w:rPr>
        <w:t>投标技术方案不明确，存在一个或一个以上备选（替代）投标方案的；</w:t>
      </w:r>
    </w:p>
    <w:p>
      <w:pPr>
        <w:pStyle w:val="20"/>
        <w:snapToGrid w:val="0"/>
        <w:spacing w:line="360" w:lineRule="auto"/>
        <w:ind w:firstLine="404" w:firstLineChars="200"/>
        <w:jc w:val="left"/>
        <w:rPr>
          <w:rFonts w:hint="eastAsia" w:ascii="微软雅黑" w:hAnsi="微软雅黑" w:eastAsia="微软雅黑"/>
          <w:b/>
          <w:bCs/>
          <w:sz w:val="21"/>
          <w:szCs w:val="21"/>
          <w:lang w:eastAsia="zh-CN"/>
        </w:rPr>
      </w:pPr>
      <w:r>
        <w:rPr>
          <w:rFonts w:hint="eastAsia" w:ascii="微软雅黑" w:hAnsi="微软雅黑" w:eastAsia="微软雅黑"/>
          <w:b/>
          <w:bCs/>
          <w:sz w:val="21"/>
          <w:szCs w:val="21"/>
        </w:rPr>
        <w:t>4</w:t>
      </w:r>
      <w:r>
        <w:rPr>
          <w:rFonts w:hint="eastAsia" w:ascii="微软雅黑" w:hAnsi="微软雅黑" w:eastAsia="微软雅黑"/>
          <w:b/>
          <w:bCs/>
          <w:sz w:val="21"/>
          <w:szCs w:val="21"/>
          <w:lang w:eastAsia="zh-CN"/>
        </w:rPr>
        <w:t>、</w:t>
      </w:r>
      <w:r>
        <w:rPr>
          <w:rFonts w:ascii="微软雅黑" w:hAnsi="微软雅黑" w:eastAsia="微软雅黑"/>
          <w:b/>
          <w:bCs/>
          <w:sz w:val="21"/>
          <w:szCs w:val="21"/>
        </w:rPr>
        <w:t>在报价评审时，如发现下列情形之一的，投标文件将被视为无效：</w:t>
      </w:r>
    </w:p>
    <w:p>
      <w:pPr>
        <w:pStyle w:val="20"/>
        <w:snapToGrid w:val="0"/>
        <w:spacing w:line="360" w:lineRule="auto"/>
        <w:ind w:firstLine="404" w:firstLineChars="200"/>
        <w:jc w:val="left"/>
        <w:rPr>
          <w:rFonts w:hint="eastAsia" w:ascii="微软雅黑" w:hAnsi="微软雅黑" w:eastAsia="微软雅黑"/>
          <w:sz w:val="21"/>
          <w:szCs w:val="21"/>
          <w:lang w:eastAsia="zh-CN"/>
        </w:rPr>
      </w:pPr>
      <w:r>
        <w:rPr>
          <w:rFonts w:ascii="微软雅黑" w:hAnsi="微软雅黑" w:eastAsia="微软雅黑"/>
          <w:sz w:val="21"/>
          <w:szCs w:val="21"/>
        </w:rPr>
        <w:t>（1）未采用人民币报价或者未按照招标文件标明的币种报价的；</w:t>
      </w:r>
    </w:p>
    <w:p>
      <w:pPr>
        <w:pStyle w:val="20"/>
        <w:snapToGrid w:val="0"/>
        <w:spacing w:line="360" w:lineRule="auto"/>
        <w:ind w:firstLine="404" w:firstLineChars="200"/>
        <w:jc w:val="left"/>
        <w:rPr>
          <w:rFonts w:hint="eastAsia" w:ascii="微软雅黑" w:hAnsi="微软雅黑" w:eastAsia="微软雅黑"/>
          <w:sz w:val="21"/>
          <w:szCs w:val="21"/>
          <w:lang w:eastAsia="zh-CN"/>
        </w:rPr>
      </w:pPr>
      <w:r>
        <w:rPr>
          <w:rFonts w:ascii="微软雅黑" w:hAnsi="微软雅黑" w:eastAsia="微软雅黑"/>
          <w:sz w:val="21"/>
          <w:szCs w:val="21"/>
        </w:rPr>
        <w:t>（2）报价超出最高限价</w:t>
      </w:r>
      <w:r>
        <w:rPr>
          <w:rFonts w:hint="eastAsia" w:ascii="微软雅黑" w:hAnsi="微软雅黑" w:eastAsia="微软雅黑"/>
          <w:sz w:val="21"/>
          <w:szCs w:val="21"/>
        </w:rPr>
        <w:t>；</w:t>
      </w:r>
    </w:p>
    <w:p>
      <w:pPr>
        <w:pStyle w:val="20"/>
        <w:snapToGrid w:val="0"/>
        <w:spacing w:line="360" w:lineRule="auto"/>
        <w:ind w:firstLine="404" w:firstLineChars="200"/>
        <w:jc w:val="left"/>
        <w:rPr>
          <w:rFonts w:hint="eastAsia" w:ascii="微软雅黑" w:hAnsi="微软雅黑" w:eastAsia="微软雅黑"/>
          <w:sz w:val="21"/>
          <w:szCs w:val="21"/>
          <w:lang w:eastAsia="zh-CN"/>
        </w:rPr>
      </w:pPr>
      <w:r>
        <w:rPr>
          <w:rFonts w:hint="eastAsia" w:ascii="微软雅黑" w:hAnsi="微软雅黑" w:eastAsia="微软雅黑"/>
          <w:sz w:val="21"/>
          <w:szCs w:val="21"/>
        </w:rPr>
        <w:t xml:space="preserve">（3）投标报价具有选择性，或者开标价格与投标文件承诺的优惠（折扣）价格不一致的。                                                                                            </w:t>
      </w:r>
    </w:p>
    <w:p>
      <w:pPr>
        <w:pStyle w:val="20"/>
        <w:snapToGrid w:val="0"/>
        <w:spacing w:line="360" w:lineRule="auto"/>
        <w:ind w:firstLine="404" w:firstLineChars="200"/>
        <w:jc w:val="left"/>
        <w:rPr>
          <w:rFonts w:ascii="微软雅黑" w:hAnsi="微软雅黑" w:eastAsia="微软雅黑"/>
          <w:b/>
          <w:snapToGrid w:val="0"/>
          <w:sz w:val="21"/>
          <w:szCs w:val="21"/>
        </w:rPr>
      </w:pPr>
      <w:r>
        <w:rPr>
          <w:rFonts w:hint="eastAsia" w:ascii="微软雅黑" w:hAnsi="微软雅黑" w:eastAsia="微软雅黑"/>
          <w:b/>
          <w:sz w:val="21"/>
          <w:szCs w:val="21"/>
        </w:rPr>
        <w:t>5</w:t>
      </w:r>
      <w:r>
        <w:rPr>
          <w:rFonts w:hint="eastAsia" w:ascii="微软雅黑" w:hAnsi="微软雅黑" w:eastAsia="微软雅黑"/>
          <w:b/>
          <w:sz w:val="21"/>
          <w:szCs w:val="21"/>
          <w:lang w:eastAsia="zh-CN"/>
        </w:rPr>
        <w:t>、</w:t>
      </w:r>
      <w:r>
        <w:rPr>
          <w:rFonts w:ascii="微软雅黑" w:hAnsi="微软雅黑" w:eastAsia="微软雅黑"/>
          <w:b/>
          <w:sz w:val="21"/>
          <w:szCs w:val="21"/>
        </w:rPr>
        <w:t>被拒绝的投标文件为无效。</w:t>
      </w:r>
    </w:p>
    <w:p>
      <w:pPr>
        <w:pStyle w:val="20"/>
        <w:snapToGrid w:val="0"/>
        <w:spacing w:line="360" w:lineRule="auto"/>
        <w:ind w:firstLine="404" w:firstLineChars="200"/>
        <w:jc w:val="left"/>
        <w:outlineLvl w:val="1"/>
        <w:rPr>
          <w:rFonts w:ascii="微软雅黑" w:hAnsi="微软雅黑" w:eastAsia="微软雅黑"/>
          <w:b/>
          <w:snapToGrid w:val="0"/>
          <w:sz w:val="21"/>
          <w:szCs w:val="21"/>
        </w:rPr>
      </w:pPr>
      <w:bookmarkStart w:id="212" w:name="_Toc50012885"/>
      <w:bookmarkStart w:id="213" w:name="_Toc33535369"/>
      <w:r>
        <w:rPr>
          <w:rFonts w:hint="eastAsia" w:ascii="微软雅黑" w:hAnsi="微软雅黑" w:eastAsia="微软雅黑"/>
          <w:b/>
          <w:sz w:val="21"/>
          <w:szCs w:val="21"/>
        </w:rPr>
        <w:t>四、开标</w:t>
      </w:r>
      <w:bookmarkEnd w:id="212"/>
      <w:bookmarkEnd w:id="213"/>
    </w:p>
    <w:p>
      <w:pPr>
        <w:pStyle w:val="25"/>
        <w:snapToGrid w:val="0"/>
        <w:spacing w:line="360" w:lineRule="auto"/>
        <w:ind w:firstLine="420" w:firstLineChars="200"/>
        <w:jc w:val="left"/>
        <w:rPr>
          <w:rFonts w:hint="eastAsia" w:ascii="微软雅黑" w:hAnsi="微软雅黑" w:eastAsia="微软雅黑"/>
          <w:b/>
          <w:bCs/>
          <w:szCs w:val="21"/>
        </w:rPr>
      </w:pPr>
      <w:r>
        <w:rPr>
          <w:rFonts w:ascii="微软雅黑" w:hAnsi="微软雅黑" w:eastAsia="微软雅黑"/>
          <w:b/>
          <w:bCs/>
          <w:szCs w:val="21"/>
        </w:rPr>
        <w:t>（一）开标准备</w:t>
      </w:r>
    </w:p>
    <w:p>
      <w:pPr>
        <w:pStyle w:val="25"/>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rPr>
        <w:t>1、开标的准备工作由采购组织机构负责落实；</w:t>
      </w:r>
    </w:p>
    <w:p>
      <w:pPr>
        <w:pStyle w:val="25"/>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5"/>
        <w:snapToGrid w:val="0"/>
        <w:spacing w:line="360" w:lineRule="auto"/>
        <w:ind w:firstLine="420" w:firstLineChars="200"/>
        <w:jc w:val="left"/>
        <w:rPr>
          <w:rFonts w:hint="eastAsia" w:ascii="微软雅黑" w:hAnsi="微软雅黑" w:eastAsia="微软雅黑"/>
          <w:b/>
          <w:bCs/>
          <w:szCs w:val="21"/>
        </w:rPr>
      </w:pPr>
      <w:r>
        <w:rPr>
          <w:rFonts w:hint="eastAsia" w:ascii="微软雅黑" w:hAnsi="微软雅黑" w:eastAsia="微软雅黑"/>
          <w:b/>
          <w:bCs/>
          <w:szCs w:val="21"/>
        </w:rPr>
        <w:t>(二 ) 采购人或者采购代理机构职责</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采购人或者采购代理机构负责组织评标工作，并履行下列职责：</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1、核对评审专家身份和采购人代表授权函，对评审专家在政府采购活动中的职责履行情况予以记录，并及时将有关违法违规行为向财政部门报告;</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2、宣布评标纪律;</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3、公布供应商名单，告知评审专家应当回避的情形;</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4、组织评标委员会推选评标组长，采购人代表不得担任组长;</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5、在评标期间采取必要的通讯管理措施，保证评标活动不受外界干扰;</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6、根据评标委员会的要求介绍政府采购相关政策法规、招标文件;</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7、维护评标秩序，监督评标委员会依照招标文件规定的评标程序、方法和标准进行独立评审，及时制止和纠正采购人代表、评审专家的倾向性言论或者违法违规行为;</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8、核对评标结果，根据《政府采购货物和服务招标投标管理办法》，如有第六十四条规定情形的，要求评标委员会复核或者书面说明理由，评标委员会拒绝的，应予记录并向本级财政部门报告;</w:t>
      </w:r>
    </w:p>
    <w:p>
      <w:pPr>
        <w:pStyle w:val="25"/>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rPr>
        <w:t>9、评审工作完成后，按照规定向评审专家支付劳务报酬和异地评审差旅费，不得向评审专家以外的其他人员支付评审劳务报酬;</w:t>
      </w:r>
    </w:p>
    <w:p>
      <w:pPr>
        <w:pStyle w:val="25"/>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rPr>
        <w:t>10、处理与评标有关的其他事项。</w:t>
      </w:r>
    </w:p>
    <w:p>
      <w:pPr>
        <w:pStyle w:val="25"/>
        <w:snapToGrid w:val="0"/>
        <w:spacing w:line="360" w:lineRule="auto"/>
        <w:ind w:firstLine="420" w:firstLineChars="200"/>
        <w:jc w:val="left"/>
        <w:rPr>
          <w:rFonts w:hint="eastAsia" w:ascii="微软雅黑" w:hAnsi="微软雅黑" w:eastAsia="微软雅黑" w:cs="宋体"/>
          <w:b/>
          <w:szCs w:val="21"/>
          <w:shd w:val="pct10" w:color="auto" w:fill="FFFFFF"/>
        </w:rPr>
      </w:pPr>
      <w:r>
        <w:rPr>
          <w:rFonts w:ascii="微软雅黑" w:hAnsi="微软雅黑" w:eastAsia="微软雅黑"/>
          <w:b/>
          <w:szCs w:val="21"/>
          <w:shd w:val="pct10" w:color="auto" w:fill="FFFFFF"/>
        </w:rPr>
        <w:t>（</w:t>
      </w:r>
      <w:r>
        <w:rPr>
          <w:rFonts w:hint="eastAsia" w:ascii="微软雅黑" w:hAnsi="微软雅黑" w:eastAsia="微软雅黑"/>
          <w:b/>
          <w:szCs w:val="21"/>
          <w:shd w:val="pct10" w:color="auto" w:fill="FFFFFF"/>
        </w:rPr>
        <w:t>三</w:t>
      </w:r>
      <w:r>
        <w:rPr>
          <w:rFonts w:ascii="微软雅黑" w:hAnsi="微软雅黑" w:eastAsia="微软雅黑"/>
          <w:b/>
          <w:szCs w:val="21"/>
          <w:shd w:val="pct10" w:color="auto" w:fill="FFFFFF"/>
        </w:rPr>
        <w:t>）</w:t>
      </w:r>
      <w:r>
        <w:rPr>
          <w:rFonts w:hint="eastAsia" w:ascii="微软雅黑" w:hAnsi="微软雅黑" w:eastAsia="微软雅黑" w:cs="宋体"/>
          <w:b/>
          <w:szCs w:val="21"/>
          <w:shd w:val="pct10" w:color="auto" w:fill="FFFFFF"/>
        </w:rPr>
        <w:t>开标流程（两阶段）</w:t>
      </w:r>
    </w:p>
    <w:p>
      <w:pPr>
        <w:pStyle w:val="20"/>
        <w:snapToGrid w:val="0"/>
        <w:spacing w:line="360" w:lineRule="auto"/>
        <w:ind w:firstLine="404" w:firstLineChars="200"/>
        <w:jc w:val="left"/>
        <w:rPr>
          <w:rFonts w:hint="eastAsia" w:ascii="微软雅黑" w:hAnsi="微软雅黑" w:eastAsia="微软雅黑"/>
          <w:b/>
          <w:sz w:val="21"/>
          <w:szCs w:val="21"/>
          <w:lang w:eastAsia="zh-CN"/>
        </w:rPr>
      </w:pPr>
      <w:r>
        <w:rPr>
          <w:rFonts w:hint="eastAsia" w:ascii="微软雅黑" w:hAnsi="微软雅黑" w:eastAsia="微软雅黑"/>
          <w:b/>
          <w:sz w:val="21"/>
          <w:szCs w:val="21"/>
        </w:rPr>
        <w:t>1</w:t>
      </w:r>
      <w:r>
        <w:rPr>
          <w:rFonts w:hint="eastAsia" w:ascii="微软雅黑" w:hAnsi="微软雅黑" w:eastAsia="微软雅黑"/>
          <w:b/>
          <w:sz w:val="21"/>
          <w:szCs w:val="21"/>
          <w:lang w:eastAsia="zh-CN"/>
        </w:rPr>
        <w:t>、</w:t>
      </w:r>
      <w:r>
        <w:rPr>
          <w:rFonts w:hint="eastAsia" w:ascii="微软雅黑" w:hAnsi="微软雅黑" w:eastAsia="微软雅黑"/>
          <w:b/>
          <w:sz w:val="21"/>
          <w:szCs w:val="21"/>
        </w:rPr>
        <w:t>开标第一阶段</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kern w:val="0"/>
          <w:szCs w:val="21"/>
          <w:shd w:val="pct10" w:color="auto" w:fill="FFFFFF"/>
        </w:rPr>
        <w:t>（2）投标文件解密，解密成功后，代理公司将建立各投标人针对本项目招投标的钉钉群；</w:t>
      </w:r>
      <w:r>
        <w:rPr>
          <w:rFonts w:hint="eastAsia" w:ascii="微软雅黑" w:hAnsi="微软雅黑" w:eastAsia="微软雅黑" w:cs="宋体"/>
          <w:b/>
          <w:kern w:val="0"/>
          <w:szCs w:val="21"/>
          <w:shd w:val="pct10" w:color="auto" w:fill="FFFFFF"/>
        </w:rPr>
        <w:t>（请各投标单位在投标截止时间前注册完成钉钉联系方式）</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（3）开启投标文件，进入资格审查；</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（4）开启资格审查通过的投标供应商的商务技术文件进入符合性审查、商务技术评审；</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（5）第一阶段开标结束。</w:t>
      </w:r>
    </w:p>
    <w:p>
      <w:pPr>
        <w:spacing w:line="360" w:lineRule="auto"/>
        <w:ind w:firstLine="420" w:firstLineChars="200"/>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0" w:firstLineChars="200"/>
        <w:jc w:val="left"/>
        <w:rPr>
          <w:rFonts w:hint="eastAsia"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2、开标大会第二阶段</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符合性审查、商务技术评审结束后，举行开标大会第二阶段会议。首先通过钉钉群方式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2）开启符合性审查、商务技术评审有效投标供应商的《报价文件》，通过钉钉群方式公布开标一览表有关内容，同时当场制作开标记录表，供应商可在钉钉群中确认（不予确认的应说明理由，否则视为无异议）。唱标结束后，由评标委员会对报价的合理性、准确性等进行审查核实。</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（3）评审结束后，通过钉钉群方式公布中标（成交）候选供应商名单，及采购人最终确定中标或成交供应商名单的时间和公告方式等。</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特别说明：如遇“政府采购云平台”电子化开标或评审程序调整的，按调整后程序执行。</w:t>
      </w:r>
    </w:p>
    <w:p>
      <w:pPr>
        <w:spacing w:line="360" w:lineRule="auto"/>
        <w:ind w:firstLine="420" w:firstLineChars="200"/>
        <w:jc w:val="left"/>
        <w:rPr>
          <w:rFonts w:hint="eastAsia" w:ascii="微软雅黑" w:hAnsi="微软雅黑" w:eastAsia="微软雅黑" w:cs="宋体"/>
          <w:b/>
          <w:kern w:val="0"/>
          <w:szCs w:val="21"/>
          <w:shd w:val="pct10" w:color="auto" w:fill="FFFFFF"/>
        </w:rPr>
      </w:pPr>
      <w:bookmarkStart w:id="214" w:name="_Toc33194393"/>
      <w:bookmarkStart w:id="215" w:name="_Toc24550037"/>
      <w:r>
        <w:rPr>
          <w:rFonts w:hint="eastAsia" w:ascii="微软雅黑" w:hAnsi="微软雅黑" w:eastAsia="微软雅黑" w:cs="宋体"/>
          <w:b/>
          <w:kern w:val="0"/>
          <w:szCs w:val="21"/>
          <w:shd w:val="pct10" w:color="auto" w:fill="FFFFFF"/>
        </w:rPr>
        <w:t>（四）投标供应商资格审查</w:t>
      </w:r>
      <w:bookmarkEnd w:id="214"/>
      <w:bookmarkEnd w:id="215"/>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420" w:firstLineChars="200"/>
        <w:jc w:val="left"/>
        <w:rPr>
          <w:rFonts w:hint="eastAsia"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3、单位负责人为同一人或者存在直接控股、管理关系的不同供应商参加同一合同项下的政府采购活动的，相关投标供应商均作资格无效处理。</w:t>
      </w:r>
    </w:p>
    <w:p>
      <w:pPr>
        <w:pStyle w:val="25"/>
        <w:snapToGrid w:val="0"/>
        <w:spacing w:line="360" w:lineRule="auto"/>
        <w:ind w:firstLine="420" w:firstLineChars="200"/>
        <w:jc w:val="left"/>
        <w:outlineLvl w:val="1"/>
        <w:rPr>
          <w:rFonts w:ascii="微软雅黑" w:hAnsi="微软雅黑" w:eastAsia="微软雅黑"/>
          <w:b/>
          <w:szCs w:val="21"/>
        </w:rPr>
      </w:pPr>
      <w:bookmarkStart w:id="216" w:name="_Toc50012886"/>
      <w:bookmarkStart w:id="217" w:name="_Toc33535370"/>
      <w:r>
        <w:rPr>
          <w:rFonts w:hint="eastAsia" w:ascii="微软雅黑" w:hAnsi="微软雅黑" w:eastAsia="微软雅黑"/>
          <w:b/>
          <w:szCs w:val="21"/>
        </w:rPr>
        <w:t>五、评标</w:t>
      </w:r>
      <w:bookmarkEnd w:id="216"/>
      <w:bookmarkEnd w:id="217"/>
    </w:p>
    <w:p>
      <w:pPr>
        <w:pStyle w:val="25"/>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t>（一）组建评标委员会</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cs="宋体"/>
          <w:kern w:val="0"/>
          <w:szCs w:val="21"/>
        </w:rPr>
        <w:t>评标委员会由采购人代表和评审专家组成，</w:t>
      </w:r>
      <w:r>
        <w:rPr>
          <w:rFonts w:ascii="微软雅黑" w:hAnsi="微软雅黑" w:eastAsia="微软雅黑"/>
          <w:szCs w:val="21"/>
        </w:rPr>
        <w:t>政府采购评审专家</w:t>
      </w:r>
      <w:r>
        <w:rPr>
          <w:rFonts w:hint="eastAsia" w:ascii="微软雅黑" w:hAnsi="微软雅黑" w:eastAsia="微软雅黑"/>
          <w:szCs w:val="21"/>
          <w:u w:val="single"/>
          <w:lang w:eastAsia="zh-CN"/>
        </w:rPr>
        <w:t>5</w:t>
      </w:r>
      <w:r>
        <w:rPr>
          <w:rFonts w:ascii="微软雅黑" w:hAnsi="微软雅黑" w:eastAsia="微软雅黑"/>
          <w:szCs w:val="21"/>
        </w:rPr>
        <w:t>人和采购人代表</w:t>
      </w:r>
      <w:r>
        <w:rPr>
          <w:rFonts w:hint="eastAsia" w:ascii="微软雅黑" w:hAnsi="微软雅黑" w:eastAsia="微软雅黑"/>
          <w:szCs w:val="21"/>
          <w:u w:val="single"/>
          <w:lang w:eastAsia="zh-CN"/>
        </w:rPr>
        <w:t>2</w:t>
      </w:r>
      <w:r>
        <w:rPr>
          <w:rFonts w:ascii="微软雅黑" w:hAnsi="微软雅黑" w:eastAsia="微软雅黑"/>
          <w:szCs w:val="21"/>
        </w:rPr>
        <w:t>人,共</w:t>
      </w:r>
      <w:r>
        <w:rPr>
          <w:rFonts w:ascii="微软雅黑" w:hAnsi="微软雅黑" w:eastAsia="微软雅黑"/>
          <w:szCs w:val="21"/>
          <w:u w:val="single"/>
        </w:rPr>
        <w:t xml:space="preserve"> </w:t>
      </w:r>
      <w:r>
        <w:rPr>
          <w:rFonts w:hint="eastAsia" w:ascii="微软雅黑" w:hAnsi="微软雅黑" w:eastAsia="微软雅黑"/>
          <w:szCs w:val="21"/>
          <w:u w:val="single"/>
        </w:rPr>
        <w:t>5</w:t>
      </w:r>
      <w:r>
        <w:rPr>
          <w:rFonts w:ascii="微软雅黑" w:hAnsi="微软雅黑" w:eastAsia="微软雅黑"/>
          <w:szCs w:val="21"/>
        </w:rPr>
        <w:t>人组成。</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评标委员会负责具体评标事务，并独立履行下列职责：</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1、审查、评价投标文件是否符合招标文件的商务、技术等实质性要求;</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2、要求供应商对投标文件有关事项作出澄清或者说明;</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3、对投标文件进行比较和评价;</w:t>
      </w:r>
    </w:p>
    <w:p>
      <w:pPr>
        <w:widowControl/>
        <w:shd w:val="clear" w:color="auto" w:fill="FFFFFF"/>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4、确定中标候选人名单，以及根据采购人委托直接确定中标人;</w:t>
      </w:r>
    </w:p>
    <w:p>
      <w:pPr>
        <w:widowControl/>
        <w:shd w:val="clear" w:color="auto" w:fill="FFFFFF"/>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rPr>
        <w:t>5、向采购人、采购代理机构或者有关部门报告评标中发现的违法行为。</w:t>
      </w:r>
    </w:p>
    <w:p>
      <w:pPr>
        <w:widowControl/>
        <w:shd w:val="clear" w:color="auto" w:fill="FFFFFF"/>
        <w:spacing w:line="360" w:lineRule="auto"/>
        <w:ind w:firstLine="420" w:firstLineChars="200"/>
        <w:jc w:val="left"/>
        <w:rPr>
          <w:rFonts w:hint="eastAsia" w:ascii="微软雅黑" w:hAnsi="微软雅黑" w:eastAsia="微软雅黑" w:cs="宋体"/>
          <w:b/>
          <w:kern w:val="0"/>
          <w:szCs w:val="21"/>
        </w:rPr>
      </w:pPr>
      <w:r>
        <w:rPr>
          <w:rFonts w:hint="eastAsia" w:ascii="微软雅黑" w:hAnsi="微软雅黑" w:eastAsia="微软雅黑" w:cs="宋体"/>
          <w:b/>
          <w:kern w:val="0"/>
          <w:szCs w:val="21"/>
        </w:rPr>
        <w:t>除采购人代表、评标现场组织人员外，采购人的其他工作人员以及与评标工作无关的人员不得进入评标现场。</w:t>
      </w:r>
    </w:p>
    <w:p>
      <w:pPr>
        <w:pStyle w:val="25"/>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t>（二）评标的方式</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本项目采用不公开方式评标，评标的依据为招标文件和投标文件。</w:t>
      </w:r>
    </w:p>
    <w:p>
      <w:pPr>
        <w:pStyle w:val="25"/>
        <w:snapToGrid w:val="0"/>
        <w:spacing w:line="360" w:lineRule="auto"/>
        <w:ind w:firstLine="420" w:firstLineChars="200"/>
        <w:jc w:val="left"/>
        <w:rPr>
          <w:rFonts w:hint="eastAsia" w:ascii="微软雅黑" w:hAnsi="微软雅黑" w:eastAsia="微软雅黑"/>
          <w:b/>
          <w:bCs/>
          <w:szCs w:val="21"/>
        </w:rPr>
      </w:pPr>
      <w:r>
        <w:rPr>
          <w:rFonts w:ascii="微软雅黑" w:hAnsi="微软雅黑" w:eastAsia="微软雅黑"/>
          <w:b/>
          <w:szCs w:val="21"/>
        </w:rPr>
        <w:t>（三）</w:t>
      </w:r>
      <w:r>
        <w:rPr>
          <w:rFonts w:ascii="微软雅黑" w:hAnsi="微软雅黑" w:eastAsia="微软雅黑"/>
          <w:b/>
          <w:bCs/>
          <w:szCs w:val="21"/>
        </w:rPr>
        <w:t>评标程序</w:t>
      </w:r>
    </w:p>
    <w:p>
      <w:pPr>
        <w:pStyle w:val="25"/>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20" w:firstLineChars="200"/>
        <w:jc w:val="left"/>
        <w:rPr>
          <w:rFonts w:ascii="微软雅黑" w:hAnsi="微软雅黑" w:eastAsia="微软雅黑"/>
          <w:b/>
          <w:bCs/>
          <w:szCs w:val="21"/>
        </w:rPr>
      </w:pPr>
      <w:r>
        <w:rPr>
          <w:rFonts w:ascii="微软雅黑" w:hAnsi="微软雅黑" w:eastAsia="微软雅黑"/>
          <w:b/>
          <w:bCs/>
          <w:szCs w:val="21"/>
        </w:rPr>
        <w:t>1</w:t>
      </w:r>
      <w:r>
        <w:rPr>
          <w:rFonts w:hint="eastAsia" w:ascii="微软雅黑" w:hAnsi="微软雅黑" w:eastAsia="微软雅黑"/>
          <w:b/>
          <w:bCs/>
          <w:szCs w:val="21"/>
        </w:rPr>
        <w:t>、</w:t>
      </w:r>
      <w:r>
        <w:rPr>
          <w:rFonts w:ascii="微软雅黑" w:hAnsi="微软雅黑" w:eastAsia="微软雅黑"/>
          <w:b/>
          <w:bCs/>
          <w:szCs w:val="21"/>
        </w:rPr>
        <w:t>形式审查</w:t>
      </w:r>
    </w:p>
    <w:p>
      <w:pPr>
        <w:snapToGrid w:val="0"/>
        <w:spacing w:line="360" w:lineRule="auto"/>
        <w:ind w:firstLine="420" w:firstLineChars="200"/>
        <w:jc w:val="left"/>
        <w:rPr>
          <w:rFonts w:hint="eastAsia" w:ascii="微软雅黑" w:hAnsi="微软雅黑" w:eastAsia="微软雅黑"/>
          <w:bCs/>
          <w:szCs w:val="21"/>
        </w:rPr>
      </w:pPr>
      <w:r>
        <w:rPr>
          <w:rFonts w:ascii="微软雅黑" w:hAnsi="微软雅黑" w:eastAsia="微软雅黑"/>
          <w:bCs/>
          <w:szCs w:val="21"/>
        </w:rPr>
        <w:t>形式审查</w:t>
      </w:r>
      <w:r>
        <w:rPr>
          <w:rFonts w:hint="eastAsia" w:ascii="微软雅黑" w:hAnsi="微软雅黑" w:eastAsia="微软雅黑"/>
          <w:bCs/>
          <w:szCs w:val="21"/>
        </w:rPr>
        <w:t>包括资格审查（除符合性审查以外的关于供应商资格条件等内容）和符合性审查，即对供应商的资格</w:t>
      </w:r>
      <w:r>
        <w:rPr>
          <w:rFonts w:ascii="微软雅黑" w:hAnsi="微软雅黑" w:eastAsia="微软雅黑"/>
          <w:bCs/>
          <w:szCs w:val="21"/>
        </w:rPr>
        <w:t>和投标文件的完整性、合法性等进行审查。</w:t>
      </w:r>
      <w:r>
        <w:rPr>
          <w:rFonts w:hint="eastAsia" w:ascii="微软雅黑" w:hAnsi="微软雅黑" w:eastAsia="微软雅黑"/>
          <w:bCs/>
          <w:szCs w:val="21"/>
        </w:rPr>
        <w:t>投标文件形式审查未通过的供应商，其投标文件将不再评审。</w:t>
      </w:r>
    </w:p>
    <w:p>
      <w:pPr>
        <w:snapToGrid w:val="0"/>
        <w:spacing w:line="360" w:lineRule="auto"/>
        <w:ind w:firstLine="420" w:firstLineChars="200"/>
        <w:jc w:val="left"/>
        <w:rPr>
          <w:rFonts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w:t>
      </w:r>
      <w:r>
        <w:rPr>
          <w:rFonts w:ascii="微软雅黑" w:hAnsi="微软雅黑" w:eastAsia="微软雅黑"/>
          <w:b/>
          <w:bCs/>
          <w:szCs w:val="21"/>
        </w:rPr>
        <w:t>实质审查与比较</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1）评标委员会审查投标文件的实质性内容是否符合招标文件的实质性要求。</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询标</w:t>
      </w:r>
      <w:r>
        <w:rPr>
          <w:rFonts w:hint="eastAsia" w:ascii="微软雅黑" w:hAnsi="微软雅黑" w:eastAsia="微软雅黑"/>
          <w:szCs w:val="21"/>
        </w:rPr>
        <w:t>时，供应商代表未到场或者拒绝澄清或者澄清的内容改变了投标文件的实质性内容的，评标委员会有权对该投标文件作出不利于供应商的评判。</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3）各供应商的</w:t>
      </w:r>
      <w:r>
        <w:rPr>
          <w:rFonts w:hint="eastAsia" w:ascii="微软雅黑" w:hAnsi="微软雅黑" w:eastAsia="微软雅黑"/>
          <w:szCs w:val="21"/>
        </w:rPr>
        <w:t>资信商务及技术分按照评标委员会成员的独立评分结果汇后的算术平均分计算</w:t>
      </w:r>
      <w:r>
        <w:rPr>
          <w:rFonts w:ascii="微软雅黑" w:hAnsi="微软雅黑" w:eastAsia="微软雅黑"/>
          <w:szCs w:val="21"/>
        </w:rPr>
        <w:t>。</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4）</w:t>
      </w:r>
      <w:r>
        <w:rPr>
          <w:rFonts w:hint="eastAsia" w:ascii="微软雅黑" w:hAnsi="微软雅黑" w:eastAsia="微软雅黑"/>
          <w:szCs w:val="21"/>
        </w:rPr>
        <w:t>采购代理机构工作人员协助</w:t>
      </w:r>
      <w:r>
        <w:rPr>
          <w:rFonts w:ascii="微软雅黑" w:hAnsi="微软雅黑" w:eastAsia="微软雅黑"/>
          <w:szCs w:val="21"/>
        </w:rPr>
        <w:t>评标委员会根据</w:t>
      </w:r>
      <w:r>
        <w:rPr>
          <w:rFonts w:hint="eastAsia" w:ascii="微软雅黑" w:hAnsi="微软雅黑" w:eastAsia="微软雅黑"/>
          <w:szCs w:val="21"/>
        </w:rPr>
        <w:t>本项目的评分标准操作政府采购业务系统，由系统</w:t>
      </w:r>
      <w:r>
        <w:rPr>
          <w:rFonts w:ascii="微软雅黑" w:hAnsi="微软雅黑" w:eastAsia="微软雅黑"/>
          <w:szCs w:val="21"/>
        </w:rPr>
        <w:t>计算各供应商的商务报价得分</w:t>
      </w:r>
      <w:r>
        <w:rPr>
          <w:rFonts w:hint="eastAsia" w:ascii="微软雅黑" w:hAnsi="微软雅黑" w:eastAsia="微软雅黑"/>
          <w:szCs w:val="21"/>
        </w:rPr>
        <w:t>。</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5）评标委员会完成评标后,评委对各部分得分汇总,</w:t>
      </w:r>
      <w:r>
        <w:rPr>
          <w:rFonts w:hint="eastAsia" w:ascii="微软雅黑" w:hAnsi="微软雅黑" w:eastAsia="微软雅黑"/>
          <w:szCs w:val="21"/>
        </w:rPr>
        <w:t>计算</w:t>
      </w:r>
      <w:r>
        <w:rPr>
          <w:rFonts w:ascii="微软雅黑" w:hAnsi="微软雅黑" w:eastAsia="微软雅黑"/>
          <w:szCs w:val="21"/>
        </w:rPr>
        <w:t>出本项目</w:t>
      </w:r>
      <w:r>
        <w:rPr>
          <w:rFonts w:hint="eastAsia" w:ascii="微软雅黑" w:hAnsi="微软雅黑" w:eastAsia="微软雅黑"/>
          <w:szCs w:val="21"/>
        </w:rPr>
        <w:t>最终得分、性价比、评标价等</w:t>
      </w:r>
      <w:r>
        <w:rPr>
          <w:rFonts w:ascii="微软雅黑" w:hAnsi="微软雅黑" w:eastAsia="微软雅黑"/>
          <w:szCs w:val="21"/>
        </w:rPr>
        <w:t>。评标委员会按评标原则推荐中标候选人同时起草评标报告。</w:t>
      </w:r>
    </w:p>
    <w:p>
      <w:pPr>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（四）澄清问题的形式</w:t>
      </w:r>
    </w:p>
    <w:p>
      <w:pPr>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cs="宋体"/>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cs="宋体"/>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5"/>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t>（五）错误修正</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投标文件如果出现计算或表达上的错误，修正错误的原则如下：</w:t>
      </w:r>
    </w:p>
    <w:p>
      <w:pPr>
        <w:pStyle w:val="25"/>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投标文件的大写金额和小写金额不一致的，以大写金额为准；</w:t>
      </w:r>
    </w:p>
    <w:p>
      <w:pPr>
        <w:pStyle w:val="25"/>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总价金额与按单价汇总金额不一致的，以单价金额计算结果为准；</w:t>
      </w:r>
    </w:p>
    <w:p>
      <w:pPr>
        <w:pStyle w:val="25"/>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对不同文字文本投标文件的解释发生异议的，以中文文本为准。</w:t>
      </w:r>
    </w:p>
    <w:p>
      <w:pPr>
        <w:pStyle w:val="25"/>
        <w:tabs>
          <w:tab w:val="left" w:pos="630"/>
        </w:tabs>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t>（六）评标原则和评标办法</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评标办法。本项目评标办法是</w:t>
      </w:r>
      <w:r>
        <w:rPr>
          <w:rFonts w:hint="eastAsia" w:ascii="微软雅黑" w:hAnsi="微软雅黑" w:eastAsia="微软雅黑"/>
          <w:szCs w:val="21"/>
        </w:rPr>
        <w:t xml:space="preserve"> 综合评标法</w:t>
      </w:r>
      <w:r>
        <w:rPr>
          <w:rFonts w:ascii="微软雅黑" w:hAnsi="微软雅黑" w:eastAsia="微软雅黑"/>
          <w:szCs w:val="21"/>
        </w:rPr>
        <w:t xml:space="preserve"> ，具体评标内容及评分标准等详见《第四章：评标办法及评分标准》。</w:t>
      </w:r>
    </w:p>
    <w:p>
      <w:pPr>
        <w:pStyle w:val="25"/>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t>（七）评标过程的监控</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本项目评标过程实行全程录音、录像监控</w:t>
      </w:r>
      <w:r>
        <w:rPr>
          <w:rFonts w:hint="eastAsia" w:ascii="微软雅黑" w:hAnsi="微软雅黑" w:eastAsia="微软雅黑"/>
          <w:szCs w:val="21"/>
        </w:rPr>
        <w:t>。</w:t>
      </w:r>
      <w:r>
        <w:rPr>
          <w:rFonts w:ascii="微软雅黑" w:hAnsi="微软雅黑" w:eastAsia="微软雅黑"/>
          <w:szCs w:val="21"/>
        </w:rPr>
        <w:t>供应商在评标过程中所进行的</w:t>
      </w:r>
      <w:r>
        <w:rPr>
          <w:rFonts w:hint="eastAsia" w:ascii="微软雅黑" w:hAnsi="微软雅黑" w:eastAsia="微软雅黑"/>
          <w:szCs w:val="21"/>
        </w:rPr>
        <w:t>试</w:t>
      </w:r>
      <w:r>
        <w:rPr>
          <w:rFonts w:ascii="微软雅黑" w:hAnsi="微软雅黑" w:eastAsia="微软雅黑"/>
          <w:szCs w:val="21"/>
        </w:rPr>
        <w:t>图影响评标结果的不公正活动，可能导致其投标被拒绝。</w:t>
      </w:r>
    </w:p>
    <w:p>
      <w:pPr>
        <w:pStyle w:val="25"/>
        <w:snapToGrid w:val="0"/>
        <w:spacing w:line="360" w:lineRule="auto"/>
        <w:ind w:firstLine="420" w:firstLineChars="200"/>
        <w:jc w:val="left"/>
        <w:outlineLvl w:val="1"/>
        <w:rPr>
          <w:rFonts w:ascii="微软雅黑" w:hAnsi="微软雅黑" w:eastAsia="微软雅黑"/>
          <w:b/>
          <w:szCs w:val="21"/>
        </w:rPr>
      </w:pPr>
      <w:bookmarkStart w:id="218" w:name="_Toc50012887"/>
      <w:bookmarkStart w:id="219" w:name="_Toc33535371"/>
      <w:r>
        <w:rPr>
          <w:rFonts w:hint="eastAsia" w:ascii="微软雅黑" w:hAnsi="微软雅黑" w:eastAsia="微软雅黑"/>
          <w:b/>
          <w:szCs w:val="21"/>
        </w:rPr>
        <w:t>六、定标</w:t>
      </w:r>
      <w:bookmarkEnd w:id="218"/>
      <w:bookmarkEnd w:id="219"/>
    </w:p>
    <w:p>
      <w:pPr>
        <w:pStyle w:val="25"/>
        <w:snapToGrid w:val="0"/>
        <w:spacing w:line="360" w:lineRule="auto"/>
        <w:ind w:firstLine="420" w:firstLineChars="200"/>
        <w:jc w:val="left"/>
        <w:rPr>
          <w:rFonts w:ascii="微软雅黑" w:hAnsi="微软雅黑" w:eastAsia="微软雅黑"/>
          <w:b/>
          <w:bCs/>
          <w:szCs w:val="21"/>
        </w:rPr>
      </w:pPr>
      <w:r>
        <w:rPr>
          <w:rFonts w:hint="eastAsia" w:ascii="微软雅黑" w:hAnsi="微软雅黑" w:eastAsia="微软雅黑"/>
          <w:b/>
          <w:bCs/>
          <w:szCs w:val="21"/>
        </w:rPr>
        <w:t>（一）确定中标人。</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、采购代理机构</w:t>
      </w:r>
      <w:r>
        <w:rPr>
          <w:rFonts w:ascii="微软雅黑" w:hAnsi="微软雅黑" w:eastAsia="微软雅黑"/>
          <w:szCs w:val="21"/>
        </w:rPr>
        <w:t>在评标结束后2个工作日内将评标报告交采购人确认，同时在发布招标公告的网站上对评标结果进行</w:t>
      </w:r>
      <w:r>
        <w:rPr>
          <w:rFonts w:hint="eastAsia" w:ascii="微软雅黑" w:hAnsi="微软雅黑" w:eastAsia="微软雅黑"/>
          <w:szCs w:val="21"/>
        </w:rPr>
        <w:t>公告</w:t>
      </w:r>
      <w:r>
        <w:rPr>
          <w:rFonts w:ascii="微软雅黑" w:hAnsi="微软雅黑" w:eastAsia="微软雅黑"/>
          <w:szCs w:val="21"/>
        </w:rPr>
        <w:t>。</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 在公告中标结果的同时，采购代理机构向中标人发出中标通知书。</w:t>
      </w:r>
    </w:p>
    <w:p>
      <w:pPr>
        <w:pStyle w:val="25"/>
        <w:snapToGrid w:val="0"/>
        <w:spacing w:line="360" w:lineRule="auto"/>
        <w:ind w:firstLine="420" w:firstLineChars="200"/>
        <w:jc w:val="left"/>
        <w:outlineLvl w:val="1"/>
        <w:rPr>
          <w:rFonts w:ascii="微软雅黑" w:hAnsi="微软雅黑" w:eastAsia="微软雅黑"/>
          <w:b/>
          <w:szCs w:val="21"/>
        </w:rPr>
      </w:pPr>
      <w:bookmarkStart w:id="220" w:name="_Toc50012888"/>
      <w:bookmarkStart w:id="221" w:name="_Toc33535372"/>
      <w:r>
        <w:rPr>
          <w:rFonts w:hint="eastAsia" w:ascii="微软雅黑" w:hAnsi="微软雅黑" w:eastAsia="微软雅黑"/>
          <w:b/>
          <w:szCs w:val="21"/>
        </w:rPr>
        <w:t>七、合同授予</w:t>
      </w:r>
      <w:bookmarkEnd w:id="220"/>
      <w:bookmarkEnd w:id="221"/>
    </w:p>
    <w:p>
      <w:pPr>
        <w:snapToGrid w:val="0"/>
        <w:spacing w:line="360" w:lineRule="auto"/>
        <w:ind w:firstLine="420" w:firstLineChars="200"/>
        <w:jc w:val="left"/>
        <w:rPr>
          <w:rFonts w:ascii="微软雅黑" w:hAnsi="微软雅黑" w:eastAsia="微软雅黑"/>
          <w:bCs/>
          <w:szCs w:val="21"/>
        </w:rPr>
      </w:pPr>
      <w:r>
        <w:rPr>
          <w:rFonts w:hint="eastAsia" w:ascii="微软雅黑" w:hAnsi="微软雅黑" w:eastAsia="微软雅黑"/>
          <w:b/>
          <w:bCs/>
          <w:szCs w:val="21"/>
        </w:rPr>
        <w:t>（一）签订合同</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、采购人与</w:t>
      </w:r>
      <w:r>
        <w:rPr>
          <w:rFonts w:ascii="微软雅黑" w:hAnsi="微软雅黑" w:eastAsia="微软雅黑"/>
          <w:szCs w:val="21"/>
        </w:rPr>
        <w:t>中标人应</w:t>
      </w:r>
      <w:r>
        <w:rPr>
          <w:rFonts w:hint="eastAsia" w:ascii="微软雅黑" w:hAnsi="微软雅黑" w:eastAsia="微软雅黑"/>
          <w:szCs w:val="21"/>
        </w:rPr>
        <w:t>当在中标公示发出之日起30日内签订政府采购合同。同时，采购机构对合同内容进行审查，如发现与采购结果和投标承诺内容不一致的，将予以纠正。</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中标人拖延、拒签合同的,将被取消中标资格</w:t>
      </w:r>
      <w:r>
        <w:rPr>
          <w:rFonts w:hint="eastAsia" w:ascii="微软雅黑" w:hAnsi="微软雅黑" w:eastAsia="微软雅黑"/>
          <w:szCs w:val="21"/>
        </w:rPr>
        <w:t>，并报监督管理部门</w:t>
      </w:r>
      <w:r>
        <w:rPr>
          <w:rFonts w:ascii="微软雅黑" w:hAnsi="微软雅黑" w:eastAsia="微软雅黑"/>
          <w:szCs w:val="21"/>
        </w:rPr>
        <w:t>。</w:t>
      </w:r>
    </w:p>
    <w:p>
      <w:pPr>
        <w:pStyle w:val="25"/>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t>（二）履约保证金</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中标人应根据招标文件确定的履约保证金的金额，向采购</w:t>
      </w:r>
      <w:r>
        <w:rPr>
          <w:rFonts w:hint="eastAsia" w:ascii="微软雅黑" w:hAnsi="微软雅黑" w:eastAsia="微软雅黑"/>
          <w:szCs w:val="21"/>
        </w:rPr>
        <w:t>人</w:t>
      </w:r>
      <w:r>
        <w:rPr>
          <w:rFonts w:ascii="微软雅黑" w:hAnsi="微软雅黑" w:eastAsia="微软雅黑"/>
          <w:szCs w:val="21"/>
        </w:rPr>
        <w:t>交纳履约保证金。</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如中标人不按双方合同约定履约，则没收其全部履约保证金，履约保证金不足以赔偿损失的，按实际损失赔偿。</w:t>
      </w:r>
    </w:p>
    <w:p>
      <w:pPr>
        <w:snapToGrid w:val="0"/>
        <w:spacing w:line="360" w:lineRule="auto"/>
        <w:ind w:firstLine="420" w:firstLineChars="200"/>
        <w:jc w:val="left"/>
        <w:outlineLvl w:val="1"/>
        <w:rPr>
          <w:rFonts w:ascii="微软雅黑" w:hAnsi="微软雅黑" w:eastAsia="微软雅黑"/>
          <w:b/>
          <w:szCs w:val="21"/>
        </w:rPr>
      </w:pPr>
      <w:bookmarkStart w:id="222" w:name="_Toc50012889"/>
      <w:r>
        <w:rPr>
          <w:rFonts w:hint="eastAsia" w:ascii="微软雅黑" w:hAnsi="微软雅黑" w:eastAsia="微软雅黑"/>
          <w:b/>
          <w:szCs w:val="21"/>
        </w:rPr>
        <w:t>八、招标代理费</w:t>
      </w:r>
      <w:bookmarkEnd w:id="164"/>
      <w:bookmarkEnd w:id="222"/>
    </w:p>
    <w:p>
      <w:pPr>
        <w:pStyle w:val="25"/>
        <w:snapToGrid w:val="0"/>
        <w:spacing w:line="360" w:lineRule="auto"/>
        <w:ind w:firstLine="420" w:firstLineChars="200"/>
        <w:jc w:val="left"/>
        <w:rPr>
          <w:rFonts w:hint="eastAsia" w:ascii="微软雅黑" w:hAnsi="微软雅黑" w:eastAsia="微软雅黑"/>
          <w:szCs w:val="21"/>
          <w:lang w:eastAsia="zh-CN"/>
        </w:rPr>
      </w:pPr>
      <w:bookmarkStart w:id="223" w:name="_Toc493511752"/>
      <w:r>
        <w:rPr>
          <w:rFonts w:hint="eastAsia" w:ascii="微软雅黑" w:hAnsi="微软雅黑" w:eastAsia="微软雅黑"/>
          <w:szCs w:val="21"/>
        </w:rPr>
        <w:t>1、根据“国家发展和改革委员会办公厅《关于招标代理服务收费有关问题的通知》（发改办价格【2003】857号、财库【2018】2号第十五条）”规定，招标代理机构向中标人收取招标代理服务费。</w:t>
      </w:r>
    </w:p>
    <w:p>
      <w:pPr>
        <w:pStyle w:val="25"/>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2、中标人应在收取《中标通知书》时向采购代理机构交纳招标代理服务费，服务费的收费标准按浙价服〔2003〕77号文规定计算</w:t>
      </w:r>
      <w:bookmarkEnd w:id="223"/>
    </w:p>
    <w:tbl>
      <w:tblPr>
        <w:tblStyle w:val="4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snapToGrid w:val="0"/>
              <w:spacing w:line="360" w:lineRule="auto"/>
              <w:ind w:firstLine="420" w:firstLineChars="200"/>
              <w:jc w:val="left"/>
              <w:outlineLvl w:val="1"/>
              <w:rPr>
                <w:rFonts w:ascii="微软雅黑" w:hAnsi="微软雅黑" w:eastAsia="微软雅黑"/>
                <w:szCs w:val="21"/>
              </w:rPr>
            </w:pPr>
            <w:bookmarkStart w:id="224" w:name="_Toc50012890"/>
            <w:bookmarkStart w:id="225" w:name="_Toc493511753"/>
            <w:r>
              <w:rPr>
                <w:rFonts w:hint="eastAsia" w:ascii="微软雅黑" w:hAnsi="微软雅黑" w:eastAsia="微软雅黑"/>
                <w:szCs w:val="21"/>
              </w:rPr>
              <w:t>中标金额（万元）</w:t>
            </w:r>
            <w:bookmarkEnd w:id="224"/>
            <w:bookmarkEnd w:id="225"/>
          </w:p>
        </w:tc>
        <w:tc>
          <w:tcPr>
            <w:tcW w:w="2160" w:type="dxa"/>
            <w:tcBorders>
              <w:top w:val="double" w:color="auto" w:sz="4" w:space="0"/>
              <w:left w:val="single" w:color="auto" w:sz="6" w:space="0"/>
              <w:bottom w:val="single" w:color="auto" w:sz="6" w:space="0"/>
              <w:right w:val="double" w:color="auto" w:sz="4" w:space="0"/>
            </w:tcBorders>
            <w:shd w:val="clear" w:color="auto" w:fill="D9D9D9"/>
            <w:noWrap w:val="0"/>
            <w:vAlign w:val="top"/>
          </w:tcPr>
          <w:p>
            <w:pPr>
              <w:snapToGrid w:val="0"/>
              <w:spacing w:line="360" w:lineRule="auto"/>
              <w:jc w:val="left"/>
              <w:outlineLvl w:val="1"/>
              <w:rPr>
                <w:rFonts w:ascii="微软雅黑" w:hAnsi="微软雅黑" w:eastAsia="微软雅黑"/>
                <w:szCs w:val="21"/>
              </w:rPr>
            </w:pPr>
            <w:bookmarkStart w:id="226" w:name="_Toc50012891"/>
            <w:bookmarkStart w:id="227" w:name="_Toc493511754"/>
            <w:r>
              <w:rPr>
                <w:rFonts w:hint="eastAsia" w:ascii="微软雅黑" w:hAnsi="微软雅黑" w:eastAsia="微软雅黑"/>
                <w:szCs w:val="21"/>
              </w:rPr>
              <w:t>服务类招标收费费率</w:t>
            </w:r>
            <w:bookmarkEnd w:id="226"/>
            <w:bookmarkEnd w:id="227"/>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napToGrid w:val="0"/>
              <w:spacing w:line="360" w:lineRule="auto"/>
              <w:ind w:firstLine="420" w:firstLineChars="200"/>
              <w:jc w:val="left"/>
              <w:outlineLvl w:val="1"/>
              <w:rPr>
                <w:rFonts w:ascii="微软雅黑" w:hAnsi="微软雅黑" w:eastAsia="微软雅黑"/>
                <w:szCs w:val="21"/>
              </w:rPr>
            </w:pPr>
            <w:bookmarkStart w:id="228" w:name="_Toc493511755"/>
            <w:bookmarkStart w:id="229" w:name="_Toc50012892"/>
            <w:r>
              <w:rPr>
                <w:rFonts w:hint="eastAsia" w:ascii="微软雅黑" w:hAnsi="微软雅黑" w:eastAsia="微软雅黑"/>
                <w:szCs w:val="21"/>
              </w:rPr>
              <w:t>100以下</w:t>
            </w:r>
            <w:bookmarkEnd w:id="228"/>
            <w:bookmarkEnd w:id="229"/>
          </w:p>
        </w:tc>
        <w:tc>
          <w:tcPr>
            <w:tcW w:w="2160" w:type="dxa"/>
            <w:tcBorders>
              <w:top w:val="single" w:color="auto" w:sz="6" w:space="0"/>
              <w:left w:val="single" w:color="auto" w:sz="6" w:space="0"/>
              <w:bottom w:val="single" w:color="auto" w:sz="6" w:space="0"/>
              <w:right w:val="double" w:color="auto" w:sz="4" w:space="0"/>
            </w:tcBorders>
            <w:noWrap w:val="0"/>
            <w:vAlign w:val="center"/>
          </w:tcPr>
          <w:p>
            <w:pPr>
              <w:snapToGrid w:val="0"/>
              <w:spacing w:line="360" w:lineRule="auto"/>
              <w:ind w:firstLine="420" w:firstLineChars="200"/>
              <w:jc w:val="left"/>
              <w:outlineLvl w:val="1"/>
              <w:rPr>
                <w:rFonts w:ascii="微软雅黑" w:hAnsi="微软雅黑" w:eastAsia="微软雅黑"/>
                <w:szCs w:val="21"/>
              </w:rPr>
            </w:pPr>
            <w:bookmarkStart w:id="230" w:name="_Toc50012893"/>
            <w:bookmarkStart w:id="231" w:name="_Toc493511756"/>
            <w:r>
              <w:rPr>
                <w:rFonts w:hint="eastAsia" w:ascii="微软雅黑" w:hAnsi="微软雅黑" w:eastAsia="微软雅黑"/>
                <w:szCs w:val="21"/>
              </w:rPr>
              <w:t>1.5％</w:t>
            </w:r>
            <w:bookmarkEnd w:id="230"/>
            <w:bookmarkEnd w:id="23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napToGrid w:val="0"/>
              <w:spacing w:line="360" w:lineRule="auto"/>
              <w:ind w:firstLine="420" w:firstLineChars="200"/>
              <w:jc w:val="left"/>
              <w:outlineLvl w:val="1"/>
              <w:rPr>
                <w:rFonts w:ascii="微软雅黑" w:hAnsi="微软雅黑" w:eastAsia="微软雅黑"/>
                <w:szCs w:val="21"/>
              </w:rPr>
            </w:pPr>
            <w:bookmarkStart w:id="232" w:name="_Toc493511757"/>
            <w:bookmarkStart w:id="233" w:name="_Toc50012894"/>
            <w:r>
              <w:rPr>
                <w:rFonts w:hint="eastAsia" w:ascii="微软雅黑" w:hAnsi="微软雅黑" w:eastAsia="微软雅黑"/>
                <w:szCs w:val="21"/>
              </w:rPr>
              <w:t>100-500</w:t>
            </w:r>
            <w:bookmarkEnd w:id="232"/>
            <w:bookmarkEnd w:id="233"/>
          </w:p>
        </w:tc>
        <w:tc>
          <w:tcPr>
            <w:tcW w:w="2160" w:type="dxa"/>
            <w:tcBorders>
              <w:top w:val="single" w:color="auto" w:sz="6" w:space="0"/>
              <w:left w:val="single" w:color="auto" w:sz="6" w:space="0"/>
              <w:bottom w:val="single" w:color="auto" w:sz="6" w:space="0"/>
              <w:right w:val="double" w:color="auto" w:sz="4" w:space="0"/>
            </w:tcBorders>
            <w:noWrap w:val="0"/>
            <w:vAlign w:val="center"/>
          </w:tcPr>
          <w:p>
            <w:pPr>
              <w:snapToGrid w:val="0"/>
              <w:spacing w:line="360" w:lineRule="auto"/>
              <w:ind w:firstLine="420" w:firstLineChars="200"/>
              <w:jc w:val="left"/>
              <w:outlineLvl w:val="1"/>
              <w:rPr>
                <w:rFonts w:ascii="微软雅黑" w:hAnsi="微软雅黑" w:eastAsia="微软雅黑"/>
                <w:szCs w:val="21"/>
              </w:rPr>
            </w:pPr>
            <w:bookmarkStart w:id="234" w:name="_Toc50012895"/>
            <w:bookmarkStart w:id="235" w:name="_Toc493511758"/>
            <w:r>
              <w:rPr>
                <w:rFonts w:hint="eastAsia" w:ascii="微软雅黑" w:hAnsi="微软雅黑" w:eastAsia="微软雅黑"/>
                <w:szCs w:val="21"/>
              </w:rPr>
              <w:t>0.8％</w:t>
            </w:r>
            <w:bookmarkEnd w:id="234"/>
            <w:bookmarkEnd w:id="235"/>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napToGrid w:val="0"/>
              <w:spacing w:line="360" w:lineRule="auto"/>
              <w:ind w:firstLine="420" w:firstLineChars="200"/>
              <w:jc w:val="left"/>
              <w:outlineLvl w:val="1"/>
              <w:rPr>
                <w:rFonts w:ascii="微软雅黑" w:hAnsi="微软雅黑" w:eastAsia="微软雅黑"/>
                <w:szCs w:val="21"/>
              </w:rPr>
            </w:pPr>
            <w:bookmarkStart w:id="236" w:name="_Toc50012896"/>
            <w:bookmarkStart w:id="237" w:name="_Toc493511759"/>
            <w:r>
              <w:rPr>
                <w:rFonts w:hint="eastAsia" w:ascii="微软雅黑" w:hAnsi="微软雅黑" w:eastAsia="微软雅黑"/>
                <w:szCs w:val="21"/>
              </w:rPr>
              <w:t>500-1000</w:t>
            </w:r>
            <w:bookmarkEnd w:id="236"/>
            <w:bookmarkEnd w:id="237"/>
          </w:p>
        </w:tc>
        <w:tc>
          <w:tcPr>
            <w:tcW w:w="2160" w:type="dxa"/>
            <w:tcBorders>
              <w:top w:val="single" w:color="auto" w:sz="6" w:space="0"/>
              <w:left w:val="single" w:color="auto" w:sz="6" w:space="0"/>
              <w:bottom w:val="single" w:color="auto" w:sz="6" w:space="0"/>
              <w:right w:val="double" w:color="auto" w:sz="4" w:space="0"/>
            </w:tcBorders>
            <w:noWrap w:val="0"/>
            <w:vAlign w:val="center"/>
          </w:tcPr>
          <w:p>
            <w:pPr>
              <w:snapToGrid w:val="0"/>
              <w:spacing w:line="360" w:lineRule="auto"/>
              <w:ind w:firstLine="420" w:firstLineChars="200"/>
              <w:jc w:val="left"/>
              <w:outlineLvl w:val="1"/>
              <w:rPr>
                <w:rFonts w:ascii="微软雅黑" w:hAnsi="微软雅黑" w:eastAsia="微软雅黑"/>
                <w:szCs w:val="21"/>
              </w:rPr>
            </w:pPr>
            <w:bookmarkStart w:id="238" w:name="_Toc493511760"/>
            <w:bookmarkStart w:id="239" w:name="_Toc50012897"/>
            <w:r>
              <w:rPr>
                <w:rFonts w:hint="eastAsia" w:ascii="微软雅黑" w:hAnsi="微软雅黑" w:eastAsia="微软雅黑"/>
                <w:szCs w:val="21"/>
              </w:rPr>
              <w:t>0.45％</w:t>
            </w:r>
            <w:bookmarkEnd w:id="238"/>
            <w:bookmarkEnd w:id="239"/>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napToGrid w:val="0"/>
              <w:spacing w:line="360" w:lineRule="auto"/>
              <w:ind w:firstLine="420" w:firstLineChars="200"/>
              <w:jc w:val="left"/>
              <w:outlineLvl w:val="1"/>
              <w:rPr>
                <w:rFonts w:hint="eastAsia" w:ascii="微软雅黑" w:hAnsi="微软雅黑" w:eastAsia="微软雅黑"/>
                <w:szCs w:val="21"/>
              </w:rPr>
            </w:pPr>
            <w:r>
              <w:rPr>
                <w:rFonts w:hint="eastAsia" w:ascii="微软雅黑" w:hAnsi="微软雅黑" w:eastAsia="微软雅黑"/>
                <w:szCs w:val="21"/>
              </w:rPr>
              <w:t>1000-5000</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napToGrid w:val="0"/>
              <w:spacing w:line="360" w:lineRule="auto"/>
              <w:ind w:firstLine="420" w:firstLineChars="200"/>
              <w:jc w:val="left"/>
              <w:outlineLvl w:val="1"/>
              <w:rPr>
                <w:rFonts w:hint="eastAsia" w:ascii="微软雅黑" w:hAnsi="微软雅黑" w:eastAsia="微软雅黑"/>
                <w:szCs w:val="21"/>
              </w:rPr>
            </w:pPr>
            <w:r>
              <w:rPr>
                <w:rFonts w:hint="eastAsia" w:ascii="微软雅黑" w:hAnsi="微软雅黑" w:eastAsia="微软雅黑"/>
                <w:szCs w:val="21"/>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snapToGrid w:val="0"/>
              <w:spacing w:line="360" w:lineRule="auto"/>
              <w:ind w:firstLine="420" w:firstLineChars="200"/>
              <w:jc w:val="left"/>
              <w:outlineLvl w:val="1"/>
              <w:rPr>
                <w:rFonts w:hint="eastAsia" w:ascii="微软雅黑" w:hAnsi="微软雅黑" w:eastAsia="微软雅黑"/>
                <w:szCs w:val="21"/>
              </w:rPr>
            </w:pPr>
            <w:r>
              <w:rPr>
                <w:rFonts w:hint="eastAsia" w:ascii="微软雅黑" w:hAnsi="微软雅黑" w:eastAsia="微软雅黑"/>
                <w:szCs w:val="21"/>
              </w:rPr>
              <w:t>5000-10000</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snapToGrid w:val="0"/>
              <w:spacing w:line="360" w:lineRule="auto"/>
              <w:ind w:firstLine="420" w:firstLineChars="200"/>
              <w:jc w:val="left"/>
              <w:outlineLvl w:val="1"/>
              <w:rPr>
                <w:rFonts w:hint="eastAsia" w:ascii="微软雅黑" w:hAnsi="微软雅黑" w:eastAsia="微软雅黑"/>
                <w:szCs w:val="21"/>
              </w:rPr>
            </w:pPr>
            <w:r>
              <w:rPr>
                <w:rFonts w:hint="eastAsia" w:ascii="微软雅黑" w:hAnsi="微软雅黑" w:eastAsia="微软雅黑"/>
                <w:szCs w:val="21"/>
              </w:rPr>
              <w:t>0.10%</w:t>
            </w:r>
          </w:p>
        </w:tc>
      </w:tr>
    </w:tbl>
    <w:p>
      <w:pPr>
        <w:snapToGrid w:val="0"/>
        <w:spacing w:line="360" w:lineRule="auto"/>
        <w:ind w:firstLine="420" w:firstLineChars="200"/>
        <w:jc w:val="left"/>
        <w:outlineLvl w:val="1"/>
        <w:rPr>
          <w:rFonts w:ascii="微软雅黑" w:hAnsi="微软雅黑" w:eastAsia="微软雅黑"/>
          <w:szCs w:val="21"/>
        </w:rPr>
      </w:pPr>
      <w:bookmarkStart w:id="240" w:name="_Toc493511761"/>
      <w:bookmarkStart w:id="241" w:name="_Toc50012898"/>
      <w:r>
        <w:rPr>
          <w:rFonts w:hint="eastAsia" w:ascii="微软雅黑" w:hAnsi="微软雅黑" w:eastAsia="微软雅黑"/>
          <w:szCs w:val="21"/>
        </w:rPr>
        <w:t>例如：某项目服务类招标代理业务中标金额为900万元，计算中标服务费收费额如下：</w:t>
      </w:r>
      <w:bookmarkEnd w:id="240"/>
      <w:bookmarkEnd w:id="241"/>
    </w:p>
    <w:p>
      <w:pPr>
        <w:snapToGrid w:val="0"/>
        <w:spacing w:line="360" w:lineRule="auto"/>
        <w:ind w:firstLine="420" w:firstLineChars="200"/>
        <w:jc w:val="left"/>
        <w:outlineLvl w:val="1"/>
        <w:rPr>
          <w:rFonts w:ascii="微软雅黑" w:hAnsi="微软雅黑" w:eastAsia="微软雅黑"/>
          <w:szCs w:val="21"/>
        </w:rPr>
      </w:pPr>
      <w:bookmarkStart w:id="242" w:name="_Toc493511762"/>
      <w:bookmarkStart w:id="243" w:name="_Toc50012899"/>
      <w:r>
        <w:rPr>
          <w:rFonts w:hint="eastAsia" w:ascii="微软雅黑" w:hAnsi="微软雅黑" w:eastAsia="微软雅黑"/>
          <w:szCs w:val="21"/>
        </w:rPr>
        <w:t>100万元 × 1.5% = 1.5万元</w:t>
      </w:r>
      <w:bookmarkEnd w:id="242"/>
      <w:bookmarkEnd w:id="243"/>
    </w:p>
    <w:p>
      <w:pPr>
        <w:snapToGrid w:val="0"/>
        <w:spacing w:line="360" w:lineRule="auto"/>
        <w:ind w:firstLine="420" w:firstLineChars="200"/>
        <w:jc w:val="left"/>
        <w:outlineLvl w:val="1"/>
        <w:rPr>
          <w:rFonts w:ascii="微软雅黑" w:hAnsi="微软雅黑" w:eastAsia="微软雅黑"/>
          <w:szCs w:val="21"/>
        </w:rPr>
      </w:pPr>
      <w:bookmarkStart w:id="244" w:name="_Toc50012900"/>
      <w:bookmarkStart w:id="245" w:name="_Toc493511763"/>
      <w:r>
        <w:rPr>
          <w:rFonts w:hint="eastAsia" w:ascii="微软雅黑" w:hAnsi="微软雅黑" w:eastAsia="微软雅黑"/>
          <w:szCs w:val="21"/>
        </w:rPr>
        <w:t>（500-100）万元 × 0.8% = 3.2万元</w:t>
      </w:r>
      <w:bookmarkEnd w:id="244"/>
      <w:bookmarkEnd w:id="245"/>
    </w:p>
    <w:p>
      <w:pPr>
        <w:snapToGrid w:val="0"/>
        <w:spacing w:line="360" w:lineRule="auto"/>
        <w:ind w:firstLine="420" w:firstLineChars="200"/>
        <w:jc w:val="left"/>
        <w:outlineLvl w:val="1"/>
        <w:rPr>
          <w:rFonts w:ascii="微软雅黑" w:hAnsi="微软雅黑" w:eastAsia="微软雅黑"/>
          <w:szCs w:val="21"/>
        </w:rPr>
      </w:pPr>
      <w:r>
        <w:rPr>
          <w:rFonts w:hint="eastAsia" w:ascii="微软雅黑" w:hAnsi="微软雅黑" w:eastAsia="微软雅黑"/>
          <w:szCs w:val="21"/>
        </w:rPr>
        <w:t xml:space="preserve">  </w:t>
      </w:r>
      <w:bookmarkStart w:id="246" w:name="_Toc493511764"/>
      <w:bookmarkStart w:id="247" w:name="_Toc50012901"/>
      <w:r>
        <w:rPr>
          <w:rFonts w:hint="eastAsia" w:ascii="微软雅黑" w:hAnsi="微软雅黑" w:eastAsia="微软雅黑"/>
          <w:szCs w:val="21"/>
        </w:rPr>
        <w:t>（900-500）万元×0.45% = 1.8万元</w:t>
      </w:r>
      <w:bookmarkEnd w:id="246"/>
      <w:bookmarkEnd w:id="247"/>
    </w:p>
    <w:p>
      <w:pPr>
        <w:snapToGrid w:val="0"/>
        <w:spacing w:line="360" w:lineRule="auto"/>
        <w:ind w:firstLine="420" w:firstLineChars="200"/>
        <w:jc w:val="left"/>
        <w:outlineLvl w:val="1"/>
        <w:rPr>
          <w:rFonts w:ascii="微软雅黑" w:hAnsi="微软雅黑" w:eastAsia="微软雅黑"/>
          <w:szCs w:val="21"/>
        </w:rPr>
      </w:pPr>
      <w:bookmarkStart w:id="248" w:name="_Toc493511765"/>
      <w:bookmarkStart w:id="249" w:name="_Toc50012902"/>
      <w:r>
        <w:rPr>
          <w:rFonts w:hint="eastAsia" w:ascii="微软雅黑" w:hAnsi="微软雅黑" w:eastAsia="微软雅黑"/>
          <w:szCs w:val="21"/>
        </w:rPr>
        <w:t>计收费 = 1.5万元 + 3.2万元+1.8万元 = 6.5万元</w:t>
      </w:r>
      <w:bookmarkEnd w:id="248"/>
      <w:bookmarkEnd w:id="249"/>
    </w:p>
    <w:p>
      <w:pPr>
        <w:snapToGrid w:val="0"/>
        <w:spacing w:line="360" w:lineRule="auto"/>
        <w:ind w:firstLine="420" w:firstLineChars="200"/>
        <w:jc w:val="left"/>
        <w:outlineLvl w:val="1"/>
        <w:rPr>
          <w:rFonts w:ascii="微软雅黑" w:hAnsi="微软雅黑" w:eastAsia="微软雅黑"/>
          <w:szCs w:val="21"/>
        </w:rPr>
      </w:pPr>
      <w:bookmarkStart w:id="250" w:name="_Toc493511766"/>
      <w:bookmarkStart w:id="251" w:name="_Toc50012903"/>
      <w:r>
        <w:rPr>
          <w:rFonts w:hint="eastAsia" w:ascii="微软雅黑" w:hAnsi="微软雅黑" w:eastAsia="微软雅黑"/>
          <w:szCs w:val="21"/>
        </w:rPr>
        <w:t>3、</w:t>
      </w:r>
      <w:bookmarkEnd w:id="250"/>
      <w:r>
        <w:rPr>
          <w:rFonts w:hint="eastAsia" w:ascii="微软雅黑" w:hAnsi="微软雅黑" w:eastAsia="微软雅黑"/>
          <w:szCs w:val="21"/>
        </w:rPr>
        <w:t>本项目以服务类招标收费标准的30%收取中标服务费，对于招标代理服务费不足5000元的按5000元计取招标代理服务费。</w:t>
      </w:r>
      <w:bookmarkEnd w:id="251"/>
    </w:p>
    <w:p>
      <w:pPr>
        <w:pStyle w:val="25"/>
        <w:snapToGrid w:val="0"/>
        <w:spacing w:line="360" w:lineRule="auto"/>
        <w:ind w:firstLine="420" w:firstLineChars="200"/>
        <w:jc w:val="left"/>
        <w:rPr>
          <w:rFonts w:ascii="微软雅黑" w:hAnsi="微软雅黑" w:eastAsia="微软雅黑"/>
          <w:szCs w:val="21"/>
        </w:rPr>
      </w:pPr>
      <w:bookmarkStart w:id="252" w:name="_Toc493511767"/>
      <w:r>
        <w:rPr>
          <w:rFonts w:hint="eastAsia" w:ascii="微软雅黑" w:hAnsi="微软雅黑" w:eastAsia="微软雅黑"/>
          <w:szCs w:val="21"/>
        </w:rPr>
        <w:t>4、服务费的货币为人民币。</w:t>
      </w:r>
      <w:bookmarkEnd w:id="252"/>
    </w:p>
    <w:p>
      <w:pPr>
        <w:pStyle w:val="25"/>
        <w:snapToGrid w:val="0"/>
        <w:spacing w:line="360" w:lineRule="auto"/>
        <w:ind w:firstLine="420" w:firstLineChars="200"/>
        <w:jc w:val="left"/>
        <w:rPr>
          <w:rFonts w:ascii="微软雅黑" w:hAnsi="微软雅黑" w:eastAsia="微软雅黑"/>
          <w:szCs w:val="21"/>
        </w:rPr>
      </w:pPr>
      <w:bookmarkStart w:id="253" w:name="_Toc493511768"/>
      <w:r>
        <w:rPr>
          <w:rFonts w:hint="eastAsia" w:ascii="微软雅黑" w:hAnsi="微软雅黑" w:eastAsia="微软雅黑"/>
          <w:szCs w:val="21"/>
        </w:rPr>
        <w:t>5、服务费支付方式：一次性以银行划账、电汇、汇票或支票的形式支付。</w:t>
      </w:r>
      <w:bookmarkEnd w:id="253"/>
    </w:p>
    <w:p>
      <w:pPr>
        <w:pStyle w:val="25"/>
        <w:snapToGrid w:val="0"/>
        <w:spacing w:line="360" w:lineRule="auto"/>
        <w:ind w:firstLine="420" w:firstLineChars="200"/>
        <w:jc w:val="left"/>
        <w:rPr>
          <w:rFonts w:ascii="微软雅黑" w:hAnsi="微软雅黑" w:eastAsia="微软雅黑"/>
          <w:szCs w:val="21"/>
        </w:rPr>
      </w:pPr>
      <w:bookmarkStart w:id="254" w:name="_Toc493511769"/>
      <w:r>
        <w:rPr>
          <w:rFonts w:hint="eastAsia" w:ascii="微软雅黑" w:hAnsi="微软雅黑" w:eastAsia="微软雅黑"/>
          <w:szCs w:val="21"/>
        </w:rPr>
        <w:t>6、服务费以银行划账方式按下列要求提交：</w:t>
      </w:r>
      <w:bookmarkEnd w:id="254"/>
    </w:p>
    <w:p>
      <w:pPr>
        <w:pStyle w:val="25"/>
        <w:snapToGrid w:val="0"/>
        <w:spacing w:line="360" w:lineRule="auto"/>
        <w:ind w:firstLine="420" w:firstLineChars="200"/>
        <w:jc w:val="left"/>
        <w:rPr>
          <w:rFonts w:ascii="微软雅黑" w:hAnsi="微软雅黑" w:eastAsia="微软雅黑"/>
          <w:szCs w:val="21"/>
        </w:rPr>
      </w:pPr>
      <w:bookmarkStart w:id="255" w:name="_Toc493511770"/>
      <w:r>
        <w:rPr>
          <w:rFonts w:hint="eastAsia" w:ascii="微软雅黑" w:hAnsi="微软雅黑" w:eastAsia="微软雅黑"/>
          <w:szCs w:val="21"/>
        </w:rPr>
        <w:t>收款人：嘉兴市千秋工程咨询有限公司</w:t>
      </w:r>
      <w:bookmarkEnd w:id="255"/>
    </w:p>
    <w:p>
      <w:pPr>
        <w:pStyle w:val="25"/>
        <w:snapToGrid w:val="0"/>
        <w:spacing w:line="360" w:lineRule="auto"/>
        <w:ind w:firstLine="420" w:firstLineChars="200"/>
        <w:jc w:val="left"/>
        <w:rPr>
          <w:rFonts w:ascii="微软雅黑" w:hAnsi="微软雅黑" w:eastAsia="微软雅黑"/>
          <w:szCs w:val="21"/>
        </w:rPr>
      </w:pPr>
      <w:bookmarkStart w:id="256" w:name="_Toc493511771"/>
      <w:r>
        <w:rPr>
          <w:rFonts w:hint="eastAsia" w:ascii="微软雅黑" w:hAnsi="微软雅黑" w:eastAsia="微软雅黑"/>
          <w:szCs w:val="21"/>
        </w:rPr>
        <w:t>户名：嘉兴市千秋工程咨询有限公司</w:t>
      </w:r>
      <w:bookmarkEnd w:id="256"/>
    </w:p>
    <w:p>
      <w:pPr>
        <w:pStyle w:val="25"/>
        <w:snapToGrid w:val="0"/>
        <w:spacing w:line="360" w:lineRule="auto"/>
        <w:ind w:firstLine="420" w:firstLineChars="200"/>
        <w:jc w:val="left"/>
        <w:rPr>
          <w:rFonts w:ascii="微软雅黑" w:hAnsi="微软雅黑" w:eastAsia="微软雅黑"/>
          <w:szCs w:val="21"/>
        </w:rPr>
      </w:pPr>
      <w:bookmarkStart w:id="257" w:name="_Toc493511772"/>
      <w:r>
        <w:rPr>
          <w:rFonts w:hint="eastAsia" w:ascii="微软雅黑" w:hAnsi="微软雅黑" w:eastAsia="微软雅黑"/>
          <w:szCs w:val="21"/>
        </w:rPr>
        <w:t>开户银行：交通银行嘉兴分行</w:t>
      </w:r>
      <w:bookmarkEnd w:id="257"/>
    </w:p>
    <w:p>
      <w:pPr>
        <w:pStyle w:val="25"/>
        <w:snapToGrid w:val="0"/>
        <w:spacing w:line="360" w:lineRule="auto"/>
        <w:ind w:firstLine="420" w:firstLineChars="200"/>
        <w:jc w:val="left"/>
        <w:rPr>
          <w:rFonts w:ascii="微软雅黑" w:hAnsi="微软雅黑" w:eastAsia="微软雅黑"/>
          <w:szCs w:val="21"/>
        </w:rPr>
      </w:pPr>
      <w:bookmarkStart w:id="258" w:name="_Toc493511773"/>
      <w:r>
        <w:rPr>
          <w:rFonts w:hint="eastAsia" w:ascii="微软雅黑" w:hAnsi="微软雅黑" w:eastAsia="微软雅黑"/>
          <w:szCs w:val="21"/>
        </w:rPr>
        <w:t>账号：334601000018170160050</w:t>
      </w:r>
      <w:bookmarkEnd w:id="258"/>
    </w:p>
    <w:p>
      <w:pPr>
        <w:pStyle w:val="25"/>
        <w:snapToGrid w:val="0"/>
        <w:spacing w:line="360" w:lineRule="auto"/>
        <w:ind w:firstLine="420" w:firstLineChars="200"/>
        <w:jc w:val="left"/>
        <w:rPr>
          <w:rFonts w:ascii="微软雅黑" w:hAnsi="微软雅黑" w:eastAsia="微软雅黑"/>
          <w:szCs w:val="21"/>
        </w:rPr>
      </w:pPr>
      <w:bookmarkStart w:id="259" w:name="_Toc493511774"/>
      <w:r>
        <w:rPr>
          <w:rFonts w:hint="eastAsia" w:ascii="微软雅黑" w:hAnsi="微软雅黑" w:eastAsia="微软雅黑"/>
          <w:szCs w:val="21"/>
        </w:rPr>
        <w:t>7、服务费支付时间：服务费必须在中标人领取《中标通知书》时一次性付清，如果中标人未能按时交纳服务费，采购代理机构/采购人保留取消其中标资格并追究其法律责任的权利。</w:t>
      </w:r>
      <w:bookmarkEnd w:id="259"/>
    </w:p>
    <w:p>
      <w:pPr>
        <w:pStyle w:val="25"/>
        <w:snapToGrid w:val="0"/>
        <w:spacing w:line="360" w:lineRule="auto"/>
        <w:ind w:firstLine="420" w:firstLineChars="200"/>
        <w:jc w:val="left"/>
        <w:rPr>
          <w:rFonts w:hint="eastAsia" w:ascii="微软雅黑" w:hAnsi="微软雅黑" w:eastAsia="微软雅黑"/>
          <w:szCs w:val="21"/>
        </w:rPr>
      </w:pPr>
      <w:bookmarkStart w:id="260" w:name="_Toc493511775"/>
      <w:r>
        <w:rPr>
          <w:rFonts w:hint="eastAsia" w:ascii="微软雅黑" w:hAnsi="微软雅黑" w:eastAsia="微软雅黑"/>
          <w:szCs w:val="21"/>
        </w:rPr>
        <w:t>8、服务费不在投标报价中单列。</w:t>
      </w:r>
      <w:bookmarkEnd w:id="260"/>
    </w:p>
    <w:p>
      <w:pPr>
        <w:spacing w:line="360" w:lineRule="auto"/>
        <w:ind w:firstLine="420" w:firstLineChars="200"/>
        <w:jc w:val="left"/>
        <w:rPr>
          <w:rFonts w:hint="eastAsia" w:ascii="微软雅黑" w:hAnsi="微软雅黑" w:eastAsia="微软雅黑"/>
          <w:szCs w:val="21"/>
        </w:rPr>
      </w:pPr>
    </w:p>
    <w:p>
      <w:pPr>
        <w:pStyle w:val="95"/>
        <w:ind w:firstLine="600"/>
        <w:rPr>
          <w:rFonts w:hint="eastAsia"/>
          <w:b/>
        </w:rPr>
      </w:pPr>
      <w:bookmarkStart w:id="261" w:name="_Toc493511776"/>
      <w:bookmarkStart w:id="262" w:name="_Toc170792807"/>
      <w:bookmarkStart w:id="263" w:name="_Toc177870559"/>
      <w:r>
        <w:rPr>
          <w:rFonts w:hint="eastAsia"/>
        </w:rPr>
        <w:br w:type="page"/>
      </w:r>
      <w:bookmarkStart w:id="264" w:name="_Toc50012904"/>
      <w:r>
        <w:rPr>
          <w:rFonts w:hint="eastAsia"/>
          <w:b/>
        </w:rPr>
        <w:t>第四章  评标办法及评分标准</w:t>
      </w:r>
      <w:bookmarkEnd w:id="261"/>
      <w:bookmarkEnd w:id="264"/>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为公正、公平、科学地选择中标人，根据《中华人民共和国政府采购法》等有关法律法规的规定，并结合本项目的实际，制定本办法。</w:t>
      </w:r>
    </w:p>
    <w:bookmarkEnd w:id="262"/>
    <w:bookmarkEnd w:id="263"/>
    <w:p>
      <w:pPr>
        <w:spacing w:line="360" w:lineRule="auto"/>
        <w:ind w:firstLine="420" w:firstLineChars="200"/>
        <w:jc w:val="left"/>
        <w:rPr>
          <w:rFonts w:hint="eastAsia" w:ascii="微软雅黑" w:hAnsi="微软雅黑" w:eastAsia="微软雅黑"/>
          <w:b/>
          <w:szCs w:val="21"/>
        </w:rPr>
      </w:pPr>
      <w:bookmarkStart w:id="265" w:name="_Toc170792802"/>
      <w:r>
        <w:rPr>
          <w:rFonts w:hint="eastAsia" w:ascii="微软雅黑" w:hAnsi="微软雅黑" w:eastAsia="微软雅黑"/>
          <w:b/>
          <w:szCs w:val="21"/>
        </w:rPr>
        <w:t>一、总则</w:t>
      </w:r>
    </w:p>
    <w:p>
      <w:pPr>
        <w:spacing w:line="360" w:lineRule="auto"/>
        <w:ind w:firstLine="420" w:firstLineChars="200"/>
        <w:jc w:val="left"/>
        <w:rPr>
          <w:rFonts w:ascii="微软雅黑" w:hAnsi="微软雅黑" w:eastAsia="微软雅黑"/>
          <w:bCs/>
          <w:szCs w:val="21"/>
        </w:rPr>
      </w:pPr>
      <w:r>
        <w:rPr>
          <w:rFonts w:hint="eastAsia" w:ascii="微软雅黑" w:hAnsi="微软雅黑" w:eastAsia="微软雅黑"/>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w:t>
      </w:r>
      <w:r>
        <w:rPr>
          <w:rFonts w:hint="eastAsia" w:ascii="微软雅黑" w:hAnsi="微软雅黑" w:eastAsia="微软雅黑"/>
          <w:b/>
          <w:szCs w:val="21"/>
        </w:rPr>
        <w:t>第一</w:t>
      </w:r>
      <w:r>
        <w:rPr>
          <w:rFonts w:hint="eastAsia" w:ascii="微软雅黑" w:hAnsi="微软雅黑" w:eastAsia="微软雅黑"/>
          <w:szCs w:val="21"/>
        </w:rPr>
        <w:t>的投标人为中标候选人，排名第二的投标人为候补中标候选人……其他投标人中标候选资格依此类推。</w:t>
      </w:r>
      <w:r>
        <w:rPr>
          <w:rFonts w:hint="eastAsia" w:ascii="微软雅黑" w:hAnsi="微软雅黑" w:eastAsia="微软雅黑"/>
          <w:bCs/>
          <w:szCs w:val="21"/>
        </w:rPr>
        <w:t>评分过程中采用四舍五入法，并保留小数2位。</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投标人评标</w:t>
      </w:r>
      <w:r>
        <w:rPr>
          <w:rFonts w:hint="eastAsia" w:ascii="微软雅黑" w:hAnsi="微软雅黑" w:eastAsia="微软雅黑"/>
          <w:bCs/>
          <w:szCs w:val="21"/>
        </w:rPr>
        <w:t>综合得分=价格分+(技术分+资信、商务及其他分)</w:t>
      </w:r>
    </w:p>
    <w:p>
      <w:pPr>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二、评标内容及标准</w:t>
      </w:r>
    </w:p>
    <w:p>
      <w:pPr>
        <w:pStyle w:val="25"/>
        <w:tabs>
          <w:tab w:val="left" w:pos="630"/>
        </w:tabs>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（一）价格分（</w:t>
      </w:r>
      <w:r>
        <w:rPr>
          <w:rFonts w:hint="eastAsia" w:ascii="微软雅黑" w:hAnsi="微软雅黑" w:eastAsia="微软雅黑"/>
          <w:b/>
          <w:szCs w:val="21"/>
          <w:lang w:eastAsia="zh-CN"/>
        </w:rPr>
        <w:t>15</w:t>
      </w:r>
      <w:r>
        <w:rPr>
          <w:rFonts w:hint="eastAsia" w:ascii="微软雅黑" w:hAnsi="微软雅黑" w:eastAsia="微软雅黑"/>
          <w:b/>
          <w:szCs w:val="21"/>
        </w:rPr>
        <w:t>分）</w:t>
      </w:r>
    </w:p>
    <w:p>
      <w:pPr>
        <w:pStyle w:val="25"/>
        <w:tabs>
          <w:tab w:val="left" w:pos="630"/>
        </w:tabs>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rPr>
        <w:t>1、价格分采用低价优先法计算，即满足招标文件要求且投标价格最低的投标报价为评标基准价，其他投标人的价格分按照下列公式计算：</w:t>
      </w:r>
    </w:p>
    <w:p>
      <w:pPr>
        <w:pStyle w:val="25"/>
        <w:tabs>
          <w:tab w:val="left" w:pos="630"/>
        </w:tabs>
        <w:spacing w:line="360" w:lineRule="auto"/>
        <w:ind w:firstLine="420" w:firstLineChars="200"/>
        <w:jc w:val="left"/>
        <w:rPr>
          <w:rFonts w:hint="eastAsia" w:ascii="微软雅黑" w:hAnsi="微软雅黑" w:eastAsia="微软雅黑"/>
          <w:szCs w:val="21"/>
          <w:lang w:eastAsia="zh-CN"/>
        </w:rPr>
      </w:pPr>
      <w:r>
        <w:rPr>
          <w:rFonts w:hint="eastAsia" w:ascii="微软雅黑" w:hAnsi="微软雅黑" w:eastAsia="微软雅黑"/>
          <w:szCs w:val="21"/>
        </w:rPr>
        <w:t>价格分=（评标基准价/投标报价）×</w:t>
      </w:r>
      <w:r>
        <w:rPr>
          <w:rFonts w:hint="eastAsia" w:ascii="微软雅黑" w:hAnsi="微软雅黑" w:eastAsia="微软雅黑"/>
          <w:szCs w:val="21"/>
          <w:lang w:eastAsia="zh-CN"/>
        </w:rPr>
        <w:t>15</w:t>
      </w:r>
      <w:r>
        <w:rPr>
          <w:rFonts w:hint="eastAsia" w:ascii="微软雅黑" w:hAnsi="微软雅黑" w:eastAsia="微软雅黑"/>
          <w:szCs w:val="21"/>
        </w:rPr>
        <w:t>%×100</w:t>
      </w:r>
    </w:p>
    <w:p>
      <w:pPr>
        <w:pStyle w:val="25"/>
        <w:tabs>
          <w:tab w:val="left" w:pos="630"/>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2、投标人的投标报价超过采购人设定的最高限价，将作为无效标。</w:t>
      </w:r>
    </w:p>
    <w:p>
      <w:pPr>
        <w:pStyle w:val="20"/>
        <w:spacing w:line="360" w:lineRule="auto"/>
        <w:ind w:firstLine="404" w:firstLineChars="200"/>
        <w:jc w:val="left"/>
        <w:rPr>
          <w:rFonts w:hint="eastAsia" w:ascii="微软雅黑" w:hAnsi="微软雅黑" w:eastAsia="微软雅黑"/>
          <w:sz w:val="21"/>
          <w:szCs w:val="21"/>
        </w:rPr>
      </w:pPr>
      <w:r>
        <w:rPr>
          <w:rFonts w:hint="eastAsia" w:ascii="微软雅黑" w:hAnsi="微软雅黑" w:eastAsia="微软雅黑"/>
          <w:sz w:val="21"/>
          <w:szCs w:val="21"/>
          <w:lang w:eastAsia="zh-CN"/>
        </w:rPr>
        <w:t>3</w:t>
      </w:r>
      <w:r>
        <w:rPr>
          <w:rFonts w:hint="eastAsia" w:ascii="微软雅黑" w:hAnsi="微软雅黑" w:eastAsia="微软雅黑"/>
          <w:sz w:val="21"/>
          <w:szCs w:val="21"/>
        </w:rPr>
        <w:t>、投标人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5"/>
        <w:tabs>
          <w:tab w:val="left" w:pos="630"/>
        </w:tabs>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lang w:eastAsia="zh-CN"/>
        </w:rPr>
        <w:t>4</w:t>
      </w:r>
      <w:r>
        <w:rPr>
          <w:rFonts w:hint="eastAsia" w:ascii="微软雅黑" w:hAnsi="微软雅黑" w:eastAsia="微软雅黑"/>
          <w:bCs/>
          <w:szCs w:val="21"/>
        </w:rPr>
        <w:t>、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w:t>
      </w:r>
      <w:r>
        <w:rPr>
          <w:rFonts w:ascii="微软雅黑" w:hAnsi="微软雅黑" w:eastAsia="微软雅黑"/>
          <w:bCs/>
          <w:szCs w:val="21"/>
        </w:rPr>
        <w:t>http://xwqy.gsxt.gov.cn/mirco/micro_lib</w:t>
      </w:r>
      <w:r>
        <w:rPr>
          <w:rFonts w:ascii="微软雅黑" w:hAnsi="微软雅黑" w:eastAsia="微软雅黑"/>
          <w:b/>
          <w:bCs/>
          <w:szCs w:val="21"/>
        </w:rPr>
        <w:t>（注：提供的网页查询打印件必须体现查询时间，查询时间需在开标前一周内，并加盖单位公章，未提供以上材料的，均不给予价格扣除）</w:t>
      </w:r>
    </w:p>
    <w:p>
      <w:pPr>
        <w:pStyle w:val="25"/>
        <w:tabs>
          <w:tab w:val="left" w:pos="630"/>
        </w:tabs>
        <w:spacing w:line="360" w:lineRule="auto"/>
        <w:ind w:firstLine="420" w:firstLineChars="200"/>
        <w:jc w:val="left"/>
        <w:rPr>
          <w:rFonts w:ascii="微软雅黑" w:hAnsi="微软雅黑" w:eastAsia="微软雅黑"/>
          <w:bCs/>
          <w:szCs w:val="21"/>
        </w:rPr>
      </w:pPr>
      <w:r>
        <w:rPr>
          <w:rFonts w:hint="eastAsia" w:ascii="微软雅黑" w:hAnsi="微软雅黑" w:eastAsia="微软雅黑"/>
          <w:bCs/>
          <w:szCs w:val="21"/>
          <w:lang w:eastAsia="zh-CN"/>
        </w:rPr>
        <w:t>5</w:t>
      </w:r>
      <w:r>
        <w:rPr>
          <w:rFonts w:hint="eastAsia" w:ascii="微软雅黑" w:hAnsi="微软雅黑" w:eastAsia="微软雅黑"/>
          <w:bCs/>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25"/>
        <w:tabs>
          <w:tab w:val="left" w:pos="630"/>
        </w:tabs>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Cs/>
          <w:szCs w:val="21"/>
          <w:lang w:eastAsia="zh-CN"/>
        </w:rPr>
        <w:t>6</w:t>
      </w:r>
      <w:r>
        <w:rPr>
          <w:rFonts w:hint="eastAsia" w:ascii="微软雅黑" w:hAnsi="微软雅黑" w:eastAsia="微软雅黑"/>
          <w:bCs/>
          <w:szCs w:val="21"/>
        </w:rPr>
        <w:t>、监狱企业同视为小型、微型企业，享受小微企业政策扶持。</w:t>
      </w:r>
    </w:p>
    <w:p>
      <w:pPr>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numPr>
          <w:ilvl w:val="0"/>
          <w:numId w:val="4"/>
        </w:numPr>
        <w:spacing w:line="360" w:lineRule="auto"/>
        <w:ind w:firstLine="420" w:firstLineChars="200"/>
        <w:jc w:val="left"/>
        <w:rPr>
          <w:rFonts w:hint="eastAsia" w:ascii="微软雅黑" w:hAnsi="微软雅黑" w:eastAsia="微软雅黑"/>
          <w:b/>
          <w:bCs/>
          <w:szCs w:val="21"/>
        </w:rPr>
      </w:pPr>
      <w:r>
        <w:rPr>
          <w:rFonts w:hint="eastAsia" w:ascii="微软雅黑" w:hAnsi="微软雅黑" w:eastAsia="微软雅黑"/>
          <w:b/>
          <w:bCs/>
          <w:szCs w:val="21"/>
        </w:rPr>
        <w:t xml:space="preserve">技术分： </w:t>
      </w:r>
    </w:p>
    <w:tbl>
      <w:tblPr>
        <w:tblStyle w:val="47"/>
        <w:tblW w:w="5000" w:type="pct"/>
        <w:tblInd w:w="0" w:type="dxa"/>
        <w:tblLayout w:type="autofit"/>
        <w:tblCellMar>
          <w:top w:w="0" w:type="dxa"/>
          <w:left w:w="108" w:type="dxa"/>
          <w:bottom w:w="0" w:type="dxa"/>
          <w:right w:w="108" w:type="dxa"/>
        </w:tblCellMar>
      </w:tblPr>
      <w:tblGrid>
        <w:gridCol w:w="680"/>
        <w:gridCol w:w="7167"/>
        <w:gridCol w:w="681"/>
      </w:tblGrid>
      <w:tr>
        <w:tblPrEx>
          <w:tblCellMar>
            <w:top w:w="0" w:type="dxa"/>
            <w:left w:w="108" w:type="dxa"/>
            <w:bottom w:w="0" w:type="dxa"/>
            <w:right w:w="108" w:type="dxa"/>
          </w:tblCellMar>
        </w:tblPrEx>
        <w:trPr>
          <w:wBefore w:w="0" w:type="dxa"/>
          <w:wAfter w:w="0" w:type="dxa"/>
          <w:trHeight w:val="300"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4202"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评分内容</w:t>
            </w:r>
          </w:p>
        </w:tc>
        <w:tc>
          <w:tcPr>
            <w:tcW w:w="399"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分值</w:t>
            </w:r>
          </w:p>
        </w:tc>
      </w:tr>
      <w:tr>
        <w:tblPrEx>
          <w:tblCellMar>
            <w:top w:w="0" w:type="dxa"/>
            <w:left w:w="108" w:type="dxa"/>
            <w:bottom w:w="0" w:type="dxa"/>
            <w:right w:w="108" w:type="dxa"/>
          </w:tblCellMar>
        </w:tblPrEx>
        <w:trPr>
          <w:wBefore w:w="0" w:type="dxa"/>
          <w:wAfter w:w="0" w:type="dxa"/>
          <w:trHeight w:val="839"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p>
        </w:tc>
        <w:tc>
          <w:tcPr>
            <w:tcW w:w="4202"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满足招标货物的所有功能、性能及技术要求：</w:t>
            </w:r>
          </w:p>
          <w:p>
            <w:pPr>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所投设备技术参数功能项目齐全且与招标需求基本一致的，得6分，有实质性正偏离的，每项加1分，最多加2分，有实质性负偏离的，每项扣2分，扣完为止，本项最高8分。</w:t>
            </w:r>
          </w:p>
          <w:p>
            <w:pPr>
              <w:pStyle w:val="2"/>
              <w:rPr>
                <w:rFonts w:ascii="微软雅黑" w:hAnsi="微软雅黑" w:eastAsia="微软雅黑"/>
                <w:szCs w:val="21"/>
                <w:lang w:val="en-US" w:eastAsia="zh-CN"/>
              </w:rPr>
            </w:pPr>
            <w:r>
              <w:rPr>
                <w:rFonts w:hint="eastAsia" w:ascii="微软雅黑" w:hAnsi="微软雅黑" w:eastAsia="微软雅黑"/>
                <w:b/>
                <w:szCs w:val="21"/>
                <w:lang w:val="en-US" w:eastAsia="zh-CN"/>
              </w:rPr>
              <w:t>（本栏目评审以投标单位在投标文件中的响应本项目的技术参数为准，招标需求中关于投标产品的检测报告均不作为满足本项要求的评审）</w:t>
            </w:r>
          </w:p>
        </w:tc>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8</w:t>
            </w:r>
          </w:p>
        </w:tc>
      </w:tr>
      <w:tr>
        <w:tblPrEx>
          <w:tblCellMar>
            <w:top w:w="0" w:type="dxa"/>
            <w:left w:w="108" w:type="dxa"/>
            <w:bottom w:w="0" w:type="dxa"/>
            <w:right w:w="108" w:type="dxa"/>
          </w:tblCellMar>
        </w:tblPrEx>
        <w:trPr>
          <w:wBefore w:w="0" w:type="dxa"/>
          <w:wAfter w:w="0" w:type="dxa"/>
          <w:trHeight w:val="2605"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c>
          <w:tcPr>
            <w:tcW w:w="4202"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满足采购单位软件平台的所有功能、性能及技术要求：</w:t>
            </w:r>
          </w:p>
          <w:p>
            <w:pPr>
              <w:widowControl/>
              <w:spacing w:line="360" w:lineRule="auto"/>
              <w:jc w:val="left"/>
              <w:rPr>
                <w:rFonts w:hint="eastAsia" w:ascii="微软雅黑" w:hAnsi="微软雅黑" w:eastAsia="微软雅黑" w:cs="宋体"/>
                <w:b/>
                <w:kern w:val="0"/>
                <w:szCs w:val="21"/>
              </w:rPr>
            </w:pPr>
            <w:r>
              <w:rPr>
                <w:rFonts w:hint="eastAsia" w:ascii="微软雅黑" w:hAnsi="微软雅黑" w:eastAsia="微软雅黑" w:cs="宋体"/>
                <w:kern w:val="0"/>
                <w:szCs w:val="21"/>
              </w:rPr>
              <w:t>根据投标人提供的软件架构、方案与招标需求基本一致的，得6分，有实质性正偏离的，每项加1分，最多加2分，有实质性负偏离的，每项扣2分，扣完为止，本项最高8分</w:t>
            </w:r>
            <w:r>
              <w:rPr>
                <w:rFonts w:hint="eastAsia" w:ascii="微软雅黑" w:hAnsi="微软雅黑" w:eastAsia="微软雅黑" w:cs="宋体"/>
                <w:b/>
                <w:kern w:val="0"/>
                <w:szCs w:val="21"/>
              </w:rPr>
              <w:t>。</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szCs w:val="21"/>
              </w:rPr>
              <w:t>（</w:t>
            </w:r>
            <w:r>
              <w:rPr>
                <w:rFonts w:hint="eastAsia" w:ascii="微软雅黑" w:hAnsi="微软雅黑" w:eastAsia="微软雅黑"/>
                <w:b/>
                <w:szCs w:val="21"/>
              </w:rPr>
              <w:t>本栏目评审以投标单位在投标文件中的响应本项目的技术参数为准，招标需求中关于投标产品的证明材料均不作为满足功能项要求的评审）</w:t>
            </w:r>
          </w:p>
        </w:tc>
        <w:tc>
          <w:tcPr>
            <w:tcW w:w="399"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8</w:t>
            </w:r>
          </w:p>
        </w:tc>
      </w:tr>
      <w:tr>
        <w:tblPrEx>
          <w:tblCellMar>
            <w:top w:w="0" w:type="dxa"/>
            <w:left w:w="108" w:type="dxa"/>
            <w:bottom w:w="0" w:type="dxa"/>
            <w:right w:w="108" w:type="dxa"/>
          </w:tblCellMar>
        </w:tblPrEx>
        <w:trPr>
          <w:wBefore w:w="0" w:type="dxa"/>
          <w:wAfter w:w="0" w:type="dxa"/>
          <w:trHeight w:val="2111"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4202"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平稳性、匹配度：</w:t>
            </w:r>
          </w:p>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投标人提供所投产品，视频监控需全部接入嘉兴公安视频一体化平台，人脸抓拍数据接入嘉兴经开公安视图库，车辆抓拍数据接入嘉兴公安视频一体化平台。</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根据每个平台、系统的接入方案，进行综合评分。每个平台得0-1分，最高3分。</w:t>
            </w:r>
          </w:p>
        </w:tc>
        <w:tc>
          <w:tcPr>
            <w:tcW w:w="399"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r>
      <w:tr>
        <w:tblPrEx>
          <w:tblCellMar>
            <w:top w:w="0" w:type="dxa"/>
            <w:left w:w="108" w:type="dxa"/>
            <w:bottom w:w="0" w:type="dxa"/>
            <w:right w:w="108" w:type="dxa"/>
          </w:tblCellMar>
        </w:tblPrEx>
        <w:trPr>
          <w:wBefore w:w="0" w:type="dxa"/>
          <w:wAfter w:w="0" w:type="dxa"/>
          <w:trHeight w:val="414" w:hRule="atLeast"/>
        </w:trPr>
        <w:tc>
          <w:tcPr>
            <w:tcW w:w="399" w:type="pct"/>
            <w:tcBorders>
              <w:top w:val="nil"/>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c>
          <w:tcPr>
            <w:tcW w:w="4202" w:type="pct"/>
            <w:tcBorders>
              <w:top w:val="nil"/>
              <w:left w:val="nil"/>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项目实施前期工作：</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根据投标人对服务点位熟悉情况，完成点位现场勘查并提供说明资料的（文字或图片说明）（提供有针对性的100个点位的详细方案，投标单位须自行勘察现场，自行选取点位。），得0-4分；</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r>
      <w:tr>
        <w:tblPrEx>
          <w:tblCellMar>
            <w:top w:w="0" w:type="dxa"/>
            <w:left w:w="108" w:type="dxa"/>
            <w:bottom w:w="0" w:type="dxa"/>
            <w:right w:w="108" w:type="dxa"/>
          </w:tblCellMar>
        </w:tblPrEx>
        <w:trPr>
          <w:wBefore w:w="0" w:type="dxa"/>
          <w:wAfter w:w="0" w:type="dxa"/>
          <w:trHeight w:val="870" w:hRule="atLeast"/>
        </w:trPr>
        <w:tc>
          <w:tcPr>
            <w:tcW w:w="399" w:type="pct"/>
            <w:tcBorders>
              <w:top w:val="nil"/>
              <w:left w:val="single" w:color="auto" w:sz="8" w:space="0"/>
              <w:bottom w:val="nil"/>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5</w:t>
            </w:r>
          </w:p>
        </w:tc>
        <w:tc>
          <w:tcPr>
            <w:tcW w:w="4202" w:type="pct"/>
            <w:tcBorders>
              <w:top w:val="nil"/>
              <w:left w:val="nil"/>
              <w:bottom w:val="nil"/>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确保项目实施方案：</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根据投标人项目实施方案中提供符合项目要求供货组织措施、质量保证措施、安全管理措施、施工方案等情况的，每项内容得0-1分，最高得4分，未明确的，得0分。</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r>
      <w:tr>
        <w:tblPrEx>
          <w:tblCellMar>
            <w:top w:w="0" w:type="dxa"/>
            <w:left w:w="108" w:type="dxa"/>
            <w:bottom w:w="0" w:type="dxa"/>
            <w:right w:w="108" w:type="dxa"/>
          </w:tblCellMar>
        </w:tblPrEx>
        <w:trPr>
          <w:wBefore w:w="0" w:type="dxa"/>
          <w:wAfter w:w="0" w:type="dxa"/>
          <w:trHeight w:val="870"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6</w:t>
            </w:r>
          </w:p>
        </w:tc>
        <w:tc>
          <w:tcPr>
            <w:tcW w:w="4202" w:type="pct"/>
            <w:tcBorders>
              <w:top w:val="single" w:color="auto" w:sz="4" w:space="0"/>
              <w:left w:val="single" w:color="auto" w:sz="8" w:space="0"/>
              <w:bottom w:val="single" w:color="auto" w:sz="8"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项目进度计划方案：</w:t>
            </w:r>
          </w:p>
          <w:p>
            <w:pPr>
              <w:pStyle w:val="2"/>
              <w:spacing w:after="0" w:line="360" w:lineRule="auto"/>
              <w:rPr>
                <w:rFonts w:hint="eastAsia" w:ascii="微软雅黑" w:hAnsi="微软雅黑" w:eastAsia="微软雅黑"/>
                <w:szCs w:val="21"/>
                <w:lang w:val="en-US" w:eastAsia="zh-CN"/>
              </w:rPr>
            </w:pPr>
            <w:r>
              <w:rPr>
                <w:rFonts w:hint="eastAsia" w:ascii="微软雅黑" w:hAnsi="微软雅黑" w:eastAsia="微软雅黑" w:cs="宋体"/>
                <w:kern w:val="0"/>
                <w:szCs w:val="21"/>
                <w:lang w:val="en-US" w:eastAsia="zh-CN"/>
              </w:rPr>
              <w:t>根据投标人根据采购人要求，提供完整的项目进度实施计划；得0-3分</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3</w:t>
            </w:r>
          </w:p>
        </w:tc>
      </w:tr>
      <w:tr>
        <w:tblPrEx>
          <w:tblCellMar>
            <w:top w:w="0" w:type="dxa"/>
            <w:left w:w="108" w:type="dxa"/>
            <w:bottom w:w="0" w:type="dxa"/>
            <w:right w:w="108" w:type="dxa"/>
          </w:tblCellMar>
        </w:tblPrEx>
        <w:trPr>
          <w:wBefore w:w="0" w:type="dxa"/>
          <w:wAfter w:w="0" w:type="dxa"/>
          <w:trHeight w:val="870"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rPr>
                <w:rFonts w:hint="eastAsia" w:ascii="微软雅黑" w:hAnsi="微软雅黑" w:eastAsia="微软雅黑" w:cs="宋体"/>
                <w:kern w:val="0"/>
                <w:szCs w:val="21"/>
              </w:rPr>
            </w:pPr>
            <w:r>
              <w:rPr>
                <w:rFonts w:hint="eastAsia" w:ascii="微软雅黑" w:hAnsi="微软雅黑" w:eastAsia="微软雅黑" w:cs="宋体"/>
                <w:kern w:val="0"/>
                <w:szCs w:val="21"/>
              </w:rPr>
              <w:t>7</w:t>
            </w:r>
          </w:p>
        </w:tc>
        <w:tc>
          <w:tcPr>
            <w:tcW w:w="4202"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auto"/>
              <w:rPr>
                <w:rFonts w:hint="eastAsia" w:ascii="微软雅黑" w:hAnsi="微软雅黑" w:eastAsia="微软雅黑" w:cs="宋体"/>
                <w:kern w:val="0"/>
                <w:szCs w:val="21"/>
              </w:rPr>
            </w:pPr>
            <w:r>
              <w:rPr>
                <w:rFonts w:hint="eastAsia" w:ascii="微软雅黑" w:hAnsi="微软雅黑" w:eastAsia="微软雅黑" w:cs="宋体"/>
                <w:kern w:val="0"/>
                <w:szCs w:val="21"/>
              </w:rPr>
              <w:t>投标人提供拟投入本项目的机房条件情况，机房管理体系符合ISO/TEC 27001：2013标准和ISO/IEC20000-1：2011标准的，</w:t>
            </w:r>
            <w:r>
              <w:rPr>
                <w:rFonts w:hint="eastAsia" w:ascii="微软雅黑" w:hAnsi="微软雅黑" w:eastAsia="微软雅黑" w:cs="宋体"/>
                <w:b/>
                <w:kern w:val="0"/>
                <w:szCs w:val="21"/>
              </w:rPr>
              <w:t>(提供证明材料复印件做在投标文件中)</w:t>
            </w:r>
            <w:r>
              <w:rPr>
                <w:rFonts w:hint="eastAsia" w:ascii="微软雅黑" w:hAnsi="微软雅黑" w:eastAsia="微软雅黑" w:cs="宋体"/>
                <w:kern w:val="0"/>
                <w:szCs w:val="21"/>
              </w:rPr>
              <w:t>，各得1分，最高2分；</w:t>
            </w:r>
          </w:p>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根据投标人提供的机房条件比较后打分（0-2分）；</w:t>
            </w:r>
            <w:r>
              <w:rPr>
                <w:rFonts w:hint="eastAsia" w:ascii="微软雅黑" w:hAnsi="微软雅黑" w:eastAsia="微软雅黑" w:cs="宋体"/>
                <w:b/>
                <w:kern w:val="0"/>
                <w:szCs w:val="21"/>
              </w:rPr>
              <w:t>（投标人提供证明机房条件的证明材料（机房图片等）做在投标文件中）。</w:t>
            </w:r>
          </w:p>
        </w:tc>
        <w:tc>
          <w:tcPr>
            <w:tcW w:w="399"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4</w:t>
            </w:r>
          </w:p>
        </w:tc>
      </w:tr>
      <w:tr>
        <w:tblPrEx>
          <w:tblCellMar>
            <w:top w:w="0" w:type="dxa"/>
            <w:left w:w="108" w:type="dxa"/>
            <w:bottom w:w="0" w:type="dxa"/>
            <w:right w:w="108" w:type="dxa"/>
          </w:tblCellMar>
        </w:tblPrEx>
        <w:trPr>
          <w:wBefore w:w="0" w:type="dxa"/>
          <w:wAfter w:w="0" w:type="dxa"/>
          <w:trHeight w:val="2115" w:hRule="atLeast"/>
        </w:trPr>
        <w:tc>
          <w:tcPr>
            <w:tcW w:w="399" w:type="pct"/>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8</w:t>
            </w:r>
          </w:p>
        </w:tc>
        <w:tc>
          <w:tcPr>
            <w:tcW w:w="4202" w:type="pct"/>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根据投标人拟投入本项目建设团队人员专业资质证书、学历证书、职称证书等综合实力比较后打分：</w:t>
            </w:r>
          </w:p>
          <w:p>
            <w:pPr>
              <w:spacing w:line="500" w:lineRule="exact"/>
              <w:rPr>
                <w:rFonts w:ascii="微软雅黑" w:hAnsi="微软雅黑" w:eastAsia="微软雅黑"/>
                <w:szCs w:val="21"/>
              </w:rPr>
            </w:pPr>
            <w:r>
              <w:rPr>
                <w:rFonts w:hint="eastAsia" w:ascii="微软雅黑" w:hAnsi="微软雅黑" w:eastAsia="微软雅黑"/>
                <w:szCs w:val="21"/>
              </w:rPr>
              <w:t>项目目人员具备与项目相关的资质证书（由评审专家委员会认定）。每类提供一项得1分，最高得6分。例如：电子工程高级工程师 、计算机软件高级工程师  、计算机 系统分析师 、系统集成项目管理工程师 、HCIA证书、PMP证书、信息系统项目管理师、高级程序员、信息安全师、数据库系统工程师、软件设计师、注册信息安全工程师等。</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（提供自本项目截止投标截止时间前的投标单位为其缴纳的社保缴纳证明材料及各类证书复印件做在投标文件中，单个人计分不超过2分）；</w:t>
            </w:r>
          </w:p>
        </w:tc>
        <w:tc>
          <w:tcPr>
            <w:tcW w:w="399"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6</w:t>
            </w:r>
          </w:p>
        </w:tc>
      </w:tr>
      <w:tr>
        <w:tblPrEx>
          <w:tblCellMar>
            <w:top w:w="0" w:type="dxa"/>
            <w:left w:w="108" w:type="dxa"/>
            <w:bottom w:w="0" w:type="dxa"/>
            <w:right w:w="108" w:type="dxa"/>
          </w:tblCellMar>
        </w:tblPrEx>
        <w:trPr>
          <w:wBefore w:w="0" w:type="dxa"/>
          <w:wAfter w:w="0" w:type="dxa"/>
          <w:trHeight w:val="1076" w:hRule="atLeast"/>
        </w:trPr>
        <w:tc>
          <w:tcPr>
            <w:tcW w:w="399"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9</w:t>
            </w:r>
          </w:p>
        </w:tc>
        <w:tc>
          <w:tcPr>
            <w:tcW w:w="4202"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szCs w:val="21"/>
              </w:rPr>
            </w:pPr>
            <w:r>
              <w:rPr>
                <w:rFonts w:hint="eastAsia" w:ascii="微软雅黑" w:hAnsi="微软雅黑" w:eastAsia="微软雅黑" w:cs="宋体"/>
                <w:kern w:val="0"/>
                <w:szCs w:val="21"/>
              </w:rPr>
              <w:t>投标单位承诺本项目建设完工前投标单位提供5人以上团队驻点，提供人员名单及与本项目相关的专业资格证书，得3分；</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3</w:t>
            </w:r>
          </w:p>
        </w:tc>
      </w:tr>
      <w:tr>
        <w:tblPrEx>
          <w:tblCellMar>
            <w:top w:w="0" w:type="dxa"/>
            <w:left w:w="108" w:type="dxa"/>
            <w:bottom w:w="0" w:type="dxa"/>
            <w:right w:w="108" w:type="dxa"/>
          </w:tblCellMar>
        </w:tblPrEx>
        <w:trPr>
          <w:wBefore w:w="0" w:type="dxa"/>
          <w:wAfter w:w="0" w:type="dxa"/>
          <w:trHeight w:val="836" w:hRule="atLeast"/>
        </w:trPr>
        <w:tc>
          <w:tcPr>
            <w:tcW w:w="399"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10</w:t>
            </w:r>
          </w:p>
        </w:tc>
        <w:tc>
          <w:tcPr>
            <w:tcW w:w="4202"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根据本项目特点，投标单位承诺比项目招标需求每多派驻1名驻点维护人员的（派驻时间为五年），得1分，承诺书做在投标文件中，本项最高得2分；</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r>
      <w:tr>
        <w:tblPrEx>
          <w:tblCellMar>
            <w:top w:w="0" w:type="dxa"/>
            <w:left w:w="108" w:type="dxa"/>
            <w:bottom w:w="0" w:type="dxa"/>
            <w:right w:w="108" w:type="dxa"/>
          </w:tblCellMar>
        </w:tblPrEx>
        <w:trPr>
          <w:wBefore w:w="0" w:type="dxa"/>
          <w:wAfter w:w="0" w:type="dxa"/>
          <w:trHeight w:val="1725" w:hRule="atLeast"/>
        </w:trPr>
        <w:tc>
          <w:tcPr>
            <w:tcW w:w="399"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11</w:t>
            </w:r>
          </w:p>
        </w:tc>
        <w:tc>
          <w:tcPr>
            <w:tcW w:w="4202" w:type="pct"/>
            <w:tcBorders>
              <w:top w:val="single" w:color="auto" w:sz="4"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投标人针对本项目的总负责人同时具有电子工程高级工程师和PMP证书的得3分；</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（提供自本项目截止投标截止时间前的投标单位为其缴纳的社保缴纳证明材料及各类证书复印件做在投标文件中）；</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r>
      <w:tr>
        <w:tblPrEx>
          <w:tblCellMar>
            <w:top w:w="0" w:type="dxa"/>
            <w:left w:w="108" w:type="dxa"/>
            <w:bottom w:w="0" w:type="dxa"/>
            <w:right w:w="108" w:type="dxa"/>
          </w:tblCellMar>
        </w:tblPrEx>
        <w:trPr>
          <w:wBefore w:w="0" w:type="dxa"/>
          <w:wAfter w:w="0" w:type="dxa"/>
          <w:trHeight w:val="870" w:hRule="atLeast"/>
        </w:trPr>
        <w:tc>
          <w:tcPr>
            <w:tcW w:w="399" w:type="pct"/>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12</w:t>
            </w:r>
          </w:p>
        </w:tc>
        <w:tc>
          <w:tcPr>
            <w:tcW w:w="4202" w:type="pct"/>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投标人拟投入本项目登高车、快速运维车辆数量，符合招标需求的，得2分，每增加一辆车辆，加1分，最多加2分 ；（提供车辆照片和行驶证复印件做在投标文件，允许租赁，如是租赁的，另需提供意向租赁合同复印件做在投标文件中）；</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r>
      <w:tr>
        <w:tblPrEx>
          <w:tblCellMar>
            <w:top w:w="0" w:type="dxa"/>
            <w:left w:w="108" w:type="dxa"/>
            <w:bottom w:w="0" w:type="dxa"/>
            <w:right w:w="108" w:type="dxa"/>
          </w:tblCellMar>
        </w:tblPrEx>
        <w:trPr>
          <w:wBefore w:w="0" w:type="dxa"/>
          <w:wAfter w:w="0" w:type="dxa"/>
          <w:trHeight w:val="870" w:hRule="atLeast"/>
        </w:trPr>
        <w:tc>
          <w:tcPr>
            <w:tcW w:w="399" w:type="pct"/>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13</w:t>
            </w:r>
          </w:p>
        </w:tc>
        <w:tc>
          <w:tcPr>
            <w:tcW w:w="4202" w:type="pct"/>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为响应国家低碳的要求，投标单位投标产品在产品设计、研发、生产、过程需采取有效减少温室气体排放措施，符合国家温室气体排放和清除的量化和报告的规范。本项目所投产品生产厂商通过ISO 14064温室气体核查认证的，提供证明材料得2分，不提供不得分。</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r>
      <w:tr>
        <w:tblPrEx>
          <w:tblCellMar>
            <w:top w:w="0" w:type="dxa"/>
            <w:left w:w="108" w:type="dxa"/>
            <w:bottom w:w="0" w:type="dxa"/>
            <w:right w:w="108" w:type="dxa"/>
          </w:tblCellMar>
        </w:tblPrEx>
        <w:trPr>
          <w:wBefore w:w="0" w:type="dxa"/>
          <w:wAfter w:w="0" w:type="dxa"/>
          <w:trHeight w:val="300" w:hRule="atLeast"/>
        </w:trPr>
        <w:tc>
          <w:tcPr>
            <w:tcW w:w="4601" w:type="pct"/>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小计</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fldChar w:fldCharType="begin"/>
            </w:r>
            <w:r>
              <w:rPr>
                <w:rFonts w:ascii="微软雅黑" w:hAnsi="微软雅黑" w:eastAsia="微软雅黑" w:cs="宋体"/>
                <w:kern w:val="0"/>
                <w:szCs w:val="21"/>
              </w:rPr>
              <w:instrText xml:space="preserve"> =SUM(ABOVE) </w:instrText>
            </w:r>
            <w:r>
              <w:rPr>
                <w:rFonts w:ascii="微软雅黑" w:hAnsi="微软雅黑" w:eastAsia="微软雅黑" w:cs="宋体"/>
                <w:kern w:val="0"/>
                <w:szCs w:val="21"/>
              </w:rPr>
              <w:fldChar w:fldCharType="separate"/>
            </w:r>
            <w:r>
              <w:rPr>
                <w:rFonts w:ascii="微软雅黑" w:hAnsi="微软雅黑" w:eastAsia="微软雅黑" w:cs="宋体"/>
                <w:kern w:val="0"/>
                <w:szCs w:val="21"/>
                <w:lang/>
              </w:rPr>
              <w:t>54</w:t>
            </w:r>
            <w:r>
              <w:rPr>
                <w:rFonts w:ascii="微软雅黑" w:hAnsi="微软雅黑" w:eastAsia="微软雅黑" w:cs="宋体"/>
                <w:kern w:val="0"/>
                <w:szCs w:val="21"/>
              </w:rPr>
              <w:fldChar w:fldCharType="end"/>
            </w:r>
          </w:p>
        </w:tc>
      </w:tr>
    </w:tbl>
    <w:p>
      <w:pPr>
        <w:pStyle w:val="2"/>
        <w:spacing w:after="0" w:line="360" w:lineRule="auto"/>
        <w:ind w:firstLine="420" w:firstLineChars="200"/>
        <w:jc w:val="left"/>
        <w:rPr>
          <w:rFonts w:hint="eastAsia" w:ascii="微软雅黑" w:hAnsi="微软雅黑" w:eastAsia="微软雅黑"/>
          <w:szCs w:val="21"/>
        </w:rPr>
      </w:pPr>
    </w:p>
    <w:p>
      <w:pPr>
        <w:spacing w:line="360" w:lineRule="auto"/>
        <w:jc w:val="left"/>
        <w:rPr>
          <w:rFonts w:hint="eastAsia" w:ascii="微软雅黑" w:hAnsi="微软雅黑" w:eastAsia="微软雅黑"/>
          <w:b/>
          <w:bCs/>
          <w:szCs w:val="21"/>
        </w:rPr>
      </w:pPr>
      <w:bookmarkStart w:id="266" w:name="_Toc493511826"/>
      <w:bookmarkStart w:id="267" w:name="_Toc416422800"/>
      <w:bookmarkStart w:id="268" w:name="_Toc417992896"/>
    </w:p>
    <w:p>
      <w:pPr>
        <w:spacing w:line="360" w:lineRule="auto"/>
        <w:jc w:val="left"/>
        <w:rPr>
          <w:rFonts w:ascii="微软雅黑" w:hAnsi="微软雅黑" w:eastAsia="微软雅黑"/>
          <w:b/>
          <w:bCs/>
          <w:szCs w:val="21"/>
        </w:rPr>
        <w:sectPr>
          <w:pgSz w:w="11906" w:h="16838"/>
          <w:pgMar w:top="1474" w:right="1797" w:bottom="1247" w:left="1797" w:header="851" w:footer="851" w:gutter="0"/>
          <w:cols w:space="720" w:num="1"/>
          <w:docGrid w:linePitch="312" w:charSpace="0"/>
        </w:sectPr>
      </w:pPr>
    </w:p>
    <w:p>
      <w:pPr>
        <w:spacing w:line="360" w:lineRule="auto"/>
        <w:jc w:val="left"/>
        <w:rPr>
          <w:rFonts w:hint="eastAsia" w:ascii="微软雅黑" w:hAnsi="微软雅黑" w:eastAsia="微软雅黑"/>
          <w:b/>
          <w:bCs/>
          <w:szCs w:val="21"/>
        </w:rPr>
      </w:pPr>
      <w:r>
        <w:rPr>
          <w:rFonts w:hint="eastAsia" w:ascii="微软雅黑" w:hAnsi="微软雅黑" w:eastAsia="微软雅黑"/>
          <w:b/>
          <w:bCs/>
          <w:szCs w:val="21"/>
        </w:rPr>
        <w:t xml:space="preserve">（三）资信商务及其他分 </w:t>
      </w:r>
    </w:p>
    <w:tbl>
      <w:tblPr>
        <w:tblStyle w:val="47"/>
        <w:tblW w:w="5000" w:type="pct"/>
        <w:tblInd w:w="0" w:type="dxa"/>
        <w:tblLayout w:type="autofit"/>
        <w:tblCellMar>
          <w:top w:w="0" w:type="dxa"/>
          <w:left w:w="108" w:type="dxa"/>
          <w:bottom w:w="0" w:type="dxa"/>
          <w:right w:w="108" w:type="dxa"/>
        </w:tblCellMar>
      </w:tblPr>
      <w:tblGrid>
        <w:gridCol w:w="696"/>
        <w:gridCol w:w="7136"/>
        <w:gridCol w:w="696"/>
      </w:tblGrid>
      <w:tr>
        <w:tblPrEx>
          <w:tblCellMar>
            <w:top w:w="0" w:type="dxa"/>
            <w:left w:w="108" w:type="dxa"/>
            <w:bottom w:w="0" w:type="dxa"/>
            <w:right w:w="108" w:type="dxa"/>
          </w:tblCellMar>
        </w:tblPrEx>
        <w:trPr>
          <w:wBefore w:w="0" w:type="dxa"/>
          <w:wAfter w:w="0" w:type="dxa"/>
          <w:trHeight w:val="300" w:hRule="atLeast"/>
        </w:trPr>
        <w:tc>
          <w:tcPr>
            <w:tcW w:w="40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序号</w:t>
            </w:r>
          </w:p>
        </w:tc>
        <w:tc>
          <w:tcPr>
            <w:tcW w:w="4184"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评分内容</w:t>
            </w:r>
          </w:p>
        </w:tc>
        <w:tc>
          <w:tcPr>
            <w:tcW w:w="408"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分值</w:t>
            </w:r>
          </w:p>
        </w:tc>
      </w:tr>
      <w:tr>
        <w:tblPrEx>
          <w:tblCellMar>
            <w:top w:w="0" w:type="dxa"/>
            <w:left w:w="108" w:type="dxa"/>
            <w:bottom w:w="0" w:type="dxa"/>
            <w:right w:w="108" w:type="dxa"/>
          </w:tblCellMar>
        </w:tblPrEx>
        <w:trPr>
          <w:wBefore w:w="0" w:type="dxa"/>
          <w:wAfter w:w="0" w:type="dxa"/>
          <w:trHeight w:val="585" w:hRule="atLeast"/>
        </w:trPr>
        <w:tc>
          <w:tcPr>
            <w:tcW w:w="40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14</w:t>
            </w:r>
          </w:p>
        </w:tc>
        <w:tc>
          <w:tcPr>
            <w:tcW w:w="4184"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根据投标人相关的资质、信誉、荣誉、知名度、市场形象等企业综合实力情况，得0-2分；凡在投标截止时间前三年受到行政处罚、行政处理（含通报）或记入不良行为的，此项得分为0，若无处罚、行政处理（含通报）或记入不良行为的得2分（供应商自行提供，如有不良记录又虚假隐瞒的，一经发现将取消投标资格）；</w:t>
            </w:r>
          </w:p>
        </w:tc>
        <w:tc>
          <w:tcPr>
            <w:tcW w:w="408"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r>
      <w:tr>
        <w:tblPrEx>
          <w:tblCellMar>
            <w:top w:w="0" w:type="dxa"/>
            <w:left w:w="108" w:type="dxa"/>
            <w:bottom w:w="0" w:type="dxa"/>
            <w:right w:w="108" w:type="dxa"/>
          </w:tblCellMar>
        </w:tblPrEx>
        <w:trPr>
          <w:wBefore w:w="0" w:type="dxa"/>
          <w:wAfter w:w="0" w:type="dxa"/>
          <w:trHeight w:val="585" w:hRule="atLeast"/>
        </w:trPr>
        <w:tc>
          <w:tcPr>
            <w:tcW w:w="408"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15</w:t>
            </w:r>
          </w:p>
        </w:tc>
        <w:tc>
          <w:tcPr>
            <w:tcW w:w="4184" w:type="pct"/>
            <w:tcBorders>
              <w:top w:val="single" w:color="auto" w:sz="8" w:space="0"/>
              <w:left w:val="nil"/>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同类案例：</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自2016年1月以来投标人在社会治安监控或雪亮工程项目或其它评审委员会认定的同类项目案例业绩，每提供一个得1分，最高得8分；（提供项目合同复印件做在投标文件中）。</w:t>
            </w:r>
          </w:p>
        </w:tc>
        <w:tc>
          <w:tcPr>
            <w:tcW w:w="408"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8</w:t>
            </w:r>
          </w:p>
        </w:tc>
      </w:tr>
      <w:tr>
        <w:tblPrEx>
          <w:tblCellMar>
            <w:top w:w="0" w:type="dxa"/>
            <w:left w:w="108" w:type="dxa"/>
            <w:bottom w:w="0" w:type="dxa"/>
            <w:right w:w="108" w:type="dxa"/>
          </w:tblCellMar>
        </w:tblPrEx>
        <w:trPr>
          <w:wBefore w:w="0" w:type="dxa"/>
          <w:wAfter w:w="0" w:type="dxa"/>
          <w:trHeight w:val="870" w:hRule="atLeast"/>
        </w:trPr>
        <w:tc>
          <w:tcPr>
            <w:tcW w:w="408" w:type="pct"/>
            <w:tcBorders>
              <w:top w:val="single" w:color="auto" w:sz="8" w:space="0"/>
              <w:left w:val="single" w:color="auto" w:sz="8" w:space="0"/>
              <w:bottom w:val="single" w:color="auto" w:sz="4"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16</w:t>
            </w:r>
          </w:p>
        </w:tc>
        <w:tc>
          <w:tcPr>
            <w:tcW w:w="4184" w:type="pct"/>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政策分：</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投标产品符合财库[2019]9号《关于调整优化节能产品、环境标志产品政府采购执行机制的通知》条件，每种产品得0.5分，最高得1分;</w:t>
            </w:r>
          </w:p>
        </w:tc>
        <w:tc>
          <w:tcPr>
            <w:tcW w:w="408"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w:t>
            </w:r>
          </w:p>
        </w:tc>
      </w:tr>
      <w:tr>
        <w:tblPrEx>
          <w:tblCellMar>
            <w:top w:w="0" w:type="dxa"/>
            <w:left w:w="108" w:type="dxa"/>
            <w:bottom w:w="0" w:type="dxa"/>
            <w:right w:w="108" w:type="dxa"/>
          </w:tblCellMar>
        </w:tblPrEx>
        <w:trPr>
          <w:wBefore w:w="0" w:type="dxa"/>
          <w:wAfter w:w="0" w:type="dxa"/>
          <w:trHeight w:val="542" w:hRule="atLeast"/>
        </w:trPr>
        <w:tc>
          <w:tcPr>
            <w:tcW w:w="408" w:type="pct"/>
            <w:tcBorders>
              <w:top w:val="single" w:color="auto" w:sz="4" w:space="0"/>
              <w:left w:val="single" w:color="auto" w:sz="8" w:space="0"/>
              <w:bottom w:val="single" w:color="000000" w:sz="8" w:space="0"/>
              <w:right w:val="single" w:color="auto" w:sz="8" w:space="0"/>
            </w:tcBorders>
            <w:shd w:val="clear" w:color="auto" w:fill="auto"/>
            <w:noWrap w:val="0"/>
            <w:vAlign w:val="center"/>
          </w:tcPr>
          <w:p>
            <w:pPr>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17</w:t>
            </w:r>
          </w:p>
        </w:tc>
        <w:tc>
          <w:tcPr>
            <w:tcW w:w="4184" w:type="pct"/>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投标人具有ITSS信息技术服务运行维护标准证书的得2分；具有ISO 9001质量管理体系、ISO 14001环境管理体系，每提供一个得1分，最高得4分。</w:t>
            </w:r>
          </w:p>
        </w:tc>
        <w:tc>
          <w:tcPr>
            <w:tcW w:w="408"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r>
      <w:tr>
        <w:tblPrEx>
          <w:tblCellMar>
            <w:top w:w="0" w:type="dxa"/>
            <w:left w:w="108" w:type="dxa"/>
            <w:bottom w:w="0" w:type="dxa"/>
            <w:right w:w="108" w:type="dxa"/>
          </w:tblCellMar>
        </w:tblPrEx>
        <w:trPr>
          <w:wBefore w:w="0" w:type="dxa"/>
          <w:wAfter w:w="0" w:type="dxa"/>
          <w:trHeight w:val="960" w:hRule="atLeast"/>
        </w:trPr>
        <w:tc>
          <w:tcPr>
            <w:tcW w:w="408" w:type="pct"/>
            <w:tcBorders>
              <w:top w:val="nil"/>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18</w:t>
            </w:r>
          </w:p>
        </w:tc>
        <w:tc>
          <w:tcPr>
            <w:tcW w:w="4184" w:type="pct"/>
            <w:tcBorders>
              <w:top w:val="nil"/>
              <w:left w:val="nil"/>
              <w:bottom w:val="single" w:color="auto" w:sz="8"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投标产品生产企业具有与投标产品相关的软件著作权证书的，每提供1份得0</w:t>
            </w:r>
            <w:r>
              <w:rPr>
                <w:rFonts w:ascii="微软雅黑" w:hAnsi="微软雅黑" w:eastAsia="微软雅黑" w:cs="宋体"/>
                <w:kern w:val="0"/>
                <w:szCs w:val="21"/>
              </w:rPr>
              <w:t>.</w:t>
            </w:r>
            <w:r>
              <w:rPr>
                <w:rFonts w:hint="eastAsia" w:ascii="微软雅黑" w:hAnsi="微软雅黑" w:eastAsia="微软雅黑" w:cs="宋体"/>
                <w:kern w:val="0"/>
                <w:szCs w:val="21"/>
              </w:rPr>
              <w:t>5分，共2分；</w:t>
            </w:r>
          </w:p>
        </w:tc>
        <w:tc>
          <w:tcPr>
            <w:tcW w:w="408"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2</w:t>
            </w:r>
          </w:p>
        </w:tc>
      </w:tr>
      <w:tr>
        <w:tblPrEx>
          <w:tblCellMar>
            <w:top w:w="0" w:type="dxa"/>
            <w:left w:w="108" w:type="dxa"/>
            <w:bottom w:w="0" w:type="dxa"/>
            <w:right w:w="108" w:type="dxa"/>
          </w:tblCellMar>
        </w:tblPrEx>
        <w:trPr>
          <w:wBefore w:w="0" w:type="dxa"/>
          <w:wAfter w:w="0" w:type="dxa"/>
          <w:trHeight w:val="393" w:hRule="atLeast"/>
        </w:trPr>
        <w:tc>
          <w:tcPr>
            <w:tcW w:w="408" w:type="pct"/>
            <w:tcBorders>
              <w:top w:val="nil"/>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19</w:t>
            </w:r>
          </w:p>
        </w:tc>
        <w:tc>
          <w:tcPr>
            <w:tcW w:w="4184" w:type="pct"/>
            <w:tcBorders>
              <w:top w:val="nil"/>
              <w:left w:val="nil"/>
              <w:bottom w:val="single" w:color="auto" w:sz="8"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投标产品具有招标需求中所列的检测报告的，每具有一份得0</w:t>
            </w:r>
            <w:r>
              <w:rPr>
                <w:rFonts w:ascii="微软雅黑" w:hAnsi="微软雅黑" w:eastAsia="微软雅黑" w:cs="宋体"/>
                <w:kern w:val="0"/>
                <w:szCs w:val="21"/>
              </w:rPr>
              <w:t>.5</w:t>
            </w:r>
            <w:r>
              <w:rPr>
                <w:rFonts w:hint="eastAsia" w:ascii="微软雅黑" w:hAnsi="微软雅黑" w:eastAsia="微软雅黑" w:cs="宋体"/>
                <w:kern w:val="0"/>
                <w:szCs w:val="21"/>
              </w:rPr>
              <w:t>分，共6分；</w:t>
            </w:r>
          </w:p>
        </w:tc>
        <w:tc>
          <w:tcPr>
            <w:tcW w:w="408"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6</w:t>
            </w:r>
          </w:p>
        </w:tc>
      </w:tr>
      <w:tr>
        <w:tblPrEx>
          <w:tblCellMar>
            <w:top w:w="0" w:type="dxa"/>
            <w:left w:w="108" w:type="dxa"/>
            <w:bottom w:w="0" w:type="dxa"/>
            <w:right w:w="108" w:type="dxa"/>
          </w:tblCellMar>
        </w:tblPrEx>
        <w:trPr>
          <w:wBefore w:w="0" w:type="dxa"/>
          <w:wAfter w:w="0" w:type="dxa"/>
          <w:trHeight w:val="838" w:hRule="atLeast"/>
        </w:trPr>
        <w:tc>
          <w:tcPr>
            <w:tcW w:w="408" w:type="pct"/>
            <w:tcBorders>
              <w:top w:val="nil"/>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20</w:t>
            </w:r>
          </w:p>
        </w:tc>
        <w:tc>
          <w:tcPr>
            <w:tcW w:w="4184" w:type="pct"/>
            <w:tcBorders>
              <w:top w:val="nil"/>
              <w:left w:val="nil"/>
              <w:bottom w:val="single" w:color="auto" w:sz="8" w:space="0"/>
              <w:right w:val="single" w:color="auto" w:sz="8" w:space="0"/>
            </w:tcBorders>
            <w:shd w:val="clear" w:color="auto" w:fill="auto"/>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投标软件产品具有招标需求中所列的证明材料的，每具有一份得0</w:t>
            </w:r>
            <w:r>
              <w:rPr>
                <w:rFonts w:ascii="微软雅黑" w:hAnsi="微软雅黑" w:eastAsia="微软雅黑" w:cs="宋体"/>
                <w:kern w:val="0"/>
                <w:szCs w:val="21"/>
              </w:rPr>
              <w:t>.3</w:t>
            </w:r>
            <w:r>
              <w:rPr>
                <w:rFonts w:hint="eastAsia" w:ascii="微软雅黑" w:hAnsi="微软雅黑" w:eastAsia="微软雅黑" w:cs="宋体"/>
                <w:kern w:val="0"/>
                <w:szCs w:val="21"/>
              </w:rPr>
              <w:t xml:space="preserve">分，共6分； </w:t>
            </w:r>
          </w:p>
        </w:tc>
        <w:tc>
          <w:tcPr>
            <w:tcW w:w="408"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6</w:t>
            </w:r>
          </w:p>
        </w:tc>
      </w:tr>
      <w:tr>
        <w:tblPrEx>
          <w:tblCellMar>
            <w:top w:w="0" w:type="dxa"/>
            <w:left w:w="108" w:type="dxa"/>
            <w:bottom w:w="0" w:type="dxa"/>
            <w:right w:w="108" w:type="dxa"/>
          </w:tblCellMar>
        </w:tblPrEx>
        <w:trPr>
          <w:wBefore w:w="0" w:type="dxa"/>
          <w:wAfter w:w="0" w:type="dxa"/>
          <w:trHeight w:val="556" w:hRule="atLeast"/>
        </w:trPr>
        <w:tc>
          <w:tcPr>
            <w:tcW w:w="408" w:type="pct"/>
            <w:tcBorders>
              <w:top w:val="nil"/>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ascii="微软雅黑" w:hAnsi="微软雅黑" w:eastAsia="微软雅黑" w:cs="宋体"/>
                <w:kern w:val="0"/>
                <w:szCs w:val="21"/>
              </w:rPr>
              <w:t>21</w:t>
            </w:r>
          </w:p>
        </w:tc>
        <w:tc>
          <w:tcPr>
            <w:tcW w:w="4184" w:type="pct"/>
            <w:tcBorders>
              <w:top w:val="nil"/>
              <w:left w:val="nil"/>
              <w:bottom w:val="single" w:color="auto" w:sz="8" w:space="0"/>
              <w:right w:val="single" w:color="auto" w:sz="8" w:space="0"/>
            </w:tcBorders>
            <w:shd w:val="clear" w:color="auto" w:fill="auto"/>
            <w:noWrap w:val="0"/>
            <w:vAlign w:val="center"/>
          </w:tcPr>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投标文件制作：</w:t>
            </w:r>
          </w:p>
          <w:p>
            <w:pPr>
              <w:widowControl/>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t>投标文件编制完整，格式规范、投标产品品牌、规格、型号、配件清单清楚并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408" w:type="pct"/>
            <w:tcBorders>
              <w:top w:val="nil"/>
              <w:left w:val="nil"/>
              <w:bottom w:val="single" w:color="auto" w:sz="8" w:space="0"/>
              <w:right w:val="single" w:color="auto" w:sz="8" w:space="0"/>
            </w:tcBorders>
            <w:shd w:val="clear" w:color="auto" w:fill="auto"/>
            <w:noWrap/>
            <w:vAlign w:val="center"/>
          </w:tcPr>
          <w:p>
            <w:pPr>
              <w:widowControl/>
              <w:spacing w:line="360" w:lineRule="auto"/>
              <w:jc w:val="center"/>
              <w:rPr>
                <w:rFonts w:ascii="微软雅黑" w:hAnsi="微软雅黑" w:eastAsia="微软雅黑" w:cs="宋体"/>
                <w:kern w:val="0"/>
                <w:szCs w:val="21"/>
              </w:rPr>
            </w:pPr>
            <w:r>
              <w:rPr>
                <w:rFonts w:hint="eastAsia" w:ascii="微软雅黑" w:hAnsi="微软雅黑" w:eastAsia="微软雅黑" w:cs="宋体"/>
                <w:kern w:val="0"/>
                <w:szCs w:val="21"/>
              </w:rPr>
              <w:t>2</w:t>
            </w:r>
          </w:p>
        </w:tc>
      </w:tr>
      <w:tr>
        <w:tblPrEx>
          <w:tblCellMar>
            <w:top w:w="0" w:type="dxa"/>
            <w:left w:w="108" w:type="dxa"/>
            <w:bottom w:w="0" w:type="dxa"/>
            <w:right w:w="108" w:type="dxa"/>
          </w:tblCellMar>
        </w:tblPrEx>
        <w:trPr>
          <w:wBefore w:w="0" w:type="dxa"/>
          <w:wAfter w:w="0" w:type="dxa"/>
          <w:trHeight w:val="690" w:hRule="atLeast"/>
        </w:trPr>
        <w:tc>
          <w:tcPr>
            <w:tcW w:w="4592" w:type="pct"/>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hint="eastAsia" w:ascii="微软雅黑" w:hAnsi="微软雅黑" w:eastAsia="微软雅黑" w:cs="宋体"/>
                <w:kern w:val="0"/>
                <w:szCs w:val="21"/>
              </w:rPr>
              <w:t>小计</w:t>
            </w:r>
          </w:p>
        </w:tc>
        <w:tc>
          <w:tcPr>
            <w:tcW w:w="408" w:type="pct"/>
            <w:tcBorders>
              <w:top w:val="single" w:color="auto" w:sz="8" w:space="0"/>
              <w:left w:val="nil"/>
              <w:bottom w:val="single" w:color="auto" w:sz="8" w:space="0"/>
              <w:right w:val="single" w:color="auto" w:sz="8" w:space="0"/>
            </w:tcBorders>
            <w:shd w:val="clear" w:color="auto" w:fill="auto"/>
            <w:noWrap/>
            <w:vAlign w:val="center"/>
          </w:tcPr>
          <w:p>
            <w:pPr>
              <w:widowControl/>
              <w:spacing w:line="360" w:lineRule="auto"/>
              <w:jc w:val="center"/>
              <w:rPr>
                <w:rFonts w:hint="eastAsia" w:ascii="微软雅黑" w:hAnsi="微软雅黑" w:eastAsia="微软雅黑" w:cs="宋体"/>
                <w:kern w:val="0"/>
                <w:szCs w:val="21"/>
              </w:rPr>
            </w:pPr>
            <w:r>
              <w:rPr>
                <w:rFonts w:ascii="微软雅黑" w:hAnsi="微软雅黑" w:eastAsia="微软雅黑" w:cs="宋体"/>
                <w:kern w:val="0"/>
                <w:szCs w:val="21"/>
              </w:rPr>
              <w:fldChar w:fldCharType="begin"/>
            </w:r>
            <w:r>
              <w:rPr>
                <w:rFonts w:ascii="微软雅黑" w:hAnsi="微软雅黑" w:eastAsia="微软雅黑" w:cs="宋体"/>
                <w:kern w:val="0"/>
                <w:szCs w:val="21"/>
              </w:rPr>
              <w:instrText xml:space="preserve"> </w:instrText>
            </w:r>
            <w:r>
              <w:rPr>
                <w:rFonts w:hint="eastAsia" w:ascii="微软雅黑" w:hAnsi="微软雅黑" w:eastAsia="微软雅黑" w:cs="宋体"/>
                <w:kern w:val="0"/>
                <w:szCs w:val="21"/>
              </w:rPr>
              <w:instrText xml:space="preserve">=SUM(ABOVE)</w:instrText>
            </w:r>
            <w:r>
              <w:rPr>
                <w:rFonts w:ascii="微软雅黑" w:hAnsi="微软雅黑" w:eastAsia="微软雅黑" w:cs="宋体"/>
                <w:kern w:val="0"/>
                <w:szCs w:val="21"/>
              </w:rPr>
              <w:instrText xml:space="preserve"> </w:instrText>
            </w:r>
            <w:r>
              <w:rPr>
                <w:rFonts w:ascii="微软雅黑" w:hAnsi="微软雅黑" w:eastAsia="微软雅黑" w:cs="宋体"/>
                <w:kern w:val="0"/>
                <w:szCs w:val="21"/>
              </w:rPr>
              <w:fldChar w:fldCharType="separate"/>
            </w:r>
            <w:r>
              <w:rPr>
                <w:rFonts w:ascii="微软雅黑" w:hAnsi="微软雅黑" w:eastAsia="微软雅黑" w:cs="宋体"/>
                <w:kern w:val="0"/>
                <w:szCs w:val="21"/>
                <w:lang/>
              </w:rPr>
              <w:t>31</w:t>
            </w:r>
            <w:r>
              <w:rPr>
                <w:rFonts w:ascii="微软雅黑" w:hAnsi="微软雅黑" w:eastAsia="微软雅黑" w:cs="宋体"/>
                <w:kern w:val="0"/>
                <w:szCs w:val="21"/>
              </w:rPr>
              <w:fldChar w:fldCharType="end"/>
            </w:r>
          </w:p>
        </w:tc>
      </w:tr>
    </w:tbl>
    <w:p>
      <w:pPr>
        <w:pStyle w:val="95"/>
        <w:ind w:firstLine="600"/>
        <w:rPr>
          <w:rFonts w:hint="eastAsia"/>
        </w:rPr>
      </w:pPr>
      <w:r>
        <w:rPr>
          <w:rFonts w:hint="eastAsia"/>
        </w:rPr>
        <w:br w:type="page"/>
      </w:r>
      <w:bookmarkStart w:id="269" w:name="_Toc50012905"/>
      <w:r>
        <w:rPr>
          <w:rFonts w:hint="eastAsia"/>
        </w:rPr>
        <w:t>第五章  政府采购合同</w:t>
      </w:r>
      <w:bookmarkEnd w:id="266"/>
      <w:bookmarkEnd w:id="267"/>
      <w:bookmarkEnd w:id="268"/>
      <w:bookmarkEnd w:id="269"/>
    </w:p>
    <w:p>
      <w:pPr>
        <w:pStyle w:val="34"/>
        <w:spacing w:before="0" w:after="0" w:line="360" w:lineRule="auto"/>
        <w:ind w:firstLine="420" w:firstLineChars="200"/>
        <w:outlineLvl w:val="0"/>
        <w:rPr>
          <w:rFonts w:hint="eastAsia" w:ascii="微软雅黑" w:hAnsi="微软雅黑" w:eastAsia="微软雅黑"/>
          <w:sz w:val="21"/>
          <w:szCs w:val="21"/>
        </w:rPr>
      </w:pPr>
      <w:bookmarkStart w:id="270" w:name="_Toc416422801"/>
      <w:bookmarkStart w:id="271" w:name="_Toc493511827"/>
      <w:bookmarkStart w:id="272" w:name="_Toc50012906"/>
      <w:bookmarkStart w:id="273" w:name="_Toc416422466"/>
      <w:bookmarkStart w:id="274" w:name="_Toc417992897"/>
      <w:bookmarkStart w:id="275" w:name="_Toc427915780"/>
      <w:r>
        <w:rPr>
          <w:rFonts w:hint="eastAsia" w:ascii="微软雅黑" w:hAnsi="微软雅黑" w:eastAsia="微软雅黑"/>
          <w:sz w:val="21"/>
          <w:szCs w:val="21"/>
        </w:rPr>
        <w:t>政府采购合同</w:t>
      </w:r>
      <w:bookmarkEnd w:id="270"/>
      <w:bookmarkEnd w:id="271"/>
      <w:bookmarkEnd w:id="272"/>
      <w:bookmarkEnd w:id="273"/>
      <w:bookmarkEnd w:id="274"/>
      <w:bookmarkEnd w:id="275"/>
    </w:p>
    <w:p>
      <w:pPr>
        <w:spacing w:line="360" w:lineRule="auto"/>
        <w:ind w:firstLine="420" w:firstLineChars="200"/>
        <w:jc w:val="center"/>
        <w:rPr>
          <w:rFonts w:hint="eastAsia" w:ascii="微软雅黑" w:hAnsi="微软雅黑" w:eastAsia="微软雅黑"/>
          <w:b/>
          <w:szCs w:val="21"/>
        </w:rPr>
      </w:pPr>
      <w:r>
        <w:rPr>
          <w:rFonts w:hint="eastAsia" w:ascii="微软雅黑" w:hAnsi="微软雅黑" w:eastAsia="微软雅黑"/>
          <w:b/>
          <w:szCs w:val="21"/>
        </w:rPr>
        <w:t>一、通用必备条款部份</w:t>
      </w:r>
    </w:p>
    <w:p>
      <w:pPr>
        <w:pStyle w:val="25"/>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
          <w:szCs w:val="21"/>
        </w:rPr>
        <w:t>合同</w:t>
      </w:r>
      <w:r>
        <w:rPr>
          <w:rFonts w:ascii="微软雅黑" w:hAnsi="微软雅黑" w:eastAsia="微软雅黑"/>
          <w:b/>
          <w:szCs w:val="21"/>
        </w:rPr>
        <w:t>编号：</w:t>
      </w:r>
    </w:p>
    <w:p>
      <w:pPr>
        <w:pStyle w:val="25"/>
        <w:snapToGrid w:val="0"/>
        <w:spacing w:line="360" w:lineRule="auto"/>
        <w:ind w:firstLine="420" w:firstLineChars="200"/>
        <w:jc w:val="left"/>
        <w:rPr>
          <w:rFonts w:hint="eastAsia" w:ascii="微软雅黑" w:hAnsi="微软雅黑" w:eastAsia="微软雅黑"/>
          <w:bCs/>
          <w:szCs w:val="21"/>
        </w:rPr>
      </w:pPr>
      <w:r>
        <w:rPr>
          <w:rFonts w:hint="eastAsia" w:ascii="微软雅黑" w:hAnsi="微软雅黑" w:eastAsia="微软雅黑"/>
          <w:b/>
          <w:szCs w:val="21"/>
        </w:rPr>
        <w:t>政府采购计划（预算）确认号：</w:t>
      </w:r>
      <w:r>
        <w:rPr>
          <w:rFonts w:hint="eastAsia" w:ascii="微软雅黑" w:hAnsi="微软雅黑" w:eastAsia="微软雅黑"/>
          <w:bCs/>
          <w:szCs w:val="21"/>
        </w:rPr>
        <w:t xml:space="preserve"> </w:t>
      </w:r>
    </w:p>
    <w:p>
      <w:pPr>
        <w:pStyle w:val="25"/>
        <w:snapToGrid w:val="0"/>
        <w:spacing w:line="360" w:lineRule="auto"/>
        <w:ind w:firstLine="420" w:firstLineChars="200"/>
        <w:jc w:val="left"/>
        <w:rPr>
          <w:rFonts w:ascii="微软雅黑" w:hAnsi="微软雅黑" w:eastAsia="微软雅黑"/>
          <w:szCs w:val="21"/>
          <w:lang w:eastAsia="zh-CN"/>
        </w:rPr>
      </w:pPr>
      <w:r>
        <w:rPr>
          <w:rFonts w:hint="eastAsia" w:ascii="微软雅黑" w:hAnsi="微软雅黑" w:eastAsia="微软雅黑"/>
          <w:b/>
          <w:szCs w:val="21"/>
        </w:rPr>
        <w:t>预算金额</w:t>
      </w:r>
      <w:r>
        <w:rPr>
          <w:rFonts w:hint="eastAsia" w:ascii="微软雅黑" w:hAnsi="微软雅黑" w:eastAsia="微软雅黑"/>
          <w:szCs w:val="21"/>
        </w:rPr>
        <w:t xml:space="preserve">： </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b/>
          <w:szCs w:val="21"/>
        </w:rPr>
        <w:t>采购人（以下称甲方）：</w:t>
      </w:r>
      <w:r>
        <w:rPr>
          <w:rFonts w:hint="eastAsia"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供应商（以下称乙方）：</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b/>
          <w:szCs w:val="21"/>
        </w:rPr>
        <w:t>采购代理机构：</w:t>
      </w:r>
      <w:r>
        <w:rPr>
          <w:rFonts w:hint="eastAsia"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b/>
          <w:szCs w:val="21"/>
        </w:rPr>
        <w:t>采购方式：</w:t>
      </w:r>
      <w:r>
        <w:rPr>
          <w:rFonts w:hint="eastAsia" w:ascii="微软雅黑" w:hAnsi="微软雅黑" w:eastAsia="微软雅黑"/>
          <w:szCs w:val="21"/>
        </w:rPr>
        <w:t>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根据《中华人民共和国政府采购法》、《中华人民共和国合同法》等法律法规的规定，甲、乙双方按照</w:t>
      </w:r>
      <w:r>
        <w:rPr>
          <w:rFonts w:hint="eastAsia" w:ascii="微软雅黑" w:hAnsi="微软雅黑" w:eastAsia="微软雅黑" w:cs="Tahoma"/>
          <w:bCs/>
          <w:kern w:val="36"/>
          <w:szCs w:val="21"/>
          <w:u w:val="single"/>
        </w:rPr>
        <w:t xml:space="preserve">                                 </w:t>
      </w:r>
      <w:r>
        <w:rPr>
          <w:rFonts w:hint="eastAsia" w:ascii="微软雅黑" w:hAnsi="微软雅黑" w:eastAsia="微软雅黑" w:cs="Tahoma"/>
          <w:bCs/>
          <w:kern w:val="36"/>
          <w:szCs w:val="21"/>
        </w:rPr>
        <w:t>项目</w:t>
      </w:r>
      <w:r>
        <w:rPr>
          <w:rFonts w:hint="eastAsia" w:ascii="微软雅黑" w:hAnsi="微软雅黑" w:eastAsia="微软雅黑"/>
          <w:szCs w:val="21"/>
        </w:rPr>
        <w:t>采购结果签订本合同。</w:t>
      </w:r>
    </w:p>
    <w:p>
      <w:pPr>
        <w:shd w:val="clear" w:color="auto" w:fill="FFFFFF"/>
        <w:tabs>
          <w:tab w:val="left" w:pos="916"/>
          <w:tab w:val="left" w:pos="1832"/>
          <w:tab w:val="left" w:pos="2748"/>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第一条 合同组成</w:t>
      </w:r>
      <w:r>
        <w:rPr>
          <w:rFonts w:ascii="微软雅黑" w:hAnsi="微软雅黑" w:eastAsia="微软雅黑"/>
          <w:b/>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第二条 合同标的与相关属性</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1、本次采购的是</w:t>
      </w:r>
      <w:r>
        <w:rPr>
          <w:rFonts w:hint="eastAsia" w:ascii="微软雅黑" w:hAnsi="微软雅黑" w:eastAsia="微软雅黑" w:cs="Tahoma"/>
          <w:bCs/>
          <w:kern w:val="36"/>
          <w:szCs w:val="21"/>
          <w:u w:val="single"/>
        </w:rPr>
        <w:t xml:space="preserve">                                               </w:t>
      </w:r>
      <w:r>
        <w:rPr>
          <w:rFonts w:hint="eastAsia" w:ascii="微软雅黑" w:hAnsi="微软雅黑" w:eastAsia="微软雅黑" w:cs="Tahoma"/>
          <w:bCs/>
          <w:kern w:val="36"/>
          <w:szCs w:val="21"/>
        </w:rPr>
        <w:t>项目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1、本合同项下总价款为（大写）              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3、本合同付款方式为以下第           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（1）本合同项下的采购资金系甲方自行支付，付款程序为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（2）本合同项下的采购资金须财政直接支付，付款程序为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（3）其他方式：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4、本合同项下的采购资金付款进度按招投标文件规定，未规定时按以下第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（1）一次性付款：乙方合同履行达到         （条件）时，一次性付款；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（2）分期付款         时支付         ；         时支付         ；         时支付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按以下第         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1、本项目设置履约保证金，乙方应于         （时间）向甲方提交履约保证金         元（不得高于本合同金额的5%）。履约保证金在         （时间）退还乙方。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1、因履行本合同引起的或与本合同有关的争议，甲、乙双方应首先通过友好协商解决，如果协商不能解决争议，则采取以下第         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（2）向         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本合同一式五份，甲乙双方各执二份，一份送招标代理机构存档。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二、特殊专用条款部份</w:t>
      </w:r>
    </w:p>
    <w:p>
      <w:pPr>
        <w:numPr>
          <w:ilvl w:val="0"/>
          <w:numId w:val="5"/>
        </w:numPr>
        <w:autoSpaceDE w:val="0"/>
        <w:autoSpaceDN w:val="0"/>
        <w:adjustRightInd w:val="0"/>
        <w:spacing w:line="360" w:lineRule="auto"/>
        <w:ind w:left="0" w:firstLine="420" w:firstLineChars="200"/>
        <w:jc w:val="left"/>
        <w:rPr>
          <w:rFonts w:hint="eastAsia" w:ascii="微软雅黑" w:hAnsi="微软雅黑" w:eastAsia="微软雅黑"/>
          <w:b/>
          <w:kern w:val="36"/>
          <w:szCs w:val="21"/>
        </w:rPr>
      </w:pPr>
      <w:r>
        <w:rPr>
          <w:rFonts w:hint="eastAsia" w:ascii="微软雅黑" w:hAnsi="微软雅黑" w:eastAsia="微软雅黑"/>
          <w:b/>
          <w:kern w:val="36"/>
          <w:szCs w:val="21"/>
        </w:rPr>
        <w:t>服务内容</w:t>
      </w:r>
    </w:p>
    <w:p>
      <w:pPr>
        <w:autoSpaceDE w:val="0"/>
        <w:autoSpaceDN w:val="0"/>
        <w:adjustRightInd w:val="0"/>
        <w:spacing w:line="360" w:lineRule="auto"/>
        <w:ind w:firstLine="420" w:firstLineChars="200"/>
        <w:jc w:val="left"/>
        <w:rPr>
          <w:rFonts w:hint="eastAsia" w:ascii="微软雅黑" w:hAnsi="微软雅黑" w:eastAsia="微软雅黑"/>
          <w:b/>
          <w:kern w:val="36"/>
          <w:szCs w:val="21"/>
        </w:rPr>
      </w:pPr>
      <w:r>
        <w:rPr>
          <w:rFonts w:ascii="微软雅黑" w:hAnsi="微软雅黑" w:eastAsia="微软雅黑"/>
          <w:b/>
          <w:kern w:val="36"/>
          <w:szCs w:val="21"/>
        </w:rPr>
        <w:t>……</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第二条</w:t>
      </w:r>
      <w:r>
        <w:rPr>
          <w:rFonts w:hint="eastAsia" w:ascii="微软雅黑" w:hAnsi="微软雅黑" w:eastAsia="微软雅黑"/>
          <w:b/>
          <w:szCs w:val="21"/>
          <w:lang w:val="en-US" w:eastAsia="zh-CN"/>
        </w:rPr>
        <w:t xml:space="preserve"> </w:t>
      </w:r>
      <w:r>
        <w:rPr>
          <w:rFonts w:ascii="微软雅黑" w:hAnsi="微软雅黑" w:eastAsia="微软雅黑"/>
          <w:b/>
          <w:szCs w:val="21"/>
        </w:rPr>
        <w:t>合同履行时间、履行方式及履行地点</w:t>
      </w:r>
    </w:p>
    <w:p>
      <w:pPr>
        <w:pStyle w:val="25"/>
        <w:snapToGrid w:val="0"/>
        <w:spacing w:line="360" w:lineRule="auto"/>
        <w:ind w:firstLine="420" w:firstLineChars="200"/>
        <w:jc w:val="left"/>
        <w:rPr>
          <w:rFonts w:hint="eastAsia" w:ascii="微软雅黑" w:hAnsi="微软雅黑" w:eastAsia="微软雅黑"/>
          <w:bCs/>
          <w:szCs w:val="21"/>
        </w:rPr>
      </w:pPr>
      <w:r>
        <w:rPr>
          <w:rFonts w:ascii="微软雅黑" w:hAnsi="微软雅黑" w:eastAsia="微软雅黑"/>
          <w:bCs/>
          <w:szCs w:val="21"/>
        </w:rPr>
        <w:t>1</w:t>
      </w:r>
      <w:r>
        <w:rPr>
          <w:rFonts w:hint="eastAsia" w:ascii="微软雅黑" w:hAnsi="微软雅黑" w:eastAsia="微软雅黑"/>
          <w:bCs/>
          <w:szCs w:val="21"/>
        </w:rPr>
        <w:t>、</w:t>
      </w:r>
      <w:r>
        <w:rPr>
          <w:rFonts w:ascii="微软雅黑" w:hAnsi="微软雅黑" w:eastAsia="微软雅黑"/>
          <w:szCs w:val="21"/>
        </w:rPr>
        <w:t>履行时间</w:t>
      </w:r>
      <w:r>
        <w:rPr>
          <w:rFonts w:ascii="微软雅黑" w:hAnsi="微软雅黑" w:eastAsia="微软雅黑"/>
          <w:bCs/>
          <w:szCs w:val="21"/>
        </w:rPr>
        <w:t>：</w:t>
      </w:r>
    </w:p>
    <w:p>
      <w:pPr>
        <w:pStyle w:val="25"/>
        <w:snapToGrid w:val="0"/>
        <w:spacing w:line="360" w:lineRule="auto"/>
        <w:ind w:firstLine="420" w:firstLineChars="200"/>
        <w:jc w:val="left"/>
        <w:rPr>
          <w:rFonts w:ascii="微软雅黑" w:hAnsi="微软雅黑" w:eastAsia="微软雅黑"/>
          <w:bCs/>
          <w:szCs w:val="21"/>
        </w:rPr>
      </w:pPr>
      <w:r>
        <w:rPr>
          <w:rFonts w:ascii="微软雅黑" w:hAnsi="微软雅黑" w:eastAsia="微软雅黑"/>
          <w:bCs/>
          <w:szCs w:val="21"/>
        </w:rPr>
        <w:t>2</w:t>
      </w:r>
      <w:r>
        <w:rPr>
          <w:rFonts w:hint="eastAsia" w:ascii="微软雅黑" w:hAnsi="微软雅黑" w:eastAsia="微软雅黑"/>
          <w:bCs/>
          <w:szCs w:val="21"/>
        </w:rPr>
        <w:t>、</w:t>
      </w:r>
      <w:r>
        <w:rPr>
          <w:rFonts w:ascii="微软雅黑" w:hAnsi="微软雅黑" w:eastAsia="微软雅黑"/>
          <w:szCs w:val="21"/>
        </w:rPr>
        <w:t>履行方式</w:t>
      </w:r>
      <w:r>
        <w:rPr>
          <w:rFonts w:ascii="微软雅黑" w:hAnsi="微软雅黑" w:eastAsia="微软雅黑"/>
          <w:bCs/>
          <w:szCs w:val="21"/>
        </w:rPr>
        <w:t>：</w:t>
      </w:r>
    </w:p>
    <w:p>
      <w:pPr>
        <w:pStyle w:val="25"/>
        <w:snapToGrid w:val="0"/>
        <w:spacing w:line="360" w:lineRule="auto"/>
        <w:ind w:firstLine="420" w:firstLineChars="200"/>
        <w:jc w:val="left"/>
        <w:rPr>
          <w:rFonts w:hint="eastAsia" w:ascii="微软雅黑" w:hAnsi="微软雅黑" w:eastAsia="微软雅黑"/>
          <w:bCs/>
          <w:szCs w:val="21"/>
        </w:rPr>
      </w:pPr>
      <w:r>
        <w:rPr>
          <w:rFonts w:ascii="微软雅黑" w:hAnsi="微软雅黑" w:eastAsia="微软雅黑"/>
          <w:bCs/>
          <w:szCs w:val="21"/>
        </w:rPr>
        <w:t>3</w:t>
      </w:r>
      <w:r>
        <w:rPr>
          <w:rFonts w:hint="eastAsia" w:ascii="微软雅黑" w:hAnsi="微软雅黑" w:eastAsia="微软雅黑"/>
          <w:bCs/>
          <w:szCs w:val="21"/>
        </w:rPr>
        <w:t>、</w:t>
      </w:r>
      <w:r>
        <w:rPr>
          <w:rFonts w:ascii="微软雅黑" w:hAnsi="微软雅黑" w:eastAsia="微软雅黑"/>
          <w:szCs w:val="21"/>
        </w:rPr>
        <w:t>履行地点</w:t>
      </w:r>
      <w:r>
        <w:rPr>
          <w:rFonts w:ascii="微软雅黑" w:hAnsi="微软雅黑" w:eastAsia="微软雅黑"/>
          <w:bCs/>
          <w:szCs w:val="21"/>
        </w:rPr>
        <w:t>：</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w:t>
      </w:r>
      <w:r>
        <w:rPr>
          <w:rFonts w:ascii="微软雅黑" w:hAnsi="微软雅黑" w:eastAsia="微软雅黑"/>
          <w:b/>
          <w:szCs w:val="21"/>
        </w:rPr>
        <w:t>三</w:t>
      </w:r>
      <w:r>
        <w:rPr>
          <w:rFonts w:hint="eastAsia" w:ascii="微软雅黑" w:hAnsi="微软雅黑" w:eastAsia="微软雅黑"/>
          <w:b/>
          <w:szCs w:val="21"/>
        </w:rPr>
        <w:t>条</w:t>
      </w:r>
      <w:r>
        <w:rPr>
          <w:rFonts w:hint="eastAsia" w:ascii="微软雅黑" w:hAnsi="微软雅黑" w:eastAsia="微软雅黑"/>
          <w:b/>
          <w:szCs w:val="21"/>
          <w:lang w:val="en-US" w:eastAsia="zh-CN"/>
        </w:rPr>
        <w:t xml:space="preserve"> </w:t>
      </w:r>
      <w:r>
        <w:rPr>
          <w:rFonts w:ascii="微软雅黑" w:hAnsi="微软雅黑" w:eastAsia="微软雅黑"/>
          <w:b/>
          <w:szCs w:val="21"/>
        </w:rPr>
        <w:t>技术资料</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乙方应按招标文件规定的时间向甲方提供有关技术资料。</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w:t>
      </w:r>
      <w:r>
        <w:rPr>
          <w:rFonts w:ascii="微软雅黑" w:hAnsi="微软雅黑" w:eastAsia="微软雅黑"/>
          <w:b/>
          <w:szCs w:val="21"/>
        </w:rPr>
        <w:t>四</w:t>
      </w:r>
      <w:r>
        <w:rPr>
          <w:rFonts w:hint="eastAsia" w:ascii="微软雅黑" w:hAnsi="微软雅黑" w:eastAsia="微软雅黑"/>
          <w:b/>
          <w:szCs w:val="21"/>
        </w:rPr>
        <w:t>条</w:t>
      </w:r>
      <w:r>
        <w:rPr>
          <w:rFonts w:hint="eastAsia" w:ascii="微软雅黑" w:hAnsi="微软雅黑" w:eastAsia="微软雅黑"/>
          <w:b/>
          <w:szCs w:val="21"/>
          <w:lang w:val="en-US" w:eastAsia="zh-CN"/>
        </w:rPr>
        <w:t xml:space="preserve"> </w:t>
      </w:r>
      <w:r>
        <w:rPr>
          <w:rFonts w:ascii="微软雅黑" w:hAnsi="微软雅黑" w:eastAsia="微软雅黑"/>
          <w:b/>
          <w:szCs w:val="21"/>
        </w:rPr>
        <w:t>知识产权</w:t>
      </w:r>
    </w:p>
    <w:p>
      <w:pPr>
        <w:pStyle w:val="25"/>
        <w:snapToGrid w:val="0"/>
        <w:spacing w:line="360" w:lineRule="auto"/>
        <w:ind w:firstLine="420" w:firstLineChars="200"/>
        <w:jc w:val="left"/>
        <w:rPr>
          <w:rFonts w:hint="eastAsia" w:ascii="微软雅黑" w:hAnsi="微软雅黑" w:eastAsia="微软雅黑"/>
          <w:b/>
          <w:bCs/>
          <w:szCs w:val="21"/>
        </w:rPr>
      </w:pPr>
      <w:r>
        <w:rPr>
          <w:rFonts w:ascii="微软雅黑" w:hAnsi="微软雅黑" w:eastAsia="微软雅黑"/>
          <w:szCs w:val="21"/>
        </w:rPr>
        <w:t>乙方应保证提供服务过程中不会侵犯任何第三方的</w:t>
      </w:r>
      <w:r>
        <w:rPr>
          <w:rFonts w:ascii="微软雅黑" w:hAnsi="微软雅黑" w:eastAsia="微软雅黑"/>
          <w:b/>
          <w:szCs w:val="21"/>
        </w:rPr>
        <w:t>知识产权</w:t>
      </w:r>
      <w:r>
        <w:rPr>
          <w:rFonts w:ascii="微软雅黑" w:hAnsi="微软雅黑" w:eastAsia="微软雅黑"/>
          <w:b/>
          <w:bCs/>
          <w:szCs w:val="21"/>
        </w:rPr>
        <w:t>。</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第五条</w:t>
      </w:r>
      <w:r>
        <w:rPr>
          <w:rFonts w:hint="eastAsia" w:ascii="微软雅黑" w:hAnsi="微软雅黑" w:eastAsia="微软雅黑"/>
          <w:b/>
          <w:szCs w:val="21"/>
          <w:lang w:val="en-US" w:eastAsia="zh-CN"/>
        </w:rPr>
        <w:t xml:space="preserve"> </w:t>
      </w:r>
      <w:r>
        <w:rPr>
          <w:rFonts w:ascii="微软雅黑" w:hAnsi="微软雅黑" w:eastAsia="微软雅黑"/>
          <w:b/>
          <w:szCs w:val="21"/>
        </w:rPr>
        <w:t>履约保证金</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乙方交纳人民币△元作为本合同的履约保证金。</w:t>
      </w:r>
    </w:p>
    <w:p>
      <w:pPr>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第六条 税费</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本合同执行中相关的一切税费均由</w:t>
      </w:r>
      <w:r>
        <w:rPr>
          <w:rFonts w:ascii="微软雅黑" w:hAnsi="微软雅黑" w:eastAsia="微软雅黑"/>
          <w:szCs w:val="21"/>
        </w:rPr>
        <w:t>乙</w:t>
      </w:r>
      <w:r>
        <w:rPr>
          <w:rFonts w:hint="eastAsia" w:ascii="微软雅黑" w:hAnsi="微软雅黑" w:eastAsia="微软雅黑"/>
          <w:szCs w:val="21"/>
        </w:rPr>
        <w:t>方负担。</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第七条</w:t>
      </w:r>
      <w:r>
        <w:rPr>
          <w:rFonts w:hint="eastAsia" w:ascii="微软雅黑" w:hAnsi="微软雅黑" w:eastAsia="微软雅黑"/>
          <w:b/>
          <w:szCs w:val="21"/>
          <w:lang w:val="en-US" w:eastAsia="zh-CN"/>
        </w:rPr>
        <w:t xml:space="preserve"> </w:t>
      </w:r>
      <w:r>
        <w:rPr>
          <w:rFonts w:ascii="微软雅黑" w:hAnsi="微软雅黑" w:eastAsia="微软雅黑"/>
          <w:b/>
          <w:szCs w:val="21"/>
        </w:rPr>
        <w:t>违约责任</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甲方无正当理由拒收接受服务的，甲方向乙方偿付合同款项百分之五作为违约金。</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甲方无故逾期验收和办理款项支付手续的,甲方应按逾期付款总额每日万分之五向乙方支付违约金。</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乙方</w:t>
      </w:r>
      <w:r>
        <w:rPr>
          <w:rFonts w:hint="eastAsia" w:ascii="微软雅黑" w:hAnsi="微软雅黑" w:eastAsia="微软雅黑"/>
          <w:szCs w:val="21"/>
        </w:rPr>
        <w:t>未能如</w:t>
      </w:r>
      <w:r>
        <w:rPr>
          <w:rFonts w:ascii="微软雅黑" w:hAnsi="微软雅黑" w:eastAsia="微软雅黑"/>
          <w:szCs w:val="21"/>
        </w:rPr>
        <w:t>期提供服务的，每日向甲方支付</w:t>
      </w:r>
      <w:r>
        <w:rPr>
          <w:rFonts w:hint="eastAsia" w:ascii="微软雅黑" w:hAnsi="微软雅黑" w:eastAsia="微软雅黑"/>
          <w:szCs w:val="21"/>
        </w:rPr>
        <w:t>合同款项的</w:t>
      </w:r>
      <w:r>
        <w:rPr>
          <w:rFonts w:ascii="微软雅黑" w:hAnsi="微软雅黑" w:eastAsia="微软雅黑"/>
          <w:szCs w:val="21"/>
        </w:rPr>
        <w:t>千分之六</w:t>
      </w:r>
      <w:r>
        <w:rPr>
          <w:rFonts w:hint="eastAsia" w:ascii="微软雅黑" w:hAnsi="微软雅黑" w:eastAsia="微软雅黑"/>
          <w:szCs w:val="21"/>
        </w:rPr>
        <w:t>作为</w:t>
      </w:r>
      <w:r>
        <w:rPr>
          <w:rFonts w:ascii="微软雅黑" w:hAnsi="微软雅黑" w:eastAsia="微软雅黑"/>
          <w:szCs w:val="21"/>
        </w:rPr>
        <w:t>违约金。乙方超过约定日期10个工作日</w:t>
      </w:r>
      <w:r>
        <w:rPr>
          <w:rFonts w:hint="eastAsia" w:ascii="微软雅黑" w:hAnsi="微软雅黑" w:eastAsia="微软雅黑"/>
          <w:szCs w:val="21"/>
        </w:rPr>
        <w:t>仍</w:t>
      </w:r>
      <w:r>
        <w:rPr>
          <w:rFonts w:ascii="微软雅黑" w:hAnsi="微软雅黑" w:eastAsia="微软雅黑"/>
          <w:szCs w:val="21"/>
        </w:rPr>
        <w:t>不能</w:t>
      </w:r>
      <w:r>
        <w:rPr>
          <w:rFonts w:hint="eastAsia" w:ascii="微软雅黑" w:hAnsi="微软雅黑" w:eastAsia="微软雅黑"/>
          <w:szCs w:val="21"/>
        </w:rPr>
        <w:t>提供服务</w:t>
      </w:r>
      <w:r>
        <w:rPr>
          <w:rFonts w:ascii="微软雅黑" w:hAnsi="微软雅黑" w:eastAsia="微软雅黑"/>
          <w:szCs w:val="21"/>
        </w:rPr>
        <w:t>的，甲方可解除本合同。乙方因</w:t>
      </w:r>
      <w:r>
        <w:rPr>
          <w:rFonts w:hint="eastAsia" w:ascii="微软雅黑" w:hAnsi="微软雅黑" w:eastAsia="微软雅黑"/>
          <w:szCs w:val="21"/>
        </w:rPr>
        <w:t>未能如</w:t>
      </w:r>
      <w:r>
        <w:rPr>
          <w:rFonts w:ascii="微软雅黑" w:hAnsi="微软雅黑" w:eastAsia="微软雅黑"/>
          <w:szCs w:val="21"/>
        </w:rPr>
        <w:t xml:space="preserve">期提供服务或因其他违约行为导致甲方解除合同的，乙方应向甲方支付合同总值5%的违约金，如造成甲方损失超过违约金的，超出部分由乙方继续承担赔偿责任。 </w:t>
      </w:r>
    </w:p>
    <w:p>
      <w:pPr>
        <w:pStyle w:val="25"/>
        <w:snapToGrid w:val="0"/>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第</w:t>
      </w:r>
      <w:r>
        <w:rPr>
          <w:rFonts w:hint="eastAsia" w:ascii="微软雅黑" w:hAnsi="微软雅黑" w:eastAsia="微软雅黑"/>
          <w:b/>
          <w:szCs w:val="21"/>
          <w:lang w:eastAsia="zh-CN"/>
        </w:rPr>
        <w:t>八</w:t>
      </w:r>
      <w:r>
        <w:rPr>
          <w:rFonts w:hint="eastAsia" w:ascii="微软雅黑" w:hAnsi="微软雅黑" w:eastAsia="微软雅黑"/>
          <w:b/>
          <w:szCs w:val="21"/>
        </w:rPr>
        <w:t>条</w:t>
      </w:r>
      <w:r>
        <w:rPr>
          <w:rFonts w:hint="eastAsia" w:ascii="微软雅黑" w:hAnsi="微软雅黑" w:eastAsia="微软雅黑"/>
          <w:b/>
          <w:szCs w:val="21"/>
          <w:lang w:val="en-US" w:eastAsia="zh-CN"/>
        </w:rPr>
        <w:t xml:space="preserve"> </w:t>
      </w:r>
      <w:r>
        <w:rPr>
          <w:rFonts w:ascii="微软雅黑" w:hAnsi="微软雅黑" w:eastAsia="微软雅黑"/>
          <w:b/>
          <w:szCs w:val="21"/>
        </w:rPr>
        <w:t>不可抗力事件处理</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在合同有效期内，任何一方因不可抗力事件导致不能履行合同，则合同履行期可延长，其延长期与不可抗力影响期相同。</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、不</w:t>
      </w:r>
      <w:r>
        <w:rPr>
          <w:rFonts w:ascii="微软雅黑" w:hAnsi="微软雅黑" w:eastAsia="微软雅黑"/>
          <w:szCs w:val="21"/>
        </w:rPr>
        <w:t>可抗力事件发生后，应立即通知对方，并寄送有关权威机构出具的证明。</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不可抗力事件延续120天以上，双方应通过友好协商，确定是否继续履行合同。</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第</w:t>
      </w:r>
      <w:r>
        <w:rPr>
          <w:rFonts w:hint="eastAsia" w:ascii="微软雅黑" w:hAnsi="微软雅黑" w:eastAsia="微软雅黑"/>
          <w:b/>
          <w:szCs w:val="21"/>
          <w:lang w:eastAsia="zh-CN"/>
        </w:rPr>
        <w:t>九</w:t>
      </w:r>
      <w:r>
        <w:rPr>
          <w:rFonts w:hint="eastAsia" w:ascii="微软雅黑" w:hAnsi="微软雅黑" w:eastAsia="微软雅黑"/>
          <w:b/>
          <w:szCs w:val="21"/>
        </w:rPr>
        <w:t>条</w:t>
      </w:r>
      <w:r>
        <w:rPr>
          <w:rFonts w:hint="eastAsia" w:ascii="微软雅黑" w:hAnsi="微软雅黑" w:eastAsia="微软雅黑"/>
          <w:b/>
          <w:szCs w:val="21"/>
          <w:lang w:val="en-US" w:eastAsia="zh-CN"/>
        </w:rPr>
        <w:t xml:space="preserve"> </w:t>
      </w:r>
      <w:r>
        <w:rPr>
          <w:rFonts w:ascii="微软雅黑" w:hAnsi="微软雅黑" w:eastAsia="微软雅黑"/>
          <w:b/>
          <w:szCs w:val="21"/>
        </w:rPr>
        <w:t>诉讼</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双方在执行合同中所发生的一切争议，应通过协商解决。如协商不成，可向</w:t>
      </w:r>
      <w:r>
        <w:rPr>
          <w:rFonts w:hint="eastAsia" w:ascii="微软雅黑" w:hAnsi="微软雅黑" w:eastAsia="微软雅黑"/>
          <w:szCs w:val="21"/>
        </w:rPr>
        <w:t>甲方所在</w:t>
      </w:r>
      <w:r>
        <w:rPr>
          <w:rFonts w:ascii="微软雅黑" w:hAnsi="微软雅黑" w:eastAsia="微软雅黑"/>
          <w:szCs w:val="21"/>
        </w:rPr>
        <w:t>地法院起诉。</w:t>
      </w:r>
    </w:p>
    <w:p>
      <w:pPr>
        <w:pStyle w:val="25"/>
        <w:snapToGrid w:val="0"/>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t>第十条</w:t>
      </w:r>
      <w:r>
        <w:rPr>
          <w:rFonts w:hint="eastAsia" w:ascii="微软雅黑" w:hAnsi="微软雅黑" w:eastAsia="微软雅黑"/>
          <w:b/>
          <w:szCs w:val="21"/>
          <w:lang w:val="en-US" w:eastAsia="zh-CN"/>
        </w:rPr>
        <w:t xml:space="preserve"> </w:t>
      </w:r>
      <w:r>
        <w:rPr>
          <w:rFonts w:ascii="微软雅黑" w:hAnsi="微软雅黑" w:eastAsia="微软雅黑"/>
          <w:b/>
          <w:szCs w:val="21"/>
        </w:rPr>
        <w:t>合同生效及其它</w:t>
      </w:r>
    </w:p>
    <w:p>
      <w:pPr>
        <w:autoSpaceDE w:val="0"/>
        <w:autoSpaceDN w:val="0"/>
        <w:adjustRightIn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合同经双方法定代表人或授权委托代理人签字并加盖单位公章后生效。</w:t>
      </w:r>
    </w:p>
    <w:p>
      <w:pPr>
        <w:autoSpaceDE w:val="0"/>
        <w:autoSpaceDN w:val="0"/>
        <w:adjustRightIn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本合同未尽事宜，遵照《</w:t>
      </w:r>
      <w:r>
        <w:rPr>
          <w:rFonts w:ascii="微软雅黑" w:hAnsi="微软雅黑" w:eastAsia="微软雅黑"/>
          <w:kern w:val="0"/>
          <w:szCs w:val="21"/>
        </w:rPr>
        <w:t>中华人民共和国政府</w:t>
      </w:r>
      <w:r>
        <w:rPr>
          <w:rFonts w:ascii="微软雅黑" w:hAnsi="微软雅黑" w:eastAsia="微软雅黑"/>
          <w:szCs w:val="21"/>
        </w:rPr>
        <w:t>合同法》有关条文执行。</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szCs w:val="21"/>
        </w:rPr>
      </w:pPr>
    </w:p>
    <w:p>
      <w:pPr>
        <w:pStyle w:val="25"/>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甲方：</w:t>
      </w:r>
      <w:r>
        <w:rPr>
          <w:rFonts w:hint="eastAsia" w:ascii="微软雅黑" w:hAnsi="微软雅黑" w:eastAsia="微软雅黑"/>
          <w:szCs w:val="21"/>
        </w:rPr>
        <w:t xml:space="preserve">                      </w:t>
      </w:r>
      <w:r>
        <w:rPr>
          <w:rFonts w:ascii="微软雅黑" w:hAnsi="微软雅黑" w:eastAsia="微软雅黑"/>
          <w:szCs w:val="21"/>
        </w:rPr>
        <w:t xml:space="preserve">             乙方： </w:t>
      </w:r>
    </w:p>
    <w:p>
      <w:pPr>
        <w:pStyle w:val="25"/>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  地址： </w:t>
      </w:r>
      <w:r>
        <w:rPr>
          <w:rFonts w:hint="eastAsia" w:ascii="微软雅黑" w:hAnsi="微软雅黑" w:eastAsia="微软雅黑"/>
          <w:szCs w:val="21"/>
        </w:rPr>
        <w:t xml:space="preserve">                        </w:t>
      </w:r>
      <w:r>
        <w:rPr>
          <w:rFonts w:ascii="微软雅黑" w:hAnsi="微软雅黑" w:eastAsia="微软雅黑"/>
          <w:szCs w:val="21"/>
        </w:rPr>
        <w:t xml:space="preserve">          地址： </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 xml:space="preserve">  法定</w:t>
      </w:r>
      <w:r>
        <w:rPr>
          <w:rFonts w:hint="eastAsia" w:ascii="微软雅黑" w:hAnsi="微软雅黑" w:eastAsia="微软雅黑"/>
          <w:szCs w:val="21"/>
        </w:rPr>
        <w:t>（授权）</w:t>
      </w:r>
      <w:r>
        <w:rPr>
          <w:rFonts w:ascii="微软雅黑" w:hAnsi="微软雅黑" w:eastAsia="微软雅黑"/>
          <w:szCs w:val="21"/>
        </w:rPr>
        <w:t xml:space="preserve">代表人： </w:t>
      </w:r>
      <w:r>
        <w:rPr>
          <w:rFonts w:hint="eastAsia" w:ascii="微软雅黑" w:hAnsi="微软雅黑" w:eastAsia="微软雅黑"/>
          <w:szCs w:val="21"/>
        </w:rPr>
        <w:t xml:space="preserve">      </w:t>
      </w:r>
      <w:r>
        <w:rPr>
          <w:rFonts w:ascii="微软雅黑" w:hAnsi="微软雅黑" w:eastAsia="微软雅黑"/>
          <w:szCs w:val="21"/>
        </w:rPr>
        <w:t xml:space="preserve">              法定</w:t>
      </w:r>
      <w:r>
        <w:rPr>
          <w:rFonts w:hint="eastAsia" w:ascii="微软雅黑" w:hAnsi="微软雅黑" w:eastAsia="微软雅黑"/>
          <w:szCs w:val="21"/>
        </w:rPr>
        <w:t>（授权）</w:t>
      </w:r>
      <w:r>
        <w:rPr>
          <w:rFonts w:ascii="微软雅黑" w:hAnsi="微软雅黑" w:eastAsia="微软雅黑"/>
          <w:szCs w:val="21"/>
        </w:rPr>
        <w:t>代表人：</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联系电话：</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开户银行：</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银行账号：</w:t>
      </w:r>
    </w:p>
    <w:p>
      <w:pPr>
        <w:pStyle w:val="25"/>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 xml:space="preserve">  签</w:t>
      </w:r>
      <w:r>
        <w:rPr>
          <w:rFonts w:hint="eastAsia" w:ascii="微软雅黑" w:hAnsi="微软雅黑" w:eastAsia="微软雅黑"/>
          <w:szCs w:val="21"/>
        </w:rPr>
        <w:t>字日期</w:t>
      </w:r>
      <w:r>
        <w:rPr>
          <w:rFonts w:ascii="微软雅黑" w:hAnsi="微软雅黑" w:eastAsia="微软雅黑"/>
          <w:szCs w:val="21"/>
        </w:rPr>
        <w:t xml:space="preserve">：    年  月  日 </w:t>
      </w:r>
      <w:r>
        <w:rPr>
          <w:rFonts w:hint="eastAsia" w:ascii="微软雅黑" w:hAnsi="微软雅黑" w:eastAsia="微软雅黑"/>
          <w:szCs w:val="21"/>
          <w:lang w:eastAsia="zh-CN"/>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签</w:t>
      </w:r>
      <w:r>
        <w:rPr>
          <w:rFonts w:hint="eastAsia" w:ascii="微软雅黑" w:hAnsi="微软雅黑" w:eastAsia="微软雅黑"/>
          <w:szCs w:val="21"/>
        </w:rPr>
        <w:t>字</w:t>
      </w:r>
      <w:r>
        <w:rPr>
          <w:rFonts w:ascii="微软雅黑" w:hAnsi="微软雅黑" w:eastAsia="微软雅黑"/>
          <w:szCs w:val="21"/>
        </w:rPr>
        <w:t>日期：   年  月  日</w:t>
      </w:r>
    </w:p>
    <w:p>
      <w:pPr>
        <w:pStyle w:val="95"/>
        <w:ind w:firstLine="600"/>
        <w:rPr>
          <w:rFonts w:hint="eastAsia"/>
        </w:rPr>
      </w:pPr>
      <w:r>
        <w:br w:type="page"/>
      </w:r>
      <w:bookmarkEnd w:id="265"/>
      <w:bookmarkStart w:id="276" w:name="_Toc50012907"/>
      <w:bookmarkStart w:id="277" w:name="_Toc493511828"/>
      <w:r>
        <w:rPr>
          <w:rFonts w:hint="eastAsia"/>
        </w:rPr>
        <w:t>第六章　投标文件相关格式</w:t>
      </w:r>
      <w:bookmarkEnd w:id="276"/>
      <w:bookmarkEnd w:id="277"/>
    </w:p>
    <w:p>
      <w:pPr>
        <w:spacing w:line="360" w:lineRule="auto"/>
        <w:ind w:firstLine="420" w:firstLineChars="200"/>
        <w:jc w:val="left"/>
        <w:rPr>
          <w:rFonts w:hint="eastAsia" w:ascii="微软雅黑" w:hAnsi="微软雅黑" w:eastAsia="微软雅黑"/>
          <w:szCs w:val="21"/>
        </w:rPr>
      </w:pPr>
    </w:p>
    <w:p>
      <w:pPr>
        <w:spacing w:line="360" w:lineRule="auto"/>
        <w:jc w:val="center"/>
        <w:rPr>
          <w:rFonts w:hint="eastAsia" w:ascii="微软雅黑" w:hAnsi="微软雅黑" w:eastAsia="微软雅黑"/>
          <w:b/>
          <w:sz w:val="32"/>
          <w:szCs w:val="32"/>
        </w:rPr>
      </w:pPr>
      <w:bookmarkStart w:id="278" w:name="_Toc430786287"/>
      <w:r>
        <w:rPr>
          <w:rFonts w:hint="eastAsia" w:ascii="微软雅黑" w:hAnsi="微软雅黑" w:eastAsia="微软雅黑"/>
          <w:b/>
          <w:sz w:val="32"/>
          <w:szCs w:val="32"/>
        </w:rPr>
        <w:t>嘉兴市公安局经济技术开发区(国际商务区)分局雪亮工程</w:t>
      </w:r>
    </w:p>
    <w:p>
      <w:pPr>
        <w:spacing w:line="360" w:lineRule="auto"/>
        <w:jc w:val="center"/>
        <w:rPr>
          <w:rFonts w:hint="eastAsia" w:ascii="微软雅黑" w:hAnsi="微软雅黑" w:eastAsia="微软雅黑"/>
          <w:b/>
          <w:sz w:val="32"/>
          <w:szCs w:val="32"/>
        </w:rPr>
      </w:pPr>
      <w:r>
        <w:rPr>
          <w:rFonts w:hint="eastAsia" w:ascii="微软雅黑" w:hAnsi="微软雅黑" w:eastAsia="微软雅黑"/>
          <w:b/>
          <w:sz w:val="32"/>
          <w:szCs w:val="32"/>
        </w:rPr>
        <w:t>第十期视频监控租赁服务项目</w:t>
      </w:r>
    </w:p>
    <w:p>
      <w:pPr>
        <w:spacing w:line="360" w:lineRule="auto"/>
        <w:jc w:val="center"/>
        <w:rPr>
          <w:rFonts w:hint="eastAsia" w:ascii="微软雅黑" w:hAnsi="微软雅黑" w:eastAsia="微软雅黑"/>
          <w:b/>
          <w:szCs w:val="21"/>
        </w:rPr>
      </w:pPr>
      <w:bookmarkStart w:id="279" w:name="_Toc50012909"/>
      <w:r>
        <w:rPr>
          <w:rFonts w:hint="eastAsia" w:ascii="微软雅黑" w:hAnsi="微软雅黑" w:eastAsia="微软雅黑"/>
          <w:b/>
          <w:szCs w:val="21"/>
        </w:rPr>
        <w:t>资格响应文件/商务技术文件/报价文件</w:t>
      </w:r>
      <w:bookmarkEnd w:id="279"/>
    </w:p>
    <w:p>
      <w:pPr>
        <w:spacing w:line="360" w:lineRule="auto"/>
        <w:jc w:val="center"/>
        <w:rPr>
          <w:rFonts w:ascii="微软雅黑" w:hAnsi="微软雅黑" w:eastAsia="微软雅黑"/>
          <w:b/>
          <w:szCs w:val="21"/>
        </w:rPr>
      </w:pPr>
      <w:bookmarkStart w:id="280" w:name="_Toc50012910"/>
      <w:r>
        <w:rPr>
          <w:rFonts w:hint="eastAsia" w:ascii="微软雅黑" w:hAnsi="微软雅黑" w:eastAsia="微软雅黑"/>
          <w:b/>
          <w:szCs w:val="21"/>
        </w:rPr>
        <w:t>项目编号：千秋-JXQQGK(2020)第69号</w:t>
      </w:r>
      <w:bookmarkEnd w:id="280"/>
    </w:p>
    <w:p>
      <w:pPr>
        <w:spacing w:line="360" w:lineRule="auto"/>
        <w:jc w:val="center"/>
        <w:rPr>
          <w:rFonts w:hint="eastAsia" w:ascii="微软雅黑" w:hAnsi="微软雅黑" w:eastAsia="微软雅黑"/>
          <w:b/>
          <w:szCs w:val="21"/>
        </w:rPr>
      </w:pPr>
    </w:p>
    <w:p>
      <w:pPr>
        <w:spacing w:line="360" w:lineRule="auto"/>
        <w:jc w:val="center"/>
        <w:rPr>
          <w:rFonts w:hint="eastAsia" w:ascii="微软雅黑" w:hAnsi="微软雅黑" w:eastAsia="微软雅黑"/>
          <w:b/>
          <w:szCs w:val="21"/>
        </w:rPr>
      </w:pPr>
    </w:p>
    <w:p>
      <w:pPr>
        <w:spacing w:line="360" w:lineRule="auto"/>
        <w:jc w:val="center"/>
        <w:rPr>
          <w:rFonts w:hint="eastAsia" w:ascii="微软雅黑" w:hAnsi="微软雅黑" w:eastAsia="微软雅黑"/>
          <w:b/>
          <w:sz w:val="48"/>
          <w:szCs w:val="48"/>
        </w:rPr>
      </w:pPr>
      <w:bookmarkStart w:id="281" w:name="_Toc50012911"/>
      <w:r>
        <w:rPr>
          <w:rFonts w:hint="eastAsia" w:ascii="微软雅黑" w:hAnsi="微软雅黑" w:eastAsia="微软雅黑"/>
          <w:b/>
          <w:sz w:val="48"/>
          <w:szCs w:val="48"/>
        </w:rPr>
        <w:t>投</w:t>
      </w:r>
      <w:bookmarkEnd w:id="281"/>
    </w:p>
    <w:p>
      <w:pPr>
        <w:spacing w:line="360" w:lineRule="auto"/>
        <w:jc w:val="center"/>
        <w:rPr>
          <w:rFonts w:hint="eastAsia" w:ascii="微软雅黑" w:hAnsi="微软雅黑" w:eastAsia="微软雅黑"/>
          <w:b/>
          <w:sz w:val="48"/>
          <w:szCs w:val="48"/>
        </w:rPr>
      </w:pPr>
      <w:bookmarkStart w:id="282" w:name="_Toc50012912"/>
      <w:r>
        <w:rPr>
          <w:rFonts w:hint="eastAsia" w:ascii="微软雅黑" w:hAnsi="微软雅黑" w:eastAsia="微软雅黑"/>
          <w:b/>
          <w:sz w:val="48"/>
          <w:szCs w:val="48"/>
        </w:rPr>
        <w:t>标</w:t>
      </w:r>
      <w:bookmarkEnd w:id="282"/>
    </w:p>
    <w:p>
      <w:pPr>
        <w:spacing w:line="360" w:lineRule="auto"/>
        <w:jc w:val="center"/>
        <w:rPr>
          <w:rFonts w:hint="eastAsia" w:ascii="微软雅黑" w:hAnsi="微软雅黑" w:eastAsia="微软雅黑"/>
          <w:b/>
          <w:sz w:val="48"/>
          <w:szCs w:val="48"/>
        </w:rPr>
      </w:pPr>
      <w:bookmarkStart w:id="283" w:name="_Toc50012913"/>
      <w:r>
        <w:rPr>
          <w:rFonts w:hint="eastAsia" w:ascii="微软雅黑" w:hAnsi="微软雅黑" w:eastAsia="微软雅黑"/>
          <w:b/>
          <w:sz w:val="48"/>
          <w:szCs w:val="48"/>
        </w:rPr>
        <w:t>文</w:t>
      </w:r>
      <w:bookmarkEnd w:id="283"/>
    </w:p>
    <w:p>
      <w:pPr>
        <w:spacing w:line="360" w:lineRule="auto"/>
        <w:jc w:val="center"/>
        <w:rPr>
          <w:rFonts w:hint="eastAsia" w:ascii="微软雅黑" w:hAnsi="微软雅黑" w:eastAsia="微软雅黑"/>
          <w:b/>
          <w:sz w:val="48"/>
          <w:szCs w:val="48"/>
        </w:rPr>
      </w:pPr>
      <w:bookmarkStart w:id="284" w:name="_Toc50012914"/>
      <w:r>
        <w:rPr>
          <w:rFonts w:hint="eastAsia" w:ascii="微软雅黑" w:hAnsi="微软雅黑" w:eastAsia="微软雅黑"/>
          <w:b/>
          <w:sz w:val="48"/>
          <w:szCs w:val="48"/>
        </w:rPr>
        <w:t>件</w:t>
      </w:r>
      <w:bookmarkEnd w:id="284"/>
    </w:p>
    <w:p>
      <w:pPr>
        <w:spacing w:line="360" w:lineRule="auto"/>
        <w:rPr>
          <w:rFonts w:hint="eastAsia" w:ascii="微软雅黑" w:hAnsi="微软雅黑" w:eastAsia="微软雅黑"/>
          <w:b/>
          <w:szCs w:val="21"/>
        </w:rPr>
      </w:pPr>
    </w:p>
    <w:p>
      <w:pPr>
        <w:spacing w:line="360" w:lineRule="auto"/>
        <w:rPr>
          <w:rFonts w:hint="eastAsia" w:ascii="微软雅黑" w:hAnsi="微软雅黑" w:eastAsia="微软雅黑"/>
          <w:b/>
          <w:szCs w:val="21"/>
        </w:rPr>
      </w:pPr>
    </w:p>
    <w:p>
      <w:pPr>
        <w:spacing w:line="360" w:lineRule="auto"/>
        <w:rPr>
          <w:rFonts w:hint="eastAsia" w:ascii="微软雅黑" w:hAnsi="微软雅黑" w:eastAsia="微软雅黑"/>
          <w:b/>
          <w:szCs w:val="21"/>
        </w:rPr>
      </w:pPr>
    </w:p>
    <w:p>
      <w:pPr>
        <w:spacing w:line="360" w:lineRule="auto"/>
        <w:ind w:firstLine="1961" w:firstLineChars="700"/>
        <w:rPr>
          <w:rFonts w:hint="eastAsia" w:ascii="微软雅黑" w:hAnsi="微软雅黑" w:eastAsia="微软雅黑"/>
          <w:b/>
          <w:sz w:val="28"/>
          <w:szCs w:val="28"/>
        </w:rPr>
      </w:pPr>
      <w:bookmarkStart w:id="285" w:name="_Toc50012915"/>
      <w:r>
        <w:rPr>
          <w:rFonts w:hint="eastAsia" w:ascii="微软雅黑" w:hAnsi="微软雅黑" w:eastAsia="微软雅黑"/>
          <w:b/>
          <w:sz w:val="28"/>
          <w:szCs w:val="28"/>
        </w:rPr>
        <w:t>投标人全称：（加盖单位公章）</w:t>
      </w:r>
      <w:bookmarkEnd w:id="285"/>
    </w:p>
    <w:p>
      <w:pPr>
        <w:spacing w:line="360" w:lineRule="auto"/>
        <w:rPr>
          <w:rFonts w:hint="eastAsia" w:ascii="微软雅黑" w:hAnsi="微软雅黑" w:eastAsia="微软雅黑"/>
          <w:b/>
          <w:sz w:val="28"/>
          <w:szCs w:val="28"/>
        </w:rPr>
      </w:pPr>
    </w:p>
    <w:p>
      <w:pPr>
        <w:spacing w:line="360" w:lineRule="auto"/>
        <w:ind w:right="560"/>
        <w:jc w:val="center"/>
        <w:rPr>
          <w:rFonts w:hint="eastAsia" w:ascii="微软雅黑" w:hAnsi="微软雅黑" w:eastAsia="微软雅黑"/>
          <w:b/>
          <w:sz w:val="28"/>
          <w:szCs w:val="28"/>
        </w:rPr>
      </w:pPr>
      <w:bookmarkStart w:id="286" w:name="_Toc50012916"/>
      <w:r>
        <w:rPr>
          <w:rFonts w:hint="eastAsia" w:ascii="微软雅黑" w:hAnsi="微软雅黑" w:eastAsia="微软雅黑"/>
          <w:b/>
          <w:sz w:val="28"/>
          <w:szCs w:val="28"/>
        </w:rPr>
        <w:t>年   月   日</w:t>
      </w:r>
      <w:bookmarkEnd w:id="286"/>
    </w:p>
    <w:bookmarkEnd w:id="278"/>
    <w:p>
      <w:pPr>
        <w:snapToGrid w:val="0"/>
        <w:spacing w:line="360" w:lineRule="auto"/>
        <w:ind w:right="420" w:firstLine="420" w:firstLineChars="200"/>
        <w:jc w:val="center"/>
        <w:rPr>
          <w:rFonts w:ascii="微软雅黑" w:hAnsi="微软雅黑" w:eastAsia="微软雅黑" w:cs="方正小标宋简体"/>
          <w:b/>
          <w:szCs w:val="21"/>
        </w:rPr>
      </w:pPr>
      <w:r>
        <w:rPr>
          <w:rFonts w:hint="eastAsia" w:ascii="微软雅黑" w:hAnsi="微软雅黑" w:eastAsia="微软雅黑"/>
          <w:b/>
          <w:szCs w:val="21"/>
        </w:rPr>
        <w:br w:type="page"/>
      </w:r>
      <w:r>
        <w:rPr>
          <w:rFonts w:hint="eastAsia" w:ascii="微软雅黑" w:hAnsi="微软雅黑" w:eastAsia="微软雅黑" w:cs="方正小标宋简体"/>
          <w:b/>
          <w:szCs w:val="21"/>
        </w:rPr>
        <w:t>政府</w:t>
      </w:r>
      <w:r>
        <w:rPr>
          <w:rFonts w:ascii="微软雅黑" w:hAnsi="微软雅黑" w:eastAsia="微软雅黑" w:cs="方正小标宋简体"/>
          <w:b/>
          <w:szCs w:val="21"/>
        </w:rPr>
        <w:t>采购活动现场确认声明书</w:t>
      </w:r>
    </w:p>
    <w:p>
      <w:pPr>
        <w:pStyle w:val="90"/>
        <w:snapToGrid w:val="0"/>
        <w:spacing w:line="360" w:lineRule="auto"/>
        <w:ind w:firstLine="420" w:firstLineChars="200"/>
        <w:jc w:val="left"/>
        <w:rPr>
          <w:rFonts w:ascii="微软雅黑" w:hAnsi="微软雅黑" w:eastAsia="微软雅黑" w:cs="宋体"/>
          <w:b/>
          <w:sz w:val="21"/>
          <w:szCs w:val="21"/>
        </w:rPr>
      </w:pPr>
      <w:r>
        <w:rPr>
          <w:rFonts w:ascii="微软雅黑" w:hAnsi="微软雅黑" w:eastAsia="微软雅黑" w:cs="宋体"/>
          <w:b/>
          <w:sz w:val="21"/>
          <w:szCs w:val="21"/>
        </w:rPr>
        <w:t>（要求</w:t>
      </w:r>
      <w:r>
        <w:rPr>
          <w:rFonts w:hint="eastAsia" w:ascii="微软雅黑" w:hAnsi="微软雅黑" w:eastAsia="微软雅黑" w:cs="宋体"/>
          <w:b/>
          <w:sz w:val="21"/>
          <w:szCs w:val="21"/>
        </w:rPr>
        <w:t>在电子投标文件解密后，将以下表格填写完成后，在通过钉钉将照片传给代理公司</w:t>
      </w:r>
      <w:r>
        <w:rPr>
          <w:rFonts w:ascii="微软雅黑" w:hAnsi="微软雅黑" w:eastAsia="微软雅黑" w:cs="宋体"/>
          <w:b/>
          <w:sz w:val="21"/>
          <w:szCs w:val="21"/>
        </w:rPr>
        <w:t>，不要封存于投标文件里）</w:t>
      </w:r>
    </w:p>
    <w:p>
      <w:pPr>
        <w:pStyle w:val="90"/>
        <w:snapToGrid w:val="0"/>
        <w:spacing w:line="360" w:lineRule="auto"/>
        <w:jc w:val="left"/>
        <w:rPr>
          <w:rFonts w:ascii="微软雅黑" w:hAnsi="微软雅黑" w:eastAsia="微软雅黑"/>
          <w:b/>
          <w:sz w:val="21"/>
          <w:szCs w:val="21"/>
        </w:rPr>
      </w:pPr>
      <w:r>
        <w:rPr>
          <w:rFonts w:hint="eastAsia" w:ascii="微软雅黑" w:hAnsi="微软雅黑" w:eastAsia="微软雅黑" w:cs="Arial"/>
          <w:b/>
          <w:kern w:val="0"/>
          <w:sz w:val="21"/>
          <w:szCs w:val="21"/>
          <w:u w:val="single"/>
        </w:rPr>
        <w:t>嘉兴市公安局经济技术开发区(国际商务区)分局</w:t>
      </w:r>
      <w:r>
        <w:rPr>
          <w:rFonts w:ascii="微软雅黑" w:hAnsi="微软雅黑" w:eastAsia="微软雅黑"/>
          <w:kern w:val="0"/>
          <w:sz w:val="21"/>
          <w:szCs w:val="21"/>
        </w:rPr>
        <w:t>：</w:t>
      </w:r>
    </w:p>
    <w:p>
      <w:pPr>
        <w:pStyle w:val="90"/>
        <w:snapToGrid w:val="0"/>
        <w:ind w:firstLine="444" w:firstLineChars="200"/>
        <w:rPr>
          <w:rFonts w:ascii="微软雅黑" w:hAnsi="微软雅黑" w:eastAsia="微软雅黑"/>
          <w:spacing w:val="6"/>
          <w:sz w:val="21"/>
          <w:szCs w:val="21"/>
        </w:rPr>
      </w:pPr>
      <w:r>
        <w:rPr>
          <w:rFonts w:ascii="微软雅黑" w:hAnsi="微软雅黑" w:eastAsia="微软雅黑"/>
          <w:spacing w:val="6"/>
          <w:sz w:val="21"/>
          <w:szCs w:val="21"/>
        </w:rPr>
        <w:t>本人经由</w:t>
      </w:r>
      <w:r>
        <w:rPr>
          <w:rFonts w:ascii="微软雅黑" w:hAnsi="微软雅黑" w:eastAsia="微软雅黑"/>
          <w:spacing w:val="6"/>
          <w:sz w:val="21"/>
          <w:szCs w:val="21"/>
          <w:u w:val="single"/>
        </w:rPr>
        <w:t xml:space="preserve">                  （单位）</w:t>
      </w:r>
      <w:r>
        <w:rPr>
          <w:rFonts w:ascii="微软雅黑" w:hAnsi="微软雅黑" w:eastAsia="微软雅黑"/>
          <w:spacing w:val="6"/>
          <w:sz w:val="21"/>
          <w:szCs w:val="21"/>
        </w:rPr>
        <w:t>负责人</w:t>
      </w:r>
      <w:r>
        <w:rPr>
          <w:rFonts w:ascii="微软雅黑" w:hAnsi="微软雅黑" w:eastAsia="微软雅黑"/>
          <w:spacing w:val="6"/>
          <w:sz w:val="21"/>
          <w:szCs w:val="21"/>
          <w:u w:val="single"/>
        </w:rPr>
        <w:t xml:space="preserve">        （姓名）</w:t>
      </w:r>
      <w:r>
        <w:rPr>
          <w:rFonts w:ascii="微软雅黑" w:hAnsi="微软雅黑" w:eastAsia="微软雅黑"/>
          <w:spacing w:val="6"/>
          <w:sz w:val="21"/>
          <w:szCs w:val="21"/>
        </w:rPr>
        <w:t>合法授权参加</w:t>
      </w:r>
      <w:r>
        <w:rPr>
          <w:rFonts w:ascii="微软雅黑" w:hAnsi="微软雅黑" w:eastAsia="微软雅黑"/>
          <w:spacing w:val="6"/>
          <w:sz w:val="21"/>
          <w:szCs w:val="21"/>
          <w:u w:val="single"/>
        </w:rPr>
        <w:t xml:space="preserve">                </w:t>
      </w:r>
      <w:r>
        <w:rPr>
          <w:rFonts w:hint="eastAsia" w:ascii="微软雅黑" w:hAnsi="微软雅黑" w:eastAsia="微软雅黑" w:cs="Arial"/>
          <w:kern w:val="0"/>
          <w:sz w:val="21"/>
          <w:szCs w:val="21"/>
        </w:rPr>
        <w:t>嘉兴市公安局经济技术开发区(国际商务区)分局雪亮工程第十期视频监控租赁服务项目</w:t>
      </w:r>
      <w:r>
        <w:rPr>
          <w:rFonts w:ascii="微软雅黑" w:hAnsi="微软雅黑" w:eastAsia="微软雅黑"/>
          <w:spacing w:val="6"/>
          <w:sz w:val="21"/>
          <w:szCs w:val="21"/>
        </w:rPr>
        <w:t>（编号：</w:t>
      </w:r>
      <w:r>
        <w:rPr>
          <w:rFonts w:hint="eastAsia" w:ascii="微软雅黑" w:hAnsi="微软雅黑" w:eastAsia="微软雅黑"/>
          <w:spacing w:val="6"/>
          <w:sz w:val="21"/>
          <w:szCs w:val="21"/>
          <w:u w:val="single"/>
        </w:rPr>
        <w:t>千秋-JXQQGK(2020)第69号</w:t>
      </w:r>
      <w:r>
        <w:rPr>
          <w:rFonts w:ascii="微软雅黑" w:hAnsi="微软雅黑" w:eastAsia="微软雅黑"/>
          <w:spacing w:val="6"/>
          <w:sz w:val="21"/>
          <w:szCs w:val="21"/>
        </w:rPr>
        <w:t xml:space="preserve">）政府采购活动，经与本单位法人代表（负责人）联系确认，现就有关公平竞争事项郑重声明如下： </w:t>
      </w:r>
    </w:p>
    <w:p>
      <w:pPr>
        <w:pStyle w:val="96"/>
        <w:widowControl/>
        <w:numPr>
          <w:ilvl w:val="0"/>
          <w:numId w:val="6"/>
        </w:numPr>
        <w:snapToGrid w:val="0"/>
        <w:ind w:firstLine="420" w:firstLineChars="200"/>
        <w:jc w:val="left"/>
        <w:rPr>
          <w:rFonts w:hint="default" w:ascii="微软雅黑" w:hAnsi="微软雅黑" w:eastAsia="微软雅黑"/>
          <w:kern w:val="0"/>
          <w:szCs w:val="21"/>
        </w:rPr>
      </w:pPr>
      <w:r>
        <w:rPr>
          <w:rFonts w:ascii="微软雅黑" w:hAnsi="微软雅黑" w:eastAsia="微软雅黑"/>
          <w:kern w:val="0"/>
          <w:szCs w:val="21"/>
        </w:rPr>
        <w:t xml:space="preserve">本单位与采购人之间 </w:t>
      </w:r>
      <w:r>
        <w:rPr>
          <w:rFonts w:ascii="微软雅黑" w:hAnsi="微软雅黑" w:eastAsia="微软雅黑" w:cs="宋体"/>
          <w:kern w:val="0"/>
          <w:szCs w:val="21"/>
        </w:rPr>
        <w:t>□</w:t>
      </w:r>
      <w:r>
        <w:rPr>
          <w:rFonts w:ascii="微软雅黑" w:hAnsi="微软雅黑" w:eastAsia="微软雅黑"/>
          <w:kern w:val="0"/>
          <w:szCs w:val="21"/>
        </w:rPr>
        <w:t xml:space="preserve">不存在利害关系 </w:t>
      </w:r>
      <w:r>
        <w:rPr>
          <w:rFonts w:ascii="微软雅黑" w:hAnsi="微软雅黑" w:eastAsia="微软雅黑" w:cs="宋体"/>
          <w:kern w:val="0"/>
          <w:szCs w:val="21"/>
        </w:rPr>
        <w:t>□</w:t>
      </w:r>
      <w:r>
        <w:rPr>
          <w:rFonts w:ascii="微软雅黑" w:hAnsi="微软雅黑" w:eastAsia="微软雅黑"/>
          <w:kern w:val="0"/>
          <w:szCs w:val="21"/>
        </w:rPr>
        <w:t>存在下列利害关系</w:t>
      </w:r>
      <w:r>
        <w:rPr>
          <w:rFonts w:ascii="微软雅黑" w:hAnsi="微软雅黑" w:eastAsia="微软雅黑"/>
          <w:kern w:val="0"/>
          <w:szCs w:val="21"/>
          <w:u w:val="single"/>
        </w:rPr>
        <w:t xml:space="preserve">           </w:t>
      </w:r>
      <w:r>
        <w:rPr>
          <w:rFonts w:ascii="微软雅黑" w:hAnsi="微软雅黑" w:eastAsia="微软雅黑"/>
          <w:kern w:val="0"/>
          <w:szCs w:val="21"/>
        </w:rPr>
        <w:t>：</w:t>
      </w:r>
    </w:p>
    <w:p>
      <w:pPr>
        <w:pStyle w:val="96"/>
        <w:widowControl/>
        <w:snapToGrid w:val="0"/>
        <w:ind w:firstLine="420" w:firstLineChars="200"/>
        <w:jc w:val="left"/>
        <w:rPr>
          <w:rFonts w:ascii="微软雅黑" w:hAnsi="微软雅黑" w:eastAsia="微软雅黑"/>
          <w:kern w:val="0"/>
          <w:szCs w:val="21"/>
        </w:rPr>
      </w:pPr>
      <w:r>
        <w:rPr>
          <w:rFonts w:ascii="微软雅黑" w:hAnsi="微软雅黑" w:eastAsia="微软雅黑"/>
          <w:kern w:val="0"/>
          <w:szCs w:val="21"/>
        </w:rPr>
        <w:t xml:space="preserve">  A.投资关系    B.行政隶属关系    C.业务指导关系</w:t>
      </w:r>
    </w:p>
    <w:p>
      <w:pPr>
        <w:pStyle w:val="96"/>
        <w:widowControl/>
        <w:snapToGrid w:val="0"/>
        <w:ind w:firstLine="420" w:firstLineChars="200"/>
        <w:jc w:val="left"/>
        <w:rPr>
          <w:rFonts w:hint="default" w:ascii="微软雅黑" w:hAnsi="微软雅黑" w:eastAsia="微软雅黑"/>
          <w:kern w:val="0"/>
          <w:szCs w:val="21"/>
        </w:rPr>
      </w:pPr>
      <w:r>
        <w:rPr>
          <w:rFonts w:ascii="微软雅黑" w:hAnsi="微软雅黑" w:eastAsia="微软雅黑"/>
          <w:kern w:val="0"/>
          <w:szCs w:val="21"/>
        </w:rPr>
        <w:t xml:space="preserve">  D.其他可能</w:t>
      </w:r>
      <w:r>
        <w:rPr>
          <w:rFonts w:ascii="微软雅黑" w:hAnsi="微软雅黑" w:eastAsia="微软雅黑"/>
          <w:szCs w:val="21"/>
        </w:rPr>
        <w:t>影响采购公正的</w:t>
      </w:r>
      <w:r>
        <w:rPr>
          <w:rFonts w:ascii="微软雅黑" w:hAnsi="微软雅黑" w:eastAsia="微软雅黑"/>
          <w:kern w:val="0"/>
          <w:szCs w:val="21"/>
        </w:rPr>
        <w:t>利害关系</w:t>
      </w:r>
      <w:r>
        <w:rPr>
          <w:rFonts w:ascii="微软雅黑" w:hAnsi="微软雅黑" w:eastAsia="微软雅黑"/>
          <w:kern w:val="0"/>
          <w:szCs w:val="21"/>
          <w:u w:val="single"/>
        </w:rPr>
        <w:t xml:space="preserve">（如有，请如实说明）                 </w:t>
      </w:r>
      <w:r>
        <w:rPr>
          <w:rFonts w:ascii="微软雅黑" w:hAnsi="微软雅黑" w:eastAsia="微软雅黑"/>
          <w:kern w:val="0"/>
          <w:szCs w:val="21"/>
        </w:rPr>
        <w:t>。</w:t>
      </w:r>
    </w:p>
    <w:p>
      <w:pPr>
        <w:pStyle w:val="96"/>
        <w:widowControl/>
        <w:snapToGrid w:val="0"/>
        <w:ind w:firstLine="444" w:firstLineChars="200"/>
        <w:jc w:val="left"/>
        <w:rPr>
          <w:rFonts w:ascii="微软雅黑" w:hAnsi="微软雅黑" w:eastAsia="微软雅黑"/>
          <w:kern w:val="0"/>
          <w:szCs w:val="21"/>
        </w:rPr>
      </w:pPr>
      <w:r>
        <w:rPr>
          <w:rFonts w:ascii="微软雅黑" w:hAnsi="微软雅黑" w:eastAsia="微软雅黑"/>
          <w:spacing w:val="6"/>
          <w:szCs w:val="21"/>
        </w:rPr>
        <w:t xml:space="preserve">  二、</w:t>
      </w:r>
      <w:r>
        <w:rPr>
          <w:rFonts w:ascii="微软雅黑" w:hAnsi="微软雅黑" w:eastAsia="微软雅黑"/>
          <w:kern w:val="0"/>
          <w:szCs w:val="21"/>
        </w:rPr>
        <w:t xml:space="preserve">现已清楚知道参加本项目采购活动的其他所有供应商名称，本单位 </w:t>
      </w:r>
      <w:r>
        <w:rPr>
          <w:rFonts w:ascii="微软雅黑" w:hAnsi="微软雅黑" w:eastAsia="微软雅黑" w:cs="宋体"/>
          <w:kern w:val="0"/>
          <w:szCs w:val="21"/>
        </w:rPr>
        <w:t>□与其他所有供应商之间均</w:t>
      </w:r>
      <w:r>
        <w:rPr>
          <w:rFonts w:ascii="微软雅黑" w:hAnsi="微软雅黑" w:eastAsia="微软雅黑"/>
          <w:kern w:val="0"/>
          <w:szCs w:val="21"/>
        </w:rPr>
        <w:t xml:space="preserve">不存在利害关系 </w:t>
      </w:r>
      <w:r>
        <w:rPr>
          <w:rFonts w:ascii="微软雅黑" w:hAnsi="微软雅黑" w:eastAsia="微软雅黑" w:cs="宋体"/>
          <w:kern w:val="0"/>
          <w:szCs w:val="21"/>
        </w:rPr>
        <w:t>□与</w:t>
      </w:r>
      <w:r>
        <w:rPr>
          <w:rFonts w:ascii="微软雅黑" w:hAnsi="微软雅黑" w:eastAsia="微软雅黑" w:cs="宋体"/>
          <w:kern w:val="0"/>
          <w:szCs w:val="21"/>
          <w:u w:val="single"/>
        </w:rPr>
        <w:t xml:space="preserve">           （供应商名称）</w:t>
      </w:r>
      <w:r>
        <w:rPr>
          <w:rFonts w:ascii="微软雅黑" w:hAnsi="微软雅黑" w:eastAsia="微软雅黑" w:cs="宋体"/>
          <w:kern w:val="0"/>
          <w:szCs w:val="21"/>
        </w:rPr>
        <w:t>之间</w:t>
      </w:r>
      <w:r>
        <w:rPr>
          <w:rFonts w:ascii="微软雅黑" w:hAnsi="微软雅黑" w:eastAsia="微软雅黑"/>
          <w:kern w:val="0"/>
          <w:szCs w:val="21"/>
        </w:rPr>
        <w:t>存在下列利害关系</w:t>
      </w:r>
      <w:r>
        <w:rPr>
          <w:rFonts w:ascii="微软雅黑" w:hAnsi="微软雅黑" w:eastAsia="微软雅黑"/>
          <w:kern w:val="0"/>
          <w:szCs w:val="21"/>
          <w:u w:val="single"/>
        </w:rPr>
        <w:t xml:space="preserve">          </w:t>
      </w:r>
      <w:r>
        <w:rPr>
          <w:rFonts w:ascii="微软雅黑" w:hAnsi="微软雅黑" w:eastAsia="微软雅黑"/>
          <w:kern w:val="0"/>
          <w:szCs w:val="21"/>
        </w:rPr>
        <w:t>：</w:t>
      </w:r>
    </w:p>
    <w:p>
      <w:pPr>
        <w:pStyle w:val="90"/>
        <w:snapToGrid w:val="0"/>
        <w:ind w:firstLine="420" w:firstLineChars="200"/>
        <w:jc w:val="left"/>
        <w:rPr>
          <w:rFonts w:ascii="微软雅黑" w:hAnsi="微软雅黑" w:eastAsia="微软雅黑"/>
          <w:kern w:val="0"/>
          <w:sz w:val="21"/>
          <w:szCs w:val="21"/>
        </w:rPr>
      </w:pPr>
      <w:r>
        <w:rPr>
          <w:rFonts w:ascii="微软雅黑" w:hAnsi="微软雅黑" w:eastAsia="微软雅黑"/>
          <w:kern w:val="0"/>
          <w:sz w:val="21"/>
          <w:szCs w:val="21"/>
        </w:rPr>
        <w:t xml:space="preserve">  A.法定代表人或负责人或实际控制人是同一人</w:t>
      </w:r>
    </w:p>
    <w:p>
      <w:pPr>
        <w:pStyle w:val="90"/>
        <w:snapToGrid w:val="0"/>
        <w:ind w:firstLine="420" w:firstLineChars="200"/>
        <w:jc w:val="left"/>
        <w:rPr>
          <w:rFonts w:ascii="微软雅黑" w:hAnsi="微软雅黑" w:eastAsia="微软雅黑"/>
          <w:spacing w:val="6"/>
          <w:sz w:val="21"/>
          <w:szCs w:val="21"/>
        </w:rPr>
      </w:pPr>
      <w:r>
        <w:rPr>
          <w:rFonts w:ascii="微软雅黑" w:hAnsi="微软雅黑" w:eastAsia="微软雅黑"/>
          <w:kern w:val="0"/>
          <w:sz w:val="21"/>
          <w:szCs w:val="21"/>
        </w:rPr>
        <w:t xml:space="preserve">  B.法定代表人或负责人或实际控制人是夫妻关系</w:t>
      </w:r>
    </w:p>
    <w:p>
      <w:pPr>
        <w:pStyle w:val="90"/>
        <w:snapToGrid w:val="0"/>
        <w:ind w:firstLine="420" w:firstLineChars="200"/>
        <w:jc w:val="left"/>
        <w:rPr>
          <w:rFonts w:ascii="微软雅黑" w:hAnsi="微软雅黑" w:eastAsia="微软雅黑"/>
          <w:spacing w:val="6"/>
          <w:sz w:val="21"/>
          <w:szCs w:val="21"/>
        </w:rPr>
      </w:pPr>
      <w:r>
        <w:rPr>
          <w:rFonts w:ascii="微软雅黑" w:hAnsi="微软雅黑" w:eastAsia="微软雅黑"/>
          <w:kern w:val="0"/>
          <w:sz w:val="21"/>
          <w:szCs w:val="21"/>
        </w:rPr>
        <w:t xml:space="preserve">  C.法定代表人或负责人或实际控制人是直系血亲关系</w:t>
      </w:r>
    </w:p>
    <w:p>
      <w:pPr>
        <w:pStyle w:val="90"/>
        <w:snapToGrid w:val="0"/>
        <w:ind w:firstLine="420" w:firstLineChars="200"/>
        <w:jc w:val="left"/>
        <w:rPr>
          <w:rFonts w:ascii="微软雅黑" w:hAnsi="微软雅黑" w:eastAsia="微软雅黑"/>
          <w:spacing w:val="6"/>
          <w:sz w:val="21"/>
          <w:szCs w:val="21"/>
        </w:rPr>
      </w:pPr>
      <w:r>
        <w:rPr>
          <w:rFonts w:ascii="微软雅黑" w:hAnsi="微软雅黑" w:eastAsia="微软雅黑"/>
          <w:kern w:val="0"/>
          <w:sz w:val="21"/>
          <w:szCs w:val="21"/>
        </w:rPr>
        <w:t xml:space="preserve">  D.法定代表人或负责人或实际控制人存在三代以内旁系血亲关系</w:t>
      </w:r>
    </w:p>
    <w:p>
      <w:pPr>
        <w:pStyle w:val="90"/>
        <w:snapToGrid w:val="0"/>
        <w:ind w:firstLine="420" w:firstLineChars="200"/>
        <w:jc w:val="left"/>
        <w:rPr>
          <w:rFonts w:ascii="微软雅黑" w:hAnsi="微软雅黑" w:eastAsia="微软雅黑"/>
          <w:kern w:val="0"/>
          <w:sz w:val="21"/>
          <w:szCs w:val="21"/>
        </w:rPr>
      </w:pPr>
      <w:r>
        <w:rPr>
          <w:rFonts w:ascii="微软雅黑" w:hAnsi="微软雅黑" w:eastAsia="微软雅黑"/>
          <w:kern w:val="0"/>
          <w:sz w:val="21"/>
          <w:szCs w:val="21"/>
        </w:rPr>
        <w:t xml:space="preserve">  E.法定代表人或负责人或实际控制人存在近姻亲关系</w:t>
      </w:r>
    </w:p>
    <w:p>
      <w:pPr>
        <w:pStyle w:val="90"/>
        <w:snapToGrid w:val="0"/>
        <w:ind w:firstLine="420" w:firstLineChars="200"/>
        <w:jc w:val="left"/>
        <w:rPr>
          <w:rFonts w:ascii="微软雅黑" w:hAnsi="微软雅黑" w:eastAsia="微软雅黑"/>
          <w:kern w:val="0"/>
          <w:sz w:val="21"/>
          <w:szCs w:val="21"/>
        </w:rPr>
      </w:pPr>
      <w:r>
        <w:rPr>
          <w:rFonts w:ascii="微软雅黑" w:hAnsi="微软雅黑" w:eastAsia="微软雅黑"/>
          <w:kern w:val="0"/>
          <w:sz w:val="21"/>
          <w:szCs w:val="21"/>
        </w:rPr>
        <w:t xml:space="preserve">  F.法定代表人或负责人或实际控制人存在股份控制或实际控制关系</w:t>
      </w:r>
    </w:p>
    <w:p>
      <w:pPr>
        <w:pStyle w:val="90"/>
        <w:snapToGrid w:val="0"/>
        <w:ind w:firstLine="420" w:firstLineChars="200"/>
        <w:jc w:val="left"/>
        <w:rPr>
          <w:rFonts w:ascii="微软雅黑" w:hAnsi="微软雅黑" w:eastAsia="微软雅黑"/>
          <w:kern w:val="0"/>
          <w:sz w:val="21"/>
          <w:szCs w:val="21"/>
        </w:rPr>
      </w:pPr>
      <w:r>
        <w:rPr>
          <w:rFonts w:ascii="微软雅黑" w:hAnsi="微软雅黑" w:eastAsia="微软雅黑"/>
          <w:kern w:val="0"/>
          <w:sz w:val="21"/>
          <w:szCs w:val="21"/>
        </w:rPr>
        <w:t xml:space="preserve">  G.存在共同直接或间接投资设立子公司、联营企业和合营企业情况</w:t>
      </w:r>
    </w:p>
    <w:p>
      <w:pPr>
        <w:pStyle w:val="90"/>
        <w:snapToGrid w:val="0"/>
        <w:ind w:firstLine="420" w:firstLineChars="200"/>
        <w:jc w:val="left"/>
        <w:rPr>
          <w:rFonts w:ascii="微软雅黑" w:hAnsi="微软雅黑" w:eastAsia="微软雅黑"/>
          <w:sz w:val="21"/>
          <w:szCs w:val="21"/>
        </w:rPr>
      </w:pPr>
      <w:r>
        <w:rPr>
          <w:rFonts w:ascii="微软雅黑" w:hAnsi="微软雅黑" w:eastAsia="微软雅黑"/>
          <w:kern w:val="0"/>
          <w:sz w:val="21"/>
          <w:szCs w:val="21"/>
        </w:rPr>
        <w:t xml:space="preserve">  H.存在分级代理或代销关系、同一生产制造商关系、</w:t>
      </w:r>
      <w:r>
        <w:rPr>
          <w:rFonts w:ascii="微软雅黑" w:hAnsi="微软雅黑" w:eastAsia="微软雅黑"/>
          <w:sz w:val="21"/>
          <w:szCs w:val="21"/>
        </w:rPr>
        <w:t>管理关系、重要业务（占主营业务收入50%以上）或重要财务往来关系（如融资）等其他实质性控制关系</w:t>
      </w:r>
    </w:p>
    <w:p>
      <w:pPr>
        <w:pStyle w:val="90"/>
        <w:snapToGrid w:val="0"/>
        <w:ind w:firstLine="420" w:firstLineChars="200"/>
        <w:jc w:val="left"/>
        <w:rPr>
          <w:rFonts w:ascii="微软雅黑" w:hAnsi="微软雅黑" w:eastAsia="微软雅黑"/>
          <w:spacing w:val="6"/>
          <w:sz w:val="21"/>
          <w:szCs w:val="21"/>
        </w:rPr>
      </w:pPr>
      <w:r>
        <w:rPr>
          <w:rFonts w:ascii="微软雅黑" w:hAnsi="微软雅黑" w:eastAsia="微软雅黑"/>
          <w:sz w:val="21"/>
          <w:szCs w:val="21"/>
        </w:rPr>
        <w:t xml:space="preserve">    I</w:t>
      </w:r>
      <w:r>
        <w:rPr>
          <w:rFonts w:ascii="微软雅黑" w:hAnsi="微软雅黑" w:eastAsia="微软雅黑"/>
          <w:kern w:val="0"/>
          <w:sz w:val="21"/>
          <w:szCs w:val="21"/>
        </w:rPr>
        <w:t>.</w:t>
      </w:r>
      <w:r>
        <w:rPr>
          <w:rFonts w:ascii="微软雅黑" w:hAnsi="微软雅黑" w:eastAsia="微软雅黑"/>
          <w:sz w:val="21"/>
          <w:szCs w:val="21"/>
        </w:rPr>
        <w:t>其他利害关系情况</w:t>
      </w:r>
      <w:r>
        <w:rPr>
          <w:rFonts w:ascii="微软雅黑" w:hAnsi="微软雅黑" w:eastAsia="微软雅黑"/>
          <w:sz w:val="21"/>
          <w:szCs w:val="21"/>
          <w:u w:val="single"/>
        </w:rPr>
        <w:t xml:space="preserve">                              </w:t>
      </w:r>
      <w:r>
        <w:rPr>
          <w:rFonts w:ascii="微软雅黑" w:hAnsi="微软雅黑" w:eastAsia="微软雅黑"/>
          <w:kern w:val="0"/>
          <w:sz w:val="21"/>
          <w:szCs w:val="21"/>
        </w:rPr>
        <w:t>。</w:t>
      </w:r>
    </w:p>
    <w:p>
      <w:pPr>
        <w:pStyle w:val="96"/>
        <w:widowControl/>
        <w:numPr>
          <w:ilvl w:val="0"/>
          <w:numId w:val="7"/>
        </w:numPr>
        <w:snapToGrid w:val="0"/>
        <w:ind w:firstLine="420" w:firstLineChars="200"/>
        <w:jc w:val="left"/>
        <w:rPr>
          <w:rFonts w:ascii="微软雅黑" w:hAnsi="微软雅黑" w:eastAsia="微软雅黑"/>
          <w:kern w:val="0"/>
          <w:szCs w:val="21"/>
        </w:rPr>
      </w:pPr>
      <w:r>
        <w:rPr>
          <w:rFonts w:ascii="微软雅黑" w:hAnsi="微软雅黑" w:eastAsia="微软雅黑"/>
          <w:szCs w:val="21"/>
        </w:rPr>
        <w:t>现已清楚知道并</w:t>
      </w:r>
      <w:r>
        <w:rPr>
          <w:rFonts w:ascii="微软雅黑" w:hAnsi="微软雅黑" w:eastAsia="微软雅黑"/>
          <w:kern w:val="0"/>
          <w:szCs w:val="21"/>
        </w:rPr>
        <w:t>严格遵守政府采购法律法规和现场纪律。</w:t>
      </w:r>
    </w:p>
    <w:p>
      <w:pPr>
        <w:pStyle w:val="96"/>
        <w:widowControl/>
        <w:numPr>
          <w:ilvl w:val="0"/>
          <w:numId w:val="7"/>
        </w:numPr>
        <w:snapToGrid w:val="0"/>
        <w:ind w:firstLine="420" w:firstLineChars="200"/>
        <w:jc w:val="left"/>
        <w:rPr>
          <w:rFonts w:ascii="微软雅黑" w:hAnsi="微软雅黑" w:eastAsia="微软雅黑"/>
          <w:kern w:val="0"/>
          <w:szCs w:val="21"/>
        </w:rPr>
      </w:pPr>
      <w:r>
        <w:rPr>
          <w:rFonts w:ascii="微软雅黑" w:hAnsi="微软雅黑" w:eastAsia="微软雅黑"/>
          <w:kern w:val="0"/>
          <w:szCs w:val="21"/>
        </w:rPr>
        <w:t>我发现</w:t>
      </w:r>
      <w:r>
        <w:rPr>
          <w:rFonts w:ascii="微软雅黑" w:hAnsi="微软雅黑" w:eastAsia="微软雅黑"/>
          <w:kern w:val="0"/>
          <w:szCs w:val="21"/>
          <w:u w:val="single"/>
        </w:rPr>
        <w:t xml:space="preserve">                    </w:t>
      </w:r>
      <w:r>
        <w:rPr>
          <w:rFonts w:ascii="微软雅黑" w:hAnsi="微软雅黑" w:eastAsia="微软雅黑"/>
          <w:kern w:val="0"/>
          <w:szCs w:val="21"/>
        </w:rPr>
        <w:t>供应商之间存在或可能存在上述第二条第</w:t>
      </w:r>
      <w:r>
        <w:rPr>
          <w:rFonts w:ascii="微软雅黑" w:hAnsi="微软雅黑" w:eastAsia="微软雅黑"/>
          <w:kern w:val="0"/>
          <w:szCs w:val="21"/>
          <w:u w:val="single"/>
        </w:rPr>
        <w:t xml:space="preserve">      </w:t>
      </w:r>
      <w:r>
        <w:rPr>
          <w:rFonts w:hint="default" w:ascii="微软雅黑" w:hAnsi="微软雅黑" w:eastAsia="微软雅黑"/>
          <w:kern w:val="0"/>
          <w:szCs w:val="21"/>
          <w:u w:val="single"/>
        </w:rPr>
        <w:t xml:space="preserve">  </w:t>
      </w:r>
      <w:r>
        <w:rPr>
          <w:rFonts w:ascii="微软雅黑" w:hAnsi="微软雅黑" w:eastAsia="微软雅黑"/>
          <w:kern w:val="0"/>
          <w:szCs w:val="21"/>
        </w:rPr>
        <w:t>项利害关系。</w:t>
      </w:r>
    </w:p>
    <w:p>
      <w:pPr>
        <w:pStyle w:val="90"/>
        <w:snapToGrid w:val="0"/>
        <w:ind w:firstLine="420" w:firstLineChars="200"/>
        <w:jc w:val="left"/>
        <w:rPr>
          <w:rFonts w:hint="eastAsia" w:ascii="微软雅黑" w:hAnsi="微软雅黑" w:eastAsia="微软雅黑"/>
          <w:sz w:val="21"/>
          <w:szCs w:val="21"/>
        </w:rPr>
      </w:pPr>
    </w:p>
    <w:p>
      <w:pPr>
        <w:pStyle w:val="90"/>
        <w:snapToGrid w:val="0"/>
        <w:ind w:firstLine="420" w:firstLineChars="200"/>
        <w:jc w:val="left"/>
        <w:rPr>
          <w:rFonts w:hint="eastAsia" w:ascii="微软雅黑" w:hAnsi="微软雅黑" w:eastAsia="微软雅黑"/>
          <w:sz w:val="21"/>
          <w:szCs w:val="21"/>
        </w:rPr>
      </w:pPr>
    </w:p>
    <w:p>
      <w:pPr>
        <w:pStyle w:val="90"/>
        <w:snapToGrid w:val="0"/>
        <w:ind w:firstLine="420" w:firstLineChars="200"/>
        <w:jc w:val="left"/>
        <w:rPr>
          <w:rFonts w:ascii="微软雅黑" w:hAnsi="微软雅黑" w:eastAsia="微软雅黑"/>
          <w:sz w:val="21"/>
          <w:szCs w:val="21"/>
        </w:rPr>
      </w:pPr>
      <w:r>
        <w:rPr>
          <w:rFonts w:ascii="微软雅黑" w:hAnsi="微软雅黑" w:eastAsia="微软雅黑"/>
          <w:sz w:val="21"/>
          <w:szCs w:val="21"/>
        </w:rPr>
        <w:t xml:space="preserve">                            </w:t>
      </w:r>
      <w:r>
        <w:rPr>
          <w:rFonts w:hint="eastAsia" w:ascii="微软雅黑" w:hAnsi="微软雅黑" w:eastAsia="微软雅黑"/>
          <w:sz w:val="21"/>
          <w:szCs w:val="21"/>
        </w:rPr>
        <w:t xml:space="preserve">      </w:t>
      </w:r>
      <w:r>
        <w:rPr>
          <w:rFonts w:ascii="微软雅黑" w:hAnsi="微软雅黑" w:eastAsia="微软雅黑"/>
          <w:sz w:val="21"/>
          <w:szCs w:val="21"/>
        </w:rPr>
        <w:t xml:space="preserve"> 供应商代表签名：</w:t>
      </w:r>
    </w:p>
    <w:p>
      <w:pPr>
        <w:snapToGrid w:val="0"/>
        <w:ind w:firstLine="420" w:firstLineChars="200"/>
        <w:jc w:val="left"/>
        <w:rPr>
          <w:rFonts w:ascii="微软雅黑" w:hAnsi="微软雅黑" w:eastAsia="微软雅黑"/>
          <w:b/>
          <w:szCs w:val="21"/>
        </w:rPr>
      </w:pP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年  月  日</w:t>
      </w:r>
    </w:p>
    <w:p>
      <w:pPr>
        <w:snapToGrid w:val="0"/>
        <w:ind w:firstLine="420" w:firstLineChars="200"/>
        <w:jc w:val="left"/>
        <w:rPr>
          <w:rFonts w:ascii="微软雅黑" w:hAnsi="微软雅黑" w:eastAsia="微软雅黑"/>
          <w:b/>
          <w:szCs w:val="21"/>
        </w:rPr>
      </w:pPr>
      <w:r>
        <w:rPr>
          <w:rFonts w:hint="eastAsia" w:ascii="微软雅黑" w:hAnsi="微软雅黑" w:eastAsia="微软雅黑"/>
          <w:b/>
          <w:szCs w:val="21"/>
        </w:rPr>
        <w:br w:type="page"/>
      </w:r>
      <w:r>
        <w:rPr>
          <w:rFonts w:hint="eastAsia" w:ascii="微软雅黑" w:hAnsi="微软雅黑" w:eastAsia="微软雅黑"/>
          <w:b/>
          <w:szCs w:val="21"/>
        </w:rPr>
        <w:t>投标声明书格式：</w:t>
      </w:r>
    </w:p>
    <w:p>
      <w:pPr>
        <w:snapToGrid w:val="0"/>
        <w:spacing w:line="360" w:lineRule="auto"/>
        <w:ind w:firstLine="420" w:firstLineChars="200"/>
        <w:jc w:val="center"/>
        <w:rPr>
          <w:rFonts w:ascii="微软雅黑" w:hAnsi="微软雅黑" w:eastAsia="微软雅黑"/>
          <w:b/>
          <w:szCs w:val="21"/>
        </w:rPr>
      </w:pPr>
      <w:r>
        <w:rPr>
          <w:rFonts w:hint="eastAsia" w:ascii="微软雅黑" w:hAnsi="微软雅黑" w:eastAsia="微软雅黑"/>
          <w:b/>
          <w:szCs w:val="21"/>
        </w:rPr>
        <w:t>投标声明书</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致：</w:t>
      </w:r>
      <w:r>
        <w:rPr>
          <w:rFonts w:hint="eastAsia" w:ascii="微软雅黑" w:hAnsi="微软雅黑" w:eastAsia="微软雅黑" w:cs="Arial"/>
          <w:kern w:val="0"/>
          <w:szCs w:val="21"/>
          <w:u w:val="single"/>
        </w:rPr>
        <w:t>嘉兴市公安局经济技术开发区(国际商务区)分局</w:t>
      </w:r>
      <w:r>
        <w:rPr>
          <w:rFonts w:hint="eastAsia" w:ascii="微软雅黑" w:hAnsi="微软雅黑" w:eastAsia="微软雅黑"/>
          <w:szCs w:val="21"/>
        </w:rPr>
        <w:t>（招标采购单位名称）：</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u w:val="single"/>
        </w:rPr>
        <w:t xml:space="preserve">                   </w:t>
      </w:r>
      <w:r>
        <w:rPr>
          <w:rFonts w:hint="eastAsia" w:ascii="微软雅黑" w:hAnsi="微软雅黑" w:eastAsia="微软雅黑"/>
          <w:szCs w:val="21"/>
        </w:rPr>
        <w:t>（投标人名称）系中华人民共和国合法企业，经营地址</w:t>
      </w:r>
      <w:r>
        <w:rPr>
          <w:rFonts w:ascii="微软雅黑" w:hAnsi="微软雅黑" w:eastAsia="微软雅黑"/>
          <w:szCs w:val="21"/>
          <w:u w:val="single"/>
        </w:rPr>
        <w:t xml:space="preserve">                               </w:t>
      </w:r>
      <w:r>
        <w:rPr>
          <w:rFonts w:hint="eastAsia" w:ascii="微软雅黑" w:hAnsi="微软雅黑" w:eastAsia="微软雅黑"/>
          <w:szCs w:val="21"/>
        </w:rPr>
        <w:t>。</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我</w:t>
      </w:r>
      <w:r>
        <w:rPr>
          <w:rFonts w:ascii="微软雅黑" w:hAnsi="微软雅黑" w:eastAsia="微软雅黑"/>
          <w:szCs w:val="21"/>
          <w:u w:val="single"/>
        </w:rPr>
        <w:t xml:space="preserve">               </w:t>
      </w:r>
      <w:r>
        <w:rPr>
          <w:rFonts w:hint="eastAsia" w:ascii="微软雅黑" w:hAnsi="微软雅黑" w:eastAsia="微软雅黑"/>
          <w:szCs w:val="21"/>
        </w:rPr>
        <w:t>（姓名）系</w:t>
      </w:r>
      <w:r>
        <w:rPr>
          <w:rFonts w:ascii="微软雅黑" w:hAnsi="微软雅黑" w:eastAsia="微软雅黑"/>
          <w:szCs w:val="21"/>
          <w:u w:val="single"/>
        </w:rPr>
        <w:t xml:space="preserve">               </w:t>
      </w:r>
      <w:r>
        <w:rPr>
          <w:rFonts w:hint="eastAsia" w:ascii="微软雅黑" w:hAnsi="微软雅黑" w:eastAsia="微软雅黑"/>
          <w:szCs w:val="21"/>
        </w:rPr>
        <w:t>（投标人名称）的法定代表人，我方愿意参加贵方组织的</w:t>
      </w:r>
      <w:r>
        <w:rPr>
          <w:rFonts w:ascii="微软雅黑" w:hAnsi="微软雅黑" w:eastAsia="微软雅黑"/>
          <w:szCs w:val="21"/>
          <w:u w:val="single"/>
        </w:rPr>
        <w:t xml:space="preserve">                              </w:t>
      </w:r>
      <w:r>
        <w:rPr>
          <w:rFonts w:hint="eastAsia" w:ascii="微软雅黑" w:hAnsi="微软雅黑" w:eastAsia="微软雅黑"/>
          <w:szCs w:val="21"/>
        </w:rPr>
        <w:t>项目的投标，为便于贵方公正、择优地确定中标人及其投标产品和服务，我方就本次投标有关事项郑重声明如下：</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我方向贵方提交的所有投标文件、资料都是准确的和真实的</w:t>
      </w:r>
      <w:r>
        <w:rPr>
          <w:rFonts w:hint="eastAsia" w:ascii="微软雅黑" w:hAnsi="微软雅黑" w:eastAsia="微软雅黑"/>
          <w:szCs w:val="21"/>
        </w:rPr>
        <w:t>。</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我方不是采购人的附属机构；在获知本项目采购信息后，与采购人聘请的为此项目提供咨询服务的公司及其附属机构没有任何联系。</w:t>
      </w:r>
    </w:p>
    <w:p>
      <w:pPr>
        <w:snapToGrid w:val="0"/>
        <w:spacing w:line="360" w:lineRule="auto"/>
        <w:ind w:firstLine="480" w:firstLineChars="200"/>
        <w:jc w:val="left"/>
        <w:rPr>
          <w:rFonts w:ascii="微软雅黑" w:hAnsi="微软雅黑" w:eastAsia="微软雅黑"/>
          <w:szCs w:val="21"/>
        </w:rPr>
      </w:pPr>
      <w:r>
        <w:rPr>
          <w:rFonts w:ascii="微软雅黑" w:hAnsi="微软雅黑" w:eastAsia="微软雅黑"/>
          <w:spacing w:val="15"/>
          <w:kern w:val="0"/>
          <w:szCs w:val="21"/>
        </w:rPr>
        <w:t>3</w:t>
      </w:r>
      <w:r>
        <w:rPr>
          <w:rFonts w:hint="eastAsia" w:ascii="微软雅黑" w:hAnsi="微软雅黑" w:eastAsia="微软雅黑"/>
          <w:spacing w:val="15"/>
          <w:kern w:val="0"/>
          <w:szCs w:val="21"/>
        </w:rPr>
        <w:t>、</w:t>
      </w:r>
      <w:r>
        <w:rPr>
          <w:rFonts w:ascii="微软雅黑" w:hAnsi="微软雅黑" w:eastAsia="微软雅黑"/>
          <w:spacing w:val="15"/>
          <w:kern w:val="0"/>
          <w:szCs w:val="21"/>
        </w:rPr>
        <w:t>我方此次向贵方提供的</w:t>
      </w:r>
      <w:r>
        <w:rPr>
          <w:rFonts w:hint="eastAsia" w:ascii="微软雅黑" w:hAnsi="微软雅黑" w:eastAsia="微软雅黑"/>
          <w:spacing w:val="15"/>
          <w:kern w:val="0"/>
          <w:szCs w:val="21"/>
        </w:rPr>
        <w:t>服务内容为</w:t>
      </w:r>
      <w:r>
        <w:rPr>
          <w:rFonts w:ascii="微软雅黑" w:hAnsi="微软雅黑" w:eastAsia="微软雅黑"/>
          <w:szCs w:val="21"/>
          <w:u w:val="single"/>
        </w:rPr>
        <w:t xml:space="preserve">                        </w:t>
      </w:r>
      <w:r>
        <w:rPr>
          <w:rFonts w:hint="eastAsia" w:ascii="微软雅黑" w:hAnsi="微软雅黑" w:eastAsia="微软雅黑"/>
          <w:szCs w:val="21"/>
        </w:rPr>
        <w:t>。</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我方诚意提请贵方关注：</w:t>
      </w:r>
      <w:r>
        <w:rPr>
          <w:rFonts w:hint="eastAsia" w:ascii="微软雅黑" w:hAnsi="微软雅黑" w:eastAsia="微软雅黑"/>
          <w:szCs w:val="21"/>
        </w:rPr>
        <w:t>近期</w:t>
      </w:r>
      <w:r>
        <w:rPr>
          <w:rFonts w:ascii="微软雅黑" w:hAnsi="微软雅黑" w:eastAsia="微软雅黑"/>
          <w:szCs w:val="21"/>
        </w:rPr>
        <w:t>有关</w:t>
      </w:r>
      <w:r>
        <w:rPr>
          <w:rFonts w:hint="eastAsia" w:ascii="微软雅黑" w:hAnsi="微软雅黑" w:eastAsia="微软雅黑"/>
          <w:szCs w:val="21"/>
        </w:rPr>
        <w:t>项目的售后服务等方面的重大决策和事项有：</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u w:val="single"/>
        </w:rPr>
        <w:t>　　　　　　　　　　　　　　　　　　　　　　　　　　</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、我方及由本人担任法定代表人的其他机构</w:t>
      </w:r>
      <w:r>
        <w:rPr>
          <w:rFonts w:ascii="微软雅黑" w:hAnsi="微软雅黑" w:eastAsia="微软雅黑"/>
          <w:szCs w:val="21"/>
        </w:rPr>
        <w:t>最近三年内被</w:t>
      </w:r>
      <w:r>
        <w:rPr>
          <w:rFonts w:hint="eastAsia" w:ascii="微软雅黑" w:hAnsi="微软雅黑" w:eastAsia="微软雅黑"/>
          <w:szCs w:val="21"/>
        </w:rPr>
        <w:t>通报或者被处罚的</w:t>
      </w:r>
      <w:r>
        <w:rPr>
          <w:rFonts w:ascii="微软雅黑" w:hAnsi="微软雅黑" w:eastAsia="微软雅黑"/>
          <w:szCs w:val="21"/>
        </w:rPr>
        <w:t>违法行为有：</w:t>
      </w:r>
    </w:p>
    <w:p>
      <w:pPr>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u w:val="single"/>
        </w:rPr>
        <w:t>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6、以上事项如有虚假或隐瞒，我方愿意承担一切后果，并不再寻求任何旨在减轻或免除法律责任的辩解。</w:t>
      </w: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rPr>
        <w:t>法定代表人签字（或盖章）：</w:t>
      </w:r>
      <w:r>
        <w:rPr>
          <w:rFonts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投标人公章：</w:t>
      </w:r>
      <w:r>
        <w:rPr>
          <w:rFonts w:ascii="微软雅黑" w:hAnsi="微软雅黑" w:eastAsia="微软雅黑"/>
          <w:szCs w:val="21"/>
          <w:u w:val="single"/>
        </w:rPr>
        <w:t xml:space="preserve">               </w:t>
      </w:r>
      <w:r>
        <w:rPr>
          <w:rFonts w:ascii="微软雅黑" w:hAnsi="微软雅黑" w:eastAsia="微软雅黑"/>
          <w:szCs w:val="21"/>
        </w:rPr>
        <w:t xml:space="preserve">                      年    月    日</w:t>
      </w:r>
    </w:p>
    <w:p>
      <w:pPr>
        <w:snapToGrid w:val="0"/>
        <w:spacing w:line="360" w:lineRule="auto"/>
        <w:ind w:firstLine="420" w:firstLineChars="200"/>
        <w:jc w:val="left"/>
        <w:rPr>
          <w:rFonts w:ascii="微软雅黑" w:hAnsi="微软雅黑" w:eastAsia="微软雅黑"/>
          <w:b/>
          <w:szCs w:val="21"/>
        </w:rPr>
      </w:pPr>
      <w:r>
        <w:rPr>
          <w:rFonts w:hint="eastAsia" w:ascii="微软雅黑" w:hAnsi="微软雅黑" w:eastAsia="微软雅黑"/>
          <w:b/>
          <w:szCs w:val="21"/>
        </w:rPr>
        <w:br w:type="page"/>
      </w:r>
      <w:r>
        <w:rPr>
          <w:rFonts w:hint="eastAsia" w:ascii="微软雅黑" w:hAnsi="微软雅黑" w:eastAsia="微软雅黑"/>
          <w:b/>
          <w:szCs w:val="21"/>
        </w:rPr>
        <w:t>法定代表人授权委托书格式：</w:t>
      </w:r>
    </w:p>
    <w:p>
      <w:pPr>
        <w:snapToGrid w:val="0"/>
        <w:spacing w:line="360" w:lineRule="auto"/>
        <w:ind w:firstLine="420" w:firstLineChars="200"/>
        <w:jc w:val="center"/>
        <w:rPr>
          <w:rFonts w:ascii="微软雅黑" w:hAnsi="微软雅黑" w:eastAsia="微软雅黑"/>
          <w:b/>
          <w:szCs w:val="21"/>
        </w:rPr>
      </w:pPr>
      <w:r>
        <w:rPr>
          <w:rFonts w:hint="eastAsia" w:ascii="微软雅黑" w:hAnsi="微软雅黑" w:eastAsia="微软雅黑"/>
          <w:b/>
          <w:szCs w:val="21"/>
        </w:rPr>
        <w:t>法定代表人授权委托书</w:t>
      </w:r>
    </w:p>
    <w:p>
      <w:pPr>
        <w:snapToGrid w:val="0"/>
        <w:spacing w:line="360" w:lineRule="auto"/>
        <w:ind w:firstLine="420" w:firstLineChars="200"/>
        <w:jc w:val="left"/>
        <w:rPr>
          <w:rFonts w:ascii="微软雅黑" w:hAnsi="微软雅黑" w:eastAsia="微软雅黑"/>
          <w:bCs/>
          <w:szCs w:val="21"/>
        </w:rPr>
      </w:pPr>
    </w:p>
    <w:p>
      <w:pPr>
        <w:snapToGrid w:val="0"/>
        <w:spacing w:line="360" w:lineRule="auto"/>
        <w:ind w:firstLine="420" w:firstLineChars="200"/>
        <w:jc w:val="left"/>
        <w:rPr>
          <w:rFonts w:ascii="微软雅黑" w:hAnsi="微软雅黑" w:eastAsia="微软雅黑"/>
          <w:b/>
          <w:bCs/>
          <w:szCs w:val="21"/>
        </w:rPr>
      </w:pPr>
      <w:r>
        <w:rPr>
          <w:rFonts w:hint="eastAsia" w:ascii="微软雅黑" w:hAnsi="微软雅黑" w:eastAsia="微软雅黑"/>
          <w:bCs/>
          <w:szCs w:val="21"/>
        </w:rPr>
        <w:t>致：</w:t>
      </w:r>
      <w:r>
        <w:rPr>
          <w:rFonts w:hint="eastAsia" w:ascii="微软雅黑" w:hAnsi="微软雅黑" w:eastAsia="微软雅黑" w:cs="Arial"/>
          <w:kern w:val="0"/>
          <w:szCs w:val="21"/>
          <w:u w:val="single"/>
        </w:rPr>
        <w:t>嘉兴市公安局经济技术开发区(国际商务区)分局</w:t>
      </w:r>
      <w:r>
        <w:rPr>
          <w:rFonts w:hint="eastAsia" w:ascii="微软雅黑" w:hAnsi="微软雅黑" w:eastAsia="微软雅黑"/>
          <w:szCs w:val="21"/>
        </w:rPr>
        <w:t>（招标采购单位名称）</w:t>
      </w:r>
      <w:r>
        <w:rPr>
          <w:rFonts w:ascii="微软雅黑" w:hAnsi="微软雅黑" w:eastAsia="微软雅黑"/>
          <w:b/>
          <w:bCs/>
          <w:szCs w:val="21"/>
        </w:rPr>
        <w:t xml:space="preserve"> </w:t>
      </w:r>
      <w:r>
        <w:rPr>
          <w:rFonts w:hint="eastAsia" w:ascii="微软雅黑" w:hAnsi="微软雅黑" w:eastAsia="微软雅黑"/>
          <w:szCs w:val="21"/>
        </w:rPr>
        <w:t>：</w:t>
      </w:r>
    </w:p>
    <w:p>
      <w:pPr>
        <w:shd w:val="clear" w:color="auto" w:fill="FFFFFF"/>
        <w:snapToGrid w:val="0"/>
        <w:spacing w:line="360" w:lineRule="auto"/>
        <w:ind w:firstLine="420" w:firstLineChars="200"/>
        <w:jc w:val="left"/>
        <w:rPr>
          <w:rFonts w:hint="eastAsia" w:ascii="微软雅黑" w:hAnsi="微软雅黑" w:eastAsia="微软雅黑"/>
          <w:b/>
          <w:bCs/>
          <w:szCs w:val="21"/>
          <w:u w:val="single"/>
        </w:rPr>
      </w:pPr>
      <w:r>
        <w:rPr>
          <w:rFonts w:hint="eastAsia" w:ascii="微软雅黑" w:hAnsi="微软雅黑" w:eastAsia="微软雅黑" w:cs="宋体"/>
          <w:kern w:val="0"/>
          <w:szCs w:val="21"/>
          <w:lang w:val="zh-CN"/>
        </w:rPr>
        <w:t xml:space="preserve"> 兹委派我公司</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先生/女士(其在本公司的职务是：</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，联系电话：</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手机：</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传真：</w:t>
      </w:r>
      <w:r>
        <w:rPr>
          <w:rFonts w:hint="eastAsia" w:ascii="微软雅黑" w:hAnsi="微软雅黑" w:eastAsia="微软雅黑" w:cs="宋体"/>
          <w:kern w:val="0"/>
          <w:szCs w:val="21"/>
          <w:u w:val="single"/>
          <w:lang w:val="zh-CN"/>
        </w:rPr>
        <w:t xml:space="preserve">           </w:t>
      </w:r>
      <w:r>
        <w:rPr>
          <w:rFonts w:hint="eastAsia" w:ascii="微软雅黑" w:hAnsi="微软雅黑" w:eastAsia="微软雅黑" w:cs="宋体"/>
          <w:kern w:val="0"/>
          <w:szCs w:val="21"/>
          <w:lang w:val="zh-CN"/>
        </w:rPr>
        <w:t>)，代表我公司全权处理</w:t>
      </w:r>
      <w:r>
        <w:rPr>
          <w:rFonts w:hint="eastAsia" w:ascii="微软雅黑" w:hAnsi="微软雅黑" w:eastAsia="微软雅黑"/>
          <w:b/>
          <w:bCs/>
          <w:szCs w:val="21"/>
          <w:u w:val="single"/>
        </w:rPr>
        <w:t xml:space="preserve">          </w:t>
      </w:r>
    </w:p>
    <w:p>
      <w:pPr>
        <w:shd w:val="clear" w:color="auto" w:fill="FFFFFF"/>
        <w:snapToGrid w:val="0"/>
        <w:spacing w:line="360" w:lineRule="auto"/>
        <w:jc w:val="left"/>
        <w:rPr>
          <w:rFonts w:hint="eastAsia" w:ascii="微软雅黑" w:hAnsi="微软雅黑" w:eastAsia="微软雅黑" w:cs="宋体"/>
          <w:szCs w:val="21"/>
        </w:rPr>
      </w:pPr>
      <w:r>
        <w:rPr>
          <w:rFonts w:hint="eastAsia" w:ascii="微软雅黑" w:hAnsi="微软雅黑" w:eastAsia="微软雅黑"/>
          <w:b/>
          <w:bCs/>
          <w:szCs w:val="21"/>
          <w:u w:val="single"/>
        </w:rPr>
        <w:t xml:space="preserve">         </w:t>
      </w:r>
      <w:r>
        <w:rPr>
          <w:rFonts w:hint="eastAsia" w:ascii="微软雅黑" w:hAnsi="微软雅黑" w:eastAsia="微软雅黑"/>
          <w:b/>
          <w:bCs/>
          <w:szCs w:val="21"/>
        </w:rPr>
        <w:t>项目</w:t>
      </w:r>
      <w:r>
        <w:rPr>
          <w:rFonts w:hint="eastAsia" w:ascii="微软雅黑" w:hAnsi="微软雅黑" w:eastAsia="微软雅黑" w:cs="宋体"/>
          <w:szCs w:val="21"/>
        </w:rPr>
        <w:t>(编号：千秋-JXQQGK(2020)第69号)政府采购投标的一切事项</w:t>
      </w:r>
      <w:r>
        <w:rPr>
          <w:rFonts w:hint="eastAsia" w:ascii="微软雅黑" w:hAnsi="微软雅黑" w:eastAsia="微软雅黑" w:cs="宋体"/>
          <w:kern w:val="0"/>
          <w:szCs w:val="21"/>
          <w:lang w:val="zh-CN"/>
        </w:rPr>
        <w:t>。</w:t>
      </w:r>
    </w:p>
    <w:p>
      <w:pPr>
        <w:shd w:val="clear" w:color="auto" w:fill="FFFFFF"/>
        <w:snapToGrid w:val="0"/>
        <w:spacing w:line="360" w:lineRule="auto"/>
        <w:ind w:firstLine="420" w:firstLineChars="200"/>
        <w:jc w:val="left"/>
        <w:rPr>
          <w:rFonts w:hint="eastAsia" w:ascii="微软雅黑" w:hAnsi="微软雅黑" w:eastAsia="微软雅黑" w:cs="宋体"/>
          <w:kern w:val="0"/>
          <w:szCs w:val="21"/>
        </w:rPr>
      </w:pPr>
      <w:r>
        <w:rPr>
          <w:rFonts w:hint="eastAsia" w:ascii="微软雅黑" w:hAnsi="微软雅黑" w:eastAsia="微软雅黑" w:cs="宋体"/>
          <w:kern w:val="0"/>
          <w:szCs w:val="21"/>
          <w:lang w:val="zh-CN"/>
        </w:rPr>
        <w:t xml:space="preserve">    特此告知。</w:t>
      </w:r>
    </w:p>
    <w:p>
      <w:pPr>
        <w:shd w:val="clear" w:color="auto" w:fill="FFFFFF"/>
        <w:snapToGrid w:val="0"/>
        <w:spacing w:line="360" w:lineRule="auto"/>
        <w:ind w:firstLine="420" w:firstLineChars="200"/>
        <w:jc w:val="left"/>
        <w:rPr>
          <w:rFonts w:hint="eastAsia" w:ascii="微软雅黑" w:hAnsi="微软雅黑" w:eastAsia="微软雅黑" w:cs="宋体"/>
          <w:kern w:val="0"/>
          <w:szCs w:val="21"/>
        </w:rPr>
      </w:pPr>
    </w:p>
    <w:p>
      <w:pPr>
        <w:shd w:val="clear" w:color="auto" w:fill="FFFFFF"/>
        <w:snapToGrid w:val="0"/>
        <w:spacing w:line="360" w:lineRule="auto"/>
        <w:ind w:firstLine="420" w:firstLineChars="200"/>
        <w:jc w:val="left"/>
        <w:rPr>
          <w:rFonts w:hint="eastAsia" w:ascii="微软雅黑" w:hAnsi="微软雅黑" w:eastAsia="微软雅黑" w:cs="宋体"/>
          <w:kern w:val="0"/>
          <w:szCs w:val="21"/>
          <w:lang w:val="zh-CN"/>
        </w:rPr>
      </w:pPr>
      <w:r>
        <w:rPr>
          <w:rFonts w:hint="eastAsia" w:ascii="微软雅黑" w:hAnsi="微软雅黑" w:eastAsia="微软雅黑" w:cs="宋体"/>
          <w:kern w:val="0"/>
          <w:szCs w:val="21"/>
          <w:lang w:val="zh-CN"/>
        </w:rPr>
        <w:t xml:space="preserve">                                        </w:t>
      </w:r>
    </w:p>
    <w:p>
      <w:pPr>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rPr>
        <w:t>被授权人签名：</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法定代表人签名：</w:t>
      </w:r>
      <w:r>
        <w:rPr>
          <w:rFonts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职务：</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职务：</w:t>
      </w:r>
      <w:r>
        <w:rPr>
          <w:rFonts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被授权人身份证号码：</w:t>
      </w:r>
      <w:r>
        <w:rPr>
          <w:rFonts w:ascii="微软雅黑" w:hAnsi="微软雅黑" w:eastAsia="微软雅黑"/>
          <w:szCs w:val="21"/>
          <w:u w:val="single"/>
        </w:rPr>
        <w:t xml:space="preserve">                             </w:t>
      </w:r>
      <w:r>
        <w:rPr>
          <w:rFonts w:ascii="微软雅黑" w:hAnsi="微软雅黑" w:eastAsia="微软雅黑"/>
          <w:szCs w:val="21"/>
        </w:rPr>
        <w:t xml:space="preserve"> </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                                   </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投标人公章：</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napToGrid w:val="0"/>
        <w:spacing w:line="360" w:lineRule="auto"/>
        <w:ind w:firstLine="420" w:firstLineChars="200"/>
        <w:jc w:val="left"/>
        <w:rPr>
          <w:rFonts w:ascii="微软雅黑" w:hAnsi="微软雅黑" w:eastAsia="微软雅黑"/>
          <w:szCs w:val="21"/>
        </w:rPr>
      </w:pPr>
    </w:p>
    <w:p>
      <w:pPr>
        <w:pStyle w:val="25"/>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ascii="微软雅黑" w:hAnsi="微软雅黑" w:eastAsia="微软雅黑"/>
          <w:b/>
          <w:szCs w:val="21"/>
        </w:rPr>
      </w:pPr>
      <w:r>
        <w:rPr>
          <w:rFonts w:ascii="微软雅黑" w:hAnsi="微软雅黑" w:eastAsia="微软雅黑"/>
          <w:szCs w:val="21"/>
        </w:rPr>
        <w:br w:type="page"/>
      </w:r>
      <w:r>
        <w:rPr>
          <w:rFonts w:hint="eastAsia" w:ascii="微软雅黑" w:hAnsi="微软雅黑" w:eastAsia="微软雅黑"/>
          <w:b/>
          <w:szCs w:val="21"/>
        </w:rPr>
        <w:t>具有履行合同所必需的设备和专业技术能力承诺函：</w:t>
      </w:r>
    </w:p>
    <w:p>
      <w:pPr>
        <w:spacing w:line="360" w:lineRule="auto"/>
        <w:ind w:firstLine="420" w:firstLineChars="200"/>
        <w:jc w:val="left"/>
        <w:rPr>
          <w:rFonts w:hint="eastAsia" w:ascii="微软雅黑" w:hAnsi="微软雅黑" w:eastAsia="微软雅黑"/>
          <w:b/>
          <w:szCs w:val="21"/>
        </w:rPr>
      </w:pPr>
    </w:p>
    <w:p>
      <w:pPr>
        <w:spacing w:line="360" w:lineRule="auto"/>
        <w:ind w:firstLine="420" w:firstLineChars="200"/>
        <w:jc w:val="center"/>
        <w:rPr>
          <w:rFonts w:hint="eastAsia" w:ascii="微软雅黑" w:hAnsi="微软雅黑" w:eastAsia="微软雅黑"/>
          <w:b/>
          <w:szCs w:val="21"/>
        </w:rPr>
      </w:pPr>
      <w:r>
        <w:rPr>
          <w:rFonts w:hint="eastAsia" w:ascii="微软雅黑" w:hAnsi="微软雅黑" w:eastAsia="微软雅黑"/>
          <w:b/>
          <w:szCs w:val="21"/>
        </w:rPr>
        <w:t>具有履行合同所必需的设备和专业技术能力承诺函</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cs="Arial"/>
          <w:b/>
          <w:kern w:val="0"/>
          <w:szCs w:val="21"/>
          <w:u w:val="single"/>
        </w:rPr>
        <w:t>嘉兴市公安局经济技术开发区(国际商务区)分局</w:t>
      </w:r>
      <w:r>
        <w:rPr>
          <w:rFonts w:hint="eastAsia" w:ascii="微软雅黑" w:hAnsi="微软雅黑" w:eastAsia="微软雅黑"/>
          <w:szCs w:val="21"/>
        </w:rPr>
        <w:t>：</w:t>
      </w:r>
    </w:p>
    <w:p>
      <w:pPr>
        <w:snapToGrid w:val="0"/>
        <w:spacing w:line="360" w:lineRule="auto"/>
        <w:ind w:firstLine="420" w:firstLineChars="200"/>
        <w:jc w:val="left"/>
        <w:rPr>
          <w:rFonts w:hint="eastAsia" w:ascii="微软雅黑" w:hAnsi="微软雅黑" w:eastAsia="微软雅黑"/>
          <w:szCs w:val="21"/>
          <w:shd w:val="clear" w:color="auto" w:fill="FFFFFF"/>
        </w:rPr>
      </w:pPr>
    </w:p>
    <w:p>
      <w:pPr>
        <w:snapToGrid w:val="0"/>
        <w:spacing w:line="360" w:lineRule="auto"/>
        <w:ind w:firstLine="420" w:firstLineChars="200"/>
        <w:jc w:val="left"/>
        <w:rPr>
          <w:rFonts w:hint="eastAsia" w:ascii="微软雅黑" w:hAnsi="微软雅黑" w:eastAsia="微软雅黑"/>
          <w:szCs w:val="21"/>
          <w:u w:val="single"/>
        </w:rPr>
      </w:pPr>
      <w:r>
        <w:rPr>
          <w:rFonts w:hint="eastAsia" w:ascii="微软雅黑" w:hAnsi="微软雅黑" w:eastAsia="微软雅黑"/>
          <w:szCs w:val="21"/>
          <w:shd w:val="clear" w:color="auto" w:fill="FFFFFF"/>
        </w:rPr>
        <w:t>本公司（公司名称）参加</w:t>
      </w:r>
      <w:r>
        <w:rPr>
          <w:rFonts w:hint="eastAsia" w:ascii="微软雅黑" w:hAnsi="微软雅黑" w:eastAsia="微软雅黑" w:cs="Arial"/>
          <w:b/>
          <w:kern w:val="0"/>
          <w:szCs w:val="21"/>
          <w:u w:val="single"/>
        </w:rPr>
        <w:t>嘉兴市公安局经济技术开发区(国际商务区)分局雪亮工程第十期视频监控租赁服务项目</w:t>
      </w:r>
      <w:r>
        <w:rPr>
          <w:rFonts w:hint="eastAsia" w:ascii="微软雅黑" w:hAnsi="微软雅黑" w:eastAsia="微软雅黑"/>
          <w:szCs w:val="21"/>
          <w:shd w:val="clear" w:color="auto" w:fill="FFFFFF"/>
        </w:rPr>
        <w:t>投标活动，现承诺如下：</w:t>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shd w:val="clear" w:color="auto" w:fill="FFFFFF"/>
        </w:rPr>
        <w:t>我公司具有履行合同所需的设备和专业技术能力；</w:t>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shd w:val="clear" w:color="auto" w:fill="FFFFFF"/>
        </w:rPr>
        <w:t>如违反以上承诺，本公司愿承担一切法律责任。</w:t>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shd w:val="clear" w:color="auto" w:fill="FFFFFF"/>
        </w:rPr>
        <w:t>投标人名称：（盖章）</w:t>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shd w:val="clear" w:color="auto" w:fill="FFFFFF"/>
        </w:rPr>
        <w:t>法定代表人或授权代表（签字）：</w:t>
      </w:r>
      <w:r>
        <w:rPr>
          <w:rFonts w:hint="eastAsia" w:ascii="微软雅黑" w:hAnsi="微软雅黑" w:eastAsia="微软雅黑"/>
          <w:szCs w:val="21"/>
        </w:rPr>
        <w:br w:type="textWrapping"/>
      </w:r>
      <w:r>
        <w:rPr>
          <w:rFonts w:hint="eastAsia" w:ascii="微软雅黑" w:hAnsi="微软雅黑" w:eastAsia="微软雅黑"/>
          <w:szCs w:val="21"/>
        </w:rPr>
        <w:br w:type="textWrapping"/>
      </w:r>
      <w:r>
        <w:rPr>
          <w:rFonts w:hint="eastAsia" w:ascii="微软雅黑" w:hAnsi="微软雅黑" w:eastAsia="微软雅黑"/>
          <w:szCs w:val="21"/>
          <w:shd w:val="clear" w:color="auto" w:fill="FFFFFF"/>
        </w:rPr>
        <w:t>投标日期： 年 月 日</w:t>
      </w:r>
      <w:r>
        <w:rPr>
          <w:rFonts w:hint="eastAsia"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hint="eastAsia" w:ascii="微软雅黑" w:hAnsi="微软雅黑" w:eastAsia="微软雅黑"/>
          <w:b/>
          <w:szCs w:val="21"/>
        </w:rPr>
      </w:pPr>
    </w:p>
    <w:p>
      <w:pPr>
        <w:snapToGrid w:val="0"/>
        <w:spacing w:line="360" w:lineRule="auto"/>
        <w:ind w:firstLine="420" w:firstLineChars="200"/>
        <w:jc w:val="left"/>
        <w:rPr>
          <w:rFonts w:ascii="微软雅黑" w:hAnsi="微软雅黑" w:eastAsia="微软雅黑"/>
          <w:b/>
          <w:szCs w:val="21"/>
        </w:rPr>
      </w:pPr>
      <w:r>
        <w:rPr>
          <w:rFonts w:ascii="微软雅黑" w:hAnsi="微软雅黑" w:eastAsia="微软雅黑"/>
          <w:b/>
          <w:szCs w:val="21"/>
        </w:rPr>
        <w:br w:type="page"/>
      </w:r>
      <w:r>
        <w:rPr>
          <w:rFonts w:hint="eastAsia" w:ascii="微软雅黑" w:hAnsi="微软雅黑" w:eastAsia="微软雅黑"/>
          <w:b/>
          <w:szCs w:val="21"/>
        </w:rPr>
        <w:t>参加政府采购活动前三年，在经营活动中没有重大违法记录（承诺函）</w:t>
      </w:r>
    </w:p>
    <w:p>
      <w:pPr>
        <w:spacing w:line="360" w:lineRule="auto"/>
        <w:ind w:firstLine="420" w:firstLineChars="200"/>
        <w:jc w:val="left"/>
        <w:rPr>
          <w:rFonts w:hint="eastAsia" w:ascii="微软雅黑" w:hAnsi="微软雅黑" w:eastAsia="微软雅黑"/>
          <w:szCs w:val="21"/>
          <w:u w:val="single"/>
        </w:rPr>
      </w:pPr>
    </w:p>
    <w:p>
      <w:pPr>
        <w:spacing w:line="360" w:lineRule="auto"/>
        <w:ind w:firstLine="420" w:firstLineChars="200"/>
        <w:jc w:val="center"/>
        <w:rPr>
          <w:rFonts w:hint="eastAsia" w:ascii="微软雅黑" w:hAnsi="微软雅黑" w:eastAsia="微软雅黑"/>
          <w:szCs w:val="21"/>
        </w:rPr>
      </w:pPr>
      <w:r>
        <w:rPr>
          <w:rFonts w:hint="eastAsia" w:ascii="微软雅黑" w:hAnsi="微软雅黑" w:eastAsia="微软雅黑" w:cs="Arial"/>
          <w:b/>
          <w:kern w:val="0"/>
          <w:szCs w:val="21"/>
          <w:u w:val="single"/>
        </w:rPr>
        <w:t>嘉兴市公安局经济技术开发区(国际商务区)分局</w:t>
      </w:r>
      <w:r>
        <w:rPr>
          <w:rFonts w:hint="eastAsia" w:ascii="微软雅黑" w:hAnsi="微软雅黑" w:eastAsia="微软雅黑"/>
          <w:szCs w:val="21"/>
        </w:rPr>
        <w:t>：</w:t>
      </w:r>
    </w:p>
    <w:p>
      <w:pPr>
        <w:spacing w:line="360" w:lineRule="auto"/>
        <w:ind w:firstLine="420" w:firstLineChars="200"/>
        <w:jc w:val="left"/>
        <w:rPr>
          <w:rFonts w:hint="eastAsia" w:ascii="微软雅黑" w:hAnsi="微软雅黑" w:eastAsia="微软雅黑"/>
          <w:szCs w:val="21"/>
        </w:rPr>
      </w:pP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我公司声明截止投标时间近三年以来，在经营活动中没有重大违法记录；也没有因违反《浙江省政府采购投标人注册及诚信管理暂行办法》被列入“黑名单”，正在处罚有效期。</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特此承诺。</w:t>
      </w:r>
    </w:p>
    <w:p>
      <w:pPr>
        <w:spacing w:line="360" w:lineRule="auto"/>
        <w:ind w:firstLine="420" w:firstLineChars="200"/>
        <w:jc w:val="left"/>
        <w:rPr>
          <w:rFonts w:hint="eastAsia" w:ascii="微软雅黑" w:hAnsi="微软雅黑" w:eastAsia="微软雅黑"/>
          <w:szCs w:val="21"/>
        </w:rPr>
      </w:pPr>
    </w:p>
    <w:p>
      <w:pPr>
        <w:spacing w:line="360" w:lineRule="auto"/>
        <w:ind w:firstLine="420" w:firstLineChars="200"/>
        <w:jc w:val="left"/>
        <w:rPr>
          <w:rFonts w:hint="eastAsia" w:ascii="微软雅黑" w:hAnsi="微软雅黑" w:eastAsia="微软雅黑"/>
          <w:szCs w:val="21"/>
        </w:rPr>
      </w:pP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供应商（加盖公章）：</w:t>
      </w:r>
      <w:r>
        <w:rPr>
          <w:rFonts w:hint="eastAsia"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供应商代表（签名）：</w:t>
      </w:r>
      <w:r>
        <w:rPr>
          <w:rFonts w:hint="eastAsia"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hint="eastAsia" w:ascii="微软雅黑" w:hAnsi="微软雅黑" w:eastAsia="微软雅黑"/>
          <w:szCs w:val="21"/>
          <w:u w:val="single"/>
        </w:rPr>
      </w:pPr>
      <w:r>
        <w:rPr>
          <w:rFonts w:hint="eastAsia" w:ascii="微软雅黑" w:hAnsi="微软雅黑" w:eastAsia="微软雅黑"/>
          <w:szCs w:val="21"/>
          <w:shd w:val="clear" w:color="auto" w:fill="FFFFFF"/>
        </w:rPr>
        <w:t>投标日期： 年 月 日</w:t>
      </w:r>
      <w:r>
        <w:rPr>
          <w:rFonts w:hint="eastAsia" w:ascii="微软雅黑" w:hAnsi="微软雅黑" w:eastAsia="微软雅黑"/>
          <w:szCs w:val="21"/>
          <w:u w:val="single"/>
        </w:rPr>
        <w:t xml:space="preserve">        </w:t>
      </w: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投标人的类似成功案例的业绩证明文件：</w:t>
      </w:r>
    </w:p>
    <w:p>
      <w:pPr>
        <w:pStyle w:val="35"/>
        <w:snapToGrid w:val="0"/>
        <w:spacing w:line="360" w:lineRule="auto"/>
        <w:ind w:left="0" w:firstLine="420" w:firstLineChars="200"/>
        <w:jc w:val="left"/>
        <w:rPr>
          <w:rFonts w:ascii="微软雅黑" w:hAnsi="微软雅黑" w:eastAsia="微软雅黑"/>
          <w:szCs w:val="21"/>
        </w:rPr>
      </w:pPr>
      <w:r>
        <w:rPr>
          <w:rFonts w:ascii="微软雅黑" w:hAnsi="微软雅黑" w:eastAsia="微软雅黑"/>
          <w:szCs w:val="21"/>
        </w:rPr>
        <w:t>投标人同类项目实施情况一览表格式：（投标人同类项目合同复印件）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171"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采购单位名称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设备或项目名称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采购</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合同</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金额</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（万元）</w:t>
            </w:r>
          </w:p>
        </w:tc>
        <w:tc>
          <w:tcPr>
            <w:tcW w:w="1517" w:type="dxa"/>
            <w:tcBorders>
              <w:top w:val="single" w:color="auto" w:sz="4" w:space="0"/>
              <w:left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附件页码</w:t>
            </w:r>
          </w:p>
          <w:p>
            <w:pPr>
              <w:snapToGrid w:val="0"/>
              <w:spacing w:line="360" w:lineRule="auto"/>
              <w:ind w:firstLine="420" w:firstLineChars="200"/>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采购单位联系人及</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51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bl>
    <w:p>
      <w:pPr>
        <w:pStyle w:val="16"/>
        <w:snapToGrid w:val="0"/>
        <w:spacing w:before="0" w:after="0" w:line="360" w:lineRule="auto"/>
        <w:ind w:firstLine="420" w:firstLineChars="200"/>
        <w:jc w:val="left"/>
        <w:rPr>
          <w:rFonts w:ascii="微软雅黑" w:hAnsi="微软雅黑" w:eastAsia="微软雅黑"/>
          <w:sz w:val="21"/>
          <w:szCs w:val="21"/>
        </w:rPr>
      </w:pPr>
    </w:p>
    <w:p>
      <w:pPr>
        <w:pStyle w:val="16"/>
        <w:snapToGrid w:val="0"/>
        <w:spacing w:before="0" w:after="0" w:line="360" w:lineRule="auto"/>
        <w:ind w:firstLine="420" w:firstLineChars="200"/>
        <w:jc w:val="left"/>
        <w:rPr>
          <w:rFonts w:ascii="微软雅黑" w:hAnsi="微软雅黑" w:eastAsia="微软雅黑"/>
          <w:sz w:val="21"/>
          <w:szCs w:val="21"/>
          <w:u w:val="single"/>
        </w:rPr>
      </w:pPr>
      <w:r>
        <w:rPr>
          <w:rFonts w:hint="eastAsia" w:ascii="微软雅黑" w:hAnsi="微软雅黑" w:eastAsia="微软雅黑"/>
          <w:sz w:val="21"/>
          <w:szCs w:val="21"/>
        </w:rPr>
        <w:t>法定代表人签字：</w:t>
      </w:r>
      <w:r>
        <w:rPr>
          <w:rFonts w:hint="eastAsia" w:ascii="微软雅黑" w:hAnsi="微软雅黑" w:eastAsia="微软雅黑"/>
          <w:sz w:val="21"/>
          <w:szCs w:val="21"/>
          <w:u w:val="single"/>
        </w:rPr>
        <w:t>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投标人公章：</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rPr>
        <w:sectPr>
          <w:pgSz w:w="16838" w:h="11906" w:orient="landscape"/>
          <w:pgMar w:top="1797" w:right="1474" w:bottom="1797" w:left="1247" w:header="851" w:footer="851" w:gutter="0"/>
          <w:cols w:space="720" w:num="1"/>
          <w:docGrid w:linePitch="312" w:charSpace="0"/>
        </w:sectPr>
      </w:pP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商务响应表格式：</w:t>
      </w:r>
    </w:p>
    <w:tbl>
      <w:tblPr>
        <w:tblStyle w:val="47"/>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7"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项目</w:t>
            </w:r>
          </w:p>
        </w:tc>
        <w:tc>
          <w:tcPr>
            <w:tcW w:w="189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招标文件要求</w:t>
            </w:r>
          </w:p>
        </w:tc>
        <w:tc>
          <w:tcPr>
            <w:tcW w:w="16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是否响应</w:t>
            </w:r>
          </w:p>
        </w:tc>
        <w:tc>
          <w:tcPr>
            <w:tcW w:w="264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0"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w:t>
            </w:r>
          </w:p>
        </w:tc>
        <w:tc>
          <w:tcPr>
            <w:tcW w:w="189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6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微软雅黑" w:hAnsi="微软雅黑" w:eastAsia="微软雅黑"/>
                <w:szCs w:val="21"/>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6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trPr>
        <w:tc>
          <w:tcPr>
            <w:tcW w:w="237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left"/>
              <w:rPr>
                <w:rFonts w:hint="eastAsia" w:ascii="微软雅黑" w:hAnsi="微软雅黑" w:eastAsia="微软雅黑"/>
                <w:szCs w:val="21"/>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165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20" w:firstLineChars="200"/>
              <w:jc w:val="left"/>
              <w:rPr>
                <w:rFonts w:ascii="微软雅黑" w:hAnsi="微软雅黑" w:eastAsia="微软雅黑"/>
                <w:szCs w:val="21"/>
              </w:rPr>
            </w:pPr>
          </w:p>
        </w:tc>
      </w:tr>
    </w:tbl>
    <w:p>
      <w:pPr>
        <w:pStyle w:val="25"/>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注：本表不允许负偏离；</w:t>
      </w:r>
    </w:p>
    <w:p>
      <w:pPr>
        <w:pStyle w:val="25"/>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法定代表人或其委托代理人签名（或盖章）：                </w:t>
      </w:r>
    </w:p>
    <w:p>
      <w:pPr>
        <w:pStyle w:val="25"/>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投标人：（单位公章）</w:t>
      </w:r>
      <w:r>
        <w:rPr>
          <w:rFonts w:ascii="微软雅黑" w:hAnsi="微软雅黑" w:eastAsia="微软雅黑"/>
          <w:szCs w:val="21"/>
        </w:rPr>
        <w:t xml:space="preserve">    </w:t>
      </w:r>
      <w:r>
        <w:rPr>
          <w:rFonts w:hint="eastAsia" w:ascii="微软雅黑" w:hAnsi="微软雅黑" w:eastAsia="微软雅黑"/>
          <w:szCs w:val="21"/>
        </w:rPr>
        <w:t xml:space="preserve">          法定代表人或其委托代理人：（签字或盖章）</w:t>
      </w:r>
    </w:p>
    <w:p>
      <w:pPr>
        <w:pStyle w:val="25"/>
        <w:spacing w:line="360" w:lineRule="auto"/>
        <w:ind w:firstLine="420" w:firstLineChars="200"/>
        <w:jc w:val="left"/>
        <w:rPr>
          <w:rFonts w:ascii="微软雅黑" w:hAnsi="微软雅黑" w:eastAsia="微软雅黑"/>
          <w:szCs w:val="21"/>
        </w:rPr>
      </w:pPr>
    </w:p>
    <w:p>
      <w:pPr>
        <w:pStyle w:val="25"/>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日期：</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月  </w:t>
      </w:r>
      <w:r>
        <w:rPr>
          <w:rFonts w:ascii="微软雅黑" w:hAnsi="微软雅黑" w:eastAsia="微软雅黑"/>
          <w:szCs w:val="21"/>
        </w:rPr>
        <w:t xml:space="preserve">  </w:t>
      </w:r>
      <w:r>
        <w:rPr>
          <w:rFonts w:hint="eastAsia" w:ascii="微软雅黑" w:hAnsi="微软雅黑" w:eastAsia="微软雅黑"/>
          <w:szCs w:val="21"/>
        </w:rPr>
        <w:t>日</w:t>
      </w:r>
    </w:p>
    <w:p>
      <w:pPr>
        <w:snapToGrid w:val="0"/>
        <w:spacing w:line="360" w:lineRule="auto"/>
        <w:ind w:firstLine="420" w:firstLineChars="200"/>
        <w:jc w:val="left"/>
        <w:rPr>
          <w:rFonts w:ascii="微软雅黑" w:hAnsi="微软雅黑" w:eastAsia="微软雅黑"/>
          <w:b/>
          <w:bCs/>
          <w:szCs w:val="21"/>
        </w:rPr>
        <w:sectPr>
          <w:pgSz w:w="11906" w:h="16838"/>
          <w:pgMar w:top="1474" w:right="1797" w:bottom="1247" w:left="1797" w:header="851" w:footer="851" w:gutter="0"/>
          <w:cols w:space="720" w:num="1"/>
          <w:docGrid w:linePitch="312" w:charSpace="0"/>
        </w:sectPr>
      </w:pP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bCs/>
          <w:szCs w:val="21"/>
        </w:rPr>
        <w:t>技术规范偏离</w:t>
      </w:r>
      <w:r>
        <w:rPr>
          <w:rFonts w:hint="eastAsia" w:ascii="微软雅黑" w:hAnsi="微软雅黑" w:eastAsia="微软雅黑"/>
          <w:szCs w:val="21"/>
        </w:rPr>
        <w:t>表格式：</w:t>
      </w:r>
    </w:p>
    <w:tbl>
      <w:tblPr>
        <w:tblStyle w:val="4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0" w:hRule="atLeast"/>
          <w:jc w:val="center"/>
        </w:trPr>
        <w:tc>
          <w:tcPr>
            <w:tcW w:w="735" w:type="dxa"/>
            <w:noWrap w:val="0"/>
            <w:vAlign w:val="center"/>
          </w:tcPr>
          <w:p>
            <w:pPr>
              <w:tabs>
                <w:tab w:val="left" w:pos="0"/>
              </w:tabs>
              <w:spacing w:line="360" w:lineRule="auto"/>
              <w:jc w:val="left"/>
              <w:rPr>
                <w:rFonts w:ascii="微软雅黑" w:hAnsi="微软雅黑" w:eastAsia="微软雅黑"/>
                <w:szCs w:val="21"/>
              </w:rPr>
            </w:pPr>
            <w:r>
              <w:rPr>
                <w:rFonts w:hint="eastAsia" w:ascii="微软雅黑" w:hAnsi="微软雅黑" w:eastAsia="微软雅黑"/>
                <w:szCs w:val="21"/>
              </w:rPr>
              <w:t>序号</w:t>
            </w:r>
          </w:p>
        </w:tc>
        <w:tc>
          <w:tcPr>
            <w:tcW w:w="2415" w:type="dxa"/>
            <w:noWrap w:val="0"/>
            <w:vAlign w:val="center"/>
          </w:tcPr>
          <w:p>
            <w:pPr>
              <w:tabs>
                <w:tab w:val="left" w:pos="0"/>
              </w:tabs>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招标文件要求</w:t>
            </w:r>
          </w:p>
        </w:tc>
        <w:tc>
          <w:tcPr>
            <w:tcW w:w="2835" w:type="dxa"/>
            <w:noWrap w:val="0"/>
            <w:vAlign w:val="center"/>
          </w:tcPr>
          <w:p>
            <w:pPr>
              <w:tabs>
                <w:tab w:val="left" w:pos="0"/>
              </w:tabs>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投标文件情况</w:t>
            </w:r>
          </w:p>
        </w:tc>
        <w:tc>
          <w:tcPr>
            <w:tcW w:w="3150" w:type="dxa"/>
            <w:noWrap w:val="0"/>
            <w:vAlign w:val="center"/>
          </w:tcPr>
          <w:p>
            <w:pPr>
              <w:tabs>
                <w:tab w:val="left" w:pos="0"/>
              </w:tabs>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0" w:hRule="atLeast"/>
          <w:jc w:val="center"/>
        </w:trPr>
        <w:tc>
          <w:tcPr>
            <w:tcW w:w="735" w:type="dxa"/>
            <w:noWrap w:val="0"/>
            <w:vAlign w:val="center"/>
          </w:tcPr>
          <w:p>
            <w:pPr>
              <w:spacing w:line="360" w:lineRule="auto"/>
              <w:jc w:val="left"/>
              <w:rPr>
                <w:rFonts w:ascii="微软雅黑" w:hAnsi="微软雅黑" w:eastAsia="微软雅黑"/>
                <w:szCs w:val="21"/>
              </w:rPr>
            </w:pPr>
          </w:p>
        </w:tc>
        <w:tc>
          <w:tcPr>
            <w:tcW w:w="2415" w:type="dxa"/>
            <w:noWrap w:val="0"/>
            <w:vAlign w:val="center"/>
          </w:tcPr>
          <w:p>
            <w:pPr>
              <w:spacing w:line="360" w:lineRule="auto"/>
              <w:ind w:firstLine="420" w:firstLineChars="200"/>
              <w:jc w:val="left"/>
              <w:rPr>
                <w:rFonts w:ascii="微软雅黑" w:hAnsi="微软雅黑" w:eastAsia="微软雅黑"/>
                <w:szCs w:val="21"/>
              </w:rPr>
            </w:pPr>
          </w:p>
        </w:tc>
        <w:tc>
          <w:tcPr>
            <w:tcW w:w="2835" w:type="dxa"/>
            <w:noWrap w:val="0"/>
            <w:vAlign w:val="center"/>
          </w:tcPr>
          <w:p>
            <w:pPr>
              <w:spacing w:line="360" w:lineRule="auto"/>
              <w:ind w:firstLine="420" w:firstLineChars="200"/>
              <w:jc w:val="left"/>
              <w:rPr>
                <w:rFonts w:ascii="微软雅黑" w:hAnsi="微软雅黑" w:eastAsia="微软雅黑"/>
                <w:szCs w:val="21"/>
              </w:rPr>
            </w:pPr>
          </w:p>
        </w:tc>
        <w:tc>
          <w:tcPr>
            <w:tcW w:w="3150" w:type="dxa"/>
            <w:noWrap w:val="0"/>
            <w:vAlign w:val="center"/>
          </w:tcPr>
          <w:p>
            <w:pPr>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0" w:hRule="atLeast"/>
          <w:jc w:val="center"/>
        </w:trPr>
        <w:tc>
          <w:tcPr>
            <w:tcW w:w="735" w:type="dxa"/>
            <w:noWrap w:val="0"/>
            <w:vAlign w:val="center"/>
          </w:tcPr>
          <w:p>
            <w:pPr>
              <w:spacing w:line="360" w:lineRule="auto"/>
              <w:jc w:val="left"/>
              <w:rPr>
                <w:rFonts w:ascii="微软雅黑" w:hAnsi="微软雅黑" w:eastAsia="微软雅黑"/>
                <w:szCs w:val="21"/>
              </w:rPr>
            </w:pPr>
          </w:p>
        </w:tc>
        <w:tc>
          <w:tcPr>
            <w:tcW w:w="2415" w:type="dxa"/>
            <w:noWrap w:val="0"/>
            <w:vAlign w:val="center"/>
          </w:tcPr>
          <w:p>
            <w:pPr>
              <w:spacing w:line="360" w:lineRule="auto"/>
              <w:ind w:firstLine="420" w:firstLineChars="200"/>
              <w:jc w:val="left"/>
              <w:rPr>
                <w:rFonts w:ascii="微软雅黑" w:hAnsi="微软雅黑" w:eastAsia="微软雅黑"/>
                <w:szCs w:val="21"/>
              </w:rPr>
            </w:pPr>
          </w:p>
        </w:tc>
        <w:tc>
          <w:tcPr>
            <w:tcW w:w="2835" w:type="dxa"/>
            <w:noWrap w:val="0"/>
            <w:vAlign w:val="center"/>
          </w:tcPr>
          <w:p>
            <w:pPr>
              <w:spacing w:line="360" w:lineRule="auto"/>
              <w:ind w:firstLine="420" w:firstLineChars="200"/>
              <w:jc w:val="left"/>
              <w:rPr>
                <w:rFonts w:ascii="微软雅黑" w:hAnsi="微软雅黑" w:eastAsia="微软雅黑"/>
                <w:szCs w:val="21"/>
              </w:rPr>
            </w:pPr>
          </w:p>
        </w:tc>
        <w:tc>
          <w:tcPr>
            <w:tcW w:w="3150" w:type="dxa"/>
            <w:noWrap w:val="0"/>
            <w:vAlign w:val="center"/>
          </w:tcPr>
          <w:p>
            <w:pPr>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0" w:hRule="atLeast"/>
          <w:jc w:val="center"/>
        </w:trPr>
        <w:tc>
          <w:tcPr>
            <w:tcW w:w="735" w:type="dxa"/>
            <w:noWrap w:val="0"/>
            <w:vAlign w:val="center"/>
          </w:tcPr>
          <w:p>
            <w:pPr>
              <w:spacing w:line="360" w:lineRule="auto"/>
              <w:jc w:val="left"/>
              <w:rPr>
                <w:rFonts w:ascii="微软雅黑" w:hAnsi="微软雅黑" w:eastAsia="微软雅黑"/>
                <w:szCs w:val="21"/>
              </w:rPr>
            </w:pPr>
          </w:p>
        </w:tc>
        <w:tc>
          <w:tcPr>
            <w:tcW w:w="2415" w:type="dxa"/>
            <w:noWrap w:val="0"/>
            <w:vAlign w:val="center"/>
          </w:tcPr>
          <w:p>
            <w:pPr>
              <w:spacing w:line="360" w:lineRule="auto"/>
              <w:ind w:firstLine="420" w:firstLineChars="200"/>
              <w:jc w:val="left"/>
              <w:rPr>
                <w:rFonts w:ascii="微软雅黑" w:hAnsi="微软雅黑" w:eastAsia="微软雅黑"/>
                <w:szCs w:val="21"/>
              </w:rPr>
            </w:pPr>
          </w:p>
        </w:tc>
        <w:tc>
          <w:tcPr>
            <w:tcW w:w="2835" w:type="dxa"/>
            <w:noWrap w:val="0"/>
            <w:vAlign w:val="center"/>
          </w:tcPr>
          <w:p>
            <w:pPr>
              <w:spacing w:line="360" w:lineRule="auto"/>
              <w:ind w:firstLine="420" w:firstLineChars="200"/>
              <w:jc w:val="left"/>
              <w:rPr>
                <w:rFonts w:ascii="微软雅黑" w:hAnsi="微软雅黑" w:eastAsia="微软雅黑"/>
                <w:szCs w:val="21"/>
              </w:rPr>
            </w:pPr>
          </w:p>
        </w:tc>
        <w:tc>
          <w:tcPr>
            <w:tcW w:w="3150" w:type="dxa"/>
            <w:noWrap w:val="0"/>
            <w:vAlign w:val="center"/>
          </w:tcPr>
          <w:p>
            <w:pPr>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0" w:hRule="atLeast"/>
          <w:jc w:val="center"/>
        </w:trPr>
        <w:tc>
          <w:tcPr>
            <w:tcW w:w="735" w:type="dxa"/>
            <w:noWrap w:val="0"/>
            <w:vAlign w:val="center"/>
          </w:tcPr>
          <w:p>
            <w:pPr>
              <w:spacing w:line="360" w:lineRule="auto"/>
              <w:jc w:val="left"/>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w:t>
            </w:r>
          </w:p>
        </w:tc>
        <w:tc>
          <w:tcPr>
            <w:tcW w:w="2415" w:type="dxa"/>
            <w:noWrap w:val="0"/>
            <w:vAlign w:val="center"/>
          </w:tcPr>
          <w:p>
            <w:pPr>
              <w:spacing w:line="360" w:lineRule="auto"/>
              <w:ind w:firstLine="420" w:firstLineChars="200"/>
              <w:jc w:val="left"/>
              <w:rPr>
                <w:rFonts w:ascii="微软雅黑" w:hAnsi="微软雅黑" w:eastAsia="微软雅黑"/>
                <w:szCs w:val="21"/>
              </w:rPr>
            </w:pPr>
          </w:p>
        </w:tc>
        <w:tc>
          <w:tcPr>
            <w:tcW w:w="2835" w:type="dxa"/>
            <w:noWrap w:val="0"/>
            <w:vAlign w:val="center"/>
          </w:tcPr>
          <w:p>
            <w:pPr>
              <w:spacing w:line="360" w:lineRule="auto"/>
              <w:ind w:firstLine="420" w:firstLineChars="200"/>
              <w:jc w:val="left"/>
              <w:rPr>
                <w:rFonts w:ascii="微软雅黑" w:hAnsi="微软雅黑" w:eastAsia="微软雅黑"/>
                <w:szCs w:val="21"/>
              </w:rPr>
            </w:pPr>
          </w:p>
        </w:tc>
        <w:tc>
          <w:tcPr>
            <w:tcW w:w="3150" w:type="dxa"/>
            <w:noWrap w:val="0"/>
            <w:vAlign w:val="center"/>
          </w:tcPr>
          <w:p>
            <w:pPr>
              <w:spacing w:line="360" w:lineRule="auto"/>
              <w:ind w:firstLine="420" w:firstLineChars="200"/>
              <w:jc w:val="left"/>
              <w:rPr>
                <w:rFonts w:ascii="微软雅黑" w:hAnsi="微软雅黑" w:eastAsia="微软雅黑"/>
                <w:szCs w:val="21"/>
              </w:rPr>
            </w:pPr>
          </w:p>
        </w:tc>
      </w:tr>
    </w:tbl>
    <w:p>
      <w:pPr>
        <w:pStyle w:val="25"/>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注：“偏离”系指“正偏离”、“负偏离”或“无偏离”。</w:t>
      </w:r>
    </w:p>
    <w:p>
      <w:pPr>
        <w:pStyle w:val="25"/>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法定代表人或其委托代理人签名（或盖章）：                </w:t>
      </w:r>
    </w:p>
    <w:p>
      <w:pPr>
        <w:pStyle w:val="25"/>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投标人：（单位公章）</w:t>
      </w:r>
      <w:r>
        <w:rPr>
          <w:rFonts w:ascii="微软雅黑" w:hAnsi="微软雅黑" w:eastAsia="微软雅黑"/>
          <w:szCs w:val="21"/>
        </w:rPr>
        <w:t xml:space="preserve">    </w:t>
      </w:r>
      <w:r>
        <w:rPr>
          <w:rFonts w:hint="eastAsia" w:ascii="微软雅黑" w:hAnsi="微软雅黑" w:eastAsia="微软雅黑"/>
          <w:szCs w:val="21"/>
        </w:rPr>
        <w:t xml:space="preserve">          </w:t>
      </w:r>
    </w:p>
    <w:p>
      <w:pPr>
        <w:pStyle w:val="25"/>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法定代表人或其委托代理人：（签字或盖章）</w:t>
      </w:r>
    </w:p>
    <w:p>
      <w:pPr>
        <w:pStyle w:val="25"/>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 日期：</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月  </w:t>
      </w:r>
      <w:r>
        <w:rPr>
          <w:rFonts w:ascii="微软雅黑" w:hAnsi="微软雅黑" w:eastAsia="微软雅黑"/>
          <w:szCs w:val="21"/>
        </w:rPr>
        <w:t xml:space="preserve">  </w:t>
      </w:r>
      <w:r>
        <w:rPr>
          <w:rFonts w:hint="eastAsia" w:ascii="微软雅黑" w:hAnsi="微软雅黑" w:eastAsia="微软雅黑"/>
          <w:szCs w:val="21"/>
        </w:rPr>
        <w:t>日</w:t>
      </w:r>
    </w:p>
    <w:p>
      <w:pPr>
        <w:pStyle w:val="25"/>
        <w:snapToGrid w:val="0"/>
        <w:spacing w:line="360" w:lineRule="auto"/>
        <w:ind w:firstLine="420" w:firstLineChars="200"/>
        <w:jc w:val="left"/>
        <w:rPr>
          <w:rFonts w:hint="eastAsia" w:ascii="微软雅黑" w:hAnsi="微软雅黑" w:eastAsia="微软雅黑"/>
          <w:szCs w:val="21"/>
          <w:lang w:eastAsia="zh-CN"/>
        </w:rPr>
        <w:sectPr>
          <w:pgSz w:w="11906" w:h="16838"/>
          <w:pgMar w:top="1474" w:right="1797" w:bottom="1247" w:left="1797" w:header="851" w:footer="851" w:gutter="0"/>
          <w:cols w:space="720" w:num="1"/>
          <w:docGrid w:linePitch="312" w:charSpace="0"/>
        </w:sectPr>
      </w:pPr>
    </w:p>
    <w:p>
      <w:pPr>
        <w:snapToGrid w:val="0"/>
        <w:spacing w:line="360" w:lineRule="auto"/>
        <w:ind w:firstLine="420" w:firstLineChars="200"/>
        <w:jc w:val="left"/>
        <w:rPr>
          <w:rFonts w:hint="eastAsia" w:ascii="微软雅黑" w:hAnsi="微软雅黑" w:eastAsia="微软雅黑"/>
          <w:szCs w:val="21"/>
        </w:rPr>
      </w:pPr>
      <w:r>
        <w:rPr>
          <w:rFonts w:ascii="微软雅黑" w:hAnsi="微软雅黑" w:eastAsia="微软雅黑"/>
          <w:szCs w:val="21"/>
        </w:rPr>
        <w:t>项目实施人员一览表</w:t>
      </w:r>
    </w:p>
    <w:p>
      <w:pPr>
        <w:snapToGrid w:val="0"/>
        <w:spacing w:line="360" w:lineRule="auto"/>
        <w:ind w:firstLine="420" w:firstLineChars="200"/>
        <w:jc w:val="center"/>
        <w:rPr>
          <w:rFonts w:ascii="微软雅黑" w:hAnsi="微软雅黑" w:eastAsia="微软雅黑"/>
          <w:b/>
          <w:szCs w:val="21"/>
        </w:rPr>
      </w:pPr>
      <w:r>
        <w:rPr>
          <w:rFonts w:hint="eastAsia" w:ascii="微软雅黑" w:hAnsi="微软雅黑" w:eastAsia="微软雅黑"/>
          <w:b/>
          <w:szCs w:val="21"/>
        </w:rPr>
        <w:t>项目实施人员（主要从业人员及其技术资格）一览表</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标项：</w:t>
      </w:r>
      <w:r>
        <w:rPr>
          <w:rFonts w:ascii="微软雅黑" w:hAnsi="微软雅黑" w:eastAsia="微软雅黑"/>
          <w:szCs w:val="21"/>
          <w:u w:val="single"/>
        </w:rPr>
        <w:t xml:space="preserve">              </w:t>
      </w:r>
    </w:p>
    <w:tbl>
      <w:tblPr>
        <w:tblStyle w:val="47"/>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szCs w:val="21"/>
              </w:rPr>
            </w:pPr>
            <w:r>
              <w:rPr>
                <w:rFonts w:hint="eastAsia" w:ascii="微软雅黑" w:hAnsi="微软雅黑" w:eastAsia="微软雅黑"/>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bCs/>
                <w:szCs w:val="21"/>
              </w:rPr>
            </w:pPr>
            <w:r>
              <w:rPr>
                <w:rFonts w:hint="eastAsia" w:ascii="微软雅黑" w:hAnsi="微软雅黑" w:eastAsia="微软雅黑"/>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微软雅黑" w:hAnsi="微软雅黑" w:eastAsia="微软雅黑"/>
                <w:bCs/>
                <w:szCs w:val="21"/>
              </w:rPr>
            </w:pPr>
            <w:r>
              <w:rPr>
                <w:rFonts w:hint="eastAsia" w:ascii="微软雅黑" w:hAnsi="微软雅黑" w:eastAsia="微软雅黑"/>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line="360" w:lineRule="auto"/>
              <w:ind w:leftChars="0" w:firstLine="420" w:firstLineChars="200"/>
              <w:jc w:val="center"/>
              <w:rPr>
                <w:rFonts w:ascii="微软雅黑" w:hAnsi="微软雅黑" w:eastAsia="微软雅黑"/>
                <w:sz w:val="21"/>
                <w:szCs w:val="21"/>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center"/>
              <w:rPr>
                <w:rFonts w:ascii="微软雅黑" w:hAnsi="微软雅黑" w:eastAsia="微软雅黑"/>
                <w:szCs w:val="21"/>
              </w:rPr>
            </w:pPr>
          </w:p>
        </w:tc>
      </w:tr>
    </w:tbl>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注：在填写时，如本表格不适合投标单位的实际情况，可根据本表格式自行划表填写。</w:t>
      </w:r>
    </w:p>
    <w:p>
      <w:pPr>
        <w:snapToGrid w:val="0"/>
        <w:spacing w:line="360" w:lineRule="auto"/>
        <w:ind w:firstLine="500" w:firstLineChars="200"/>
        <w:jc w:val="left"/>
        <w:rPr>
          <w:rFonts w:ascii="微软雅黑" w:hAnsi="微软雅黑" w:eastAsia="微软雅黑"/>
          <w:spacing w:val="20"/>
          <w:szCs w:val="21"/>
          <w:u w:val="single"/>
        </w:rPr>
      </w:pPr>
      <w:r>
        <w:rPr>
          <w:rFonts w:hint="eastAsia" w:ascii="微软雅黑" w:hAnsi="微软雅黑" w:eastAsia="微软雅黑"/>
          <w:spacing w:val="20"/>
          <w:szCs w:val="21"/>
        </w:rPr>
        <w:t>授权代表签名：</w:t>
      </w:r>
      <w:r>
        <w:rPr>
          <w:rFonts w:ascii="微软雅黑" w:hAnsi="微软雅黑" w:eastAsia="微软雅黑"/>
          <w:spacing w:val="20"/>
          <w:szCs w:val="21"/>
          <w:u w:val="single"/>
        </w:rPr>
        <w:t xml:space="preserve">            </w:t>
      </w:r>
    </w:p>
    <w:p>
      <w:pPr>
        <w:snapToGrid w:val="0"/>
        <w:spacing w:line="360" w:lineRule="auto"/>
        <w:ind w:firstLine="500" w:firstLineChars="200"/>
        <w:jc w:val="left"/>
        <w:rPr>
          <w:rFonts w:ascii="微软雅黑" w:hAnsi="微软雅黑" w:eastAsia="微软雅黑"/>
          <w:spacing w:val="20"/>
          <w:szCs w:val="21"/>
        </w:rPr>
      </w:pPr>
      <w:r>
        <w:rPr>
          <w:rFonts w:hint="eastAsia" w:ascii="微软雅黑" w:hAnsi="微软雅黑" w:eastAsia="微软雅黑"/>
          <w:spacing w:val="20"/>
          <w:szCs w:val="21"/>
        </w:rPr>
        <w:t>投标人盖章：</w:t>
      </w:r>
      <w:r>
        <w:rPr>
          <w:rFonts w:ascii="微软雅黑" w:hAnsi="微软雅黑" w:eastAsia="微软雅黑"/>
          <w:spacing w:val="20"/>
          <w:szCs w:val="21"/>
          <w:u w:val="single"/>
        </w:rPr>
        <w:t xml:space="preserve">            </w:t>
      </w:r>
      <w:r>
        <w:rPr>
          <w:rFonts w:ascii="微软雅黑" w:hAnsi="微软雅黑" w:eastAsia="微软雅黑"/>
          <w:spacing w:val="20"/>
          <w:szCs w:val="21"/>
        </w:rPr>
        <w:t xml:space="preserve">             </w:t>
      </w:r>
    </w:p>
    <w:p>
      <w:pPr>
        <w:snapToGrid w:val="0"/>
        <w:spacing w:line="360" w:lineRule="auto"/>
        <w:ind w:firstLine="500" w:firstLineChars="200"/>
        <w:jc w:val="left"/>
        <w:rPr>
          <w:rFonts w:ascii="微软雅黑" w:hAnsi="微软雅黑" w:eastAsia="微软雅黑"/>
          <w:spacing w:val="20"/>
          <w:szCs w:val="21"/>
          <w:u w:val="single"/>
        </w:rPr>
      </w:pPr>
      <w:r>
        <w:rPr>
          <w:rFonts w:hint="eastAsia" w:ascii="微软雅黑" w:hAnsi="微软雅黑" w:eastAsia="微软雅黑"/>
          <w:spacing w:val="20"/>
          <w:szCs w:val="21"/>
        </w:rPr>
        <w:t>日</w:t>
      </w:r>
      <w:r>
        <w:rPr>
          <w:rFonts w:ascii="微软雅黑" w:hAnsi="微软雅黑" w:eastAsia="微软雅黑"/>
          <w:spacing w:val="20"/>
          <w:szCs w:val="21"/>
        </w:rPr>
        <w:t xml:space="preserve">  </w:t>
      </w:r>
      <w:r>
        <w:rPr>
          <w:rFonts w:hint="eastAsia" w:ascii="微软雅黑" w:hAnsi="微软雅黑" w:eastAsia="微软雅黑"/>
          <w:spacing w:val="20"/>
          <w:szCs w:val="21"/>
        </w:rPr>
        <w:t>期：</w:t>
      </w:r>
      <w:r>
        <w:rPr>
          <w:rFonts w:ascii="微软雅黑" w:hAnsi="微软雅黑" w:eastAsia="微软雅黑"/>
          <w:spacing w:val="20"/>
          <w:szCs w:val="21"/>
          <w:u w:val="single"/>
        </w:rPr>
        <w:t xml:space="preserve">        </w:t>
      </w: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hint="eastAsia" w:ascii="微软雅黑" w:hAnsi="微软雅黑" w:eastAsia="微软雅黑" w:cs="微软雅黑"/>
          <w:b/>
          <w:szCs w:val="21"/>
        </w:rPr>
      </w:pPr>
    </w:p>
    <w:p>
      <w:pPr>
        <w:snapToGrid w:val="0"/>
        <w:spacing w:line="360" w:lineRule="auto"/>
        <w:ind w:firstLine="420" w:firstLineChars="200"/>
        <w:jc w:val="left"/>
        <w:rPr>
          <w:rFonts w:ascii="微软雅黑" w:hAnsi="微软雅黑" w:eastAsia="微软雅黑" w:cs="微软雅黑"/>
          <w:b/>
          <w:szCs w:val="21"/>
        </w:rPr>
        <w:sectPr>
          <w:headerReference r:id="rId11" w:type="first"/>
          <w:footerReference r:id="rId13" w:type="first"/>
          <w:footerReference r:id="rId12" w:type="even"/>
          <w:pgSz w:w="11907" w:h="16839"/>
          <w:pgMar w:top="1440" w:right="1800" w:bottom="1440" w:left="1800" w:header="851" w:footer="992" w:gutter="0"/>
          <w:cols w:space="720" w:num="1"/>
          <w:docGrid w:type="lines" w:linePitch="312" w:charSpace="0"/>
        </w:sectPr>
      </w:pPr>
    </w:p>
    <w:p>
      <w:pPr>
        <w:snapToGri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产品配置清单格式：</w:t>
      </w:r>
    </w:p>
    <w:p>
      <w:pPr>
        <w:tabs>
          <w:tab w:val="left" w:pos="1418"/>
        </w:tabs>
        <w:snapToGri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标项：</w:t>
      </w:r>
      <w:r>
        <w:rPr>
          <w:rFonts w:hint="eastAsia" w:ascii="微软雅黑" w:hAnsi="微软雅黑" w:eastAsia="微软雅黑" w:cs="微软雅黑"/>
          <w:szCs w:val="21"/>
          <w:u w:val="single"/>
        </w:rPr>
        <w:t xml:space="preserve">              </w:t>
      </w:r>
    </w:p>
    <w:tbl>
      <w:tblPr>
        <w:tblStyle w:val="47"/>
        <w:tblW w:w="9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微软雅黑" w:hAnsi="微软雅黑" w:eastAsia="微软雅黑" w:cs="微软雅黑"/>
                <w:szCs w:val="21"/>
              </w:rPr>
            </w:pPr>
          </w:p>
        </w:tc>
      </w:tr>
    </w:tbl>
    <w:p>
      <w:pPr>
        <w:snapToGrid w:val="0"/>
        <w:spacing w:line="360" w:lineRule="auto"/>
        <w:ind w:firstLine="500" w:firstLineChars="200"/>
        <w:jc w:val="left"/>
        <w:rPr>
          <w:rFonts w:hint="eastAsia" w:ascii="微软雅黑" w:hAnsi="微软雅黑" w:eastAsia="微软雅黑" w:cs="微软雅黑"/>
          <w:spacing w:val="20"/>
          <w:szCs w:val="21"/>
          <w:u w:val="single"/>
        </w:rPr>
      </w:pPr>
      <w:r>
        <w:rPr>
          <w:rFonts w:hint="eastAsia" w:ascii="微软雅黑" w:hAnsi="微软雅黑" w:eastAsia="微软雅黑" w:cs="微软雅黑"/>
          <w:spacing w:val="20"/>
          <w:szCs w:val="21"/>
        </w:rPr>
        <w:t>授权代表签名：</w:t>
      </w:r>
      <w:r>
        <w:rPr>
          <w:rFonts w:hint="eastAsia" w:ascii="微软雅黑" w:hAnsi="微软雅黑" w:eastAsia="微软雅黑" w:cs="微软雅黑"/>
          <w:spacing w:val="20"/>
          <w:szCs w:val="21"/>
          <w:u w:val="single"/>
        </w:rPr>
        <w:t xml:space="preserve">        </w:t>
      </w:r>
    </w:p>
    <w:p>
      <w:pPr>
        <w:snapToGrid w:val="0"/>
        <w:spacing w:line="360" w:lineRule="auto"/>
        <w:ind w:firstLine="500" w:firstLineChars="200"/>
        <w:jc w:val="left"/>
        <w:rPr>
          <w:rFonts w:hint="eastAsia" w:ascii="微软雅黑" w:hAnsi="微软雅黑" w:eastAsia="微软雅黑" w:cs="微软雅黑"/>
          <w:spacing w:val="20"/>
          <w:szCs w:val="21"/>
        </w:rPr>
      </w:pPr>
      <w:r>
        <w:rPr>
          <w:rFonts w:hint="eastAsia" w:ascii="微软雅黑" w:hAnsi="微软雅黑" w:eastAsia="微软雅黑" w:cs="微软雅黑"/>
          <w:spacing w:val="20"/>
          <w:szCs w:val="21"/>
        </w:rPr>
        <w:t>投标人盖章：</w:t>
      </w:r>
      <w:r>
        <w:rPr>
          <w:rFonts w:hint="eastAsia" w:ascii="微软雅黑" w:hAnsi="微软雅黑" w:eastAsia="微软雅黑" w:cs="微软雅黑"/>
          <w:spacing w:val="20"/>
          <w:szCs w:val="21"/>
          <w:u w:val="single"/>
        </w:rPr>
        <w:t xml:space="preserve">            </w:t>
      </w:r>
      <w:r>
        <w:rPr>
          <w:rFonts w:hint="eastAsia" w:ascii="微软雅黑" w:hAnsi="微软雅黑" w:eastAsia="微软雅黑" w:cs="微软雅黑"/>
          <w:spacing w:val="20"/>
          <w:szCs w:val="21"/>
        </w:rPr>
        <w:t xml:space="preserve">              </w:t>
      </w:r>
    </w:p>
    <w:p>
      <w:pPr>
        <w:snapToGrid w:val="0"/>
        <w:spacing w:line="360" w:lineRule="auto"/>
        <w:ind w:firstLine="500" w:firstLineChars="200"/>
        <w:jc w:val="left"/>
        <w:rPr>
          <w:rFonts w:hint="eastAsia" w:ascii="微软雅黑" w:hAnsi="微软雅黑" w:eastAsia="微软雅黑" w:cs="微软雅黑"/>
          <w:szCs w:val="21"/>
        </w:rPr>
      </w:pPr>
      <w:r>
        <w:rPr>
          <w:rFonts w:hint="eastAsia" w:ascii="微软雅黑" w:hAnsi="微软雅黑" w:eastAsia="微软雅黑" w:cs="微软雅黑"/>
          <w:spacing w:val="20"/>
          <w:szCs w:val="21"/>
        </w:rPr>
        <w:t>日  期：</w:t>
      </w:r>
      <w:r>
        <w:rPr>
          <w:rFonts w:hint="eastAsia" w:ascii="微软雅黑" w:hAnsi="微软雅黑" w:eastAsia="微软雅黑" w:cs="微软雅黑"/>
          <w:spacing w:val="20"/>
          <w:szCs w:val="21"/>
          <w:u w:val="single"/>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cs="微软雅黑"/>
          <w:b/>
          <w:szCs w:val="21"/>
        </w:rPr>
        <w:br w:type="page"/>
      </w:r>
      <w:r>
        <w:rPr>
          <w:rFonts w:hint="eastAsia" w:ascii="微软雅黑" w:hAnsi="微软雅黑" w:eastAsia="微软雅黑"/>
          <w:szCs w:val="21"/>
        </w:rPr>
        <w:t>投标函格式：</w:t>
      </w:r>
    </w:p>
    <w:p>
      <w:pPr>
        <w:snapToGrid w:val="0"/>
        <w:spacing w:line="360" w:lineRule="auto"/>
        <w:ind w:firstLine="420" w:firstLineChars="200"/>
        <w:jc w:val="center"/>
        <w:rPr>
          <w:rFonts w:ascii="微软雅黑" w:hAnsi="微软雅黑" w:eastAsia="微软雅黑"/>
          <w:b/>
          <w:szCs w:val="21"/>
        </w:rPr>
      </w:pPr>
      <w:r>
        <w:rPr>
          <w:rFonts w:hint="eastAsia" w:ascii="微软雅黑" w:hAnsi="微软雅黑" w:eastAsia="微软雅黑"/>
          <w:b/>
          <w:szCs w:val="21"/>
        </w:rPr>
        <w:t>投</w:t>
      </w:r>
      <w:r>
        <w:rPr>
          <w:rFonts w:ascii="微软雅黑" w:hAnsi="微软雅黑" w:eastAsia="微软雅黑"/>
          <w:b/>
          <w:szCs w:val="21"/>
        </w:rPr>
        <w:t xml:space="preserve"> </w:t>
      </w:r>
      <w:r>
        <w:rPr>
          <w:rFonts w:hint="eastAsia" w:ascii="微软雅黑" w:hAnsi="微软雅黑" w:eastAsia="微软雅黑"/>
          <w:b/>
          <w:szCs w:val="21"/>
        </w:rPr>
        <w:t>标</w:t>
      </w:r>
      <w:r>
        <w:rPr>
          <w:rFonts w:ascii="微软雅黑" w:hAnsi="微软雅黑" w:eastAsia="微软雅黑"/>
          <w:b/>
          <w:szCs w:val="21"/>
        </w:rPr>
        <w:t xml:space="preserve"> </w:t>
      </w:r>
      <w:r>
        <w:rPr>
          <w:rFonts w:hint="eastAsia" w:ascii="微软雅黑" w:hAnsi="微软雅黑" w:eastAsia="微软雅黑"/>
          <w:b/>
          <w:szCs w:val="21"/>
        </w:rPr>
        <w:t>函</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致：</w:t>
      </w:r>
      <w:r>
        <w:rPr>
          <w:rFonts w:ascii="微软雅黑" w:hAnsi="微软雅黑" w:eastAsia="微软雅黑"/>
          <w:szCs w:val="21"/>
          <w:u w:val="single"/>
        </w:rPr>
        <w:t>_______     __</w:t>
      </w:r>
      <w:r>
        <w:rPr>
          <w:rFonts w:hint="eastAsia" w:ascii="微软雅黑" w:hAnsi="微软雅黑" w:eastAsia="微软雅黑"/>
          <w:szCs w:val="21"/>
        </w:rPr>
        <w:t>（招标采购单位名称）：</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根据贵方为</w:t>
      </w:r>
      <w:r>
        <w:rPr>
          <w:rFonts w:ascii="微软雅黑" w:hAnsi="微软雅黑" w:eastAsia="微软雅黑"/>
          <w:szCs w:val="21"/>
          <w:u w:val="single"/>
        </w:rPr>
        <w:t xml:space="preserve">                             </w:t>
      </w:r>
      <w:r>
        <w:rPr>
          <w:rFonts w:hint="eastAsia" w:ascii="微软雅黑" w:hAnsi="微软雅黑" w:eastAsia="微软雅黑"/>
          <w:szCs w:val="21"/>
        </w:rPr>
        <w:t>项目的招标公告</w:t>
      </w:r>
      <w:r>
        <w:rPr>
          <w:rFonts w:ascii="微软雅黑" w:hAnsi="微软雅黑" w:eastAsia="微软雅黑"/>
          <w:szCs w:val="21"/>
        </w:rPr>
        <w:t>/</w:t>
      </w:r>
      <w:r>
        <w:rPr>
          <w:rFonts w:hint="eastAsia" w:ascii="微软雅黑" w:hAnsi="微软雅黑" w:eastAsia="微软雅黑"/>
          <w:szCs w:val="21"/>
        </w:rPr>
        <w:t>投标邀请书</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（项目编号：</w:t>
      </w:r>
      <w:r>
        <w:rPr>
          <w:rFonts w:ascii="微软雅黑" w:hAnsi="微软雅黑" w:eastAsia="微软雅黑"/>
          <w:szCs w:val="21"/>
          <w:u w:val="single"/>
        </w:rPr>
        <w:t>_____     __</w:t>
      </w:r>
      <w:r>
        <w:rPr>
          <w:rFonts w:hint="eastAsia" w:ascii="微软雅黑" w:hAnsi="微软雅黑" w:eastAsia="微软雅黑"/>
          <w:szCs w:val="21"/>
        </w:rPr>
        <w:t>），签字代表</w:t>
      </w:r>
      <w:r>
        <w:rPr>
          <w:rFonts w:ascii="微软雅黑" w:hAnsi="微软雅黑" w:eastAsia="微软雅黑"/>
          <w:szCs w:val="21"/>
          <w:u w:val="single"/>
        </w:rPr>
        <w:t xml:space="preserve">_______     </w:t>
      </w:r>
      <w:r>
        <w:rPr>
          <w:rFonts w:hint="eastAsia" w:ascii="微软雅黑" w:hAnsi="微软雅黑" w:eastAsia="微软雅黑"/>
          <w:szCs w:val="21"/>
        </w:rPr>
        <w:t>（全名）经正式授权并代表投标人</w:t>
      </w:r>
      <w:r>
        <w:rPr>
          <w:rFonts w:ascii="微软雅黑" w:hAnsi="微软雅黑" w:eastAsia="微软雅黑"/>
          <w:szCs w:val="21"/>
          <w:u w:val="single"/>
        </w:rPr>
        <w:t>_______                    __</w:t>
      </w:r>
      <w:r>
        <w:rPr>
          <w:rFonts w:hint="eastAsia" w:ascii="微软雅黑" w:hAnsi="微软雅黑" w:eastAsia="微软雅黑"/>
          <w:szCs w:val="21"/>
        </w:rPr>
        <w:t>（投标人名称）提交资信商务文件、技术文件及投标报价文件电子投标各一份。</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据此函，签字代表宣布同意如下：</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、本投标有效期自开标日起</w:t>
      </w:r>
      <w:r>
        <w:rPr>
          <w:rFonts w:ascii="微软雅黑" w:hAnsi="微软雅黑" w:eastAsia="微软雅黑"/>
          <w:szCs w:val="21"/>
        </w:rPr>
        <w:t xml:space="preserve"> ______</w:t>
      </w:r>
      <w:r>
        <w:rPr>
          <w:rFonts w:hint="eastAsia" w:ascii="微软雅黑" w:hAnsi="微软雅黑" w:eastAsia="微软雅黑"/>
          <w:szCs w:val="21"/>
        </w:rPr>
        <w:t>个日。</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、如中标，本投标文件至本项目合同履行完毕止均保持有效，本投标人将按“招标文件”及政府采购法律、法规的规定履行合同责任和义务。</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、投标人同意按照贵方要求提供与投标有关的一切数据或资料。</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、与本投标有关的一切正式往来信函请寄：</w:t>
      </w: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地址：</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邮编：</w:t>
      </w:r>
      <w:r>
        <w:rPr>
          <w:rFonts w:ascii="微软雅黑" w:hAnsi="微软雅黑" w:eastAsia="微软雅黑"/>
          <w:szCs w:val="21"/>
        </w:rPr>
        <w:t xml:space="preserve">__________   </w:t>
      </w:r>
      <w:r>
        <w:rPr>
          <w:rFonts w:hint="eastAsia" w:ascii="微软雅黑" w:hAnsi="微软雅黑" w:eastAsia="微软雅黑"/>
          <w:szCs w:val="21"/>
        </w:rPr>
        <w:t>电话：</w:t>
      </w:r>
      <w:r>
        <w:rPr>
          <w:rFonts w:ascii="微软雅黑" w:hAnsi="微软雅黑" w:eastAsia="微软雅黑"/>
          <w:szCs w:val="21"/>
        </w:rPr>
        <w:t>______________</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传真：</w:t>
      </w:r>
      <w:r>
        <w:rPr>
          <w:rFonts w:ascii="微软雅黑" w:hAnsi="微软雅黑" w:eastAsia="微软雅黑"/>
          <w:szCs w:val="21"/>
        </w:rPr>
        <w:t>______________</w:t>
      </w:r>
      <w:r>
        <w:rPr>
          <w:rFonts w:hint="eastAsia" w:ascii="微软雅黑" w:hAnsi="微软雅黑" w:eastAsia="微软雅黑"/>
          <w:szCs w:val="21"/>
        </w:rPr>
        <w:t>投标人代表姓名</w:t>
      </w:r>
      <w:r>
        <w:rPr>
          <w:rFonts w:ascii="微软雅黑" w:hAnsi="微软雅黑" w:eastAsia="微软雅黑"/>
          <w:szCs w:val="21"/>
        </w:rPr>
        <w:t xml:space="preserve"> ___________  </w:t>
      </w:r>
      <w:r>
        <w:rPr>
          <w:rFonts w:hint="eastAsia" w:ascii="微软雅黑" w:hAnsi="微软雅黑" w:eastAsia="微软雅黑"/>
          <w:szCs w:val="21"/>
        </w:rPr>
        <w:t>职务：</w:t>
      </w:r>
      <w:r>
        <w:rPr>
          <w:rFonts w:ascii="微软雅黑" w:hAnsi="微软雅黑" w:eastAsia="微软雅黑"/>
          <w:szCs w:val="21"/>
        </w:rPr>
        <w:t>______</w:t>
      </w:r>
      <w:r>
        <w:rPr>
          <w:rFonts w:ascii="微软雅黑" w:hAnsi="微软雅黑" w:eastAsia="微软雅黑"/>
          <w:szCs w:val="21"/>
          <w:u w:val="single"/>
        </w:rPr>
        <w:t xml:space="preserve"> </w:t>
      </w:r>
      <w:r>
        <w:rPr>
          <w:rFonts w:ascii="微软雅黑" w:hAnsi="微软雅黑" w:eastAsia="微软雅黑"/>
          <w:szCs w:val="21"/>
        </w:rPr>
        <w:t>_______</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投标人名称</w:t>
      </w:r>
      <w:r>
        <w:rPr>
          <w:rFonts w:ascii="微软雅黑" w:hAnsi="微软雅黑" w:eastAsia="微软雅黑"/>
          <w:szCs w:val="21"/>
        </w:rPr>
        <w:t>(</w:t>
      </w:r>
      <w:r>
        <w:rPr>
          <w:rFonts w:hint="eastAsia" w:ascii="微软雅黑" w:hAnsi="微软雅黑" w:eastAsia="微软雅黑"/>
          <w:szCs w:val="21"/>
        </w:rPr>
        <w:t>公章</w:t>
      </w:r>
      <w:r>
        <w:rPr>
          <w:rFonts w:ascii="微软雅黑" w:hAnsi="微软雅黑" w:eastAsia="微软雅黑"/>
          <w:szCs w:val="21"/>
        </w:rPr>
        <w:t>): _____________</w:t>
      </w:r>
      <w:r>
        <w:rPr>
          <w:rFonts w:hint="eastAsia" w:ascii="微软雅黑" w:hAnsi="微软雅黑" w:eastAsia="微软雅黑"/>
          <w:szCs w:val="21"/>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开户银行：</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银行帐号：</w:t>
      </w:r>
      <w:r>
        <w:rPr>
          <w:rFonts w:ascii="微软雅黑" w:hAnsi="微软雅黑" w:eastAsia="微软雅黑"/>
          <w:szCs w:val="21"/>
          <w:u w:val="single"/>
        </w:rPr>
        <w:t xml:space="preserve">                    </w:t>
      </w:r>
      <w:r>
        <w:rPr>
          <w:rFonts w:ascii="微软雅黑" w:hAnsi="微软雅黑" w:eastAsia="微软雅黑"/>
          <w:szCs w:val="21"/>
        </w:rPr>
        <w:t xml:space="preserve">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授权代表签字</w:t>
      </w:r>
      <w:r>
        <w:rPr>
          <w:rFonts w:ascii="微软雅黑" w:hAnsi="微软雅黑" w:eastAsia="微软雅黑"/>
          <w:szCs w:val="21"/>
        </w:rPr>
        <w:t xml:space="preserve">:___________                      </w:t>
      </w:r>
      <w:r>
        <w:rPr>
          <w:rFonts w:hint="eastAsia" w:ascii="微软雅黑" w:hAnsi="微软雅黑" w:eastAsia="微软雅黑"/>
          <w:szCs w:val="21"/>
        </w:rPr>
        <w:t>日期</w:t>
      </w:r>
      <w:r>
        <w:rPr>
          <w:rFonts w:ascii="微软雅黑" w:hAnsi="微软雅黑" w:eastAsia="微软雅黑"/>
          <w:szCs w:val="21"/>
        </w:rPr>
        <w:t>:_____</w:t>
      </w:r>
      <w:r>
        <w:rPr>
          <w:rFonts w:hint="eastAsia" w:ascii="微软雅黑" w:hAnsi="微软雅黑" w:eastAsia="微软雅黑"/>
          <w:szCs w:val="21"/>
        </w:rPr>
        <w:t>年</w:t>
      </w:r>
      <w:r>
        <w:rPr>
          <w:rFonts w:ascii="微软雅黑" w:hAnsi="微软雅黑" w:eastAsia="微软雅黑"/>
          <w:szCs w:val="21"/>
        </w:rPr>
        <w:t>___</w:t>
      </w:r>
      <w:r>
        <w:rPr>
          <w:rFonts w:hint="eastAsia" w:ascii="微软雅黑" w:hAnsi="微软雅黑" w:eastAsia="微软雅黑"/>
          <w:szCs w:val="21"/>
        </w:rPr>
        <w:t>月</w:t>
      </w:r>
      <w:r>
        <w:rPr>
          <w:rFonts w:ascii="微软雅黑" w:hAnsi="微软雅黑" w:eastAsia="微软雅黑"/>
          <w:szCs w:val="21"/>
        </w:rPr>
        <w:t>___</w:t>
      </w:r>
      <w:r>
        <w:rPr>
          <w:rFonts w:hint="eastAsia" w:ascii="微软雅黑" w:hAnsi="微软雅黑" w:eastAsia="微软雅黑"/>
          <w:szCs w:val="21"/>
        </w:rPr>
        <w:t>日</w:t>
      </w: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ascii="微软雅黑" w:hAnsi="微软雅黑" w:eastAsia="微软雅黑"/>
          <w:b/>
          <w:szCs w:val="21"/>
        </w:rPr>
        <w:sectPr>
          <w:pgSz w:w="11907" w:h="16839"/>
          <w:pgMar w:top="1440" w:right="1800" w:bottom="1440" w:left="1800" w:header="851" w:footer="992" w:gutter="0"/>
          <w:cols w:space="720" w:num="1"/>
          <w:docGrid w:type="lines" w:linePitch="312" w:charSpace="0"/>
        </w:sectPr>
      </w:pPr>
    </w:p>
    <w:p>
      <w:pPr>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报价明细表（请按投标单位自行配置设备清单提供明细报价）</w:t>
      </w: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开标一览表</w:t>
      </w:r>
    </w:p>
    <w:p>
      <w:pPr>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招标编号：</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投标人名称：</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单位：元</w:t>
      </w:r>
    </w:p>
    <w:tbl>
      <w:tblPr>
        <w:tblStyle w:val="47"/>
        <w:tblW w:w="9311"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5103"/>
        <w:gridCol w:w="709"/>
        <w:gridCol w:w="850"/>
        <w:gridCol w:w="1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标项</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名       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数量</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微软雅黑" w:hAnsi="微软雅黑" w:eastAsia="微软雅黑"/>
                <w:szCs w:val="21"/>
              </w:rPr>
            </w:pPr>
            <w:r>
              <w:rPr>
                <w:rFonts w:hint="eastAsia" w:ascii="微软雅黑" w:hAnsi="微软雅黑" w:eastAsia="微软雅黑"/>
                <w:szCs w:val="21"/>
              </w:rPr>
              <w:t>1</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line="360" w:lineRule="auto"/>
              <w:jc w:val="left"/>
              <w:rPr>
                <w:rFonts w:hint="eastAsia" w:ascii="微软雅黑" w:hAnsi="微软雅黑" w:eastAsia="微软雅黑"/>
                <w:spacing w:val="20"/>
                <w:szCs w:val="21"/>
              </w:rPr>
            </w:pPr>
            <w:r>
              <w:rPr>
                <w:rFonts w:hint="eastAsia" w:ascii="微软雅黑" w:hAnsi="微软雅黑" w:eastAsia="微软雅黑" w:cs="Arial"/>
                <w:b/>
                <w:kern w:val="0"/>
                <w:szCs w:val="21"/>
                <w:u w:val="single"/>
              </w:rPr>
              <w:t>嘉兴经济技术开发区(国际商务区)雪亮工程第十期视频监控租赁服务项目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微软雅黑" w:hAnsi="微软雅黑" w:eastAsia="微软雅黑" w:cs="宋体"/>
                <w:kern w:val="0"/>
                <w:szCs w:val="21"/>
              </w:rPr>
            </w:pPr>
            <w:r>
              <w:rPr>
                <w:rFonts w:hint="eastAsia" w:ascii="微软雅黑" w:hAnsi="微软雅黑" w:eastAsia="微软雅黑" w:cs="宋体"/>
                <w:kern w:val="0"/>
                <w:szCs w:val="21"/>
              </w:rPr>
              <w:t>1</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1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ascii="微软雅黑" w:hAnsi="微软雅黑" w:eastAsia="微软雅黑"/>
                <w:szCs w:val="21"/>
              </w:rPr>
            </w:pPr>
          </w:p>
        </w:tc>
        <w:tc>
          <w:tcPr>
            <w:tcW w:w="86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微软雅黑" w:hAnsi="微软雅黑" w:eastAsia="微软雅黑"/>
                <w:szCs w:val="21"/>
              </w:rPr>
            </w:pPr>
            <w:r>
              <w:rPr>
                <w:rFonts w:hint="eastAsia" w:ascii="微软雅黑" w:hAnsi="微软雅黑" w:eastAsia="微软雅黑"/>
                <w:spacing w:val="20"/>
                <w:szCs w:val="21"/>
              </w:rPr>
              <w:t>合计：大写：                            小写：￥</w:t>
            </w:r>
          </w:p>
        </w:tc>
      </w:tr>
    </w:tbl>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注</w:t>
      </w:r>
      <w:r>
        <w:rPr>
          <w:rFonts w:ascii="微软雅黑" w:hAnsi="微软雅黑" w:eastAsia="微软雅黑"/>
          <w:szCs w:val="21"/>
        </w:rPr>
        <w:t>: 1</w:t>
      </w:r>
      <w:r>
        <w:rPr>
          <w:rFonts w:hint="eastAsia" w:ascii="微软雅黑" w:hAnsi="微软雅黑" w:eastAsia="微软雅黑"/>
          <w:szCs w:val="21"/>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2▲以上报价不得超过上限价，任何超过上限价的报价均导致投标被否决。</w:t>
      </w: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hint="eastAsia"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法定代表人或授权代表（签字或盖章）：</w:t>
      </w:r>
      <w:r>
        <w:rPr>
          <w:rFonts w:ascii="微软雅黑" w:hAnsi="微软雅黑" w:eastAsia="微软雅黑"/>
          <w:szCs w:val="21"/>
        </w:rPr>
        <w:t xml:space="preserve"> </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投标人名称（盖章）：</w:t>
      </w:r>
      <w:r>
        <w:rPr>
          <w:rFonts w:ascii="微软雅黑" w:hAnsi="微软雅黑" w:eastAsia="微软雅黑"/>
          <w:szCs w:val="21"/>
        </w:rPr>
        <w:t xml:space="preserve">                               </w:t>
      </w:r>
    </w:p>
    <w:p>
      <w:pPr>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日期：</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pPr>
        <w:spacing w:line="360" w:lineRule="auto"/>
        <w:ind w:firstLine="420" w:firstLineChars="200"/>
        <w:jc w:val="left"/>
        <w:rPr>
          <w:rFonts w:hint="eastAsia" w:ascii="微软雅黑" w:hAnsi="微软雅黑" w:eastAsia="微软雅黑"/>
          <w:szCs w:val="21"/>
        </w:rPr>
      </w:pPr>
    </w:p>
    <w:p>
      <w:pPr>
        <w:spacing w:line="360" w:lineRule="auto"/>
        <w:ind w:firstLine="420" w:firstLineChars="200"/>
        <w:jc w:val="left"/>
        <w:rPr>
          <w:rFonts w:hint="eastAsia" w:ascii="微软雅黑" w:hAnsi="微软雅黑" w:eastAsia="微软雅黑"/>
          <w:szCs w:val="21"/>
        </w:rPr>
      </w:pPr>
    </w:p>
    <w:p>
      <w:pPr>
        <w:pStyle w:val="25"/>
        <w:snapToGrid w:val="0"/>
        <w:spacing w:line="360" w:lineRule="auto"/>
        <w:ind w:firstLine="420" w:firstLineChars="200"/>
        <w:jc w:val="left"/>
        <w:rPr>
          <w:rFonts w:hint="eastAsia" w:ascii="微软雅黑" w:hAnsi="微软雅黑" w:eastAsia="微软雅黑"/>
          <w:b/>
          <w:szCs w:val="21"/>
        </w:rPr>
      </w:pPr>
      <w:r>
        <w:rPr>
          <w:rFonts w:ascii="微软雅黑" w:hAnsi="微软雅黑" w:eastAsia="微软雅黑"/>
          <w:b/>
          <w:szCs w:val="21"/>
        </w:rPr>
        <w:br w:type="page"/>
      </w:r>
      <w:r>
        <w:rPr>
          <w:rFonts w:hint="eastAsia" w:ascii="微软雅黑" w:hAnsi="微软雅黑" w:eastAsia="微软雅黑"/>
          <w:b/>
          <w:szCs w:val="21"/>
        </w:rPr>
        <w:t>中小企业声明函</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szCs w:val="21"/>
        </w:rPr>
        <w:t xml:space="preserve">                              </w:t>
      </w:r>
      <w:r>
        <w:rPr>
          <w:rFonts w:hint="eastAsia" w:ascii="微软雅黑" w:hAnsi="微软雅黑" w:eastAsia="微软雅黑"/>
          <w:b/>
          <w:szCs w:val="21"/>
        </w:rPr>
        <w:t xml:space="preserve"> 中小企业声明函</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本公司着重声明：</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根据《政府采购促进中小企业发展暂行办法》</w:t>
      </w:r>
      <w:r>
        <w:rPr>
          <w:rFonts w:ascii="微软雅黑" w:hAnsi="微软雅黑" w:eastAsia="微软雅黑" w:cs="Arial"/>
          <w:szCs w:val="21"/>
        </w:rPr>
        <w:t>(财库[2011]181号</w:t>
      </w:r>
      <w:r>
        <w:rPr>
          <w:rFonts w:hint="eastAsia" w:ascii="微软雅黑" w:hAnsi="微软雅黑" w:eastAsia="微软雅黑" w:cs="Arial"/>
          <w:szCs w:val="21"/>
        </w:rPr>
        <w:t>的规定，本公司为</w:t>
      </w:r>
      <w:r>
        <w:rPr>
          <w:rFonts w:ascii="微软雅黑" w:hAnsi="微软雅黑" w:eastAsia="微软雅黑"/>
          <w:szCs w:val="21"/>
          <w:u w:val="single"/>
        </w:rPr>
        <w:t xml:space="preserve">    </w:t>
      </w:r>
      <w:r>
        <w:rPr>
          <w:rFonts w:hint="eastAsia" w:ascii="微软雅黑" w:hAnsi="微软雅黑" w:eastAsia="微软雅黑" w:cs="Arial"/>
          <w:szCs w:val="21"/>
        </w:rPr>
        <w:t>型（中、小、微）企业。本公司同时满足以下条件：</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（一）符合中小企业划分标准；</w:t>
      </w:r>
      <w:r>
        <w:rPr>
          <w:rFonts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（二）提供本企业制造的货物、承担的工程或者服务，或者提供其他中小企业制造的货物。本项所称货物不包括使用大型企业注册商标的货物。</w:t>
      </w:r>
      <w:r>
        <w:rPr>
          <w:rFonts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（三）本公司参加</w:t>
      </w:r>
      <w:r>
        <w:rPr>
          <w:rFonts w:hint="eastAsia" w:ascii="微软雅黑" w:hAnsi="微软雅黑" w:eastAsia="微软雅黑"/>
          <w:szCs w:val="21"/>
          <w:u w:val="single"/>
        </w:rPr>
        <w:t xml:space="preserve">                                  </w:t>
      </w:r>
      <w:r>
        <w:rPr>
          <w:rFonts w:hint="eastAsia" w:ascii="微软雅黑" w:hAnsi="微软雅黑" w:eastAsia="微软雅黑"/>
          <w:szCs w:val="21"/>
        </w:rPr>
        <w:t>项目采购活动，由本公司承担工程，提供服务。本公司对上述声明的真实性负责，如有虚假，将依法承担责任。</w:t>
      </w:r>
      <w:r>
        <w:rPr>
          <w:rFonts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w:t>
      </w:r>
    </w:p>
    <w:p>
      <w:pPr>
        <w:pStyle w:val="25"/>
        <w:snapToGrid w:val="0"/>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投标人（盖章）</w:t>
      </w:r>
    </w:p>
    <w:p>
      <w:pPr>
        <w:pStyle w:val="25"/>
        <w:snapToGrid w:val="0"/>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szCs w:val="21"/>
        </w:rPr>
        <w:t xml:space="preserve">                                      日期：  年   月   日</w:t>
      </w:r>
    </w:p>
    <w:p>
      <w:pPr>
        <w:widowControl/>
        <w:spacing w:line="360" w:lineRule="auto"/>
        <w:ind w:firstLine="420" w:firstLineChars="200"/>
        <w:jc w:val="left"/>
        <w:rPr>
          <w:rFonts w:hint="eastAsia" w:ascii="微软雅黑" w:hAnsi="微软雅黑" w:eastAsia="微软雅黑"/>
          <w:b/>
          <w:szCs w:val="21"/>
        </w:rPr>
      </w:pPr>
      <w:r>
        <w:rPr>
          <w:rFonts w:hint="eastAsia" w:ascii="微软雅黑" w:hAnsi="微软雅黑" w:eastAsia="微软雅黑"/>
          <w:b/>
          <w:szCs w:val="21"/>
        </w:rPr>
        <w:t>残疾人福利性单位声明函</w:t>
      </w:r>
    </w:p>
    <w:p>
      <w:pPr>
        <w:widowControl/>
        <w:spacing w:line="360" w:lineRule="auto"/>
        <w:ind w:firstLine="420" w:firstLineChars="200"/>
        <w:jc w:val="center"/>
        <w:rPr>
          <w:rFonts w:hint="eastAsia" w:ascii="微软雅黑" w:hAnsi="微软雅黑" w:eastAsia="微软雅黑"/>
          <w:b/>
          <w:szCs w:val="21"/>
        </w:rPr>
      </w:pPr>
      <w:r>
        <w:rPr>
          <w:rFonts w:hint="eastAsia" w:ascii="微软雅黑" w:hAnsi="微软雅黑" w:eastAsia="微软雅黑"/>
          <w:b/>
          <w:szCs w:val="21"/>
        </w:rPr>
        <w:t>残疾人福利性单位声明函</w:t>
      </w:r>
    </w:p>
    <w:p>
      <w:pPr>
        <w:widowControl/>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  本单位对上述声明的真实性负责。如有虚假，将依法承担相应责任。</w:t>
      </w:r>
    </w:p>
    <w:p>
      <w:pPr>
        <w:widowControl/>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投标人（盖章）：</w:t>
      </w:r>
    </w:p>
    <w:p>
      <w:pPr>
        <w:widowControl/>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 xml:space="preserve">                  日 期：</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AFF" w:usb1="C0007843"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E00002FF" w:usb1="6AC7FDFB" w:usb2="00000012" w:usb3="00000000" w:csb0="0002009F" w:csb1="00000000"/>
  </w:font>
  <w:font w:name="方正小标宋简体">
    <w:altName w:val="方正舒体"/>
    <w:panose1 w:val="02010601030101010101"/>
    <w:charset w:val="86"/>
    <w:family w:val="auto"/>
    <w:pitch w:val="default"/>
    <w:sig w:usb0="00000000" w:usb1="080E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right="360"/>
      <w:rPr>
        <w:rStyle w:val="52"/>
      </w:rPr>
    </w:pPr>
  </w:p>
  <w:p>
    <w:pPr>
      <w:pStyle w:val="30"/>
      <w:ind w:firstLine="7920" w:firstLineChars="4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ind w:firstLine="7920" w:firstLineChars="4400"/>
                          </w:pPr>
                          <w:r>
                            <w:fldChar w:fldCharType="begin"/>
                          </w:r>
                          <w:r>
                            <w:instrText xml:space="preserve"> PAGE   \* MERGEFORMAT </w:instrText>
                          </w:r>
                          <w:r>
                            <w:fldChar w:fldCharType="separate"/>
                          </w:r>
                          <w:r>
                            <w:rPr>
                              <w:lang w:val="zh-CN"/>
                            </w:rPr>
                            <w:t>12</w:t>
                          </w:r>
                          <w: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5O9s8sBAACcAwAADgAAAGRycy9lMm9Eb2MueG1srVPNjtMwEL4j8Q6W 79RpJFAVNV2BqkUrrQBp4QFcx2ks+U8et0lfYPcNOHHhznP1ORg7SQvLZQ9cnPHM+Jv5vpmsbwaj yVEGUM7WdLkoKJFWuEbZfU2/fb19s6IEIrcN187Kmp4k0JvN61fr3leydJ3TjQwEQSxUva9pF6Ov GAPRScNh4by0GGxdMDziNexZE3iP6Eazsijesd6FxgcnJAB6t2OQTojhJYCubZWQWycORto4ogap eURK0CkPdJO7bVsp4ue2BRmJrikyjfnEImjv0sk2a17tA/edElML/CUtPONkuLJY9AK15ZGTQ1D/ QBklggPXxoVwho1EsiLIYlk80+ah415mLig1+Ivo8P9gxafjl0BUU9OSEssNDvz8/en849f55yMp i7dZod5DhYkPHlPj8MENuDdJueQHdCbiQxtM+iIlgnHU93TRVw6RiPRoVa5WBYYExuYL4rDrcx8g fpTOkGTUNOAAs678eA9xTJ1TUjXrbpXWeYja/uVAzORh1x6TFYfdMDW+c80J+fQ4+5paXHVK9J1F adOazEaYjd1sHHxQ+w5bW+a+wL8/RGwi95YqjLBTYRxaZjctWNqKP+856/pTbX4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OTvbPLAQAAnAMAAA4AAAAAAAAAAQAgAAAAHgEAAGRycy9lMm9E b2MueG1sUEsFBgAAAAAGAAYAWQEAAFsFAAAAAA== ">
              <v:fill on="f" focussize="0,0"/>
              <v:stroke on="f"/>
              <v:imagedata o:title=""/>
              <o:lock v:ext="edit" aspectratio="f"/>
              <v:textbox inset="0mm,0mm,0mm,0mm" style="mso-fit-shape-to-text:t;">
                <w:txbxContent>
                  <w:p>
                    <w:pPr>
                      <w:pStyle w:val="30"/>
                      <w:ind w:firstLine="7920" w:firstLineChars="4400"/>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right="360"/>
      <w:rPr>
        <w:rStyle w:val="52"/>
      </w:rPr>
    </w:pPr>
  </w:p>
  <w:p>
    <w:pPr>
      <w:pStyle w:val="30"/>
      <w:ind w:firstLine="7920" w:firstLineChars="44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ind w:firstLine="7920" w:firstLineChars="4400"/>
                          </w:pPr>
                          <w:r>
                            <w:fldChar w:fldCharType="begin"/>
                          </w:r>
                          <w:r>
                            <w:instrText xml:space="preserve"> PAGE   \* MERGEFORMAT </w:instrText>
                          </w:r>
                          <w:r>
                            <w:fldChar w:fldCharType="separate"/>
                          </w:r>
                          <w:r>
                            <w:rPr>
                              <w:lang w:val="zh-CN"/>
                            </w:rPr>
                            <w:t>89</w:t>
                          </w:r>
                          <w: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ZjrmMkBAACcAwAADgAAAGRycy9lMm9Eb2MueG1srVPNjtMwEL4j8Q6W 79TZSqAqarraVbUICQHSwgO4jt1Y8p88bpO+ALwBJy7cea4+B2MnaWG57IGLM54ZfzPfN5P17WAN OcoI2ruG3iwqSqQTvtVu39Avnx9erSiBxF3LjXeyoScJ9Hbz8sW6D7Vc+s6bVkaCIA7qPjS0SynU jIHopOWw8EE6DCofLU94jXvWRt4jujVsWVVvWO9jG6IXEgC92zFIJ8T4HECvlBZy68XBSpdG1CgN T0gJOh2Abkq3SkmRPioFMhHTUGSayolF0N7lk23WvN5HHjotphb4c1p4wsly7bDoBWrLEyeHqP+B slpED16lhfCWjUSKIsjipnqizWPHgyxcUGoIF9Hh/8GKD8dPkegWN4ESxy0O/Pz92/nHr/PPr2RZ vS4K9QFqTHwMmJqGez/kbFQu+wGdmfigos1fpEQwjvqeLvrKIRGRH62Wq1WFIYGx+YI47Po8REhv pbckGw2NOMCiKz++hzSmzim5mvMP2pgyROP+ciBm9rBrj9lKw26YGt/59oR8epx9Qx2uOiXmnUNp 85rMRpyN3WwcQtT7ruxRrgfh7pCwidJbrjDCToVxaIXdtGB5K/68l6zrT7X5D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RmOuYyQEAAJwDAAAOAAAAAAAAAAEAIAAAAB4BAABkcnMvZTJvRG9j LnhtbFBLBQYAAAAABgAGAFkBAABZBQAAAAA= ">
              <v:fill on="f" focussize="0,0"/>
              <v:stroke on="f"/>
              <v:imagedata o:title=""/>
              <o:lock v:ext="edit" aspectratio="f"/>
              <v:textbox inset="0mm,0mm,0mm,0mm" style="mso-fit-shape-to-text:t;">
                <w:txbxContent>
                  <w:p>
                    <w:pPr>
                      <w:pStyle w:val="30"/>
                      <w:ind w:firstLine="7920" w:firstLineChars="4400"/>
                    </w:pPr>
                    <w:r>
                      <w:fldChar w:fldCharType="begin"/>
                    </w:r>
                    <w:r>
                      <w:instrText xml:space="preserve"> PAGE   \* MERGEFORMAT </w:instrText>
                    </w:r>
                    <w:r>
                      <w:fldChar w:fldCharType="separate"/>
                    </w:r>
                    <w:r>
                      <w:rPr>
                        <w:lang w:val="zh-CN"/>
                      </w:rP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Pr>
    </w:pPr>
    <w:r>
      <w:fldChar w:fldCharType="begin"/>
    </w:r>
    <w:r>
      <w:rPr>
        <w:rStyle w:val="52"/>
      </w:rPr>
      <w:instrText xml:space="preserve">PAGE  </w:instrText>
    </w:r>
    <w:r>
      <w:fldChar w:fldCharType="end"/>
    </w:r>
  </w:p>
  <w:p>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微软雅黑" w:hAnsi="微软雅黑" w:eastAsia="微软雅黑"/>
      </w:rPr>
    </w:pPr>
    <w:r>
      <w:rPr>
        <w:rFonts w:hint="eastAsia" w:ascii="微软雅黑" w:hAnsi="微软雅黑" w:eastAsia="微软雅黑"/>
      </w:rPr>
      <w:t>嘉兴经济技术开发区(国际商务区)雪亮工程第十期视频监控租赁服务项目·招标需求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微软雅黑" w:hAnsi="微软雅黑" w:eastAsia="微软雅黑"/>
      </w:rPr>
    </w:pPr>
    <w:r>
      <w:rPr>
        <w:rFonts w:hint="eastAsia" w:ascii="微软雅黑" w:hAnsi="微软雅黑" w:eastAsia="微软雅黑"/>
      </w:rPr>
      <w:t>嘉兴经济技术开发区(国际商务区)雪亮工程第十期视频监控租赁服务项目·招标文</w:t>
    </w:r>
    <w:r>
      <w:rPr>
        <w:rFonts w:ascii="微软雅黑" w:hAnsi="微软雅黑" w:eastAsia="微软雅黑"/>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6637C"/>
    <w:multiLevelType w:val="singleLevel"/>
    <w:tmpl w:val="4036637C"/>
    <w:lvl w:ilvl="0" w:tentative="0">
      <w:start w:val="2"/>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16"/>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1FA1A31"/>
    <w:multiLevelType w:val="multilevel"/>
    <w:tmpl w:val="51FA1A31"/>
    <w:lvl w:ilvl="0" w:tentative="0">
      <w:start w:val="1"/>
      <w:numFmt w:val="japaneseCounting"/>
      <w:pStyle w:val="1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1E3405"/>
    <w:multiLevelType w:val="multilevel"/>
    <w:tmpl w:val="551E340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95"/>
    <w:rsid w:val="00000868"/>
    <w:rsid w:val="00002FF3"/>
    <w:rsid w:val="00003C3C"/>
    <w:rsid w:val="000044F4"/>
    <w:rsid w:val="000050D6"/>
    <w:rsid w:val="00005B6A"/>
    <w:rsid w:val="0000613F"/>
    <w:rsid w:val="00006676"/>
    <w:rsid w:val="00007A59"/>
    <w:rsid w:val="00010B34"/>
    <w:rsid w:val="00010C43"/>
    <w:rsid w:val="000112E4"/>
    <w:rsid w:val="00011499"/>
    <w:rsid w:val="00011EDD"/>
    <w:rsid w:val="00014435"/>
    <w:rsid w:val="00015B12"/>
    <w:rsid w:val="00015C8C"/>
    <w:rsid w:val="00016F84"/>
    <w:rsid w:val="00017123"/>
    <w:rsid w:val="0001712E"/>
    <w:rsid w:val="0001791B"/>
    <w:rsid w:val="00020A3B"/>
    <w:rsid w:val="00023F05"/>
    <w:rsid w:val="00024B81"/>
    <w:rsid w:val="00026C81"/>
    <w:rsid w:val="0003103E"/>
    <w:rsid w:val="0003146C"/>
    <w:rsid w:val="00031953"/>
    <w:rsid w:val="00034D4D"/>
    <w:rsid w:val="00037CD8"/>
    <w:rsid w:val="0004008C"/>
    <w:rsid w:val="000401D5"/>
    <w:rsid w:val="00042977"/>
    <w:rsid w:val="00042AFD"/>
    <w:rsid w:val="00043120"/>
    <w:rsid w:val="00043142"/>
    <w:rsid w:val="000462B4"/>
    <w:rsid w:val="0004692F"/>
    <w:rsid w:val="0005070C"/>
    <w:rsid w:val="000518B8"/>
    <w:rsid w:val="00051FC1"/>
    <w:rsid w:val="00052F01"/>
    <w:rsid w:val="00055784"/>
    <w:rsid w:val="00055D20"/>
    <w:rsid w:val="00056CBF"/>
    <w:rsid w:val="00060047"/>
    <w:rsid w:val="000623FD"/>
    <w:rsid w:val="00063364"/>
    <w:rsid w:val="00064222"/>
    <w:rsid w:val="00065016"/>
    <w:rsid w:val="000651F4"/>
    <w:rsid w:val="000662AD"/>
    <w:rsid w:val="00066842"/>
    <w:rsid w:val="00066EC4"/>
    <w:rsid w:val="000709B0"/>
    <w:rsid w:val="000718A7"/>
    <w:rsid w:val="00072638"/>
    <w:rsid w:val="000736C9"/>
    <w:rsid w:val="00073C4C"/>
    <w:rsid w:val="00074E55"/>
    <w:rsid w:val="00074FC4"/>
    <w:rsid w:val="00076500"/>
    <w:rsid w:val="0007718F"/>
    <w:rsid w:val="0007759B"/>
    <w:rsid w:val="0008113B"/>
    <w:rsid w:val="00085D08"/>
    <w:rsid w:val="0008643D"/>
    <w:rsid w:val="000871CB"/>
    <w:rsid w:val="00087869"/>
    <w:rsid w:val="00087F2C"/>
    <w:rsid w:val="000901E0"/>
    <w:rsid w:val="00091F55"/>
    <w:rsid w:val="00092DE6"/>
    <w:rsid w:val="000932B2"/>
    <w:rsid w:val="00093B7D"/>
    <w:rsid w:val="00093EB5"/>
    <w:rsid w:val="000941A5"/>
    <w:rsid w:val="00096C1B"/>
    <w:rsid w:val="0009734B"/>
    <w:rsid w:val="000A0027"/>
    <w:rsid w:val="000A137F"/>
    <w:rsid w:val="000A24D3"/>
    <w:rsid w:val="000A29D9"/>
    <w:rsid w:val="000A4FF5"/>
    <w:rsid w:val="000A6697"/>
    <w:rsid w:val="000A69C1"/>
    <w:rsid w:val="000B09AE"/>
    <w:rsid w:val="000B2E80"/>
    <w:rsid w:val="000B4EDA"/>
    <w:rsid w:val="000B60F2"/>
    <w:rsid w:val="000C0619"/>
    <w:rsid w:val="000C1788"/>
    <w:rsid w:val="000C1952"/>
    <w:rsid w:val="000C34D1"/>
    <w:rsid w:val="000C3CB6"/>
    <w:rsid w:val="000C400E"/>
    <w:rsid w:val="000C4E12"/>
    <w:rsid w:val="000C52F4"/>
    <w:rsid w:val="000C743A"/>
    <w:rsid w:val="000D0A89"/>
    <w:rsid w:val="000D0CCE"/>
    <w:rsid w:val="000D1BEF"/>
    <w:rsid w:val="000D270C"/>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B07"/>
    <w:rsid w:val="000E5BED"/>
    <w:rsid w:val="000F00C6"/>
    <w:rsid w:val="000F1174"/>
    <w:rsid w:val="000F200A"/>
    <w:rsid w:val="000F2A44"/>
    <w:rsid w:val="000F2E02"/>
    <w:rsid w:val="000F41DC"/>
    <w:rsid w:val="000F79F2"/>
    <w:rsid w:val="000F7AE1"/>
    <w:rsid w:val="00102946"/>
    <w:rsid w:val="001029B5"/>
    <w:rsid w:val="00104A23"/>
    <w:rsid w:val="00104E7B"/>
    <w:rsid w:val="001056B0"/>
    <w:rsid w:val="00106CA0"/>
    <w:rsid w:val="00111AC6"/>
    <w:rsid w:val="00111C03"/>
    <w:rsid w:val="00112C9C"/>
    <w:rsid w:val="001136F2"/>
    <w:rsid w:val="0011453D"/>
    <w:rsid w:val="001157FF"/>
    <w:rsid w:val="00117042"/>
    <w:rsid w:val="0012000F"/>
    <w:rsid w:val="001204E0"/>
    <w:rsid w:val="0012571C"/>
    <w:rsid w:val="00131164"/>
    <w:rsid w:val="0013190C"/>
    <w:rsid w:val="00131EB3"/>
    <w:rsid w:val="0013300D"/>
    <w:rsid w:val="00136E52"/>
    <w:rsid w:val="001411A8"/>
    <w:rsid w:val="00150C59"/>
    <w:rsid w:val="001512EB"/>
    <w:rsid w:val="00152CF7"/>
    <w:rsid w:val="00155885"/>
    <w:rsid w:val="0015639E"/>
    <w:rsid w:val="00157136"/>
    <w:rsid w:val="001608DD"/>
    <w:rsid w:val="00160CB6"/>
    <w:rsid w:val="001663C1"/>
    <w:rsid w:val="00171130"/>
    <w:rsid w:val="001749EA"/>
    <w:rsid w:val="00175FF0"/>
    <w:rsid w:val="00180135"/>
    <w:rsid w:val="001807AC"/>
    <w:rsid w:val="00180B6C"/>
    <w:rsid w:val="00183E56"/>
    <w:rsid w:val="00185BE6"/>
    <w:rsid w:val="00186C73"/>
    <w:rsid w:val="00190A51"/>
    <w:rsid w:val="00191C4B"/>
    <w:rsid w:val="001961BA"/>
    <w:rsid w:val="001963C7"/>
    <w:rsid w:val="00196E8A"/>
    <w:rsid w:val="001A3799"/>
    <w:rsid w:val="001A385B"/>
    <w:rsid w:val="001A45C5"/>
    <w:rsid w:val="001A5907"/>
    <w:rsid w:val="001A6FF0"/>
    <w:rsid w:val="001A78E7"/>
    <w:rsid w:val="001B024B"/>
    <w:rsid w:val="001B31E0"/>
    <w:rsid w:val="001B333B"/>
    <w:rsid w:val="001B4756"/>
    <w:rsid w:val="001B4BD3"/>
    <w:rsid w:val="001B598A"/>
    <w:rsid w:val="001B6161"/>
    <w:rsid w:val="001B7633"/>
    <w:rsid w:val="001C01C4"/>
    <w:rsid w:val="001C2AE0"/>
    <w:rsid w:val="001C2C06"/>
    <w:rsid w:val="001C2E1A"/>
    <w:rsid w:val="001C2F33"/>
    <w:rsid w:val="001C585A"/>
    <w:rsid w:val="001C5F4C"/>
    <w:rsid w:val="001D15FA"/>
    <w:rsid w:val="001D3D2D"/>
    <w:rsid w:val="001D6C3A"/>
    <w:rsid w:val="001E0DAD"/>
    <w:rsid w:val="001E14EA"/>
    <w:rsid w:val="001E23F2"/>
    <w:rsid w:val="001E2F45"/>
    <w:rsid w:val="001E31F8"/>
    <w:rsid w:val="001E3FCE"/>
    <w:rsid w:val="001F020B"/>
    <w:rsid w:val="001F02A5"/>
    <w:rsid w:val="001F2692"/>
    <w:rsid w:val="001F32E4"/>
    <w:rsid w:val="001F3957"/>
    <w:rsid w:val="001F6A15"/>
    <w:rsid w:val="001F7336"/>
    <w:rsid w:val="002001BC"/>
    <w:rsid w:val="002004C0"/>
    <w:rsid w:val="00200E8E"/>
    <w:rsid w:val="002012BC"/>
    <w:rsid w:val="002033CF"/>
    <w:rsid w:val="00203D55"/>
    <w:rsid w:val="00204712"/>
    <w:rsid w:val="00204AFB"/>
    <w:rsid w:val="00205048"/>
    <w:rsid w:val="0020630C"/>
    <w:rsid w:val="00206B06"/>
    <w:rsid w:val="00211B35"/>
    <w:rsid w:val="00212194"/>
    <w:rsid w:val="00214014"/>
    <w:rsid w:val="0021426B"/>
    <w:rsid w:val="00214F3B"/>
    <w:rsid w:val="00215167"/>
    <w:rsid w:val="00215261"/>
    <w:rsid w:val="0021582A"/>
    <w:rsid w:val="00216784"/>
    <w:rsid w:val="00216AF8"/>
    <w:rsid w:val="002172A3"/>
    <w:rsid w:val="002202C1"/>
    <w:rsid w:val="002214C3"/>
    <w:rsid w:val="00221609"/>
    <w:rsid w:val="00221DE0"/>
    <w:rsid w:val="0022501A"/>
    <w:rsid w:val="00225B70"/>
    <w:rsid w:val="0022638E"/>
    <w:rsid w:val="002266AF"/>
    <w:rsid w:val="0022764B"/>
    <w:rsid w:val="002310E4"/>
    <w:rsid w:val="00231165"/>
    <w:rsid w:val="002321B2"/>
    <w:rsid w:val="00232532"/>
    <w:rsid w:val="002331D8"/>
    <w:rsid w:val="0023367C"/>
    <w:rsid w:val="0023556C"/>
    <w:rsid w:val="0023594C"/>
    <w:rsid w:val="0023766E"/>
    <w:rsid w:val="002450E8"/>
    <w:rsid w:val="00245739"/>
    <w:rsid w:val="0024712C"/>
    <w:rsid w:val="00250561"/>
    <w:rsid w:val="0025074F"/>
    <w:rsid w:val="00251D1B"/>
    <w:rsid w:val="00251DDD"/>
    <w:rsid w:val="00254D47"/>
    <w:rsid w:val="00255D0F"/>
    <w:rsid w:val="0025717D"/>
    <w:rsid w:val="00257251"/>
    <w:rsid w:val="00261255"/>
    <w:rsid w:val="0026292E"/>
    <w:rsid w:val="00266055"/>
    <w:rsid w:val="0026746C"/>
    <w:rsid w:val="002705BE"/>
    <w:rsid w:val="00270CF7"/>
    <w:rsid w:val="00270F20"/>
    <w:rsid w:val="00272EC3"/>
    <w:rsid w:val="00273015"/>
    <w:rsid w:val="0027308B"/>
    <w:rsid w:val="0027337F"/>
    <w:rsid w:val="00274258"/>
    <w:rsid w:val="0027449C"/>
    <w:rsid w:val="00274F22"/>
    <w:rsid w:val="002754FB"/>
    <w:rsid w:val="00276170"/>
    <w:rsid w:val="00276513"/>
    <w:rsid w:val="002800F9"/>
    <w:rsid w:val="0028553D"/>
    <w:rsid w:val="0028590F"/>
    <w:rsid w:val="0028632D"/>
    <w:rsid w:val="002864B8"/>
    <w:rsid w:val="0029034A"/>
    <w:rsid w:val="00290975"/>
    <w:rsid w:val="00293D33"/>
    <w:rsid w:val="0029485F"/>
    <w:rsid w:val="0029609E"/>
    <w:rsid w:val="002A0E86"/>
    <w:rsid w:val="002A5215"/>
    <w:rsid w:val="002A62CD"/>
    <w:rsid w:val="002A6348"/>
    <w:rsid w:val="002A673A"/>
    <w:rsid w:val="002B0D8A"/>
    <w:rsid w:val="002B4339"/>
    <w:rsid w:val="002B5C0A"/>
    <w:rsid w:val="002B73C5"/>
    <w:rsid w:val="002B7CC9"/>
    <w:rsid w:val="002C2BFF"/>
    <w:rsid w:val="002C2C79"/>
    <w:rsid w:val="002C2D68"/>
    <w:rsid w:val="002C30B4"/>
    <w:rsid w:val="002C3195"/>
    <w:rsid w:val="002C3490"/>
    <w:rsid w:val="002C4048"/>
    <w:rsid w:val="002C4195"/>
    <w:rsid w:val="002C49C2"/>
    <w:rsid w:val="002C4CA1"/>
    <w:rsid w:val="002C5920"/>
    <w:rsid w:val="002C60A9"/>
    <w:rsid w:val="002C7739"/>
    <w:rsid w:val="002D0334"/>
    <w:rsid w:val="002D1096"/>
    <w:rsid w:val="002D1656"/>
    <w:rsid w:val="002D30D0"/>
    <w:rsid w:val="002D3A29"/>
    <w:rsid w:val="002D3DE7"/>
    <w:rsid w:val="002D40B4"/>
    <w:rsid w:val="002D4599"/>
    <w:rsid w:val="002D501A"/>
    <w:rsid w:val="002D6ED5"/>
    <w:rsid w:val="002E0380"/>
    <w:rsid w:val="002E3DB0"/>
    <w:rsid w:val="002E4582"/>
    <w:rsid w:val="002E608E"/>
    <w:rsid w:val="002E6D2B"/>
    <w:rsid w:val="002E7AFC"/>
    <w:rsid w:val="002E7E1D"/>
    <w:rsid w:val="002F0B10"/>
    <w:rsid w:val="002F22D6"/>
    <w:rsid w:val="002F46AD"/>
    <w:rsid w:val="002F6D21"/>
    <w:rsid w:val="003034C4"/>
    <w:rsid w:val="00303B30"/>
    <w:rsid w:val="003070E6"/>
    <w:rsid w:val="00312FB3"/>
    <w:rsid w:val="003146C2"/>
    <w:rsid w:val="00314A13"/>
    <w:rsid w:val="00314F8A"/>
    <w:rsid w:val="00315A4D"/>
    <w:rsid w:val="003163D4"/>
    <w:rsid w:val="00316CBA"/>
    <w:rsid w:val="00320024"/>
    <w:rsid w:val="003235A5"/>
    <w:rsid w:val="0032517A"/>
    <w:rsid w:val="00326214"/>
    <w:rsid w:val="003262E3"/>
    <w:rsid w:val="0032659B"/>
    <w:rsid w:val="00326C39"/>
    <w:rsid w:val="00326F34"/>
    <w:rsid w:val="00327B44"/>
    <w:rsid w:val="00330637"/>
    <w:rsid w:val="00331439"/>
    <w:rsid w:val="003314C8"/>
    <w:rsid w:val="0033382F"/>
    <w:rsid w:val="003339BF"/>
    <w:rsid w:val="0033557B"/>
    <w:rsid w:val="00340753"/>
    <w:rsid w:val="00340EF0"/>
    <w:rsid w:val="00341BA6"/>
    <w:rsid w:val="0034299D"/>
    <w:rsid w:val="003446A7"/>
    <w:rsid w:val="0034565D"/>
    <w:rsid w:val="003462B2"/>
    <w:rsid w:val="003471ED"/>
    <w:rsid w:val="0035270E"/>
    <w:rsid w:val="00353D48"/>
    <w:rsid w:val="00353D4B"/>
    <w:rsid w:val="00357213"/>
    <w:rsid w:val="00360259"/>
    <w:rsid w:val="00360275"/>
    <w:rsid w:val="00361B16"/>
    <w:rsid w:val="00361F22"/>
    <w:rsid w:val="00364900"/>
    <w:rsid w:val="00367043"/>
    <w:rsid w:val="00367868"/>
    <w:rsid w:val="00367E68"/>
    <w:rsid w:val="003726C9"/>
    <w:rsid w:val="00374661"/>
    <w:rsid w:val="00374AFA"/>
    <w:rsid w:val="0037623E"/>
    <w:rsid w:val="0037688E"/>
    <w:rsid w:val="00376CC4"/>
    <w:rsid w:val="00377A30"/>
    <w:rsid w:val="00381601"/>
    <w:rsid w:val="00382D2E"/>
    <w:rsid w:val="003831B5"/>
    <w:rsid w:val="003833E2"/>
    <w:rsid w:val="003857B1"/>
    <w:rsid w:val="0038631D"/>
    <w:rsid w:val="00391146"/>
    <w:rsid w:val="0039180D"/>
    <w:rsid w:val="00393B51"/>
    <w:rsid w:val="003940A9"/>
    <w:rsid w:val="003945FE"/>
    <w:rsid w:val="00394AE3"/>
    <w:rsid w:val="00395629"/>
    <w:rsid w:val="00397632"/>
    <w:rsid w:val="00397A22"/>
    <w:rsid w:val="003A35DE"/>
    <w:rsid w:val="003A368B"/>
    <w:rsid w:val="003A3F1A"/>
    <w:rsid w:val="003A55E2"/>
    <w:rsid w:val="003A65FE"/>
    <w:rsid w:val="003B296C"/>
    <w:rsid w:val="003B6222"/>
    <w:rsid w:val="003C1488"/>
    <w:rsid w:val="003C4C6A"/>
    <w:rsid w:val="003C542B"/>
    <w:rsid w:val="003C6088"/>
    <w:rsid w:val="003C6925"/>
    <w:rsid w:val="003C6A7D"/>
    <w:rsid w:val="003C704B"/>
    <w:rsid w:val="003C7C88"/>
    <w:rsid w:val="003D1D29"/>
    <w:rsid w:val="003D1E74"/>
    <w:rsid w:val="003D38BD"/>
    <w:rsid w:val="003D3F8F"/>
    <w:rsid w:val="003D44ED"/>
    <w:rsid w:val="003D7B96"/>
    <w:rsid w:val="003E25C9"/>
    <w:rsid w:val="003E3291"/>
    <w:rsid w:val="003E4A05"/>
    <w:rsid w:val="003E62A6"/>
    <w:rsid w:val="003E6BD1"/>
    <w:rsid w:val="003F00F1"/>
    <w:rsid w:val="003F08DD"/>
    <w:rsid w:val="003F095C"/>
    <w:rsid w:val="003F32EA"/>
    <w:rsid w:val="003F3578"/>
    <w:rsid w:val="003F361B"/>
    <w:rsid w:val="003F47CC"/>
    <w:rsid w:val="00401095"/>
    <w:rsid w:val="00401627"/>
    <w:rsid w:val="00401A1A"/>
    <w:rsid w:val="00404445"/>
    <w:rsid w:val="00404C20"/>
    <w:rsid w:val="00405C98"/>
    <w:rsid w:val="00407E08"/>
    <w:rsid w:val="00407ED7"/>
    <w:rsid w:val="00410FAF"/>
    <w:rsid w:val="004114AA"/>
    <w:rsid w:val="0041237D"/>
    <w:rsid w:val="00412CD1"/>
    <w:rsid w:val="00413F4C"/>
    <w:rsid w:val="00415698"/>
    <w:rsid w:val="004156B5"/>
    <w:rsid w:val="00417BE9"/>
    <w:rsid w:val="00420F8D"/>
    <w:rsid w:val="004214B5"/>
    <w:rsid w:val="004225B5"/>
    <w:rsid w:val="00423F7F"/>
    <w:rsid w:val="004250BA"/>
    <w:rsid w:val="004256E8"/>
    <w:rsid w:val="00425B57"/>
    <w:rsid w:val="004267A0"/>
    <w:rsid w:val="00426EEF"/>
    <w:rsid w:val="00430924"/>
    <w:rsid w:val="00431C25"/>
    <w:rsid w:val="00431CF0"/>
    <w:rsid w:val="0043214E"/>
    <w:rsid w:val="00434060"/>
    <w:rsid w:val="00437762"/>
    <w:rsid w:val="00440709"/>
    <w:rsid w:val="004409B0"/>
    <w:rsid w:val="004410F2"/>
    <w:rsid w:val="0044176C"/>
    <w:rsid w:val="004426D3"/>
    <w:rsid w:val="004432C4"/>
    <w:rsid w:val="00444E81"/>
    <w:rsid w:val="004461E1"/>
    <w:rsid w:val="0044624A"/>
    <w:rsid w:val="004466ED"/>
    <w:rsid w:val="00451372"/>
    <w:rsid w:val="00451D14"/>
    <w:rsid w:val="00453177"/>
    <w:rsid w:val="0045398A"/>
    <w:rsid w:val="004548E3"/>
    <w:rsid w:val="00454CAC"/>
    <w:rsid w:val="00455983"/>
    <w:rsid w:val="00455FB6"/>
    <w:rsid w:val="00456AB9"/>
    <w:rsid w:val="00457A35"/>
    <w:rsid w:val="00463AE4"/>
    <w:rsid w:val="00466865"/>
    <w:rsid w:val="0047000B"/>
    <w:rsid w:val="00470411"/>
    <w:rsid w:val="00470989"/>
    <w:rsid w:val="00472A6B"/>
    <w:rsid w:val="004730CD"/>
    <w:rsid w:val="004753EA"/>
    <w:rsid w:val="00477067"/>
    <w:rsid w:val="0047747E"/>
    <w:rsid w:val="0047764D"/>
    <w:rsid w:val="00482362"/>
    <w:rsid w:val="00483A8C"/>
    <w:rsid w:val="00483AF6"/>
    <w:rsid w:val="004845BA"/>
    <w:rsid w:val="00487EA8"/>
    <w:rsid w:val="00491467"/>
    <w:rsid w:val="00491686"/>
    <w:rsid w:val="00492C3D"/>
    <w:rsid w:val="004935E2"/>
    <w:rsid w:val="004935F5"/>
    <w:rsid w:val="00493D52"/>
    <w:rsid w:val="00494311"/>
    <w:rsid w:val="00495508"/>
    <w:rsid w:val="00496347"/>
    <w:rsid w:val="0049757D"/>
    <w:rsid w:val="004A193D"/>
    <w:rsid w:val="004A29C6"/>
    <w:rsid w:val="004A339A"/>
    <w:rsid w:val="004A33C5"/>
    <w:rsid w:val="004A3408"/>
    <w:rsid w:val="004A3427"/>
    <w:rsid w:val="004A35EC"/>
    <w:rsid w:val="004A3D67"/>
    <w:rsid w:val="004A63AD"/>
    <w:rsid w:val="004A6CD4"/>
    <w:rsid w:val="004A763F"/>
    <w:rsid w:val="004A7686"/>
    <w:rsid w:val="004B1146"/>
    <w:rsid w:val="004B3872"/>
    <w:rsid w:val="004B5BDD"/>
    <w:rsid w:val="004B76FA"/>
    <w:rsid w:val="004C024F"/>
    <w:rsid w:val="004D0473"/>
    <w:rsid w:val="004D07AC"/>
    <w:rsid w:val="004D3047"/>
    <w:rsid w:val="004D3105"/>
    <w:rsid w:val="004D39A3"/>
    <w:rsid w:val="004D4F09"/>
    <w:rsid w:val="004D5556"/>
    <w:rsid w:val="004D688A"/>
    <w:rsid w:val="004D7812"/>
    <w:rsid w:val="004D7E27"/>
    <w:rsid w:val="004E180E"/>
    <w:rsid w:val="004E3AAC"/>
    <w:rsid w:val="004E3F53"/>
    <w:rsid w:val="004E443A"/>
    <w:rsid w:val="004E49CF"/>
    <w:rsid w:val="004E7946"/>
    <w:rsid w:val="004F054E"/>
    <w:rsid w:val="004F49C9"/>
    <w:rsid w:val="004F5EEB"/>
    <w:rsid w:val="004F6AAA"/>
    <w:rsid w:val="004F7EA8"/>
    <w:rsid w:val="00500A89"/>
    <w:rsid w:val="00501FF8"/>
    <w:rsid w:val="00504332"/>
    <w:rsid w:val="00504E3A"/>
    <w:rsid w:val="00507566"/>
    <w:rsid w:val="005101D0"/>
    <w:rsid w:val="0051205B"/>
    <w:rsid w:val="00512C76"/>
    <w:rsid w:val="00512DE6"/>
    <w:rsid w:val="00513791"/>
    <w:rsid w:val="00513EE1"/>
    <w:rsid w:val="0051455D"/>
    <w:rsid w:val="005163A0"/>
    <w:rsid w:val="005167B7"/>
    <w:rsid w:val="00520BD0"/>
    <w:rsid w:val="00521558"/>
    <w:rsid w:val="00521FA8"/>
    <w:rsid w:val="00521FF6"/>
    <w:rsid w:val="00523056"/>
    <w:rsid w:val="0052346E"/>
    <w:rsid w:val="005235A4"/>
    <w:rsid w:val="0052684A"/>
    <w:rsid w:val="00526FB9"/>
    <w:rsid w:val="005309B4"/>
    <w:rsid w:val="005312BB"/>
    <w:rsid w:val="00532778"/>
    <w:rsid w:val="00532B2C"/>
    <w:rsid w:val="00533812"/>
    <w:rsid w:val="00535AFE"/>
    <w:rsid w:val="00535F25"/>
    <w:rsid w:val="00536684"/>
    <w:rsid w:val="00536B9E"/>
    <w:rsid w:val="00536EDE"/>
    <w:rsid w:val="00536FC0"/>
    <w:rsid w:val="00537646"/>
    <w:rsid w:val="005432E2"/>
    <w:rsid w:val="00545D29"/>
    <w:rsid w:val="0054671E"/>
    <w:rsid w:val="00546ADF"/>
    <w:rsid w:val="00547404"/>
    <w:rsid w:val="005474F2"/>
    <w:rsid w:val="00551A9F"/>
    <w:rsid w:val="00551FAE"/>
    <w:rsid w:val="005520FF"/>
    <w:rsid w:val="00553EF5"/>
    <w:rsid w:val="005577EC"/>
    <w:rsid w:val="005579A1"/>
    <w:rsid w:val="005608EF"/>
    <w:rsid w:val="00562FE2"/>
    <w:rsid w:val="00563D15"/>
    <w:rsid w:val="00564533"/>
    <w:rsid w:val="00566FF8"/>
    <w:rsid w:val="0056771B"/>
    <w:rsid w:val="00567FD0"/>
    <w:rsid w:val="005719F3"/>
    <w:rsid w:val="00571C2F"/>
    <w:rsid w:val="00572072"/>
    <w:rsid w:val="00572649"/>
    <w:rsid w:val="00576E0E"/>
    <w:rsid w:val="005774DA"/>
    <w:rsid w:val="00580329"/>
    <w:rsid w:val="00583887"/>
    <w:rsid w:val="00583E2C"/>
    <w:rsid w:val="005844A7"/>
    <w:rsid w:val="00584C25"/>
    <w:rsid w:val="0058575C"/>
    <w:rsid w:val="00585FD8"/>
    <w:rsid w:val="0059061B"/>
    <w:rsid w:val="005907E4"/>
    <w:rsid w:val="00591922"/>
    <w:rsid w:val="005955B8"/>
    <w:rsid w:val="00595BD6"/>
    <w:rsid w:val="005969CE"/>
    <w:rsid w:val="00596EB2"/>
    <w:rsid w:val="00597102"/>
    <w:rsid w:val="00597843"/>
    <w:rsid w:val="005979E9"/>
    <w:rsid w:val="00597A7A"/>
    <w:rsid w:val="005A102D"/>
    <w:rsid w:val="005A422B"/>
    <w:rsid w:val="005A4EA4"/>
    <w:rsid w:val="005A76B0"/>
    <w:rsid w:val="005B067A"/>
    <w:rsid w:val="005B26C5"/>
    <w:rsid w:val="005B6616"/>
    <w:rsid w:val="005B67AE"/>
    <w:rsid w:val="005B7C00"/>
    <w:rsid w:val="005B7F47"/>
    <w:rsid w:val="005C020F"/>
    <w:rsid w:val="005C0785"/>
    <w:rsid w:val="005C0E52"/>
    <w:rsid w:val="005C1C87"/>
    <w:rsid w:val="005C25DD"/>
    <w:rsid w:val="005C34B9"/>
    <w:rsid w:val="005C3A36"/>
    <w:rsid w:val="005C6DB7"/>
    <w:rsid w:val="005C75FA"/>
    <w:rsid w:val="005D2086"/>
    <w:rsid w:val="005D2A4D"/>
    <w:rsid w:val="005D2A91"/>
    <w:rsid w:val="005D3740"/>
    <w:rsid w:val="005D46E1"/>
    <w:rsid w:val="005D4DE6"/>
    <w:rsid w:val="005D547F"/>
    <w:rsid w:val="005D5F44"/>
    <w:rsid w:val="005D6F33"/>
    <w:rsid w:val="005E250B"/>
    <w:rsid w:val="005E30E2"/>
    <w:rsid w:val="005E60BB"/>
    <w:rsid w:val="005E7161"/>
    <w:rsid w:val="005F05EE"/>
    <w:rsid w:val="005F22D0"/>
    <w:rsid w:val="005F27D0"/>
    <w:rsid w:val="005F3F1A"/>
    <w:rsid w:val="005F51B4"/>
    <w:rsid w:val="005F5253"/>
    <w:rsid w:val="005F55D0"/>
    <w:rsid w:val="005F5636"/>
    <w:rsid w:val="005F6215"/>
    <w:rsid w:val="005F6F6C"/>
    <w:rsid w:val="005F7B25"/>
    <w:rsid w:val="006003FA"/>
    <w:rsid w:val="00600451"/>
    <w:rsid w:val="006016E9"/>
    <w:rsid w:val="006061EE"/>
    <w:rsid w:val="00610BBA"/>
    <w:rsid w:val="006122BB"/>
    <w:rsid w:val="0061389F"/>
    <w:rsid w:val="00613CE4"/>
    <w:rsid w:val="00616792"/>
    <w:rsid w:val="00617CB5"/>
    <w:rsid w:val="00617E39"/>
    <w:rsid w:val="006212FF"/>
    <w:rsid w:val="006216C7"/>
    <w:rsid w:val="006239D2"/>
    <w:rsid w:val="0062434B"/>
    <w:rsid w:val="00625664"/>
    <w:rsid w:val="00626086"/>
    <w:rsid w:val="00627BB3"/>
    <w:rsid w:val="00631638"/>
    <w:rsid w:val="0063192E"/>
    <w:rsid w:val="006343E9"/>
    <w:rsid w:val="0063463C"/>
    <w:rsid w:val="006361F8"/>
    <w:rsid w:val="00636968"/>
    <w:rsid w:val="00636BB2"/>
    <w:rsid w:val="00637470"/>
    <w:rsid w:val="006374F5"/>
    <w:rsid w:val="00640596"/>
    <w:rsid w:val="00640D1D"/>
    <w:rsid w:val="00643083"/>
    <w:rsid w:val="0064553A"/>
    <w:rsid w:val="00647897"/>
    <w:rsid w:val="0065028A"/>
    <w:rsid w:val="00650D71"/>
    <w:rsid w:val="00650E2E"/>
    <w:rsid w:val="00652459"/>
    <w:rsid w:val="006526B4"/>
    <w:rsid w:val="00660207"/>
    <w:rsid w:val="0066034E"/>
    <w:rsid w:val="00660B7E"/>
    <w:rsid w:val="00661A0B"/>
    <w:rsid w:val="00662379"/>
    <w:rsid w:val="006625F1"/>
    <w:rsid w:val="006626E8"/>
    <w:rsid w:val="00662D47"/>
    <w:rsid w:val="00663202"/>
    <w:rsid w:val="0066420F"/>
    <w:rsid w:val="00665C33"/>
    <w:rsid w:val="00665EA4"/>
    <w:rsid w:val="006674FA"/>
    <w:rsid w:val="00670985"/>
    <w:rsid w:val="00670FB1"/>
    <w:rsid w:val="00672FAE"/>
    <w:rsid w:val="0067304C"/>
    <w:rsid w:val="006731F3"/>
    <w:rsid w:val="0067332C"/>
    <w:rsid w:val="006733E5"/>
    <w:rsid w:val="00673758"/>
    <w:rsid w:val="006756B6"/>
    <w:rsid w:val="00676B76"/>
    <w:rsid w:val="00680D84"/>
    <w:rsid w:val="00683635"/>
    <w:rsid w:val="0068600C"/>
    <w:rsid w:val="006867FE"/>
    <w:rsid w:val="00686DEF"/>
    <w:rsid w:val="0069003B"/>
    <w:rsid w:val="00690265"/>
    <w:rsid w:val="00693761"/>
    <w:rsid w:val="00695242"/>
    <w:rsid w:val="00696549"/>
    <w:rsid w:val="0069692F"/>
    <w:rsid w:val="0069719C"/>
    <w:rsid w:val="006A0193"/>
    <w:rsid w:val="006A0516"/>
    <w:rsid w:val="006A09E2"/>
    <w:rsid w:val="006A20B4"/>
    <w:rsid w:val="006A2CF4"/>
    <w:rsid w:val="006A506E"/>
    <w:rsid w:val="006B2869"/>
    <w:rsid w:val="006B3051"/>
    <w:rsid w:val="006B429A"/>
    <w:rsid w:val="006B526A"/>
    <w:rsid w:val="006C029A"/>
    <w:rsid w:val="006C0ED1"/>
    <w:rsid w:val="006C119A"/>
    <w:rsid w:val="006C2E01"/>
    <w:rsid w:val="006C3040"/>
    <w:rsid w:val="006C4CD4"/>
    <w:rsid w:val="006C51AB"/>
    <w:rsid w:val="006C655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C08"/>
    <w:rsid w:val="006E46D1"/>
    <w:rsid w:val="006E4C23"/>
    <w:rsid w:val="006F1882"/>
    <w:rsid w:val="006F271C"/>
    <w:rsid w:val="006F4BE4"/>
    <w:rsid w:val="006F5954"/>
    <w:rsid w:val="00700127"/>
    <w:rsid w:val="007003DE"/>
    <w:rsid w:val="007035AF"/>
    <w:rsid w:val="007047D4"/>
    <w:rsid w:val="00704DB1"/>
    <w:rsid w:val="00711632"/>
    <w:rsid w:val="007116D7"/>
    <w:rsid w:val="007122C6"/>
    <w:rsid w:val="00712E9E"/>
    <w:rsid w:val="00714040"/>
    <w:rsid w:val="00714D00"/>
    <w:rsid w:val="0071596C"/>
    <w:rsid w:val="00721233"/>
    <w:rsid w:val="0072159D"/>
    <w:rsid w:val="007224ED"/>
    <w:rsid w:val="007227A5"/>
    <w:rsid w:val="007267BA"/>
    <w:rsid w:val="00726FB9"/>
    <w:rsid w:val="00727D8A"/>
    <w:rsid w:val="00731A35"/>
    <w:rsid w:val="007325C3"/>
    <w:rsid w:val="0073287D"/>
    <w:rsid w:val="00732BBD"/>
    <w:rsid w:val="00733274"/>
    <w:rsid w:val="00734C56"/>
    <w:rsid w:val="00734F91"/>
    <w:rsid w:val="007354DB"/>
    <w:rsid w:val="007355FD"/>
    <w:rsid w:val="007365F1"/>
    <w:rsid w:val="0073703D"/>
    <w:rsid w:val="00737E26"/>
    <w:rsid w:val="00740E34"/>
    <w:rsid w:val="0074472E"/>
    <w:rsid w:val="0075085C"/>
    <w:rsid w:val="007556A3"/>
    <w:rsid w:val="00755EDC"/>
    <w:rsid w:val="0075681F"/>
    <w:rsid w:val="007602DE"/>
    <w:rsid w:val="00760AE5"/>
    <w:rsid w:val="0076277F"/>
    <w:rsid w:val="00765390"/>
    <w:rsid w:val="0076602C"/>
    <w:rsid w:val="007674A5"/>
    <w:rsid w:val="007677DB"/>
    <w:rsid w:val="00771333"/>
    <w:rsid w:val="0077177C"/>
    <w:rsid w:val="00773806"/>
    <w:rsid w:val="007776CA"/>
    <w:rsid w:val="0078038B"/>
    <w:rsid w:val="00782FEF"/>
    <w:rsid w:val="00783049"/>
    <w:rsid w:val="007831A0"/>
    <w:rsid w:val="00783A8A"/>
    <w:rsid w:val="0078417B"/>
    <w:rsid w:val="00786222"/>
    <w:rsid w:val="00786753"/>
    <w:rsid w:val="00787045"/>
    <w:rsid w:val="0079078D"/>
    <w:rsid w:val="00790F1A"/>
    <w:rsid w:val="00791058"/>
    <w:rsid w:val="007918EB"/>
    <w:rsid w:val="00792D5E"/>
    <w:rsid w:val="00793CD6"/>
    <w:rsid w:val="007A0048"/>
    <w:rsid w:val="007A1211"/>
    <w:rsid w:val="007A166C"/>
    <w:rsid w:val="007A29E6"/>
    <w:rsid w:val="007A39FD"/>
    <w:rsid w:val="007A523F"/>
    <w:rsid w:val="007A68F9"/>
    <w:rsid w:val="007A6FB4"/>
    <w:rsid w:val="007A7604"/>
    <w:rsid w:val="007B125D"/>
    <w:rsid w:val="007B158D"/>
    <w:rsid w:val="007B2033"/>
    <w:rsid w:val="007B2975"/>
    <w:rsid w:val="007B33D2"/>
    <w:rsid w:val="007B3A1C"/>
    <w:rsid w:val="007B4571"/>
    <w:rsid w:val="007B4DC3"/>
    <w:rsid w:val="007B5F6E"/>
    <w:rsid w:val="007B6DE8"/>
    <w:rsid w:val="007C2BCC"/>
    <w:rsid w:val="007C3D13"/>
    <w:rsid w:val="007D04E8"/>
    <w:rsid w:val="007D0D1C"/>
    <w:rsid w:val="007D17C7"/>
    <w:rsid w:val="007D1DD1"/>
    <w:rsid w:val="007D51DD"/>
    <w:rsid w:val="007D6377"/>
    <w:rsid w:val="007D69E1"/>
    <w:rsid w:val="007D72DD"/>
    <w:rsid w:val="007D799A"/>
    <w:rsid w:val="007E1BEB"/>
    <w:rsid w:val="007E59D4"/>
    <w:rsid w:val="007E6EAB"/>
    <w:rsid w:val="007E7296"/>
    <w:rsid w:val="007F12CD"/>
    <w:rsid w:val="007F1C24"/>
    <w:rsid w:val="007F3C74"/>
    <w:rsid w:val="007F49DD"/>
    <w:rsid w:val="007F707D"/>
    <w:rsid w:val="007F757C"/>
    <w:rsid w:val="007F75BA"/>
    <w:rsid w:val="00801661"/>
    <w:rsid w:val="0080173B"/>
    <w:rsid w:val="00803D5B"/>
    <w:rsid w:val="00805DB5"/>
    <w:rsid w:val="008062BD"/>
    <w:rsid w:val="00807935"/>
    <w:rsid w:val="00807F93"/>
    <w:rsid w:val="008108E2"/>
    <w:rsid w:val="00810B53"/>
    <w:rsid w:val="00812DA6"/>
    <w:rsid w:val="00814678"/>
    <w:rsid w:val="0081505A"/>
    <w:rsid w:val="00815B82"/>
    <w:rsid w:val="008233B0"/>
    <w:rsid w:val="00826EDE"/>
    <w:rsid w:val="00826F90"/>
    <w:rsid w:val="00832A0B"/>
    <w:rsid w:val="0083477D"/>
    <w:rsid w:val="008400FE"/>
    <w:rsid w:val="0084161D"/>
    <w:rsid w:val="0084223A"/>
    <w:rsid w:val="00844133"/>
    <w:rsid w:val="0085149F"/>
    <w:rsid w:val="00852726"/>
    <w:rsid w:val="008529C4"/>
    <w:rsid w:val="00852AD5"/>
    <w:rsid w:val="00852D3F"/>
    <w:rsid w:val="00853144"/>
    <w:rsid w:val="00857444"/>
    <w:rsid w:val="00861FE8"/>
    <w:rsid w:val="00862183"/>
    <w:rsid w:val="00863C21"/>
    <w:rsid w:val="00863EA8"/>
    <w:rsid w:val="00864368"/>
    <w:rsid w:val="00865389"/>
    <w:rsid w:val="00865BD0"/>
    <w:rsid w:val="008660BF"/>
    <w:rsid w:val="0086763B"/>
    <w:rsid w:val="00867695"/>
    <w:rsid w:val="00867DB1"/>
    <w:rsid w:val="0087228F"/>
    <w:rsid w:val="0087768F"/>
    <w:rsid w:val="0088024B"/>
    <w:rsid w:val="008802C1"/>
    <w:rsid w:val="00883807"/>
    <w:rsid w:val="00885F21"/>
    <w:rsid w:val="00886208"/>
    <w:rsid w:val="008874B0"/>
    <w:rsid w:val="008879CF"/>
    <w:rsid w:val="0089028E"/>
    <w:rsid w:val="00890A34"/>
    <w:rsid w:val="008911FC"/>
    <w:rsid w:val="00891708"/>
    <w:rsid w:val="00892213"/>
    <w:rsid w:val="0089268E"/>
    <w:rsid w:val="008934C7"/>
    <w:rsid w:val="0089600B"/>
    <w:rsid w:val="008A13C0"/>
    <w:rsid w:val="008A1501"/>
    <w:rsid w:val="008A2D62"/>
    <w:rsid w:val="008A3834"/>
    <w:rsid w:val="008A3F5A"/>
    <w:rsid w:val="008A7414"/>
    <w:rsid w:val="008B1F00"/>
    <w:rsid w:val="008B2239"/>
    <w:rsid w:val="008B2446"/>
    <w:rsid w:val="008B333D"/>
    <w:rsid w:val="008B47ED"/>
    <w:rsid w:val="008B6EDB"/>
    <w:rsid w:val="008C1B09"/>
    <w:rsid w:val="008C2E7B"/>
    <w:rsid w:val="008C3389"/>
    <w:rsid w:val="008C35F5"/>
    <w:rsid w:val="008C3B3E"/>
    <w:rsid w:val="008C462C"/>
    <w:rsid w:val="008C4831"/>
    <w:rsid w:val="008C5778"/>
    <w:rsid w:val="008D3C76"/>
    <w:rsid w:val="008D40FE"/>
    <w:rsid w:val="008D44A6"/>
    <w:rsid w:val="008D5502"/>
    <w:rsid w:val="008D6AE9"/>
    <w:rsid w:val="008D792D"/>
    <w:rsid w:val="008E13D5"/>
    <w:rsid w:val="008E3C9E"/>
    <w:rsid w:val="008E440F"/>
    <w:rsid w:val="008E459D"/>
    <w:rsid w:val="008E7754"/>
    <w:rsid w:val="008F019A"/>
    <w:rsid w:val="008F3F27"/>
    <w:rsid w:val="008F425C"/>
    <w:rsid w:val="008F5D87"/>
    <w:rsid w:val="008F6541"/>
    <w:rsid w:val="008F669A"/>
    <w:rsid w:val="008F6AFA"/>
    <w:rsid w:val="008F7C92"/>
    <w:rsid w:val="008F7D1A"/>
    <w:rsid w:val="009002CF"/>
    <w:rsid w:val="00902097"/>
    <w:rsid w:val="00903445"/>
    <w:rsid w:val="009035A2"/>
    <w:rsid w:val="00903CAD"/>
    <w:rsid w:val="009063E7"/>
    <w:rsid w:val="00907B36"/>
    <w:rsid w:val="00911E6D"/>
    <w:rsid w:val="00913AFB"/>
    <w:rsid w:val="009172A2"/>
    <w:rsid w:val="00917857"/>
    <w:rsid w:val="00917F98"/>
    <w:rsid w:val="009232BB"/>
    <w:rsid w:val="00923DFD"/>
    <w:rsid w:val="00924527"/>
    <w:rsid w:val="00924F37"/>
    <w:rsid w:val="0092562D"/>
    <w:rsid w:val="00926352"/>
    <w:rsid w:val="00931AE8"/>
    <w:rsid w:val="00933D0C"/>
    <w:rsid w:val="00934086"/>
    <w:rsid w:val="009356E6"/>
    <w:rsid w:val="00937C7C"/>
    <w:rsid w:val="0094096B"/>
    <w:rsid w:val="00942355"/>
    <w:rsid w:val="00943B3E"/>
    <w:rsid w:val="00944743"/>
    <w:rsid w:val="00944E03"/>
    <w:rsid w:val="009455C7"/>
    <w:rsid w:val="00945A5A"/>
    <w:rsid w:val="00945D37"/>
    <w:rsid w:val="0095401B"/>
    <w:rsid w:val="009546FA"/>
    <w:rsid w:val="00954CC7"/>
    <w:rsid w:val="009550FB"/>
    <w:rsid w:val="00960F09"/>
    <w:rsid w:val="00961025"/>
    <w:rsid w:val="00963E8A"/>
    <w:rsid w:val="0096523F"/>
    <w:rsid w:val="0096577B"/>
    <w:rsid w:val="0096772B"/>
    <w:rsid w:val="009707D3"/>
    <w:rsid w:val="00971C84"/>
    <w:rsid w:val="0097581E"/>
    <w:rsid w:val="00977B42"/>
    <w:rsid w:val="009805B6"/>
    <w:rsid w:val="009812FB"/>
    <w:rsid w:val="00982CA1"/>
    <w:rsid w:val="00983BD8"/>
    <w:rsid w:val="009851CF"/>
    <w:rsid w:val="00987241"/>
    <w:rsid w:val="00987B72"/>
    <w:rsid w:val="00990ACE"/>
    <w:rsid w:val="00991C50"/>
    <w:rsid w:val="009953DA"/>
    <w:rsid w:val="009A01A1"/>
    <w:rsid w:val="009A05B4"/>
    <w:rsid w:val="009A1026"/>
    <w:rsid w:val="009A26DA"/>
    <w:rsid w:val="009A3D54"/>
    <w:rsid w:val="009A5858"/>
    <w:rsid w:val="009A5B9F"/>
    <w:rsid w:val="009A63DE"/>
    <w:rsid w:val="009B1D19"/>
    <w:rsid w:val="009B2B19"/>
    <w:rsid w:val="009B65FF"/>
    <w:rsid w:val="009C1A76"/>
    <w:rsid w:val="009C2218"/>
    <w:rsid w:val="009C317F"/>
    <w:rsid w:val="009C76CB"/>
    <w:rsid w:val="009D0F9C"/>
    <w:rsid w:val="009D15FF"/>
    <w:rsid w:val="009D2C63"/>
    <w:rsid w:val="009D3830"/>
    <w:rsid w:val="009D39F5"/>
    <w:rsid w:val="009D3AEF"/>
    <w:rsid w:val="009D454F"/>
    <w:rsid w:val="009D47FF"/>
    <w:rsid w:val="009E0A7A"/>
    <w:rsid w:val="009E24CB"/>
    <w:rsid w:val="009E6421"/>
    <w:rsid w:val="009E6815"/>
    <w:rsid w:val="009E7148"/>
    <w:rsid w:val="009E7514"/>
    <w:rsid w:val="009F168F"/>
    <w:rsid w:val="009F19C3"/>
    <w:rsid w:val="009F2DC9"/>
    <w:rsid w:val="009F4180"/>
    <w:rsid w:val="009F5B28"/>
    <w:rsid w:val="009F6DBF"/>
    <w:rsid w:val="009F757B"/>
    <w:rsid w:val="009F7948"/>
    <w:rsid w:val="00A01DFD"/>
    <w:rsid w:val="00A022AC"/>
    <w:rsid w:val="00A0423C"/>
    <w:rsid w:val="00A067B2"/>
    <w:rsid w:val="00A06AC4"/>
    <w:rsid w:val="00A0776D"/>
    <w:rsid w:val="00A07E6E"/>
    <w:rsid w:val="00A110CB"/>
    <w:rsid w:val="00A1297B"/>
    <w:rsid w:val="00A1304B"/>
    <w:rsid w:val="00A135C1"/>
    <w:rsid w:val="00A139BE"/>
    <w:rsid w:val="00A13EE0"/>
    <w:rsid w:val="00A140FC"/>
    <w:rsid w:val="00A14D57"/>
    <w:rsid w:val="00A17DAF"/>
    <w:rsid w:val="00A206E5"/>
    <w:rsid w:val="00A20D42"/>
    <w:rsid w:val="00A20E15"/>
    <w:rsid w:val="00A22EDD"/>
    <w:rsid w:val="00A23CD6"/>
    <w:rsid w:val="00A27898"/>
    <w:rsid w:val="00A34B44"/>
    <w:rsid w:val="00A35282"/>
    <w:rsid w:val="00A40F71"/>
    <w:rsid w:val="00A41E16"/>
    <w:rsid w:val="00A43832"/>
    <w:rsid w:val="00A43DC1"/>
    <w:rsid w:val="00A4581F"/>
    <w:rsid w:val="00A4595F"/>
    <w:rsid w:val="00A50701"/>
    <w:rsid w:val="00A50AE8"/>
    <w:rsid w:val="00A50FD4"/>
    <w:rsid w:val="00A5175B"/>
    <w:rsid w:val="00A522E7"/>
    <w:rsid w:val="00A53356"/>
    <w:rsid w:val="00A540FA"/>
    <w:rsid w:val="00A553B3"/>
    <w:rsid w:val="00A5586F"/>
    <w:rsid w:val="00A560B4"/>
    <w:rsid w:val="00A5672A"/>
    <w:rsid w:val="00A60679"/>
    <w:rsid w:val="00A62591"/>
    <w:rsid w:val="00A6391F"/>
    <w:rsid w:val="00A67BF2"/>
    <w:rsid w:val="00A67DE3"/>
    <w:rsid w:val="00A700DC"/>
    <w:rsid w:val="00A70891"/>
    <w:rsid w:val="00A72211"/>
    <w:rsid w:val="00A73EE2"/>
    <w:rsid w:val="00A740FB"/>
    <w:rsid w:val="00A74173"/>
    <w:rsid w:val="00A746A3"/>
    <w:rsid w:val="00A74B20"/>
    <w:rsid w:val="00A74D3D"/>
    <w:rsid w:val="00A74F9C"/>
    <w:rsid w:val="00A80F72"/>
    <w:rsid w:val="00A81798"/>
    <w:rsid w:val="00A83A12"/>
    <w:rsid w:val="00A83F83"/>
    <w:rsid w:val="00A84669"/>
    <w:rsid w:val="00A850BE"/>
    <w:rsid w:val="00A856C5"/>
    <w:rsid w:val="00A863DD"/>
    <w:rsid w:val="00A9096F"/>
    <w:rsid w:val="00A90B18"/>
    <w:rsid w:val="00A921F2"/>
    <w:rsid w:val="00A947D5"/>
    <w:rsid w:val="00A96260"/>
    <w:rsid w:val="00A96EE8"/>
    <w:rsid w:val="00AA37B0"/>
    <w:rsid w:val="00AA3F9B"/>
    <w:rsid w:val="00AA42C7"/>
    <w:rsid w:val="00AA5C83"/>
    <w:rsid w:val="00AA66B6"/>
    <w:rsid w:val="00AA6A0B"/>
    <w:rsid w:val="00AA7670"/>
    <w:rsid w:val="00AC0D28"/>
    <w:rsid w:val="00AC1327"/>
    <w:rsid w:val="00AC1A60"/>
    <w:rsid w:val="00AC424A"/>
    <w:rsid w:val="00AC5810"/>
    <w:rsid w:val="00AC695E"/>
    <w:rsid w:val="00AD0933"/>
    <w:rsid w:val="00AD210E"/>
    <w:rsid w:val="00AD2370"/>
    <w:rsid w:val="00AD28B6"/>
    <w:rsid w:val="00AD441C"/>
    <w:rsid w:val="00AD4FDE"/>
    <w:rsid w:val="00AD694B"/>
    <w:rsid w:val="00AE2548"/>
    <w:rsid w:val="00AE3B00"/>
    <w:rsid w:val="00AE42D3"/>
    <w:rsid w:val="00AE5870"/>
    <w:rsid w:val="00AE630A"/>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7171"/>
    <w:rsid w:val="00B07739"/>
    <w:rsid w:val="00B07C8A"/>
    <w:rsid w:val="00B10013"/>
    <w:rsid w:val="00B10E1E"/>
    <w:rsid w:val="00B11E3E"/>
    <w:rsid w:val="00B11F0D"/>
    <w:rsid w:val="00B11FF9"/>
    <w:rsid w:val="00B1217E"/>
    <w:rsid w:val="00B12333"/>
    <w:rsid w:val="00B13A91"/>
    <w:rsid w:val="00B1419C"/>
    <w:rsid w:val="00B1687F"/>
    <w:rsid w:val="00B20276"/>
    <w:rsid w:val="00B20963"/>
    <w:rsid w:val="00B24110"/>
    <w:rsid w:val="00B2434A"/>
    <w:rsid w:val="00B24C1A"/>
    <w:rsid w:val="00B2508D"/>
    <w:rsid w:val="00B258C4"/>
    <w:rsid w:val="00B30AD4"/>
    <w:rsid w:val="00B30FF4"/>
    <w:rsid w:val="00B31AF4"/>
    <w:rsid w:val="00B31EC3"/>
    <w:rsid w:val="00B3265D"/>
    <w:rsid w:val="00B33198"/>
    <w:rsid w:val="00B333F3"/>
    <w:rsid w:val="00B354FD"/>
    <w:rsid w:val="00B400C5"/>
    <w:rsid w:val="00B4010B"/>
    <w:rsid w:val="00B41CCB"/>
    <w:rsid w:val="00B43B34"/>
    <w:rsid w:val="00B450DE"/>
    <w:rsid w:val="00B46B89"/>
    <w:rsid w:val="00B50697"/>
    <w:rsid w:val="00B51BFB"/>
    <w:rsid w:val="00B531F8"/>
    <w:rsid w:val="00B54B48"/>
    <w:rsid w:val="00B56E20"/>
    <w:rsid w:val="00B57BD7"/>
    <w:rsid w:val="00B61D63"/>
    <w:rsid w:val="00B63CA4"/>
    <w:rsid w:val="00B644CE"/>
    <w:rsid w:val="00B6478F"/>
    <w:rsid w:val="00B64E75"/>
    <w:rsid w:val="00B66126"/>
    <w:rsid w:val="00B705B5"/>
    <w:rsid w:val="00B70C75"/>
    <w:rsid w:val="00B717DC"/>
    <w:rsid w:val="00B720E3"/>
    <w:rsid w:val="00B727EA"/>
    <w:rsid w:val="00B73403"/>
    <w:rsid w:val="00B739A7"/>
    <w:rsid w:val="00B73E0B"/>
    <w:rsid w:val="00B77287"/>
    <w:rsid w:val="00B833F4"/>
    <w:rsid w:val="00B8363B"/>
    <w:rsid w:val="00B85EF8"/>
    <w:rsid w:val="00B8668D"/>
    <w:rsid w:val="00B86D63"/>
    <w:rsid w:val="00B877E8"/>
    <w:rsid w:val="00B902DB"/>
    <w:rsid w:val="00B90445"/>
    <w:rsid w:val="00B90CE7"/>
    <w:rsid w:val="00B951D3"/>
    <w:rsid w:val="00B95A0E"/>
    <w:rsid w:val="00B96AD3"/>
    <w:rsid w:val="00B97F02"/>
    <w:rsid w:val="00BA252C"/>
    <w:rsid w:val="00BA36F9"/>
    <w:rsid w:val="00BA45F4"/>
    <w:rsid w:val="00BA4DE2"/>
    <w:rsid w:val="00BB27C8"/>
    <w:rsid w:val="00BB3868"/>
    <w:rsid w:val="00BB449E"/>
    <w:rsid w:val="00BB5419"/>
    <w:rsid w:val="00BB578C"/>
    <w:rsid w:val="00BB6398"/>
    <w:rsid w:val="00BB72E5"/>
    <w:rsid w:val="00BB77C6"/>
    <w:rsid w:val="00BB7AA9"/>
    <w:rsid w:val="00BB7CD1"/>
    <w:rsid w:val="00BC206C"/>
    <w:rsid w:val="00BC2C8E"/>
    <w:rsid w:val="00BC4506"/>
    <w:rsid w:val="00BC4F53"/>
    <w:rsid w:val="00BC6B41"/>
    <w:rsid w:val="00BC7726"/>
    <w:rsid w:val="00BC784D"/>
    <w:rsid w:val="00BD00F3"/>
    <w:rsid w:val="00BD049D"/>
    <w:rsid w:val="00BD04F0"/>
    <w:rsid w:val="00BD11D3"/>
    <w:rsid w:val="00BD2170"/>
    <w:rsid w:val="00BD25B3"/>
    <w:rsid w:val="00BD3BC3"/>
    <w:rsid w:val="00BD4C0D"/>
    <w:rsid w:val="00BD6483"/>
    <w:rsid w:val="00BE405F"/>
    <w:rsid w:val="00BE4129"/>
    <w:rsid w:val="00BE44E8"/>
    <w:rsid w:val="00BE471E"/>
    <w:rsid w:val="00BE5F2B"/>
    <w:rsid w:val="00BE66CD"/>
    <w:rsid w:val="00BE76E2"/>
    <w:rsid w:val="00BF2121"/>
    <w:rsid w:val="00BF3222"/>
    <w:rsid w:val="00BF60AE"/>
    <w:rsid w:val="00BF6DA5"/>
    <w:rsid w:val="00BF6E09"/>
    <w:rsid w:val="00C03817"/>
    <w:rsid w:val="00C03ED8"/>
    <w:rsid w:val="00C040B6"/>
    <w:rsid w:val="00C04C8F"/>
    <w:rsid w:val="00C07842"/>
    <w:rsid w:val="00C1205B"/>
    <w:rsid w:val="00C1212A"/>
    <w:rsid w:val="00C12356"/>
    <w:rsid w:val="00C13EF5"/>
    <w:rsid w:val="00C1583D"/>
    <w:rsid w:val="00C17027"/>
    <w:rsid w:val="00C1740C"/>
    <w:rsid w:val="00C17609"/>
    <w:rsid w:val="00C17F41"/>
    <w:rsid w:val="00C20367"/>
    <w:rsid w:val="00C24074"/>
    <w:rsid w:val="00C2493B"/>
    <w:rsid w:val="00C25ADA"/>
    <w:rsid w:val="00C26995"/>
    <w:rsid w:val="00C27678"/>
    <w:rsid w:val="00C30504"/>
    <w:rsid w:val="00C31177"/>
    <w:rsid w:val="00C31346"/>
    <w:rsid w:val="00C34216"/>
    <w:rsid w:val="00C3460D"/>
    <w:rsid w:val="00C36950"/>
    <w:rsid w:val="00C41797"/>
    <w:rsid w:val="00C4452D"/>
    <w:rsid w:val="00C47DC3"/>
    <w:rsid w:val="00C51755"/>
    <w:rsid w:val="00C52765"/>
    <w:rsid w:val="00C54167"/>
    <w:rsid w:val="00C541FB"/>
    <w:rsid w:val="00C54B89"/>
    <w:rsid w:val="00C54EB8"/>
    <w:rsid w:val="00C57E71"/>
    <w:rsid w:val="00C60816"/>
    <w:rsid w:val="00C61B31"/>
    <w:rsid w:val="00C61F0D"/>
    <w:rsid w:val="00C635D2"/>
    <w:rsid w:val="00C65F2F"/>
    <w:rsid w:val="00C67595"/>
    <w:rsid w:val="00C677E7"/>
    <w:rsid w:val="00C720E4"/>
    <w:rsid w:val="00C76EBA"/>
    <w:rsid w:val="00C77E32"/>
    <w:rsid w:val="00C803CE"/>
    <w:rsid w:val="00C8084B"/>
    <w:rsid w:val="00C819F9"/>
    <w:rsid w:val="00C82BC8"/>
    <w:rsid w:val="00C85AA3"/>
    <w:rsid w:val="00C85E77"/>
    <w:rsid w:val="00C86B5C"/>
    <w:rsid w:val="00C86E6D"/>
    <w:rsid w:val="00C911D4"/>
    <w:rsid w:val="00C91287"/>
    <w:rsid w:val="00C93521"/>
    <w:rsid w:val="00C93888"/>
    <w:rsid w:val="00C93BB4"/>
    <w:rsid w:val="00C94090"/>
    <w:rsid w:val="00C947AD"/>
    <w:rsid w:val="00C94D3F"/>
    <w:rsid w:val="00C96459"/>
    <w:rsid w:val="00C96E38"/>
    <w:rsid w:val="00C9731B"/>
    <w:rsid w:val="00C97C92"/>
    <w:rsid w:val="00CA0401"/>
    <w:rsid w:val="00CA0A89"/>
    <w:rsid w:val="00CA0B59"/>
    <w:rsid w:val="00CA1375"/>
    <w:rsid w:val="00CA179C"/>
    <w:rsid w:val="00CA48F1"/>
    <w:rsid w:val="00CA7C4D"/>
    <w:rsid w:val="00CB2777"/>
    <w:rsid w:val="00CB333C"/>
    <w:rsid w:val="00CB478B"/>
    <w:rsid w:val="00CB728B"/>
    <w:rsid w:val="00CC027E"/>
    <w:rsid w:val="00CC26F5"/>
    <w:rsid w:val="00CC44F4"/>
    <w:rsid w:val="00CC66B9"/>
    <w:rsid w:val="00CC6847"/>
    <w:rsid w:val="00CD088F"/>
    <w:rsid w:val="00CD186C"/>
    <w:rsid w:val="00CD1FC9"/>
    <w:rsid w:val="00CD2E19"/>
    <w:rsid w:val="00CD2FC2"/>
    <w:rsid w:val="00CD3B17"/>
    <w:rsid w:val="00CD3BC9"/>
    <w:rsid w:val="00CE0432"/>
    <w:rsid w:val="00CE3A57"/>
    <w:rsid w:val="00CE6F12"/>
    <w:rsid w:val="00CE7812"/>
    <w:rsid w:val="00CF0EA2"/>
    <w:rsid w:val="00CF29E3"/>
    <w:rsid w:val="00CF34B8"/>
    <w:rsid w:val="00CF4957"/>
    <w:rsid w:val="00CF6FCE"/>
    <w:rsid w:val="00CF77E7"/>
    <w:rsid w:val="00D02DFC"/>
    <w:rsid w:val="00D04651"/>
    <w:rsid w:val="00D04E21"/>
    <w:rsid w:val="00D073F3"/>
    <w:rsid w:val="00D077B7"/>
    <w:rsid w:val="00D10A35"/>
    <w:rsid w:val="00D1209F"/>
    <w:rsid w:val="00D12713"/>
    <w:rsid w:val="00D12EC1"/>
    <w:rsid w:val="00D138E6"/>
    <w:rsid w:val="00D166EA"/>
    <w:rsid w:val="00D16CFB"/>
    <w:rsid w:val="00D16DE6"/>
    <w:rsid w:val="00D208A6"/>
    <w:rsid w:val="00D213E6"/>
    <w:rsid w:val="00D213F4"/>
    <w:rsid w:val="00D22F77"/>
    <w:rsid w:val="00D243A2"/>
    <w:rsid w:val="00D25DF2"/>
    <w:rsid w:val="00D26BAA"/>
    <w:rsid w:val="00D2720E"/>
    <w:rsid w:val="00D30090"/>
    <w:rsid w:val="00D31123"/>
    <w:rsid w:val="00D3309D"/>
    <w:rsid w:val="00D351A2"/>
    <w:rsid w:val="00D36209"/>
    <w:rsid w:val="00D36496"/>
    <w:rsid w:val="00D370DD"/>
    <w:rsid w:val="00D40186"/>
    <w:rsid w:val="00D40A92"/>
    <w:rsid w:val="00D460AC"/>
    <w:rsid w:val="00D460E5"/>
    <w:rsid w:val="00D46D80"/>
    <w:rsid w:val="00D479A4"/>
    <w:rsid w:val="00D506E1"/>
    <w:rsid w:val="00D50CFD"/>
    <w:rsid w:val="00D510E0"/>
    <w:rsid w:val="00D534E2"/>
    <w:rsid w:val="00D5534B"/>
    <w:rsid w:val="00D56E13"/>
    <w:rsid w:val="00D570F4"/>
    <w:rsid w:val="00D607C2"/>
    <w:rsid w:val="00D61199"/>
    <w:rsid w:val="00D61F40"/>
    <w:rsid w:val="00D622EC"/>
    <w:rsid w:val="00D623AF"/>
    <w:rsid w:val="00D65953"/>
    <w:rsid w:val="00D65A78"/>
    <w:rsid w:val="00D73633"/>
    <w:rsid w:val="00D73FDF"/>
    <w:rsid w:val="00D75813"/>
    <w:rsid w:val="00D76018"/>
    <w:rsid w:val="00D76083"/>
    <w:rsid w:val="00D7779A"/>
    <w:rsid w:val="00D8040E"/>
    <w:rsid w:val="00D808AE"/>
    <w:rsid w:val="00D82051"/>
    <w:rsid w:val="00D83251"/>
    <w:rsid w:val="00D85744"/>
    <w:rsid w:val="00D863F8"/>
    <w:rsid w:val="00D90682"/>
    <w:rsid w:val="00D90FDA"/>
    <w:rsid w:val="00D92FAC"/>
    <w:rsid w:val="00D943A3"/>
    <w:rsid w:val="00D97408"/>
    <w:rsid w:val="00D9761B"/>
    <w:rsid w:val="00D9780E"/>
    <w:rsid w:val="00DA049C"/>
    <w:rsid w:val="00DA2F03"/>
    <w:rsid w:val="00DA4E28"/>
    <w:rsid w:val="00DA657E"/>
    <w:rsid w:val="00DA68F6"/>
    <w:rsid w:val="00DA6F72"/>
    <w:rsid w:val="00DB03D9"/>
    <w:rsid w:val="00DB0ED2"/>
    <w:rsid w:val="00DB3587"/>
    <w:rsid w:val="00DB4DC9"/>
    <w:rsid w:val="00DB52EA"/>
    <w:rsid w:val="00DB5427"/>
    <w:rsid w:val="00DB5510"/>
    <w:rsid w:val="00DB7330"/>
    <w:rsid w:val="00DB7BD6"/>
    <w:rsid w:val="00DC01CF"/>
    <w:rsid w:val="00DC0304"/>
    <w:rsid w:val="00DC05AA"/>
    <w:rsid w:val="00DC05C9"/>
    <w:rsid w:val="00DC07E6"/>
    <w:rsid w:val="00DC2245"/>
    <w:rsid w:val="00DC3758"/>
    <w:rsid w:val="00DC5EF3"/>
    <w:rsid w:val="00DD1CB4"/>
    <w:rsid w:val="00DD1D88"/>
    <w:rsid w:val="00DD25AF"/>
    <w:rsid w:val="00DD4618"/>
    <w:rsid w:val="00DD63EA"/>
    <w:rsid w:val="00DD708E"/>
    <w:rsid w:val="00DD7942"/>
    <w:rsid w:val="00DE0F91"/>
    <w:rsid w:val="00DE1EB2"/>
    <w:rsid w:val="00DE260A"/>
    <w:rsid w:val="00DE3126"/>
    <w:rsid w:val="00DE3142"/>
    <w:rsid w:val="00DE3271"/>
    <w:rsid w:val="00DE4336"/>
    <w:rsid w:val="00DE4F7E"/>
    <w:rsid w:val="00DE51AF"/>
    <w:rsid w:val="00DE60D8"/>
    <w:rsid w:val="00DE6415"/>
    <w:rsid w:val="00DE75CE"/>
    <w:rsid w:val="00DF02CF"/>
    <w:rsid w:val="00DF054C"/>
    <w:rsid w:val="00DF0696"/>
    <w:rsid w:val="00DF2554"/>
    <w:rsid w:val="00DF42F2"/>
    <w:rsid w:val="00DF4BFB"/>
    <w:rsid w:val="00DF51F1"/>
    <w:rsid w:val="00DF5223"/>
    <w:rsid w:val="00DF665C"/>
    <w:rsid w:val="00DF7250"/>
    <w:rsid w:val="00DF72A5"/>
    <w:rsid w:val="00E00BCE"/>
    <w:rsid w:val="00E04341"/>
    <w:rsid w:val="00E04F98"/>
    <w:rsid w:val="00E05BBE"/>
    <w:rsid w:val="00E060D6"/>
    <w:rsid w:val="00E06342"/>
    <w:rsid w:val="00E07ED7"/>
    <w:rsid w:val="00E100B6"/>
    <w:rsid w:val="00E10188"/>
    <w:rsid w:val="00E10C8D"/>
    <w:rsid w:val="00E1153C"/>
    <w:rsid w:val="00E11A31"/>
    <w:rsid w:val="00E11B4B"/>
    <w:rsid w:val="00E13035"/>
    <w:rsid w:val="00E134B3"/>
    <w:rsid w:val="00E1363E"/>
    <w:rsid w:val="00E143C7"/>
    <w:rsid w:val="00E1529C"/>
    <w:rsid w:val="00E20949"/>
    <w:rsid w:val="00E21B5B"/>
    <w:rsid w:val="00E22095"/>
    <w:rsid w:val="00E25417"/>
    <w:rsid w:val="00E26FF4"/>
    <w:rsid w:val="00E271C1"/>
    <w:rsid w:val="00E27C67"/>
    <w:rsid w:val="00E3064D"/>
    <w:rsid w:val="00E33458"/>
    <w:rsid w:val="00E33AFA"/>
    <w:rsid w:val="00E34D99"/>
    <w:rsid w:val="00E352DF"/>
    <w:rsid w:val="00E36CA0"/>
    <w:rsid w:val="00E37057"/>
    <w:rsid w:val="00E40836"/>
    <w:rsid w:val="00E4185F"/>
    <w:rsid w:val="00E418A7"/>
    <w:rsid w:val="00E41E7D"/>
    <w:rsid w:val="00E430C1"/>
    <w:rsid w:val="00E4395B"/>
    <w:rsid w:val="00E45518"/>
    <w:rsid w:val="00E45D67"/>
    <w:rsid w:val="00E51D03"/>
    <w:rsid w:val="00E52070"/>
    <w:rsid w:val="00E60023"/>
    <w:rsid w:val="00E600D6"/>
    <w:rsid w:val="00E605AE"/>
    <w:rsid w:val="00E61031"/>
    <w:rsid w:val="00E613A0"/>
    <w:rsid w:val="00E6235E"/>
    <w:rsid w:val="00E64383"/>
    <w:rsid w:val="00E66C45"/>
    <w:rsid w:val="00E674E5"/>
    <w:rsid w:val="00E675D0"/>
    <w:rsid w:val="00E702C4"/>
    <w:rsid w:val="00E70B8C"/>
    <w:rsid w:val="00E71EFD"/>
    <w:rsid w:val="00E74412"/>
    <w:rsid w:val="00E74EEC"/>
    <w:rsid w:val="00E74FFA"/>
    <w:rsid w:val="00E81AB3"/>
    <w:rsid w:val="00E83F56"/>
    <w:rsid w:val="00E8455F"/>
    <w:rsid w:val="00E874B4"/>
    <w:rsid w:val="00E90F8A"/>
    <w:rsid w:val="00E9259D"/>
    <w:rsid w:val="00E93101"/>
    <w:rsid w:val="00E9313E"/>
    <w:rsid w:val="00E93761"/>
    <w:rsid w:val="00E948A5"/>
    <w:rsid w:val="00E95E76"/>
    <w:rsid w:val="00E962F2"/>
    <w:rsid w:val="00E973D5"/>
    <w:rsid w:val="00EA010D"/>
    <w:rsid w:val="00EA0ED1"/>
    <w:rsid w:val="00EA1523"/>
    <w:rsid w:val="00EA279A"/>
    <w:rsid w:val="00EA2F8B"/>
    <w:rsid w:val="00EA3A1D"/>
    <w:rsid w:val="00EA57D0"/>
    <w:rsid w:val="00EA6445"/>
    <w:rsid w:val="00EA70CB"/>
    <w:rsid w:val="00EA7D98"/>
    <w:rsid w:val="00EB2483"/>
    <w:rsid w:val="00EB5B14"/>
    <w:rsid w:val="00EB683C"/>
    <w:rsid w:val="00EB734F"/>
    <w:rsid w:val="00EB75C2"/>
    <w:rsid w:val="00EC02A2"/>
    <w:rsid w:val="00EC0520"/>
    <w:rsid w:val="00EC070C"/>
    <w:rsid w:val="00EC0E05"/>
    <w:rsid w:val="00EC17B5"/>
    <w:rsid w:val="00EC23BF"/>
    <w:rsid w:val="00EC3BFD"/>
    <w:rsid w:val="00EC3E45"/>
    <w:rsid w:val="00EC7FDD"/>
    <w:rsid w:val="00ED1312"/>
    <w:rsid w:val="00ED1A64"/>
    <w:rsid w:val="00ED3E13"/>
    <w:rsid w:val="00ED64EE"/>
    <w:rsid w:val="00EE01D0"/>
    <w:rsid w:val="00EE0E63"/>
    <w:rsid w:val="00EE2AC6"/>
    <w:rsid w:val="00EE5274"/>
    <w:rsid w:val="00EE55CB"/>
    <w:rsid w:val="00EE6081"/>
    <w:rsid w:val="00EE6375"/>
    <w:rsid w:val="00EE6A96"/>
    <w:rsid w:val="00EF05FD"/>
    <w:rsid w:val="00EF1219"/>
    <w:rsid w:val="00EF1B3B"/>
    <w:rsid w:val="00EF231F"/>
    <w:rsid w:val="00EF3C22"/>
    <w:rsid w:val="00EF4657"/>
    <w:rsid w:val="00EF4C37"/>
    <w:rsid w:val="00EF5378"/>
    <w:rsid w:val="00EF54AC"/>
    <w:rsid w:val="00EF59F0"/>
    <w:rsid w:val="00F045F2"/>
    <w:rsid w:val="00F051A2"/>
    <w:rsid w:val="00F05AF4"/>
    <w:rsid w:val="00F05C68"/>
    <w:rsid w:val="00F10B41"/>
    <w:rsid w:val="00F10CB6"/>
    <w:rsid w:val="00F113B5"/>
    <w:rsid w:val="00F1154F"/>
    <w:rsid w:val="00F11DDD"/>
    <w:rsid w:val="00F12106"/>
    <w:rsid w:val="00F13231"/>
    <w:rsid w:val="00F15307"/>
    <w:rsid w:val="00F15AB4"/>
    <w:rsid w:val="00F15ED8"/>
    <w:rsid w:val="00F164E6"/>
    <w:rsid w:val="00F16DC2"/>
    <w:rsid w:val="00F178C8"/>
    <w:rsid w:val="00F17B63"/>
    <w:rsid w:val="00F21756"/>
    <w:rsid w:val="00F2296F"/>
    <w:rsid w:val="00F252E5"/>
    <w:rsid w:val="00F30CF8"/>
    <w:rsid w:val="00F34292"/>
    <w:rsid w:val="00F362B5"/>
    <w:rsid w:val="00F40A99"/>
    <w:rsid w:val="00F4723C"/>
    <w:rsid w:val="00F47F3F"/>
    <w:rsid w:val="00F520A9"/>
    <w:rsid w:val="00F52F66"/>
    <w:rsid w:val="00F53AA0"/>
    <w:rsid w:val="00F54B7A"/>
    <w:rsid w:val="00F5519F"/>
    <w:rsid w:val="00F5716E"/>
    <w:rsid w:val="00F57471"/>
    <w:rsid w:val="00F57672"/>
    <w:rsid w:val="00F608E2"/>
    <w:rsid w:val="00F612B1"/>
    <w:rsid w:val="00F61E95"/>
    <w:rsid w:val="00F63934"/>
    <w:rsid w:val="00F64DD5"/>
    <w:rsid w:val="00F64F8E"/>
    <w:rsid w:val="00F65ED9"/>
    <w:rsid w:val="00F7014A"/>
    <w:rsid w:val="00F715BA"/>
    <w:rsid w:val="00F72CAC"/>
    <w:rsid w:val="00F750A2"/>
    <w:rsid w:val="00F76109"/>
    <w:rsid w:val="00F76B24"/>
    <w:rsid w:val="00F76B4C"/>
    <w:rsid w:val="00F7719C"/>
    <w:rsid w:val="00F777F3"/>
    <w:rsid w:val="00F80155"/>
    <w:rsid w:val="00F8118E"/>
    <w:rsid w:val="00F84C34"/>
    <w:rsid w:val="00F8609A"/>
    <w:rsid w:val="00F86B1B"/>
    <w:rsid w:val="00F8764E"/>
    <w:rsid w:val="00F877ED"/>
    <w:rsid w:val="00F90A8F"/>
    <w:rsid w:val="00F91D2F"/>
    <w:rsid w:val="00F923DE"/>
    <w:rsid w:val="00F9332C"/>
    <w:rsid w:val="00F95529"/>
    <w:rsid w:val="00F96CC1"/>
    <w:rsid w:val="00F977F7"/>
    <w:rsid w:val="00FA108E"/>
    <w:rsid w:val="00FA2F73"/>
    <w:rsid w:val="00FA3EB0"/>
    <w:rsid w:val="00FA4A08"/>
    <w:rsid w:val="00FA4DB9"/>
    <w:rsid w:val="00FA59B4"/>
    <w:rsid w:val="00FA60BF"/>
    <w:rsid w:val="00FA67E6"/>
    <w:rsid w:val="00FB13C0"/>
    <w:rsid w:val="00FB204D"/>
    <w:rsid w:val="00FB25FB"/>
    <w:rsid w:val="00FB4486"/>
    <w:rsid w:val="00FB4BAB"/>
    <w:rsid w:val="00FB4C7F"/>
    <w:rsid w:val="00FB4DFC"/>
    <w:rsid w:val="00FB6F40"/>
    <w:rsid w:val="00FB6FB1"/>
    <w:rsid w:val="00FB7CD5"/>
    <w:rsid w:val="00FC057E"/>
    <w:rsid w:val="00FC09B6"/>
    <w:rsid w:val="00FC1ED9"/>
    <w:rsid w:val="00FC23EF"/>
    <w:rsid w:val="00FC55B3"/>
    <w:rsid w:val="00FC692E"/>
    <w:rsid w:val="00FD0635"/>
    <w:rsid w:val="00FD2604"/>
    <w:rsid w:val="00FD326B"/>
    <w:rsid w:val="00FD5416"/>
    <w:rsid w:val="00FD6FA6"/>
    <w:rsid w:val="00FD7CE2"/>
    <w:rsid w:val="00FE0490"/>
    <w:rsid w:val="00FE14CB"/>
    <w:rsid w:val="00FE21E3"/>
    <w:rsid w:val="00FE25D0"/>
    <w:rsid w:val="00FE3C8C"/>
    <w:rsid w:val="00FE585E"/>
    <w:rsid w:val="00FE5999"/>
    <w:rsid w:val="00FE5A74"/>
    <w:rsid w:val="00FE6905"/>
    <w:rsid w:val="00FE7EE4"/>
    <w:rsid w:val="00FF1496"/>
    <w:rsid w:val="00FF32A1"/>
    <w:rsid w:val="00FF37E9"/>
    <w:rsid w:val="00FF3FA1"/>
    <w:rsid w:val="00FF5D23"/>
    <w:rsid w:val="00FF615D"/>
    <w:rsid w:val="00FF6511"/>
    <w:rsid w:val="00FF7475"/>
    <w:rsid w:val="00FF7D2B"/>
    <w:rsid w:val="06311428"/>
    <w:rsid w:val="0CDA4765"/>
    <w:rsid w:val="14770F16"/>
    <w:rsid w:val="14F52FE5"/>
    <w:rsid w:val="1FE1254C"/>
    <w:rsid w:val="24085B1D"/>
    <w:rsid w:val="3121636C"/>
    <w:rsid w:val="31CF708E"/>
    <w:rsid w:val="33351062"/>
    <w:rsid w:val="37340B1D"/>
    <w:rsid w:val="37F401F0"/>
    <w:rsid w:val="3B494567"/>
    <w:rsid w:val="418D1537"/>
    <w:rsid w:val="42DD0C8B"/>
    <w:rsid w:val="45235D66"/>
    <w:rsid w:val="454A3D0E"/>
    <w:rsid w:val="49AB080A"/>
    <w:rsid w:val="4B3B30DB"/>
    <w:rsid w:val="4B421DA5"/>
    <w:rsid w:val="4FA727D4"/>
    <w:rsid w:val="5D27015D"/>
    <w:rsid w:val="5EB80508"/>
    <w:rsid w:val="644C495D"/>
    <w:rsid w:val="65FA31A1"/>
    <w:rsid w:val="68C46AF0"/>
    <w:rsid w:val="70650505"/>
    <w:rsid w:val="70651D96"/>
    <w:rsid w:val="748E78D8"/>
    <w:rsid w:val="7828209E"/>
    <w:rsid w:val="7B7A34C4"/>
    <w:rsid w:val="7D6350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104"/>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13"/>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7"/>
    <w:link w:val="114"/>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link w:val="102"/>
    <w:unhideWhenUsed/>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107"/>
    <w:unhideWhenUsed/>
    <w:qFormat/>
    <w:uiPriority w:val="0"/>
    <w:pPr>
      <w:keepNext/>
      <w:keepLines/>
      <w:spacing w:beforeLines="100" w:afterLines="100" w:line="360" w:lineRule="auto"/>
      <w:outlineLvl w:val="4"/>
    </w:pPr>
    <w:rPr>
      <w:rFonts w:eastAsia="宋体"/>
      <w:b/>
      <w:bCs/>
      <w:sz w:val="28"/>
      <w:szCs w:val="28"/>
    </w:rPr>
  </w:style>
  <w:style w:type="paragraph" w:styleId="10">
    <w:name w:val="heading 6"/>
    <w:basedOn w:val="1"/>
    <w:next w:val="1"/>
    <w:link w:val="108"/>
    <w:unhideWhenUsed/>
    <w:qFormat/>
    <w:uiPriority w:val="9"/>
    <w:pPr>
      <w:keepNext/>
      <w:keepLines/>
      <w:spacing w:beforeLines="100" w:afterLines="100" w:line="360" w:lineRule="auto"/>
      <w:outlineLvl w:val="5"/>
    </w:pPr>
    <w:rPr>
      <w:rFonts w:ascii="Cambria" w:hAnsi="Cambria" w:eastAsia="宋体" w:cs="Times New Roman"/>
      <w:b/>
      <w:bCs/>
      <w:sz w:val="24"/>
    </w:rPr>
  </w:style>
  <w:style w:type="paragraph" w:styleId="11">
    <w:name w:val="heading 7"/>
    <w:basedOn w:val="1"/>
    <w:next w:val="1"/>
    <w:link w:val="109"/>
    <w:unhideWhenUsed/>
    <w:qFormat/>
    <w:uiPriority w:val="0"/>
    <w:pPr>
      <w:keepNext/>
      <w:keepLines/>
      <w:spacing w:beforeLines="100" w:afterLines="100" w:line="360" w:lineRule="auto"/>
      <w:outlineLvl w:val="6"/>
    </w:pPr>
    <w:rPr>
      <w:rFonts w:eastAsia="宋体"/>
      <w:b/>
      <w:bCs/>
      <w:sz w:val="24"/>
    </w:rPr>
  </w:style>
  <w:style w:type="paragraph" w:styleId="12">
    <w:name w:val="heading 8"/>
    <w:basedOn w:val="1"/>
    <w:next w:val="1"/>
    <w:link w:val="110"/>
    <w:unhideWhenUsed/>
    <w:qFormat/>
    <w:uiPriority w:val="0"/>
    <w:pPr>
      <w:keepNext/>
      <w:keepLines/>
      <w:spacing w:beforeLines="100" w:afterLines="100" w:line="360" w:lineRule="auto"/>
      <w:outlineLvl w:val="7"/>
    </w:pPr>
    <w:rPr>
      <w:rFonts w:ascii="Cambria" w:hAnsi="Cambria" w:eastAsia="宋体" w:cs="Times New Roman"/>
      <w:b/>
      <w:sz w:val="24"/>
    </w:rPr>
  </w:style>
  <w:style w:type="paragraph" w:styleId="13">
    <w:name w:val="heading 9"/>
    <w:basedOn w:val="1"/>
    <w:next w:val="1"/>
    <w:link w:val="111"/>
    <w:unhideWhenUsed/>
    <w:qFormat/>
    <w:uiPriority w:val="0"/>
    <w:pPr>
      <w:keepNext/>
      <w:keepLines/>
      <w:spacing w:beforeLines="100" w:afterLines="100" w:line="360" w:lineRule="auto"/>
      <w:outlineLvl w:val="8"/>
    </w:pPr>
    <w:rPr>
      <w:rFonts w:ascii="Cambria" w:hAnsi="Cambria" w:eastAsia="宋体" w:cs="Times New Roman"/>
      <w:b/>
      <w:sz w:val="24"/>
      <w:szCs w:val="21"/>
    </w:rPr>
  </w:style>
  <w:style w:type="character" w:default="1" w:styleId="50">
    <w:name w:val="Default Paragraph Font"/>
    <w:semiHidden/>
    <w:uiPriority w:val="0"/>
  </w:style>
  <w:style w:type="table" w:default="1" w:styleId="47">
    <w:name w:val="Normal Table"/>
    <w:semiHidden/>
    <w:uiPriority w:val="0"/>
    <w:tblPr>
      <w:tblStyle w:val="47"/>
      <w:tblCellMar>
        <w:top w:w="0" w:type="dxa"/>
        <w:left w:w="108" w:type="dxa"/>
        <w:bottom w:w="0" w:type="dxa"/>
        <w:right w:w="108" w:type="dxa"/>
      </w:tblCellMar>
    </w:tblPr>
  </w:style>
  <w:style w:type="paragraph" w:styleId="2">
    <w:name w:val="Body Text"/>
    <w:basedOn w:val="1"/>
    <w:link w:val="62"/>
    <w:uiPriority w:val="0"/>
    <w:pPr>
      <w:spacing w:after="120"/>
    </w:p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Normal Indent"/>
    <w:basedOn w:val="1"/>
    <w:link w:val="65"/>
    <w:qFormat/>
    <w:uiPriority w:val="0"/>
    <w:pPr>
      <w:ind w:firstLine="420"/>
    </w:pPr>
    <w:rPr>
      <w:szCs w:val="20"/>
    </w:rPr>
  </w:style>
  <w:style w:type="paragraph" w:styleId="14">
    <w:name w:val="toc 7"/>
    <w:basedOn w:val="1"/>
    <w:next w:val="1"/>
    <w:unhideWhenUsed/>
    <w:qFormat/>
    <w:uiPriority w:val="39"/>
    <w:pPr>
      <w:ind w:left="2520" w:leftChars="1200"/>
    </w:pPr>
    <w:rPr>
      <w:rFonts w:ascii="Calibri" w:hAnsi="Calibri" w:eastAsia="宋体" w:cs="Times New Roman"/>
      <w:szCs w:val="22"/>
    </w:rPr>
  </w:style>
  <w:style w:type="paragraph" w:styleId="15">
    <w:name w:val="List Number"/>
    <w:basedOn w:val="1"/>
    <w:uiPriority w:val="0"/>
    <w:pPr>
      <w:widowControl/>
      <w:numPr>
        <w:ilvl w:val="0"/>
        <w:numId w:val="1"/>
      </w:numPr>
      <w:tabs>
        <w:tab w:val="left" w:pos="454"/>
      </w:tabs>
      <w:spacing w:after="50" w:afterLines="50"/>
      <w:jc w:val="left"/>
    </w:pPr>
    <w:rPr>
      <w:kern w:val="0"/>
      <w:sz w:val="24"/>
      <w:szCs w:val="20"/>
    </w:rPr>
  </w:style>
  <w:style w:type="paragraph" w:styleId="16">
    <w:name w:val="caption"/>
    <w:basedOn w:val="1"/>
    <w:next w:val="1"/>
    <w:link w:val="127"/>
    <w:qFormat/>
    <w:uiPriority w:val="0"/>
    <w:pPr>
      <w:spacing w:before="152" w:after="160"/>
    </w:pPr>
    <w:rPr>
      <w:rFonts w:ascii="Arial" w:hAnsi="Arial" w:eastAsia="黑体"/>
      <w:sz w:val="20"/>
      <w:szCs w:val="20"/>
    </w:rPr>
  </w:style>
  <w:style w:type="paragraph" w:styleId="17">
    <w:name w:val="Document Map"/>
    <w:basedOn w:val="1"/>
    <w:semiHidden/>
    <w:uiPriority w:val="0"/>
    <w:pPr>
      <w:shd w:val="clear" w:color="auto" w:fill="000080"/>
    </w:pPr>
  </w:style>
  <w:style w:type="paragraph" w:styleId="18">
    <w:name w:val="annotation text"/>
    <w:basedOn w:val="1"/>
    <w:link w:val="58"/>
    <w:qFormat/>
    <w:uiPriority w:val="0"/>
    <w:pPr>
      <w:jc w:val="left"/>
    </w:pPr>
  </w:style>
  <w:style w:type="paragraph" w:styleId="19">
    <w:name w:val="Body Text 3"/>
    <w:basedOn w:val="1"/>
    <w:link w:val="70"/>
    <w:qFormat/>
    <w:uiPriority w:val="0"/>
    <w:pPr>
      <w:spacing w:after="120"/>
    </w:pPr>
    <w:rPr>
      <w:sz w:val="16"/>
      <w:szCs w:val="16"/>
    </w:rPr>
  </w:style>
  <w:style w:type="paragraph" w:styleId="20">
    <w:name w:val="Body Text Indent"/>
    <w:basedOn w:val="1"/>
    <w:link w:val="66"/>
    <w:qFormat/>
    <w:uiPriority w:val="0"/>
    <w:pPr>
      <w:spacing w:line="200" w:lineRule="exact"/>
      <w:ind w:firstLine="301"/>
    </w:pPr>
    <w:rPr>
      <w:rFonts w:ascii="宋体" w:hAnsi="Courier New"/>
      <w:spacing w:val="-4"/>
      <w:sz w:val="18"/>
      <w:szCs w:val="20"/>
    </w:rPr>
  </w:style>
  <w:style w:type="paragraph" w:styleId="21">
    <w:name w:val="List Number 3"/>
    <w:basedOn w:val="1"/>
    <w:uiPriority w:val="0"/>
    <w:pPr>
      <w:tabs>
        <w:tab w:val="left" w:pos="1200"/>
      </w:tabs>
      <w:ind w:left="1200" w:hanging="360"/>
    </w:pPr>
  </w:style>
  <w:style w:type="paragraph" w:styleId="22">
    <w:name w:val="List 2"/>
    <w:basedOn w:val="1"/>
    <w:uiPriority w:val="0"/>
    <w:pPr>
      <w:ind w:left="566" w:hanging="283"/>
      <w:contextualSpacing/>
    </w:pPr>
  </w:style>
  <w:style w:type="paragraph" w:styleId="23">
    <w:name w:val="toc 5"/>
    <w:basedOn w:val="1"/>
    <w:next w:val="1"/>
    <w:unhideWhenUsed/>
    <w:qFormat/>
    <w:uiPriority w:val="39"/>
    <w:pPr>
      <w:ind w:left="1680" w:leftChars="800"/>
    </w:pPr>
    <w:rPr>
      <w:rFonts w:ascii="Calibri" w:hAnsi="Calibri" w:eastAsia="宋体" w:cs="Times New Roman"/>
      <w:szCs w:val="22"/>
    </w:rPr>
  </w:style>
  <w:style w:type="paragraph" w:styleId="24">
    <w:name w:val="toc 3"/>
    <w:basedOn w:val="1"/>
    <w:next w:val="1"/>
    <w:qFormat/>
    <w:uiPriority w:val="39"/>
    <w:pPr>
      <w:ind w:left="840" w:leftChars="400"/>
    </w:pPr>
  </w:style>
  <w:style w:type="paragraph" w:styleId="25">
    <w:name w:val="Plain Text"/>
    <w:basedOn w:val="1"/>
    <w:link w:val="63"/>
    <w:qFormat/>
    <w:uiPriority w:val="0"/>
    <w:rPr>
      <w:rFonts w:ascii="宋体" w:hAnsi="Courier New"/>
      <w:szCs w:val="20"/>
    </w:rPr>
  </w:style>
  <w:style w:type="paragraph" w:styleId="26">
    <w:name w:val="toc 8"/>
    <w:basedOn w:val="1"/>
    <w:next w:val="1"/>
    <w:unhideWhenUsed/>
    <w:qFormat/>
    <w:uiPriority w:val="39"/>
    <w:pPr>
      <w:ind w:left="2940" w:leftChars="1400"/>
    </w:pPr>
    <w:rPr>
      <w:rFonts w:ascii="Calibri" w:hAnsi="Calibri" w:eastAsia="宋体" w:cs="Times New Roman"/>
      <w:szCs w:val="22"/>
    </w:rPr>
  </w:style>
  <w:style w:type="paragraph" w:styleId="27">
    <w:name w:val="Date"/>
    <w:basedOn w:val="1"/>
    <w:next w:val="1"/>
    <w:link w:val="56"/>
    <w:qFormat/>
    <w:uiPriority w:val="0"/>
    <w:pPr>
      <w:ind w:leftChars="2500"/>
    </w:pPr>
    <w:rPr>
      <w:rFonts w:eastAsia="楷体_GB2312"/>
      <w:sz w:val="32"/>
      <w:szCs w:val="20"/>
    </w:rPr>
  </w:style>
  <w:style w:type="paragraph" w:styleId="28">
    <w:name w:val="Body Text Indent 2"/>
    <w:basedOn w:val="1"/>
    <w:link w:val="60"/>
    <w:uiPriority w:val="0"/>
    <w:pPr>
      <w:snapToGrid w:val="0"/>
      <w:ind w:firstLine="542" w:firstLineChars="225"/>
    </w:pPr>
    <w:rPr>
      <w:rFonts w:ascii="仿宋_GB2312" w:hAnsi="宋体"/>
      <w:b/>
      <w:bCs/>
      <w:color w:val="000000"/>
      <w:sz w:val="24"/>
    </w:rPr>
  </w:style>
  <w:style w:type="paragraph" w:styleId="29">
    <w:name w:val="Balloon Text"/>
    <w:basedOn w:val="1"/>
    <w:link w:val="75"/>
    <w:qFormat/>
    <w:uiPriority w:val="99"/>
    <w:rPr>
      <w:sz w:val="18"/>
      <w:szCs w:val="18"/>
    </w:rPr>
  </w:style>
  <w:style w:type="paragraph" w:styleId="30">
    <w:name w:val="footer"/>
    <w:basedOn w:val="1"/>
    <w:link w:val="78"/>
    <w:qFormat/>
    <w:uiPriority w:val="99"/>
    <w:pPr>
      <w:tabs>
        <w:tab w:val="center" w:pos="4153"/>
        <w:tab w:val="right" w:pos="8306"/>
      </w:tabs>
      <w:snapToGrid w:val="0"/>
      <w:jc w:val="left"/>
    </w:pPr>
    <w:rPr>
      <w:sz w:val="18"/>
      <w:szCs w:val="18"/>
    </w:rPr>
  </w:style>
  <w:style w:type="paragraph" w:styleId="31">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eastAsia="宋体" w:cs="Times New Roman"/>
      <w:szCs w:val="22"/>
    </w:rPr>
  </w:style>
  <w:style w:type="paragraph" w:styleId="34">
    <w:name w:val="Subtitle"/>
    <w:basedOn w:val="1"/>
    <w:next w:val="1"/>
    <w:link w:val="79"/>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uiPriority w:val="0"/>
    <w:pPr>
      <w:ind w:left="283" w:hanging="283"/>
      <w:contextualSpacing/>
    </w:pPr>
  </w:style>
  <w:style w:type="paragraph" w:styleId="36">
    <w:name w:val="toc 6"/>
    <w:basedOn w:val="1"/>
    <w:next w:val="1"/>
    <w:unhideWhenUsed/>
    <w:qFormat/>
    <w:uiPriority w:val="39"/>
    <w:pPr>
      <w:ind w:left="2100" w:leftChars="1000"/>
    </w:pPr>
    <w:rPr>
      <w:rFonts w:ascii="Calibri" w:hAnsi="Calibri" w:eastAsia="宋体" w:cs="Times New Roman"/>
      <w:szCs w:val="22"/>
    </w:rPr>
  </w:style>
  <w:style w:type="paragraph" w:styleId="37">
    <w:name w:val="Body Text Indent 3"/>
    <w:basedOn w:val="1"/>
    <w:link w:val="73"/>
    <w:uiPriority w:val="0"/>
    <w:pPr>
      <w:snapToGrid w:val="0"/>
      <w:ind w:firstLine="480" w:firstLineChars="200"/>
      <w:jc w:val="left"/>
    </w:pPr>
    <w:rPr>
      <w:rFonts w:ascii="仿宋_GB2312" w:hAnsi="宋体" w:eastAsia="仿宋_GB2312"/>
      <w:color w:val="000000"/>
      <w:sz w:val="24"/>
    </w:rPr>
  </w:style>
  <w:style w:type="paragraph" w:styleId="38">
    <w:name w:val="toc 2"/>
    <w:basedOn w:val="1"/>
    <w:next w:val="1"/>
    <w:qFormat/>
    <w:uiPriority w:val="39"/>
    <w:pPr>
      <w:ind w:left="420" w:leftChars="200"/>
    </w:pPr>
  </w:style>
  <w:style w:type="paragraph" w:styleId="39">
    <w:name w:val="toc 9"/>
    <w:basedOn w:val="1"/>
    <w:next w:val="1"/>
    <w:unhideWhenUsed/>
    <w:qFormat/>
    <w:uiPriority w:val="39"/>
    <w:pPr>
      <w:ind w:left="3360" w:leftChars="1600"/>
    </w:pPr>
    <w:rPr>
      <w:rFonts w:ascii="Calibri" w:hAnsi="Calibri" w:eastAsia="宋体" w:cs="Times New Roman"/>
      <w:szCs w:val="22"/>
    </w:rPr>
  </w:style>
  <w:style w:type="paragraph" w:styleId="40">
    <w:name w:val="Body Text 2"/>
    <w:basedOn w:val="1"/>
    <w:link w:val="80"/>
    <w:uiPriority w:val="0"/>
    <w:pPr>
      <w:widowControl/>
      <w:snapToGrid w:val="0"/>
      <w:spacing w:before="50" w:after="156" w:afterLines="50" w:line="400" w:lineRule="exact"/>
      <w:jc w:val="left"/>
    </w:pPr>
    <w:rPr>
      <w:rFonts w:ascii="宋体" w:hAnsi="宋体"/>
      <w:color w:val="000000"/>
      <w:sz w:val="24"/>
    </w:rPr>
  </w:style>
  <w:style w:type="paragraph" w:styleId="4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link w:val="123"/>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8"/>
    <w:next w:val="18"/>
    <w:link w:val="69"/>
    <w:qFormat/>
    <w:uiPriority w:val="99"/>
    <w:rPr>
      <w:b/>
      <w:bCs/>
    </w:rPr>
  </w:style>
  <w:style w:type="paragraph" w:styleId="45">
    <w:name w:val="Body Text First Indent"/>
    <w:basedOn w:val="2"/>
    <w:link w:val="61"/>
    <w:uiPriority w:val="0"/>
    <w:pPr>
      <w:ind w:firstLine="420" w:firstLineChars="100"/>
    </w:pPr>
  </w:style>
  <w:style w:type="paragraph" w:styleId="46">
    <w:name w:val="Body Text First Indent 2"/>
    <w:basedOn w:val="20"/>
    <w:link w:val="112"/>
    <w:unhideWhenUsed/>
    <w:qFormat/>
    <w:uiPriority w:val="99"/>
    <w:pPr>
      <w:spacing w:after="120" w:line="360" w:lineRule="auto"/>
      <w:ind w:left="420" w:leftChars="200" w:firstLine="420" w:firstLineChars="200"/>
    </w:pPr>
    <w:rPr>
      <w:rFonts w:ascii="Times New Roman" w:hAnsi="Times New Roman"/>
      <w:spacing w:val="0"/>
      <w:sz w:val="24"/>
      <w:lang w:val="en-US" w:eastAsia="zh-CN"/>
    </w:rPr>
  </w:style>
  <w:style w:type="table" w:styleId="48">
    <w:name w:val="Table Grid"/>
    <w:basedOn w:val="47"/>
    <w:uiPriority w:val="0"/>
    <w:pPr>
      <w:widowControl w:val="0"/>
      <w:jc w:val="both"/>
    </w:p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8"/>
    <w:basedOn w:val="47"/>
    <w:uiPriority w:val="0"/>
    <w:tblPr>
      <w:tblStyle w:val="47"/>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47"/>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47"/>
      </w:tblPr>
      <w:tcPr>
        <w:tcBorders>
          <w:top w:val="nil"/>
          <w:left w:val="nil"/>
          <w:bottom w:val="nil"/>
          <w:right w:val="nil"/>
          <w:insideH w:val="nil"/>
          <w:insideV w:val="nil"/>
          <w:tl2br w:val="nil"/>
          <w:tr2bl w:val="nil"/>
        </w:tcBorders>
      </w:tcPr>
    </w:tblStylePr>
    <w:tblStylePr w:type="lastCol">
      <w:rPr>
        <w:b/>
        <w:bCs/>
        <w:color w:val="auto"/>
      </w:rPr>
      <w:tblPr>
        <w:tblStyle w:val="47"/>
      </w:tblPr>
      <w:tcPr>
        <w:tcBorders>
          <w:top w:val="nil"/>
          <w:left w:val="nil"/>
          <w:bottom w:val="nil"/>
          <w:right w:val="nil"/>
          <w:insideH w:val="nil"/>
          <w:insideV w:val="nil"/>
          <w:tl2br w:val="nil"/>
          <w:tr2bl w:val="nil"/>
        </w:tcBorders>
      </w:tcPr>
    </w:tblStylePr>
  </w:style>
  <w:style w:type="character" w:styleId="51">
    <w:name w:val="Strong"/>
    <w:qFormat/>
    <w:uiPriority w:val="22"/>
    <w:rPr>
      <w:b/>
      <w:bCs/>
    </w:rPr>
  </w:style>
  <w:style w:type="character" w:styleId="52">
    <w:name w:val="page number"/>
    <w:basedOn w:val="50"/>
    <w:qFormat/>
    <w:uiPriority w:val="99"/>
  </w:style>
  <w:style w:type="character" w:styleId="53">
    <w:name w:val="FollowedHyperlink"/>
    <w:qFormat/>
    <w:uiPriority w:val="99"/>
    <w:rPr>
      <w:color w:val="800080"/>
      <w:u w:val="single"/>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customStyle="1" w:styleId="56">
    <w:name w:val="日期 Char"/>
    <w:link w:val="27"/>
    <w:qFormat/>
    <w:uiPriority w:val="0"/>
    <w:rPr>
      <w:rFonts w:eastAsia="楷体_GB2312"/>
      <w:kern w:val="2"/>
      <w:sz w:val="32"/>
    </w:rPr>
  </w:style>
  <w:style w:type="character" w:customStyle="1" w:styleId="57">
    <w:name w:val="普通文字 Char Char2"/>
    <w:aliases w:val="纯文本 Char Char Char1,普通文字 Char Char Char1,普通文字 Char2,Char Char1,Texte Char1,小 Char1,普通文字1 Char1,正 文 1 Char1,0921 Char1,一般文字 字元 Char1,一般文字 字元 字元 字元 字元 Char1,一般文字 字元 字元 字元 字元 字元 字元 字元 字元 Char1,一般文字 字元 字元 字元 字元 字元 字元 字元 Char1"/>
    <w:uiPriority w:val="0"/>
    <w:rPr>
      <w:rFonts w:ascii="宋体" w:hAnsi="Courier New" w:eastAsia="宋体"/>
      <w:kern w:val="2"/>
      <w:sz w:val="24"/>
      <w:szCs w:val="24"/>
      <w:lang w:val="en-US" w:eastAsia="zh-CN" w:bidi="ar-SA"/>
    </w:rPr>
  </w:style>
  <w:style w:type="character" w:customStyle="1" w:styleId="58">
    <w:name w:val="批注文字 Char1"/>
    <w:link w:val="18"/>
    <w:uiPriority w:val="0"/>
    <w:rPr>
      <w:kern w:val="2"/>
      <w:sz w:val="21"/>
      <w:szCs w:val="24"/>
    </w:rPr>
  </w:style>
  <w:style w:type="character" w:customStyle="1" w:styleId="59">
    <w:name w:val="标题 Char"/>
    <w:link w:val="43"/>
    <w:uiPriority w:val="0"/>
    <w:rPr>
      <w:rFonts w:ascii="Cambria" w:hAnsi="Cambria"/>
      <w:b/>
      <w:bCs/>
      <w:kern w:val="2"/>
      <w:sz w:val="32"/>
      <w:szCs w:val="32"/>
    </w:rPr>
  </w:style>
  <w:style w:type="character" w:customStyle="1" w:styleId="60">
    <w:name w:val="正文文本缩进 2 Char"/>
    <w:link w:val="28"/>
    <w:uiPriority w:val="0"/>
    <w:rPr>
      <w:rFonts w:ascii="仿宋_GB2312" w:hAnsi="宋体" w:cs="Arial"/>
      <w:b/>
      <w:bCs/>
      <w:color w:val="000000"/>
      <w:kern w:val="2"/>
      <w:sz w:val="24"/>
      <w:szCs w:val="24"/>
    </w:rPr>
  </w:style>
  <w:style w:type="character" w:customStyle="1" w:styleId="61">
    <w:name w:val="正文首行缩进 Char"/>
    <w:basedOn w:val="62"/>
    <w:link w:val="45"/>
    <w:uiPriority w:val="0"/>
  </w:style>
  <w:style w:type="character" w:customStyle="1" w:styleId="62">
    <w:name w:val="正文文本 Char"/>
    <w:link w:val="2"/>
    <w:uiPriority w:val="0"/>
    <w:rPr>
      <w:kern w:val="2"/>
      <w:sz w:val="21"/>
      <w:szCs w:val="24"/>
    </w:rPr>
  </w:style>
  <w:style w:type="character" w:customStyle="1" w:styleId="63">
    <w:name w:val="纯文本 Char"/>
    <w:link w:val="25"/>
    <w:qFormat/>
    <w:uiPriority w:val="0"/>
    <w:rPr>
      <w:rFonts w:ascii="宋体" w:hAnsi="Courier New"/>
      <w:kern w:val="2"/>
      <w:sz w:val="21"/>
    </w:rPr>
  </w:style>
  <w:style w:type="character" w:customStyle="1" w:styleId="64">
    <w:name w:val="批注文字 Char"/>
    <w:qFormat/>
    <w:uiPriority w:val="99"/>
    <w:rPr>
      <w:kern w:val="2"/>
      <w:sz w:val="21"/>
      <w:szCs w:val="24"/>
    </w:rPr>
  </w:style>
  <w:style w:type="character" w:customStyle="1" w:styleId="65">
    <w:name w:val="正文缩进 Char"/>
    <w:link w:val="7"/>
    <w:qFormat/>
    <w:uiPriority w:val="0"/>
    <w:rPr>
      <w:kern w:val="2"/>
      <w:sz w:val="21"/>
    </w:rPr>
  </w:style>
  <w:style w:type="character" w:customStyle="1" w:styleId="66">
    <w:name w:val="正文文本缩进 Char"/>
    <w:link w:val="20"/>
    <w:uiPriority w:val="0"/>
    <w:rPr>
      <w:rFonts w:ascii="宋体" w:hAnsi="Courier New"/>
      <w:spacing w:val="-4"/>
      <w:kern w:val="2"/>
      <w:sz w:val="18"/>
    </w:rPr>
  </w:style>
  <w:style w:type="character" w:customStyle="1" w:styleId="67">
    <w:name w:val="列出段落 Char"/>
    <w:link w:val="68"/>
    <w:qFormat/>
    <w:uiPriority w:val="0"/>
    <w:rPr>
      <w:kern w:val="2"/>
      <w:sz w:val="21"/>
      <w:szCs w:val="22"/>
    </w:rPr>
  </w:style>
  <w:style w:type="paragraph" w:styleId="68">
    <w:name w:val="List Paragraph"/>
    <w:basedOn w:val="1"/>
    <w:link w:val="67"/>
    <w:qFormat/>
    <w:uiPriority w:val="0"/>
    <w:pPr>
      <w:ind w:firstLine="420" w:firstLineChars="200"/>
    </w:pPr>
    <w:rPr>
      <w:szCs w:val="22"/>
    </w:rPr>
  </w:style>
  <w:style w:type="character" w:customStyle="1" w:styleId="69">
    <w:name w:val="批注主题 Char"/>
    <w:link w:val="44"/>
    <w:qFormat/>
    <w:uiPriority w:val="99"/>
    <w:rPr>
      <w:b/>
      <w:bCs/>
      <w:kern w:val="2"/>
      <w:sz w:val="21"/>
      <w:szCs w:val="24"/>
    </w:rPr>
  </w:style>
  <w:style w:type="character" w:customStyle="1" w:styleId="70">
    <w:name w:val="正文文本 3 Char"/>
    <w:link w:val="19"/>
    <w:uiPriority w:val="0"/>
    <w:rPr>
      <w:kern w:val="2"/>
      <w:sz w:val="16"/>
      <w:szCs w:val="16"/>
    </w:rPr>
  </w:style>
  <w:style w:type="character" w:customStyle="1" w:styleId="71">
    <w:name w:val="页眉 Char1"/>
    <w:aliases w:val="h Char1,Ò³Ã¼ Char"/>
    <w:uiPriority w:val="0"/>
    <w:rPr>
      <w:kern w:val="2"/>
      <w:sz w:val="18"/>
      <w:szCs w:val="18"/>
    </w:rPr>
  </w:style>
  <w:style w:type="character" w:customStyle="1" w:styleId="72">
    <w:name w:val="sub"/>
    <w:basedOn w:val="50"/>
    <w:qFormat/>
    <w:uiPriority w:val="0"/>
  </w:style>
  <w:style w:type="character" w:customStyle="1" w:styleId="73">
    <w:name w:val="正文文本缩进 3 Char"/>
    <w:link w:val="37"/>
    <w:uiPriority w:val="0"/>
    <w:rPr>
      <w:rFonts w:ascii="仿宋_GB2312" w:hAnsi="宋体" w:eastAsia="仿宋_GB2312"/>
      <w:color w:val="000000"/>
      <w:kern w:val="2"/>
      <w:sz w:val="24"/>
      <w:szCs w:val="24"/>
    </w:rPr>
  </w:style>
  <w:style w:type="character" w:customStyle="1" w:styleId="74">
    <w:name w:val="页眉 Char"/>
    <w:link w:val="31"/>
    <w:qFormat/>
    <w:uiPriority w:val="99"/>
    <w:rPr>
      <w:rFonts w:eastAsia="宋体"/>
      <w:kern w:val="2"/>
      <w:sz w:val="18"/>
      <w:szCs w:val="18"/>
      <w:lang w:val="en-US" w:eastAsia="zh-CN" w:bidi="ar-SA"/>
    </w:rPr>
  </w:style>
  <w:style w:type="character" w:customStyle="1" w:styleId="75">
    <w:name w:val="批注框文本 Char"/>
    <w:link w:val="29"/>
    <w:qFormat/>
    <w:uiPriority w:val="99"/>
    <w:rPr>
      <w:kern w:val="2"/>
      <w:sz w:val="18"/>
      <w:szCs w:val="18"/>
    </w:rPr>
  </w:style>
  <w:style w:type="character" w:customStyle="1" w:styleId="76">
    <w:name w:val="纯文本 Char1"/>
    <w:qFormat/>
    <w:uiPriority w:val="99"/>
    <w:rPr>
      <w:rFonts w:ascii="宋体" w:hAnsi="Courier New" w:eastAsia="宋体" w:cs="Times New Roman"/>
      <w:sz w:val="24"/>
      <w:szCs w:val="24"/>
    </w:rPr>
  </w:style>
  <w:style w:type="character" w:customStyle="1" w:styleId="77">
    <w:name w:val="ca-92"/>
    <w:basedOn w:val="50"/>
    <w:uiPriority w:val="0"/>
  </w:style>
  <w:style w:type="character" w:customStyle="1" w:styleId="78">
    <w:name w:val="页脚 Char"/>
    <w:link w:val="30"/>
    <w:qFormat/>
    <w:locked/>
    <w:uiPriority w:val="99"/>
    <w:rPr>
      <w:kern w:val="2"/>
      <w:sz w:val="18"/>
      <w:szCs w:val="18"/>
    </w:rPr>
  </w:style>
  <w:style w:type="character" w:customStyle="1" w:styleId="79">
    <w:name w:val="副标题 Char"/>
    <w:link w:val="34"/>
    <w:uiPriority w:val="0"/>
    <w:rPr>
      <w:rFonts w:ascii="Cambria" w:hAnsi="Cambria"/>
      <w:b/>
      <w:bCs/>
      <w:kern w:val="28"/>
      <w:sz w:val="32"/>
      <w:szCs w:val="32"/>
    </w:rPr>
  </w:style>
  <w:style w:type="character" w:customStyle="1" w:styleId="80">
    <w:name w:val="正文文本 2 Char"/>
    <w:link w:val="40"/>
    <w:uiPriority w:val="0"/>
    <w:rPr>
      <w:rFonts w:ascii="宋体" w:hAnsi="宋体"/>
      <w:color w:val="000000"/>
      <w:kern w:val="2"/>
      <w:sz w:val="24"/>
      <w:szCs w:val="24"/>
    </w:rPr>
  </w:style>
  <w:style w:type="character" w:customStyle="1" w:styleId="81">
    <w:name w:val="纯文本 Char3"/>
    <w:qFormat/>
    <w:uiPriority w:val="0"/>
    <w:rPr>
      <w:rFonts w:ascii="宋体" w:hAnsi="Courier New" w:eastAsia="宋体"/>
      <w:kern w:val="2"/>
      <w:sz w:val="24"/>
      <w:szCs w:val="24"/>
      <w:lang w:val="en-US" w:eastAsia="zh-CN" w:bidi="ar-SA"/>
    </w:rPr>
  </w:style>
  <w:style w:type="character" w:customStyle="1" w:styleId="82">
    <w:name w:val="bookmark-item"/>
    <w:basedOn w:val="50"/>
    <w:qFormat/>
    <w:uiPriority w:val="0"/>
  </w:style>
  <w:style w:type="paragraph" w:customStyle="1" w:styleId="83">
    <w:name w:val=" 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84">
    <w:name w:val="正文段"/>
    <w:basedOn w:val="1"/>
    <w:uiPriority w:val="0"/>
    <w:pPr>
      <w:widowControl/>
      <w:snapToGrid w:val="0"/>
      <w:spacing w:after="50" w:afterLines="50"/>
      <w:ind w:firstLine="200" w:firstLineChars="200"/>
    </w:pPr>
    <w:rPr>
      <w:kern w:val="0"/>
      <w:sz w:val="24"/>
      <w:szCs w:val="20"/>
    </w:rPr>
  </w:style>
  <w:style w:type="paragraph" w:customStyle="1" w:styleId="85">
    <w:name w:val="默认段落字体 Para Char Char Char Char Char Char Char Char Char1 Char Char Char Char"/>
    <w:basedOn w:val="1"/>
    <w:uiPriority w:val="0"/>
    <w:rPr>
      <w:rFonts w:ascii="Tahoma" w:hAnsi="Tahoma"/>
      <w:sz w:val="24"/>
      <w:szCs w:val="20"/>
    </w:rPr>
  </w:style>
  <w:style w:type="paragraph" w:customStyle="1" w:styleId="86">
    <w:name w:val="默认段落字体 Para Char Char Char Char"/>
    <w:basedOn w:val="1"/>
    <w:uiPriority w:val="0"/>
    <w:rPr>
      <w:rFonts w:ascii="Arial" w:hAnsi="Arial" w:cs="Arial"/>
      <w:szCs w:val="21"/>
    </w:rPr>
  </w:style>
  <w:style w:type="paragraph" w:customStyle="1" w:styleId="87">
    <w:name w:val="1 Char Char Char Char"/>
    <w:basedOn w:val="1"/>
    <w:uiPriority w:val="0"/>
    <w:rPr>
      <w:rFonts w:ascii="Tahoma" w:hAnsi="Tahoma"/>
      <w:sz w:val="24"/>
      <w:szCs w:val="20"/>
    </w:rPr>
  </w:style>
  <w:style w:type="paragraph" w:customStyle="1" w:styleId="88">
    <w:name w:val="纯文本1"/>
    <w:basedOn w:val="1"/>
    <w:uiPriority w:val="0"/>
    <w:pPr>
      <w:adjustRightInd w:val="0"/>
      <w:textAlignment w:val="baseline"/>
    </w:pPr>
    <w:rPr>
      <w:rFonts w:ascii="宋体" w:hAnsi="Courier New" w:eastAsia="楷体_GB2312"/>
      <w:sz w:val="26"/>
      <w:szCs w:val="20"/>
    </w:rPr>
  </w:style>
  <w:style w:type="paragraph" w:customStyle="1" w:styleId="89">
    <w:name w:val="样式 正文1 + 段前: 0.1 行"/>
    <w:basedOn w:val="1"/>
    <w:uiPriority w:val="0"/>
    <w:pPr>
      <w:snapToGrid w:val="0"/>
      <w:spacing w:before="10" w:beforeLines="10" w:line="440" w:lineRule="atLeast"/>
      <w:ind w:firstLine="510"/>
    </w:pPr>
    <w:rPr>
      <w:sz w:val="24"/>
    </w:rPr>
  </w:style>
  <w:style w:type="paragraph" w:customStyle="1" w:styleId="90">
    <w:name w:val="Plain Text"/>
    <w:basedOn w:val="1"/>
    <w:uiPriority w:val="0"/>
    <w:pPr>
      <w:adjustRightInd w:val="0"/>
      <w:textAlignment w:val="baseline"/>
    </w:pPr>
    <w:rPr>
      <w:rFonts w:ascii="宋体" w:hAnsi="Courier New" w:eastAsia="楷体_GB2312"/>
      <w:sz w:val="26"/>
      <w:szCs w:val="20"/>
    </w:rPr>
  </w:style>
  <w:style w:type="paragraph" w:customStyle="1" w:styleId="91">
    <w:name w:val="表内文字"/>
    <w:basedOn w:val="1"/>
    <w:uiPriority w:val="0"/>
    <w:pPr>
      <w:jc w:val="center"/>
    </w:pPr>
    <w:rPr>
      <w:rFonts w:ascii="仿宋_GB2312" w:eastAsia="仿宋_GB2312"/>
      <w:sz w:val="24"/>
    </w:rPr>
  </w:style>
  <w:style w:type="paragraph" w:customStyle="1" w:styleId="92">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93">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94">
    <w:name w:val="列出段落1"/>
    <w:basedOn w:val="1"/>
    <w:qFormat/>
    <w:uiPriority w:val="0"/>
    <w:pPr>
      <w:ind w:firstLine="420" w:firstLineChars="200"/>
    </w:pPr>
    <w:rPr>
      <w:rFonts w:ascii="Calibri" w:hAnsi="Calibri" w:eastAsia="宋体" w:cs="Times New Roman"/>
      <w:szCs w:val="20"/>
    </w:rPr>
  </w:style>
  <w:style w:type="paragraph" w:customStyle="1" w:styleId="95">
    <w:name w:val="_Style 2"/>
    <w:basedOn w:val="1"/>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96">
    <w:name w:val="Normal"/>
    <w:uiPriority w:val="0"/>
    <w:pPr>
      <w:widowControl w:val="0"/>
      <w:jc w:val="both"/>
    </w:pPr>
    <w:rPr>
      <w:rFonts w:hint="eastAsia"/>
      <w:kern w:val="2"/>
      <w:sz w:val="21"/>
      <w:lang w:val="en-US" w:eastAsia="zh-CN" w:bidi="ar-SA"/>
    </w:rPr>
  </w:style>
  <w:style w:type="paragraph" w:customStyle="1" w:styleId="97">
    <w:name w:val=" Char Char Char Char Char Char Char"/>
    <w:basedOn w:val="1"/>
    <w:uiPriority w:val="0"/>
    <w:rPr>
      <w:szCs w:val="21"/>
    </w:rPr>
  </w:style>
  <w:style w:type="paragraph" w:customStyle="1" w:styleId="98">
    <w:name w:val="List Paragraph"/>
    <w:basedOn w:val="1"/>
    <w:qFormat/>
    <w:uiPriority w:val="0"/>
    <w:pPr>
      <w:ind w:firstLine="420" w:firstLineChars="200"/>
    </w:pPr>
    <w:rPr>
      <w:szCs w:val="21"/>
    </w:rPr>
  </w:style>
  <w:style w:type="paragraph" w:customStyle="1" w:styleId="99">
    <w:name w:val=" Char Char9 Char Char"/>
    <w:basedOn w:val="1"/>
    <w:uiPriority w:val="0"/>
    <w:pPr>
      <w:tabs>
        <w:tab w:val="left" w:pos="360"/>
      </w:tabs>
    </w:pPr>
  </w:style>
  <w:style w:type="paragraph" w:customStyle="1" w:styleId="100">
    <w:name w:val="_Style 54"/>
    <w:basedOn w:val="1"/>
    <w:qFormat/>
    <w:uiPriority w:val="0"/>
    <w:pPr>
      <w:adjustRightInd w:val="0"/>
      <w:snapToGrid w:val="0"/>
      <w:spacing w:line="360" w:lineRule="auto"/>
      <w:ind w:firstLine="420" w:firstLineChars="200"/>
    </w:pPr>
    <w:rPr>
      <w:rFonts w:ascii="Calibri" w:hAnsi="Calibri"/>
      <w:sz w:val="24"/>
    </w:rPr>
  </w:style>
  <w:style w:type="character" w:customStyle="1" w:styleId="101">
    <w:name w:val="标题 Char3"/>
    <w:qFormat/>
    <w:uiPriority w:val="0"/>
    <w:rPr>
      <w:rFonts w:ascii="Calibri Light" w:hAnsi="Calibri Light"/>
      <w:b/>
      <w:bCs/>
      <w:kern w:val="2"/>
      <w:sz w:val="32"/>
      <w:szCs w:val="32"/>
    </w:rPr>
  </w:style>
  <w:style w:type="character" w:customStyle="1" w:styleId="102">
    <w:name w:val="标题 4 Char"/>
    <w:link w:val="8"/>
    <w:qFormat/>
    <w:uiPriority w:val="9"/>
    <w:rPr>
      <w:rFonts w:ascii="Cambria" w:hAnsi="Cambria" w:eastAsia="宋体" w:cs="Times New Roman"/>
      <w:b/>
      <w:bCs/>
      <w:kern w:val="2"/>
      <w:sz w:val="28"/>
      <w:szCs w:val="28"/>
    </w:rPr>
  </w:style>
  <w:style w:type="paragraph" w:customStyle="1" w:styleId="103">
    <w:name w:val="--规划正文"/>
    <w:basedOn w:val="1"/>
    <w:uiPriority w:val="0"/>
    <w:pPr>
      <w:widowControl/>
      <w:suppressAutoHyphens/>
      <w:spacing w:line="360" w:lineRule="auto"/>
      <w:ind w:firstLine="200"/>
      <w:jc w:val="left"/>
    </w:pPr>
    <w:rPr>
      <w:kern w:val="1"/>
      <w:szCs w:val="20"/>
      <w:lang w:eastAsia="ar-SA"/>
    </w:rPr>
  </w:style>
  <w:style w:type="character" w:customStyle="1" w:styleId="104">
    <w:name w:val="标题 1 Char"/>
    <w:link w:val="3"/>
    <w:qFormat/>
    <w:uiPriority w:val="9"/>
    <w:rPr>
      <w:b/>
      <w:bCs/>
      <w:kern w:val="44"/>
      <w:sz w:val="44"/>
      <w:szCs w:val="44"/>
    </w:rPr>
  </w:style>
  <w:style w:type="character" w:customStyle="1" w:styleId="105">
    <w:name w:val="纯文本 字符"/>
    <w:uiPriority w:val="0"/>
    <w:rPr>
      <w:rFonts w:ascii="宋体" w:hAnsi="Courier New" w:eastAsia="宋体" w:cs="Courier New"/>
      <w:kern w:val="2"/>
      <w:sz w:val="21"/>
      <w:szCs w:val="24"/>
    </w:rPr>
  </w:style>
  <w:style w:type="paragraph" w:customStyle="1" w:styleId="106">
    <w:name w:val="FBY-表格文字"/>
    <w:basedOn w:val="1"/>
    <w:qFormat/>
    <w:uiPriority w:val="99"/>
    <w:pPr>
      <w:adjustRightInd w:val="0"/>
      <w:jc w:val="left"/>
      <w:textAlignment w:val="top"/>
    </w:pPr>
    <w:rPr>
      <w:szCs w:val="20"/>
    </w:rPr>
  </w:style>
  <w:style w:type="character" w:customStyle="1" w:styleId="107">
    <w:name w:val="标题 5 Char"/>
    <w:basedOn w:val="50"/>
    <w:link w:val="9"/>
    <w:qFormat/>
    <w:uiPriority w:val="0"/>
    <w:rPr>
      <w:rFonts w:eastAsia="宋体"/>
      <w:b/>
      <w:bCs/>
      <w:kern w:val="2"/>
      <w:sz w:val="28"/>
      <w:szCs w:val="28"/>
    </w:rPr>
  </w:style>
  <w:style w:type="character" w:customStyle="1" w:styleId="108">
    <w:name w:val="标题 6 Char"/>
    <w:basedOn w:val="50"/>
    <w:link w:val="10"/>
    <w:qFormat/>
    <w:uiPriority w:val="9"/>
    <w:rPr>
      <w:rFonts w:ascii="Cambria" w:hAnsi="Cambria" w:eastAsia="宋体" w:cs="Times New Roman"/>
      <w:b/>
      <w:bCs/>
      <w:kern w:val="2"/>
      <w:sz w:val="24"/>
      <w:szCs w:val="24"/>
    </w:rPr>
  </w:style>
  <w:style w:type="character" w:customStyle="1" w:styleId="109">
    <w:name w:val="标题 7 Char"/>
    <w:basedOn w:val="50"/>
    <w:link w:val="11"/>
    <w:qFormat/>
    <w:uiPriority w:val="0"/>
    <w:rPr>
      <w:rFonts w:eastAsia="宋体"/>
      <w:b/>
      <w:bCs/>
      <w:kern w:val="2"/>
      <w:sz w:val="24"/>
      <w:szCs w:val="24"/>
    </w:rPr>
  </w:style>
  <w:style w:type="character" w:customStyle="1" w:styleId="110">
    <w:name w:val="标题 8 Char"/>
    <w:basedOn w:val="50"/>
    <w:link w:val="12"/>
    <w:qFormat/>
    <w:uiPriority w:val="0"/>
    <w:rPr>
      <w:rFonts w:ascii="Cambria" w:hAnsi="Cambria" w:eastAsia="宋体" w:cs="Times New Roman"/>
      <w:b/>
      <w:kern w:val="2"/>
      <w:sz w:val="24"/>
      <w:szCs w:val="24"/>
    </w:rPr>
  </w:style>
  <w:style w:type="character" w:customStyle="1" w:styleId="111">
    <w:name w:val="标题 9 Char"/>
    <w:basedOn w:val="50"/>
    <w:link w:val="13"/>
    <w:qFormat/>
    <w:uiPriority w:val="0"/>
    <w:rPr>
      <w:rFonts w:ascii="Cambria" w:hAnsi="Cambria" w:eastAsia="宋体" w:cs="Times New Roman"/>
      <w:b/>
      <w:kern w:val="2"/>
      <w:sz w:val="24"/>
      <w:szCs w:val="21"/>
    </w:rPr>
  </w:style>
  <w:style w:type="character" w:customStyle="1" w:styleId="112">
    <w:name w:val="正文首行缩进 2 Char"/>
    <w:basedOn w:val="66"/>
    <w:link w:val="46"/>
    <w:uiPriority w:val="99"/>
    <w:rPr>
      <w:sz w:val="24"/>
    </w:rPr>
  </w:style>
  <w:style w:type="character" w:customStyle="1" w:styleId="113">
    <w:name w:val="标题 2 Char"/>
    <w:basedOn w:val="50"/>
    <w:link w:val="4"/>
    <w:qFormat/>
    <w:uiPriority w:val="9"/>
    <w:rPr>
      <w:rFonts w:ascii="仿宋_GB2312" w:eastAsia="仿宋_GB2312"/>
      <w:b/>
      <w:sz w:val="36"/>
    </w:rPr>
  </w:style>
  <w:style w:type="character" w:customStyle="1" w:styleId="114">
    <w:name w:val="标题 3 Char"/>
    <w:basedOn w:val="50"/>
    <w:link w:val="6"/>
    <w:qFormat/>
    <w:uiPriority w:val="9"/>
    <w:rPr>
      <w:rFonts w:ascii="仿宋_GB2312" w:eastAsia="仿宋_GB2312"/>
      <w:b/>
      <w:bCs/>
      <w:kern w:val="2"/>
      <w:sz w:val="30"/>
    </w:rPr>
  </w:style>
  <w:style w:type="paragraph" w:customStyle="1" w:styleId="115">
    <w:name w:val="TOC 标题1"/>
    <w:basedOn w:val="3"/>
    <w:next w:val="1"/>
    <w:unhideWhenUsed/>
    <w:qFormat/>
    <w:uiPriority w:val="39"/>
    <w:pPr>
      <w:widowControl/>
      <w:spacing w:before="240" w:beforeLines="100" w:after="0" w:afterLines="100" w:line="259" w:lineRule="auto"/>
      <w:jc w:val="left"/>
      <w:outlineLvl w:val="9"/>
    </w:pPr>
    <w:rPr>
      <w:rFonts w:ascii="Cambria" w:hAnsi="Cambria" w:eastAsia="宋体" w:cs="Times New Roman"/>
      <w:b w:val="0"/>
      <w:bCs w:val="0"/>
      <w:color w:val="365F91"/>
      <w:kern w:val="0"/>
      <w:sz w:val="32"/>
      <w:szCs w:val="32"/>
    </w:rPr>
  </w:style>
  <w:style w:type="paragraph" w:customStyle="1" w:styleId="116">
    <w:name w:val="节"/>
    <w:basedOn w:val="4"/>
    <w:qFormat/>
    <w:uiPriority w:val="99"/>
    <w:pPr>
      <w:keepLines/>
      <w:numPr>
        <w:ilvl w:val="1"/>
        <w:numId w:val="2"/>
      </w:numPr>
      <w:tabs>
        <w:tab w:val="left" w:pos="432"/>
      </w:tabs>
      <w:adjustRightInd/>
      <w:snapToGrid/>
      <w:spacing w:before="0" w:beforeLines="100" w:after="0" w:afterLines="100" w:line="240" w:lineRule="auto"/>
      <w:jc w:val="both"/>
      <w:textAlignment w:val="auto"/>
    </w:pPr>
    <w:rPr>
      <w:rFonts w:ascii="黑体" w:hAnsi="Arial" w:eastAsia="黑体"/>
      <w:b w:val="0"/>
      <w:bCs/>
      <w:kern w:val="2"/>
      <w:sz w:val="28"/>
      <w:szCs w:val="28"/>
      <w:lang w:val="zh-CN"/>
    </w:rPr>
  </w:style>
  <w:style w:type="paragraph" w:customStyle="1" w:styleId="117">
    <w:name w:val="封面标题"/>
    <w:qFormat/>
    <w:uiPriority w:val="0"/>
    <w:pPr>
      <w:spacing w:beforeLines="500" w:afterLines="300"/>
      <w:jc w:val="center"/>
    </w:pPr>
    <w:rPr>
      <w:rFonts w:ascii="Calibri" w:hAnsi="Calibri" w:eastAsia="黑体"/>
      <w:b/>
      <w:kern w:val="2"/>
      <w:sz w:val="52"/>
      <w:szCs w:val="22"/>
      <w:lang w:val="en-US" w:eastAsia="zh-CN" w:bidi="ar-SA"/>
    </w:rPr>
  </w:style>
  <w:style w:type="character" w:customStyle="1" w:styleId="118">
    <w:name w:val="列出段落 Char1"/>
    <w:qFormat/>
    <w:uiPriority w:val="34"/>
    <w:rPr>
      <w:sz w:val="24"/>
    </w:rPr>
  </w:style>
  <w:style w:type="paragraph" w:customStyle="1" w:styleId="119">
    <w:name w:val="GW-正文"/>
    <w:link w:val="120"/>
    <w:qFormat/>
    <w:uiPriority w:val="0"/>
    <w:pPr>
      <w:spacing w:line="300" w:lineRule="auto"/>
      <w:ind w:firstLine="200" w:firstLineChars="200"/>
    </w:pPr>
    <w:rPr>
      <w:rFonts w:eastAsia="仿宋_GB2312"/>
      <w:sz w:val="24"/>
      <w:szCs w:val="24"/>
      <w:lang w:bidi="ar-SA"/>
    </w:rPr>
  </w:style>
  <w:style w:type="character" w:customStyle="1" w:styleId="120">
    <w:name w:val="GW-正文 Char"/>
    <w:link w:val="119"/>
    <w:qFormat/>
    <w:uiPriority w:val="0"/>
    <w:rPr>
      <w:rFonts w:eastAsia="仿宋_GB2312"/>
      <w:sz w:val="24"/>
      <w:szCs w:val="24"/>
      <w:lang w:bidi="ar-SA"/>
    </w:rPr>
  </w:style>
  <w:style w:type="paragraph" w:customStyle="1" w:styleId="121">
    <w:name w:val="*正文"/>
    <w:basedOn w:val="1"/>
    <w:link w:val="122"/>
    <w:qFormat/>
    <w:uiPriority w:val="99"/>
    <w:pPr>
      <w:spacing w:line="360" w:lineRule="auto"/>
      <w:ind w:firstLine="482"/>
    </w:pPr>
    <w:rPr>
      <w:rFonts w:ascii="宋体" w:hAnsi="宋体"/>
      <w:kern w:val="0"/>
      <w:sz w:val="24"/>
      <w:szCs w:val="20"/>
    </w:rPr>
  </w:style>
  <w:style w:type="character" w:customStyle="1" w:styleId="122">
    <w:name w:val="*正文 Char"/>
    <w:link w:val="121"/>
    <w:qFormat/>
    <w:uiPriority w:val="99"/>
    <w:rPr>
      <w:rFonts w:ascii="宋体" w:hAnsi="宋体"/>
      <w:sz w:val="24"/>
    </w:rPr>
  </w:style>
  <w:style w:type="character" w:customStyle="1" w:styleId="123">
    <w:name w:val="普通(网站) Char"/>
    <w:link w:val="42"/>
    <w:qFormat/>
    <w:locked/>
    <w:uiPriority w:val="99"/>
    <w:rPr>
      <w:rFonts w:ascii="宋体" w:hAnsi="宋体" w:cs="宋体"/>
      <w:sz w:val="24"/>
      <w:szCs w:val="24"/>
    </w:rPr>
  </w:style>
  <w:style w:type="paragraph" w:customStyle="1" w:styleId="124">
    <w:name w:val="_Style 58"/>
    <w:basedOn w:val="1"/>
    <w:next w:val="68"/>
    <w:qFormat/>
    <w:uiPriority w:val="0"/>
    <w:pPr>
      <w:ind w:firstLine="420" w:firstLineChars="200"/>
    </w:pPr>
    <w:rPr>
      <w:rFonts w:ascii="Calibri" w:hAnsi="Calibri"/>
      <w:szCs w:val="22"/>
    </w:rPr>
  </w:style>
  <w:style w:type="paragraph" w:customStyle="1" w:styleId="125">
    <w:name w:val="5级标题"/>
    <w:basedOn w:val="1"/>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126">
    <w:name w:val="6级标题"/>
    <w:basedOn w:val="1"/>
    <w:qFormat/>
    <w:uiPriority w:val="0"/>
    <w:pPr>
      <w:keepNext/>
      <w:ind w:left="1152" w:hanging="432"/>
      <w:jc w:val="left"/>
      <w:outlineLvl w:val="5"/>
    </w:pPr>
    <w:rPr>
      <w:rFonts w:ascii="黑体" w:hAnsi="宋体"/>
      <w:b/>
      <w:bCs/>
      <w:sz w:val="24"/>
      <w:szCs w:val="52"/>
    </w:rPr>
  </w:style>
  <w:style w:type="character" w:customStyle="1" w:styleId="127">
    <w:name w:val="题注 Char"/>
    <w:link w:val="16"/>
    <w:qFormat/>
    <w:locked/>
    <w:uiPriority w:val="0"/>
    <w:rPr>
      <w:rFonts w:ascii="Arial" w:hAnsi="Arial" w:eastAsia="黑体" w:cs="Arial"/>
      <w:kern w:val="2"/>
    </w:rPr>
  </w:style>
  <w:style w:type="table" w:customStyle="1" w:styleId="128">
    <w:name w:val="浅色列表1"/>
    <w:basedOn w:val="47"/>
    <w:qFormat/>
    <w:uiPriority w:val="61"/>
    <w:tblPr>
      <w:tblStyle w:val="47"/>
      <w:tblBorders>
        <w:top w:val="single" w:color="000000" w:sz="8" w:space="0"/>
        <w:left w:val="single" w:color="000000" w:sz="8" w:space="0"/>
        <w:bottom w:val="single" w:color="000000" w:sz="8" w:space="0"/>
        <w:right w:val="single" w:color="000000" w:sz="8" w:space="0"/>
      </w:tblBorders>
    </w:tblPr>
    <w:trPr>
      <w:wBefore w:w="0" w:type="dxa"/>
    </w:trPr>
    <w:tblStylePr w:type="firstRow">
      <w:pPr>
        <w:spacing w:before="0" w:after="0" w:line="240" w:lineRule="auto"/>
      </w:pPr>
      <w:rPr>
        <w:b/>
        <w:bCs/>
        <w:color w:val="FFFFFF"/>
      </w:rPr>
      <w:tblPr>
        <w:tblStyle w:val="47"/>
      </w:tblPr>
      <w:tcPr>
        <w:shd w:val="clear" w:color="auto" w:fill="000000"/>
      </w:tcPr>
    </w:tblStylePr>
    <w:tblStylePr w:type="lastRow">
      <w:pPr>
        <w:spacing w:before="0" w:after="0" w:line="240" w:lineRule="auto"/>
      </w:pPr>
      <w:rPr>
        <w:b/>
        <w:bCs/>
      </w:rPr>
      <w:tblPr>
        <w:tblStyle w:val="47"/>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blStyle w:val="47"/>
      </w:tblPr>
      <w:tcPr>
        <w:tcBorders>
          <w:top w:val="single" w:color="000000" w:sz="8" w:space="0"/>
          <w:left w:val="single" w:color="000000" w:sz="8" w:space="0"/>
          <w:bottom w:val="single" w:color="000000" w:sz="8" w:space="0"/>
          <w:right w:val="single" w:color="000000" w:sz="8" w:space="0"/>
        </w:tcBorders>
      </w:tcPr>
    </w:tblStylePr>
    <w:tblStylePr w:type="band1Horz">
      <w:tblPr>
        <w:tblStyle w:val="47"/>
      </w:tblPr>
      <w:tcPr>
        <w:tcBorders>
          <w:top w:val="single" w:color="000000" w:sz="8" w:space="0"/>
          <w:left w:val="single" w:color="000000" w:sz="8" w:space="0"/>
          <w:bottom w:val="single" w:color="000000" w:sz="8" w:space="0"/>
          <w:right w:val="single" w:color="000000" w:sz="8" w:space="0"/>
        </w:tcBorders>
      </w:tcPr>
    </w:tblStylePr>
  </w:style>
  <w:style w:type="character" w:customStyle="1" w:styleId="129">
    <w:name w:val="font01"/>
    <w:basedOn w:val="50"/>
    <w:qFormat/>
    <w:uiPriority w:val="0"/>
    <w:rPr>
      <w:rFonts w:hint="eastAsia" w:ascii="微软雅黑" w:hAnsi="微软雅黑" w:eastAsia="微软雅黑" w:cs="微软雅黑"/>
      <w:color w:val="000000"/>
      <w:sz w:val="18"/>
      <w:szCs w:val="18"/>
      <w:u w:val="none"/>
    </w:rPr>
  </w:style>
  <w:style w:type="character" w:customStyle="1" w:styleId="130">
    <w:name w:val="font11"/>
    <w:basedOn w:val="50"/>
    <w:qFormat/>
    <w:uiPriority w:val="0"/>
    <w:rPr>
      <w:rFonts w:hint="eastAsia" w:ascii="微软雅黑" w:hAnsi="微软雅黑" w:eastAsia="微软雅黑" w:cs="微软雅黑"/>
      <w:color w:val="FF0000"/>
      <w:sz w:val="18"/>
      <w:szCs w:val="18"/>
      <w:u w:val="none"/>
    </w:rPr>
  </w:style>
  <w:style w:type="character" w:customStyle="1" w:styleId="131">
    <w:name w:val="font51"/>
    <w:basedOn w:val="50"/>
    <w:qFormat/>
    <w:uiPriority w:val="0"/>
    <w:rPr>
      <w:rFonts w:hint="eastAsia" w:ascii="微软雅黑" w:hAnsi="微软雅黑" w:eastAsia="微软雅黑" w:cs="微软雅黑"/>
      <w:i/>
      <w:color w:val="FF0000"/>
      <w:sz w:val="18"/>
      <w:szCs w:val="18"/>
      <w:u w:val="none"/>
    </w:rPr>
  </w:style>
  <w:style w:type="character" w:customStyle="1" w:styleId="132">
    <w:name w:val="font21"/>
    <w:basedOn w:val="50"/>
    <w:qFormat/>
    <w:uiPriority w:val="0"/>
    <w:rPr>
      <w:rFonts w:hint="eastAsia" w:ascii="微软雅黑" w:hAnsi="微软雅黑" w:eastAsia="微软雅黑" w:cs="微软雅黑"/>
      <w:color w:val="000000"/>
      <w:sz w:val="18"/>
      <w:szCs w:val="18"/>
      <w:u w:val="none"/>
    </w:rPr>
  </w:style>
  <w:style w:type="character" w:customStyle="1" w:styleId="133">
    <w:name w:val="lotusalttext"/>
    <w:basedOn w:val="50"/>
    <w:qFormat/>
    <w:uiPriority w:val="0"/>
  </w:style>
  <w:style w:type="character" w:customStyle="1" w:styleId="134">
    <w:name w:val="hover"/>
    <w:basedOn w:val="50"/>
    <w:qFormat/>
    <w:uiPriority w:val="0"/>
    <w:rPr>
      <w:color w:val="4178BE"/>
    </w:rPr>
  </w:style>
  <w:style w:type="character" w:customStyle="1" w:styleId="135">
    <w:name w:val="dijitarrowbuttoninner"/>
    <w:basedOn w:val="50"/>
    <w:qFormat/>
    <w:uiPriority w:val="0"/>
    <w:rPr>
      <w:vanish/>
    </w:rPr>
  </w:style>
  <w:style w:type="character" w:customStyle="1" w:styleId="136">
    <w:name w:val="after"/>
    <w:basedOn w:val="50"/>
    <w:qFormat/>
    <w:uiPriority w:val="0"/>
    <w:rPr>
      <w:shd w:val="clear" w:color="auto" w:fill="008571"/>
    </w:rPr>
  </w:style>
  <w:style w:type="character" w:customStyle="1" w:styleId="137">
    <w:name w:val="after1"/>
    <w:basedOn w:val="50"/>
    <w:qFormat/>
    <w:uiPriority w:val="0"/>
  </w:style>
  <w:style w:type="character" w:customStyle="1" w:styleId="138">
    <w:name w:val="optnless"/>
    <w:basedOn w:val="50"/>
    <w:qFormat/>
    <w:uiPriority w:val="0"/>
    <w:rPr>
      <w:color w:val="5596E6"/>
    </w:rPr>
  </w:style>
  <w:style w:type="character" w:customStyle="1" w:styleId="139">
    <w:name w:val="optnmore"/>
    <w:basedOn w:val="50"/>
    <w:qFormat/>
    <w:uiPriority w:val="0"/>
    <w:rPr>
      <w:color w:val="5596E6"/>
    </w:rPr>
  </w:style>
  <w:style w:type="character" w:customStyle="1" w:styleId="140">
    <w:name w:val="optnmoresets"/>
    <w:basedOn w:val="50"/>
    <w:qFormat/>
    <w:uiPriority w:val="0"/>
    <w:rPr>
      <w:color w:val="5596E6"/>
    </w:rPr>
  </w:style>
  <w:style w:type="character" w:customStyle="1" w:styleId="141">
    <w:name w:val="optnsets"/>
    <w:basedOn w:val="50"/>
    <w:qFormat/>
    <w:uiPriority w:val="0"/>
    <w:rPr>
      <w:color w:val="5596E6"/>
    </w:rPr>
  </w:style>
  <w:style w:type="character" w:customStyle="1" w:styleId="142">
    <w:name w:val="lotusbtndisabled2"/>
    <w:basedOn w:val="50"/>
    <w:qFormat/>
    <w:uiPriority w:val="0"/>
  </w:style>
  <w:style w:type="character" w:customStyle="1" w:styleId="143">
    <w:name w:val="before"/>
    <w:basedOn w:val="50"/>
    <w:qFormat/>
    <w:uiPriority w:val="0"/>
  </w:style>
  <w:style w:type="character" w:customStyle="1" w:styleId="144">
    <w:name w:val="before1"/>
    <w:basedOn w:val="50"/>
    <w:qFormat/>
    <w:uiPriority w:val="0"/>
    <w:rPr>
      <w:shd w:val="clear" w:color="auto" w:fill="4178BE"/>
    </w:rPr>
  </w:style>
  <w:style w:type="character" w:customStyle="1" w:styleId="145">
    <w:name w:val="hover21"/>
    <w:basedOn w:val="50"/>
    <w:qFormat/>
    <w:uiPriority w:val="0"/>
    <w:rPr>
      <w:color w:val="4178BE"/>
    </w:rPr>
  </w:style>
  <w:style w:type="character" w:customStyle="1" w:styleId="146">
    <w:name w:val="lotusalttext10"/>
    <w:basedOn w:val="50"/>
    <w:qFormat/>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10094</Words>
  <Characters>57541</Characters>
  <Lines>479</Lines>
  <Paragraphs>134</Paragraphs>
  <TotalTime>0</TotalTime>
  <ScaleCrop>false</ScaleCrop>
  <LinksUpToDate>false</LinksUpToDate>
  <CharactersWithSpaces>67501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2020-09-18T11:06:00Z</dcterms:created>
  <dc:creator>微软用户</dc:creator>
  <cp:lastModifiedBy>WPS_1701756769</cp:lastModifiedBy>
  <cp:lastPrinted>2020-09-14T11:39:00Z</cp:lastPrinted>
  <dcterms:modified xsi:type="dcterms:W3CDTF">2024-02-22T06:27:35Z</dcterms:modified>
  <cp:revision>5</cp:revision>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7894470902974610A39C5A52ADDD0A52_13</vt:lpwstr>
  </property>
</Properties>
</file>