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p>
    <w:p>
      <w:pPr>
        <w:adjustRightInd/>
        <w:spacing w:line="360" w:lineRule="auto"/>
        <w:jc w:val="center"/>
        <w:rPr>
          <w:rFonts w:hint="eastAsia" w:ascii="仿宋" w:hAnsi="仿宋" w:eastAsia="仿宋" w:cs="仿宋"/>
          <w:b/>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义蓬街道职工2024年疗休养服务采购项目</w:t>
      </w:r>
    </w:p>
    <w:p>
      <w:pPr>
        <w:adjustRightInd/>
        <w:spacing w:line="360" w:lineRule="auto"/>
        <w:jc w:val="center"/>
        <w:rPr>
          <w:rFonts w:hint="eastAsia" w:ascii="仿宋" w:hAnsi="仿宋" w:eastAsia="仿宋" w:cs="仿宋"/>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cs="仿宋"/>
          <w:color w:val="auto"/>
          <w:sz w:val="30"/>
          <w:szCs w:val="30"/>
          <w:highlight w:val="none"/>
          <w:lang w:val="en-US" w:eastAsia="zh-CN"/>
        </w:rPr>
        <w:t xml:space="preserve">  </w:t>
      </w:r>
    </w:p>
    <w:p>
      <w:pPr>
        <w:snapToGrid w:val="0"/>
        <w:spacing w:line="360" w:lineRule="auto"/>
        <w:jc w:val="center"/>
        <w:rPr>
          <w:rFonts w:hint="eastAsia" w:ascii="仿宋" w:hAnsi="仿宋" w:eastAsia="仿宋" w:cs="仿宋"/>
          <w:color w:val="auto"/>
          <w:sz w:val="30"/>
          <w:szCs w:val="30"/>
          <w:highlight w:val="none"/>
        </w:rPr>
      </w:pPr>
    </w:p>
    <w:p>
      <w:pPr>
        <w:snapToGrid w:val="0"/>
        <w:spacing w:line="360" w:lineRule="auto"/>
        <w:jc w:val="center"/>
        <w:rPr>
          <w:rFonts w:hint="eastAsia" w:ascii="仿宋" w:hAnsi="仿宋" w:eastAsia="仿宋" w:cs="仿宋"/>
          <w:color w:val="auto"/>
          <w:sz w:val="30"/>
          <w:szCs w:val="30"/>
          <w:highlight w:val="none"/>
        </w:rPr>
      </w:pPr>
    </w:p>
    <w:p>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编号:QTCG-GK-2024-035</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spacing w:line="360" w:lineRule="auto"/>
        <w:jc w:val="center"/>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lang w:eastAsia="zh-CN"/>
        </w:rPr>
        <w:t>杭州市钱塘区人民政府义蓬街道办事处</w:t>
      </w:r>
    </w:p>
    <w:p>
      <w:pPr>
        <w:spacing w:line="360" w:lineRule="auto"/>
        <w:jc w:val="center"/>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lang w:eastAsia="zh-CN"/>
        </w:rPr>
        <w:t>浙江中合工程管理有限公司</w:t>
      </w:r>
    </w:p>
    <w:p>
      <w:pPr>
        <w:spacing w:line="360" w:lineRule="auto"/>
        <w:jc w:val="center"/>
        <w:rPr>
          <w:rFonts w:hint="eastAsia" w:ascii="仿宋" w:hAnsi="仿宋" w:eastAsia="仿宋" w:cs="仿宋"/>
          <w:color w:val="auto"/>
          <w:sz w:val="24"/>
          <w:highlight w:val="none"/>
        </w:rPr>
      </w:pPr>
      <w:r>
        <w:rPr>
          <w:rFonts w:hint="eastAsia" w:ascii="仿宋" w:hAnsi="仿宋" w:cs="仿宋"/>
          <w:color w:val="auto"/>
          <w:sz w:val="36"/>
          <w:szCs w:val="36"/>
          <w:highlight w:val="none"/>
          <w:lang w:val="en-US" w:eastAsia="zh-CN"/>
        </w:rPr>
        <w:t>2024</w:t>
      </w:r>
      <w:r>
        <w:rPr>
          <w:rFonts w:hint="eastAsia" w:ascii="仿宋" w:hAnsi="仿宋" w:eastAsia="仿宋" w:cs="仿宋"/>
          <w:color w:val="auto"/>
          <w:sz w:val="36"/>
          <w:szCs w:val="36"/>
          <w:highlight w:val="none"/>
          <w:lang w:eastAsia="zh-CN"/>
        </w:rPr>
        <w:t>年</w:t>
      </w:r>
      <w:r>
        <w:rPr>
          <w:rFonts w:hint="eastAsia" w:ascii="仿宋" w:hAnsi="仿宋" w:cs="仿宋"/>
          <w:color w:val="auto"/>
          <w:sz w:val="36"/>
          <w:szCs w:val="36"/>
          <w:highlight w:val="none"/>
          <w:lang w:val="en-US" w:eastAsia="zh-CN"/>
        </w:rPr>
        <w:t>03</w:t>
      </w:r>
      <w:r>
        <w:rPr>
          <w:rFonts w:hint="eastAsia" w:ascii="仿宋" w:hAnsi="仿宋" w:eastAsia="仿宋" w:cs="仿宋"/>
          <w:color w:val="auto"/>
          <w:sz w:val="36"/>
          <w:szCs w:val="36"/>
          <w:highlight w:val="none"/>
          <w:lang w:eastAsia="zh-CN"/>
        </w:rPr>
        <w:t>月</w:t>
      </w:r>
      <w:r>
        <w:rPr>
          <w:rFonts w:hint="eastAsia" w:ascii="仿宋" w:hAnsi="仿宋" w:cs="仿宋"/>
          <w:color w:val="auto"/>
          <w:sz w:val="36"/>
          <w:szCs w:val="36"/>
          <w:highlight w:val="none"/>
          <w:lang w:val="en-US" w:eastAsia="zh-CN"/>
        </w:rPr>
        <w:t>19</w:t>
      </w:r>
      <w:r>
        <w:rPr>
          <w:rFonts w:hint="eastAsia" w:ascii="仿宋" w:hAnsi="仿宋" w:eastAsia="仿宋" w:cs="仿宋"/>
          <w:color w:val="auto"/>
          <w:sz w:val="36"/>
          <w:szCs w:val="36"/>
          <w:highlight w:val="none"/>
          <w:lang w:eastAsia="zh-CN"/>
        </w:rPr>
        <w:t>日</w:t>
      </w: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cs="仿宋"/>
          <w:color w:val="auto"/>
          <w:sz w:val="24"/>
          <w:highlight w:val="none"/>
          <w:u w:val="single"/>
          <w:lang w:eastAsia="zh-CN"/>
        </w:rPr>
        <w:t>义蓬街道职工2024年疗休养服务采购项目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cs="仿宋"/>
          <w:color w:val="auto"/>
          <w:sz w:val="24"/>
          <w:highlight w:val="none"/>
          <w:u w:val="single"/>
          <w:lang w:val="en-US" w:eastAsia="zh-CN"/>
        </w:rPr>
        <w:t>04</w:t>
      </w:r>
      <w:r>
        <w:rPr>
          <w:rFonts w:hint="eastAsia" w:ascii="仿宋" w:hAnsi="仿宋" w:eastAsia="仿宋" w:cs="仿宋"/>
          <w:color w:val="auto"/>
          <w:sz w:val="24"/>
          <w:highlight w:val="none"/>
          <w:u w:val="single"/>
        </w:rPr>
        <w:t>月</w:t>
      </w:r>
      <w:r>
        <w:rPr>
          <w:rFonts w:hint="eastAsia" w:ascii="仿宋" w:hAnsi="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ind w:firstLine="480"/>
        <w:rPr>
          <w:rFonts w:hint="eastAsia" w:ascii="仿宋" w:hAnsi="仿宋" w:cs="仿宋"/>
          <w:b w:val="0"/>
          <w:bCs w:val="0"/>
          <w:color w:val="auto"/>
          <w:sz w:val="24"/>
          <w:highlight w:val="none"/>
          <w:lang w:val="en-US" w:eastAsia="zh-CN"/>
        </w:rPr>
      </w:pPr>
      <w:r>
        <w:rPr>
          <w:rFonts w:hint="eastAsia" w:ascii="仿宋" w:hAnsi="仿宋" w:eastAsia="仿宋" w:cs="仿宋"/>
          <w:b w:val="0"/>
          <w:bCs w:val="0"/>
          <w:color w:val="auto"/>
          <w:sz w:val="24"/>
          <w:highlight w:val="none"/>
        </w:rPr>
        <w:t>项目编号：QTCG-GK-2024-035</w:t>
      </w:r>
    </w:p>
    <w:p>
      <w:pPr>
        <w:spacing w:line="360" w:lineRule="auto"/>
        <w:ind w:firstLine="48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项目名称：</w:t>
      </w:r>
      <w:r>
        <w:rPr>
          <w:rFonts w:hint="eastAsia" w:ascii="仿宋" w:hAnsi="仿宋" w:cs="仿宋"/>
          <w:b w:val="0"/>
          <w:bCs w:val="0"/>
          <w:color w:val="auto"/>
          <w:sz w:val="24"/>
          <w:highlight w:val="none"/>
          <w:lang w:eastAsia="zh-CN"/>
        </w:rPr>
        <w:t>义蓬街道职工2024年疗休养服务采购项目</w:t>
      </w:r>
    </w:p>
    <w:p>
      <w:pPr>
        <w:spacing w:line="360" w:lineRule="auto"/>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 xml:space="preserve">    预算金额（元）：1768</w:t>
      </w:r>
      <w:r>
        <w:rPr>
          <w:rFonts w:hint="eastAsia" w:ascii="仿宋" w:hAnsi="仿宋" w:cs="仿宋"/>
          <w:b w:val="0"/>
          <w:bCs w:val="0"/>
          <w:color w:val="auto"/>
          <w:sz w:val="24"/>
          <w:highlight w:val="none"/>
          <w:lang w:val="en-US" w:eastAsia="zh-CN"/>
        </w:rPr>
        <w:t>000</w:t>
      </w:r>
    </w:p>
    <w:p>
      <w:pPr>
        <w:spacing w:line="360" w:lineRule="auto"/>
        <w:ind w:left="480" w:left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最高限价</w:t>
      </w:r>
      <w:r>
        <w:rPr>
          <w:rFonts w:hint="eastAsia" w:ascii="仿宋" w:hAnsi="仿宋" w:eastAsia="仿宋" w:cs="仿宋"/>
          <w:color w:val="auto"/>
          <w:sz w:val="24"/>
          <w:szCs w:val="28"/>
          <w:highlight w:val="none"/>
          <w:lang w:eastAsia="zh-CN"/>
        </w:rPr>
        <w:t>（元）</w:t>
      </w:r>
      <w:r>
        <w:rPr>
          <w:rFonts w:hint="eastAsia" w:ascii="仿宋" w:hAnsi="仿宋" w:eastAsia="仿宋" w:cs="仿宋"/>
          <w:color w:val="auto"/>
          <w:sz w:val="24"/>
          <w:szCs w:val="28"/>
          <w:highlight w:val="none"/>
        </w:rPr>
        <w:t>：1768</w:t>
      </w:r>
      <w:r>
        <w:rPr>
          <w:rFonts w:hint="eastAsia" w:ascii="仿宋" w:hAnsi="仿宋" w:eastAsia="仿宋" w:cs="仿宋"/>
          <w:color w:val="auto"/>
          <w:sz w:val="24"/>
          <w:szCs w:val="28"/>
          <w:highlight w:val="none"/>
          <w:lang w:val="en-US" w:eastAsia="zh-CN"/>
        </w:rPr>
        <w:t>000</w:t>
      </w:r>
    </w:p>
    <w:p>
      <w:pPr>
        <w:spacing w:line="360" w:lineRule="auto"/>
        <w:ind w:left="480" w:leftChars="200"/>
        <w:jc w:val="left"/>
        <w:rPr>
          <w:rFonts w:hint="default" w:eastAsia="仿宋"/>
          <w:color w:val="auto"/>
          <w:highlight w:val="none"/>
          <w:lang w:val="en-US" w:eastAsia="zh-CN"/>
        </w:rPr>
      </w:pPr>
      <w:r>
        <w:rPr>
          <w:rFonts w:hint="eastAsia" w:ascii="仿宋" w:hAnsi="仿宋" w:eastAsia="仿宋" w:cs="仿宋"/>
          <w:color w:val="auto"/>
          <w:sz w:val="24"/>
          <w:szCs w:val="28"/>
          <w:highlight w:val="none"/>
          <w:lang w:val="en-US" w:eastAsia="zh-CN"/>
        </w:rPr>
        <w:t>标项一：</w:t>
      </w:r>
      <w:r>
        <w:rPr>
          <w:rFonts w:hint="eastAsia" w:ascii="仿宋" w:hAnsi="仿宋" w:cs="仿宋"/>
          <w:color w:val="auto"/>
          <w:sz w:val="24"/>
          <w:szCs w:val="28"/>
          <w:highlight w:val="none"/>
          <w:lang w:val="en-US" w:eastAsia="zh-CN"/>
        </w:rPr>
        <w:t>664000</w:t>
      </w:r>
      <w:r>
        <w:rPr>
          <w:rFonts w:hint="eastAsia" w:ascii="仿宋" w:hAnsi="仿宋" w:eastAsia="仿宋" w:cs="仿宋"/>
          <w:color w:val="auto"/>
          <w:sz w:val="24"/>
          <w:szCs w:val="28"/>
          <w:highlight w:val="none"/>
          <w:lang w:val="en-US" w:eastAsia="zh-CN"/>
        </w:rPr>
        <w:t>元</w:t>
      </w:r>
    </w:p>
    <w:p>
      <w:pPr>
        <w:spacing w:line="360" w:lineRule="auto"/>
        <w:ind w:left="480" w:left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标项二：</w:t>
      </w:r>
      <w:r>
        <w:rPr>
          <w:rFonts w:hint="eastAsia" w:ascii="仿宋" w:hAnsi="仿宋" w:cs="仿宋"/>
          <w:color w:val="auto"/>
          <w:sz w:val="24"/>
          <w:szCs w:val="28"/>
          <w:highlight w:val="none"/>
          <w:lang w:val="en-US" w:eastAsia="zh-CN"/>
        </w:rPr>
        <w:t>660000</w:t>
      </w:r>
      <w:r>
        <w:rPr>
          <w:rFonts w:hint="eastAsia" w:ascii="仿宋" w:hAnsi="仿宋" w:eastAsia="仿宋" w:cs="仿宋"/>
          <w:color w:val="auto"/>
          <w:sz w:val="24"/>
          <w:szCs w:val="28"/>
          <w:highlight w:val="none"/>
          <w:lang w:val="en-US" w:eastAsia="zh-CN"/>
        </w:rPr>
        <w:t>元</w:t>
      </w:r>
    </w:p>
    <w:p>
      <w:pPr>
        <w:spacing w:line="360" w:lineRule="auto"/>
        <w:ind w:left="480" w:left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标项</w:t>
      </w:r>
      <w:r>
        <w:rPr>
          <w:rFonts w:hint="eastAsia" w:ascii="仿宋" w:hAnsi="仿宋" w:cs="仿宋"/>
          <w:color w:val="auto"/>
          <w:sz w:val="24"/>
          <w:szCs w:val="28"/>
          <w:highlight w:val="none"/>
          <w:lang w:val="en-US" w:eastAsia="zh-CN"/>
        </w:rPr>
        <w:t>三</w:t>
      </w:r>
      <w:r>
        <w:rPr>
          <w:rFonts w:hint="eastAsia" w:ascii="仿宋" w:hAnsi="仿宋" w:eastAsia="仿宋" w:cs="仿宋"/>
          <w:color w:val="auto"/>
          <w:sz w:val="24"/>
          <w:szCs w:val="28"/>
          <w:highlight w:val="none"/>
          <w:lang w:val="en-US" w:eastAsia="zh-CN"/>
        </w:rPr>
        <w:t>：</w:t>
      </w:r>
      <w:r>
        <w:rPr>
          <w:rFonts w:hint="eastAsia" w:ascii="仿宋" w:hAnsi="仿宋" w:cs="仿宋"/>
          <w:color w:val="auto"/>
          <w:sz w:val="24"/>
          <w:szCs w:val="28"/>
          <w:highlight w:val="none"/>
          <w:lang w:val="en-US" w:eastAsia="zh-CN"/>
        </w:rPr>
        <w:t>444000</w:t>
      </w:r>
      <w:r>
        <w:rPr>
          <w:rFonts w:hint="eastAsia" w:ascii="仿宋" w:hAnsi="仿宋" w:eastAsia="仿宋" w:cs="仿宋"/>
          <w:color w:val="auto"/>
          <w:sz w:val="24"/>
          <w:szCs w:val="28"/>
          <w:highlight w:val="none"/>
          <w:lang w:val="en-US" w:eastAsia="zh-CN"/>
        </w:rPr>
        <w:t>元</w:t>
      </w:r>
    </w:p>
    <w:p>
      <w:pPr>
        <w:spacing w:line="360" w:lineRule="auto"/>
        <w:ind w:left="480" w:leftChars="200"/>
        <w:jc w:val="left"/>
        <w:rPr>
          <w:rFonts w:hint="eastAsia" w:ascii="仿宋" w:hAnsi="仿宋" w:eastAsia="仿宋" w:cs="仿宋"/>
          <w:color w:val="auto"/>
          <w:sz w:val="24"/>
          <w:szCs w:val="28"/>
          <w:highlight w:val="none"/>
        </w:rPr>
      </w:pPr>
    </w:p>
    <w:p>
      <w:pPr>
        <w:spacing w:line="360" w:lineRule="auto"/>
        <w:ind w:left="480" w:left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采购需求：标项</w:t>
      </w:r>
      <w:r>
        <w:rPr>
          <w:rFonts w:hint="eastAsia" w:ascii="仿宋" w:hAnsi="仿宋" w:cs="仿宋"/>
          <w:color w:val="auto"/>
          <w:sz w:val="24"/>
          <w:szCs w:val="28"/>
          <w:highlight w:val="none"/>
          <w:lang w:val="en-US" w:eastAsia="zh-CN"/>
        </w:rPr>
        <w:t>一</w:t>
      </w:r>
      <w:r>
        <w:rPr>
          <w:rFonts w:hint="eastAsia" w:ascii="仿宋" w:hAnsi="仿宋" w:eastAsia="仿宋" w:cs="仿宋"/>
          <w:color w:val="auto"/>
          <w:sz w:val="24"/>
          <w:szCs w:val="28"/>
          <w:highlight w:val="none"/>
        </w:rPr>
        <w:t>：</w:t>
      </w:r>
    </w:p>
    <w:p>
      <w:pPr>
        <w:spacing w:line="360" w:lineRule="auto"/>
        <w:ind w:left="480" w:leftChars="200"/>
        <w:jc w:val="left"/>
        <w:rPr>
          <w:rFonts w:hint="eastAsia" w:ascii="仿宋" w:hAnsi="仿宋" w:cs="仿宋"/>
          <w:color w:val="auto"/>
          <w:sz w:val="24"/>
          <w:szCs w:val="28"/>
          <w:highlight w:val="none"/>
          <w:lang w:eastAsia="zh-CN"/>
        </w:rPr>
      </w:pPr>
      <w:r>
        <w:rPr>
          <w:rFonts w:hint="eastAsia" w:ascii="仿宋" w:hAnsi="仿宋" w:eastAsia="仿宋" w:cs="仿宋"/>
          <w:color w:val="auto"/>
          <w:sz w:val="24"/>
          <w:szCs w:val="28"/>
          <w:highlight w:val="none"/>
        </w:rPr>
        <w:t>标项名称：</w:t>
      </w:r>
      <w:r>
        <w:rPr>
          <w:rFonts w:hint="eastAsia" w:ascii="仿宋" w:hAnsi="仿宋" w:cs="仿宋"/>
          <w:color w:val="auto"/>
          <w:sz w:val="24"/>
          <w:szCs w:val="28"/>
          <w:highlight w:val="none"/>
          <w:lang w:eastAsia="zh-CN"/>
        </w:rPr>
        <w:t>义蓬街道职工2024年疗休养服务采购项目（</w:t>
      </w:r>
      <w:r>
        <w:rPr>
          <w:rFonts w:hint="eastAsia" w:ascii="仿宋" w:hAnsi="仿宋" w:cs="仿宋"/>
          <w:color w:val="auto"/>
          <w:sz w:val="24"/>
          <w:szCs w:val="28"/>
          <w:highlight w:val="none"/>
          <w:lang w:val="en-US" w:eastAsia="zh-CN"/>
        </w:rPr>
        <w:t>编外一，湖州、衢州、台州</w:t>
      </w:r>
      <w:r>
        <w:rPr>
          <w:rFonts w:hint="eastAsia" w:ascii="仿宋" w:hAnsi="仿宋" w:cs="仿宋"/>
          <w:color w:val="auto"/>
          <w:sz w:val="24"/>
          <w:szCs w:val="28"/>
          <w:highlight w:val="none"/>
          <w:lang w:eastAsia="zh-CN"/>
        </w:rPr>
        <w:t>）</w:t>
      </w:r>
    </w:p>
    <w:p>
      <w:pPr>
        <w:spacing w:line="360" w:lineRule="auto"/>
        <w:ind w:left="480" w:leftChars="200"/>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数量：</w:t>
      </w:r>
      <w:r>
        <w:rPr>
          <w:rFonts w:hint="eastAsia" w:ascii="仿宋" w:hAnsi="仿宋" w:cs="仿宋"/>
          <w:color w:val="auto"/>
          <w:sz w:val="24"/>
          <w:szCs w:val="28"/>
          <w:highlight w:val="none"/>
          <w:lang w:val="en-US" w:eastAsia="zh-CN"/>
        </w:rPr>
        <w:t>332</w:t>
      </w:r>
    </w:p>
    <w:p>
      <w:pPr>
        <w:spacing w:line="360" w:lineRule="auto"/>
        <w:ind w:left="480" w:leftChars="200"/>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预算金额（元）：</w:t>
      </w:r>
      <w:r>
        <w:rPr>
          <w:rFonts w:hint="eastAsia" w:ascii="仿宋" w:hAnsi="仿宋" w:cs="仿宋"/>
          <w:color w:val="auto"/>
          <w:sz w:val="24"/>
          <w:szCs w:val="28"/>
          <w:highlight w:val="none"/>
          <w:lang w:val="en-US" w:eastAsia="zh-CN"/>
        </w:rPr>
        <w:t>664000</w:t>
      </w:r>
    </w:p>
    <w:p>
      <w:pPr>
        <w:spacing w:line="360" w:lineRule="auto"/>
        <w:ind w:left="480" w:left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简要规格描述或项目基本概况介绍、用途：提供疗休养策划、行程安排、服务保障、承办执行等一系列相关服务及疗休养活动的延伸服务。人数仅供参考，具体以实际出行人数结算，详见招标文件第三部分采购需求。</w:t>
      </w:r>
    </w:p>
    <w:p>
      <w:pPr>
        <w:spacing w:line="360" w:lineRule="auto"/>
        <w:ind w:left="480" w:leftChars="200"/>
        <w:jc w:val="left"/>
        <w:rPr>
          <w:rFonts w:hint="eastAsia"/>
          <w:color w:val="auto"/>
          <w:highlight w:val="none"/>
          <w:lang w:val="en-US" w:eastAsia="zh-CN"/>
        </w:rPr>
      </w:pPr>
      <w:r>
        <w:rPr>
          <w:rFonts w:hint="eastAsia" w:ascii="仿宋" w:hAnsi="仿宋" w:eastAsia="仿宋" w:cs="仿宋"/>
          <w:color w:val="auto"/>
          <w:sz w:val="24"/>
          <w:szCs w:val="28"/>
          <w:highlight w:val="none"/>
        </w:rPr>
        <w:t>备注：无</w:t>
      </w:r>
      <w:r>
        <w:rPr>
          <w:rFonts w:hint="eastAsia" w:ascii="仿宋" w:hAnsi="仿宋" w:eastAsia="仿宋" w:cs="仿宋"/>
          <w:color w:val="auto"/>
          <w:sz w:val="24"/>
          <w:szCs w:val="28"/>
          <w:highlight w:val="none"/>
          <w:lang w:val="en-US" w:eastAsia="zh-CN"/>
        </w:rPr>
        <w:t xml:space="preserve">   </w:t>
      </w:r>
    </w:p>
    <w:p>
      <w:pP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 xml:space="preserve">   </w:t>
      </w:r>
    </w:p>
    <w:p>
      <w:pPr>
        <w:spacing w:line="360" w:lineRule="auto"/>
        <w:ind w:left="480" w:left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采购需求：标项</w:t>
      </w:r>
      <w:r>
        <w:rPr>
          <w:rFonts w:hint="eastAsia" w:ascii="仿宋" w:hAnsi="仿宋" w:eastAsia="仿宋" w:cs="仿宋"/>
          <w:color w:val="auto"/>
          <w:sz w:val="24"/>
          <w:szCs w:val="28"/>
          <w:highlight w:val="none"/>
          <w:lang w:val="en-US" w:eastAsia="zh-CN"/>
        </w:rPr>
        <w:t>二</w:t>
      </w:r>
      <w:r>
        <w:rPr>
          <w:rFonts w:hint="eastAsia" w:ascii="仿宋" w:hAnsi="仿宋" w:eastAsia="仿宋" w:cs="仿宋"/>
          <w:color w:val="auto"/>
          <w:sz w:val="24"/>
          <w:szCs w:val="28"/>
          <w:highlight w:val="none"/>
        </w:rPr>
        <w:t>：</w:t>
      </w:r>
    </w:p>
    <w:p>
      <w:pPr>
        <w:spacing w:line="360" w:lineRule="auto"/>
        <w:ind w:left="480" w:leftChars="200"/>
        <w:jc w:val="left"/>
        <w:rPr>
          <w:rFonts w:hint="eastAsia" w:ascii="仿宋" w:hAnsi="仿宋" w:cs="仿宋"/>
          <w:color w:val="auto"/>
          <w:sz w:val="24"/>
          <w:szCs w:val="28"/>
          <w:highlight w:val="none"/>
          <w:lang w:eastAsia="zh-CN"/>
        </w:rPr>
      </w:pPr>
      <w:r>
        <w:rPr>
          <w:rFonts w:hint="eastAsia" w:ascii="仿宋" w:hAnsi="仿宋" w:eastAsia="仿宋" w:cs="仿宋"/>
          <w:color w:val="auto"/>
          <w:sz w:val="24"/>
          <w:szCs w:val="28"/>
          <w:highlight w:val="none"/>
        </w:rPr>
        <w:t>标项名称：</w:t>
      </w:r>
      <w:r>
        <w:rPr>
          <w:rFonts w:hint="eastAsia" w:ascii="仿宋" w:hAnsi="仿宋" w:cs="仿宋"/>
          <w:color w:val="auto"/>
          <w:sz w:val="24"/>
          <w:szCs w:val="28"/>
          <w:highlight w:val="none"/>
          <w:lang w:eastAsia="zh-CN"/>
        </w:rPr>
        <w:t>义蓬街道职工2024年疗休养服务采购项目（</w:t>
      </w:r>
      <w:r>
        <w:rPr>
          <w:rFonts w:hint="eastAsia" w:ascii="仿宋" w:hAnsi="仿宋" w:cs="仿宋"/>
          <w:color w:val="auto"/>
          <w:sz w:val="24"/>
          <w:szCs w:val="28"/>
          <w:highlight w:val="none"/>
          <w:lang w:val="en-US" w:eastAsia="zh-CN"/>
        </w:rPr>
        <w:t>编外二，湖州、衢州、台州</w:t>
      </w:r>
      <w:r>
        <w:rPr>
          <w:rFonts w:hint="eastAsia" w:ascii="仿宋" w:hAnsi="仿宋" w:cs="仿宋"/>
          <w:color w:val="auto"/>
          <w:sz w:val="24"/>
          <w:szCs w:val="28"/>
          <w:highlight w:val="none"/>
          <w:lang w:eastAsia="zh-CN"/>
        </w:rPr>
        <w:t>）</w:t>
      </w:r>
    </w:p>
    <w:p>
      <w:pPr>
        <w:spacing w:line="360" w:lineRule="auto"/>
        <w:ind w:left="480" w:leftChars="200"/>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数量：</w:t>
      </w:r>
      <w:r>
        <w:rPr>
          <w:rFonts w:hint="eastAsia" w:ascii="仿宋" w:hAnsi="仿宋" w:cs="仿宋"/>
          <w:color w:val="auto"/>
          <w:sz w:val="24"/>
          <w:szCs w:val="28"/>
          <w:highlight w:val="none"/>
          <w:lang w:val="en-US" w:eastAsia="zh-CN"/>
        </w:rPr>
        <w:t>330</w:t>
      </w:r>
    </w:p>
    <w:p>
      <w:pPr>
        <w:spacing w:line="360" w:lineRule="auto"/>
        <w:ind w:left="480" w:leftChars="200"/>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预算金额（元）：</w:t>
      </w:r>
      <w:r>
        <w:rPr>
          <w:rFonts w:hint="eastAsia" w:ascii="仿宋" w:hAnsi="仿宋" w:cs="仿宋"/>
          <w:color w:val="auto"/>
          <w:sz w:val="24"/>
          <w:szCs w:val="28"/>
          <w:highlight w:val="none"/>
          <w:lang w:val="en-US" w:eastAsia="zh-CN"/>
        </w:rPr>
        <w:t>660000</w:t>
      </w:r>
    </w:p>
    <w:p>
      <w:pPr>
        <w:spacing w:line="360" w:lineRule="auto"/>
        <w:ind w:left="480" w:left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简要规格描述或项目基本概况介绍、用途：提供疗休养策划、行程安排、服务保障、承办执行等一系列相关服务及疗休养活动的延伸服务。人数仅供参考，具体以实际出行人数结算，详见招标文件第三部分采购需求。</w:t>
      </w:r>
    </w:p>
    <w:p>
      <w:pPr>
        <w:spacing w:line="360" w:lineRule="auto"/>
        <w:ind w:left="480" w:leftChars="200"/>
        <w:jc w:val="left"/>
        <w:rPr>
          <w:rFonts w:hint="eastAsia"/>
          <w:color w:val="auto"/>
          <w:highlight w:val="none"/>
          <w:lang w:val="en-US" w:eastAsia="zh-CN"/>
        </w:rPr>
      </w:pPr>
      <w:r>
        <w:rPr>
          <w:rFonts w:hint="eastAsia" w:ascii="仿宋" w:hAnsi="仿宋" w:eastAsia="仿宋" w:cs="仿宋"/>
          <w:color w:val="auto"/>
          <w:sz w:val="24"/>
          <w:szCs w:val="28"/>
          <w:highlight w:val="none"/>
        </w:rPr>
        <w:t>备注：无</w:t>
      </w:r>
      <w:r>
        <w:rPr>
          <w:rFonts w:hint="eastAsia" w:ascii="仿宋" w:hAnsi="仿宋" w:eastAsia="仿宋" w:cs="仿宋"/>
          <w:color w:val="auto"/>
          <w:sz w:val="24"/>
          <w:szCs w:val="28"/>
          <w:highlight w:val="none"/>
          <w:lang w:val="en-US" w:eastAsia="zh-CN"/>
        </w:rPr>
        <w:t xml:space="preserve">   </w:t>
      </w:r>
    </w:p>
    <w:p>
      <w:pPr>
        <w:pStyle w:val="129"/>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仿宋" w:hAnsi="仿宋" w:eastAsia="仿宋" w:cs="仿宋"/>
          <w:b w:val="0"/>
          <w:bCs w:val="0"/>
          <w:color w:val="auto"/>
          <w:highlight w:val="none"/>
        </w:rPr>
      </w:pPr>
    </w:p>
    <w:p>
      <w:pPr>
        <w:spacing w:line="360" w:lineRule="auto"/>
        <w:ind w:left="480" w:left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采购需求：标项</w:t>
      </w:r>
      <w:r>
        <w:rPr>
          <w:rFonts w:hint="eastAsia" w:ascii="仿宋" w:hAnsi="仿宋" w:cs="仿宋"/>
          <w:color w:val="auto"/>
          <w:sz w:val="24"/>
          <w:szCs w:val="28"/>
          <w:highlight w:val="none"/>
          <w:lang w:val="en-US" w:eastAsia="zh-CN"/>
        </w:rPr>
        <w:t>三</w:t>
      </w:r>
      <w:r>
        <w:rPr>
          <w:rFonts w:hint="eastAsia" w:ascii="仿宋" w:hAnsi="仿宋" w:eastAsia="仿宋" w:cs="仿宋"/>
          <w:color w:val="auto"/>
          <w:sz w:val="24"/>
          <w:szCs w:val="28"/>
          <w:highlight w:val="none"/>
        </w:rPr>
        <w:t>：</w:t>
      </w:r>
    </w:p>
    <w:p>
      <w:pPr>
        <w:spacing w:line="360" w:lineRule="auto"/>
        <w:ind w:left="480" w:leftChars="200"/>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标项名称：</w:t>
      </w:r>
      <w:r>
        <w:rPr>
          <w:rFonts w:hint="eastAsia" w:ascii="仿宋" w:hAnsi="仿宋" w:cs="仿宋"/>
          <w:color w:val="auto"/>
          <w:sz w:val="24"/>
          <w:szCs w:val="28"/>
          <w:highlight w:val="none"/>
          <w:lang w:eastAsia="zh-CN"/>
        </w:rPr>
        <w:t>义蓬街道职工2024年疗休养服务采购项目（</w:t>
      </w:r>
      <w:r>
        <w:rPr>
          <w:rFonts w:hint="eastAsia" w:ascii="仿宋" w:hAnsi="仿宋" w:cs="仿宋"/>
          <w:color w:val="auto"/>
          <w:sz w:val="24"/>
          <w:szCs w:val="28"/>
          <w:highlight w:val="none"/>
          <w:lang w:val="en-US" w:eastAsia="zh-CN"/>
        </w:rPr>
        <w:t>编内，</w:t>
      </w:r>
      <w:r>
        <w:rPr>
          <w:rFonts w:hint="eastAsia" w:ascii="仿宋" w:hAnsi="仿宋" w:cs="Arial"/>
          <w:snapToGrid w:val="0"/>
          <w:color w:val="auto"/>
          <w:kern w:val="0"/>
          <w:sz w:val="24"/>
          <w:highlight w:val="none"/>
          <w:lang w:val="en-US" w:eastAsia="zh-CN"/>
        </w:rPr>
        <w:t>衢州</w:t>
      </w:r>
      <w:r>
        <w:rPr>
          <w:rFonts w:hint="eastAsia" w:ascii="仿宋" w:hAnsi="仿宋" w:cs="Arial"/>
          <w:snapToGrid w:val="0"/>
          <w:color w:val="auto"/>
          <w:kern w:val="0"/>
          <w:sz w:val="24"/>
          <w:highlight w:val="none"/>
          <w:lang w:eastAsia="zh-CN"/>
        </w:rPr>
        <w:t>、舟山</w:t>
      </w:r>
      <w:r>
        <w:rPr>
          <w:rFonts w:hint="eastAsia" w:ascii="仿宋" w:hAnsi="仿宋" w:cs="Arial"/>
          <w:snapToGrid w:val="0"/>
          <w:color w:val="auto"/>
          <w:kern w:val="0"/>
          <w:sz w:val="24"/>
          <w:highlight w:val="none"/>
          <w:lang w:val="en-US" w:eastAsia="zh-CN"/>
        </w:rPr>
        <w:t>嵊泗</w:t>
      </w:r>
      <w:r>
        <w:rPr>
          <w:rFonts w:hint="eastAsia" w:ascii="仿宋" w:hAnsi="仿宋" w:cs="仿宋"/>
          <w:color w:val="auto"/>
          <w:sz w:val="24"/>
          <w:szCs w:val="28"/>
          <w:highlight w:val="none"/>
          <w:lang w:eastAsia="zh-CN"/>
        </w:rPr>
        <w:t>）</w:t>
      </w:r>
    </w:p>
    <w:p>
      <w:pPr>
        <w:spacing w:line="360" w:lineRule="auto"/>
        <w:ind w:left="480" w:leftChars="200"/>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数量：</w:t>
      </w:r>
      <w:r>
        <w:rPr>
          <w:rFonts w:hint="eastAsia" w:ascii="仿宋" w:hAnsi="仿宋" w:cs="仿宋"/>
          <w:color w:val="auto"/>
          <w:sz w:val="24"/>
          <w:szCs w:val="28"/>
          <w:highlight w:val="none"/>
          <w:lang w:val="en-US" w:eastAsia="zh-CN"/>
        </w:rPr>
        <w:t>148</w:t>
      </w:r>
    </w:p>
    <w:p>
      <w:pPr>
        <w:spacing w:line="360" w:lineRule="auto"/>
        <w:ind w:left="480" w:leftChars="200"/>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预算金额（元）：</w:t>
      </w:r>
      <w:r>
        <w:rPr>
          <w:rFonts w:hint="eastAsia" w:ascii="仿宋" w:hAnsi="仿宋" w:cs="仿宋"/>
          <w:color w:val="auto"/>
          <w:sz w:val="24"/>
          <w:szCs w:val="28"/>
          <w:highlight w:val="none"/>
          <w:lang w:val="en-US" w:eastAsia="zh-CN"/>
        </w:rPr>
        <w:t>444000</w:t>
      </w:r>
    </w:p>
    <w:p>
      <w:pPr>
        <w:spacing w:line="360" w:lineRule="auto"/>
        <w:ind w:left="480" w:left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简要规格描述或项目基本概况介绍、用途：提供疗休养策划、行程安排、服务保障、承办执行等一系列相关服务及疗休养活动的延伸服务。人数仅供参考，具体以实际出行人数结算，详见招标文件第三部分采购需求。</w:t>
      </w:r>
    </w:p>
    <w:p>
      <w:pPr>
        <w:spacing w:line="360" w:lineRule="auto"/>
        <w:ind w:left="480" w:left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备注：无</w:t>
      </w:r>
    </w:p>
    <w:p>
      <w:pPr>
        <w:pStyle w:val="129"/>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default"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rPr>
        <w:t>合同履约期限：</w:t>
      </w:r>
      <w:r>
        <w:rPr>
          <w:rFonts w:hint="eastAsia" w:ascii="仿宋" w:hAnsi="仿宋" w:cs="仿宋"/>
          <w:b w:val="0"/>
          <w:bCs w:val="0"/>
          <w:color w:val="auto"/>
          <w:highlight w:val="none"/>
          <w:lang w:val="en-US" w:eastAsia="zh-CN"/>
        </w:rPr>
        <w:t>详见采购文件。</w:t>
      </w:r>
    </w:p>
    <w:p>
      <w:pPr>
        <w:pStyle w:val="15"/>
        <w:spacing w:line="360" w:lineRule="auto"/>
        <w:ind w:firstLine="480"/>
        <w:rPr>
          <w:rFonts w:hint="eastAsia" w:ascii="仿宋" w:hAnsi="仿宋" w:eastAsia="仿宋" w:cs="仿宋"/>
          <w:b/>
          <w:color w:val="auto"/>
          <w:sz w:val="24"/>
          <w:highlight w:val="none"/>
        </w:rPr>
      </w:pPr>
      <w:r>
        <w:rPr>
          <w:rFonts w:hint="eastAsia" w:ascii="仿宋" w:hAnsi="仿宋" w:eastAsia="仿宋" w:cs="仿宋"/>
          <w:b w:val="0"/>
          <w:bCs w:val="0"/>
          <w:color w:val="auto"/>
          <w:sz w:val="24"/>
          <w:highlight w:val="none"/>
        </w:rPr>
        <w:t>本项目接受联合体投标：</w:t>
      </w:r>
      <w:sdt>
        <w:sdtPr>
          <w:rPr>
            <w:rFonts w:hint="eastAsia" w:ascii="仿宋" w:hAnsi="仿宋" w:eastAsia="仿宋" w:cs="仿宋"/>
            <w:b w:val="0"/>
            <w:bCs w:val="0"/>
            <w:color w:val="auto"/>
            <w:kern w:val="0"/>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b w:val="0"/>
            <w:bCs w:val="0"/>
            <w:color w:val="auto"/>
            <w:kern w:val="0"/>
            <w:sz w:val="24"/>
            <w:highlight w:val="none"/>
          </w:rPr>
        </w:sdtEndPr>
        <w:sdtContent>
          <w:r>
            <w:rPr>
              <w:rFonts w:hint="eastAsia" w:ascii="Wingdings" w:hAnsi="Wingdings" w:eastAsia="仿宋" w:cs="仿宋"/>
              <w:b w:val="0"/>
              <w:bCs w:val="0"/>
              <w:snapToGrid w:val="0"/>
              <w:color w:val="auto"/>
              <w:kern w:val="0"/>
              <w:sz w:val="24"/>
              <w:szCs w:val="20"/>
              <w:highlight w:val="none"/>
              <w:lang w:val="en-US" w:eastAsia="zh-CN" w:bidi="ar-SA"/>
            </w:rPr>
            <w:t>þ</w:t>
          </w:r>
        </w:sdtContent>
      </w:sdt>
      <w:r>
        <w:rPr>
          <w:rFonts w:hint="eastAsia" w:ascii="仿宋" w:hAnsi="仿宋" w:eastAsia="仿宋" w:cs="仿宋"/>
          <w:b w:val="0"/>
          <w:bCs w:val="0"/>
          <w:color w:val="auto"/>
          <w:sz w:val="24"/>
          <w:highlight w:val="none"/>
        </w:rPr>
        <w:t>是，</w:t>
      </w:r>
      <w:sdt>
        <w:sdtPr>
          <w:rPr>
            <w:rFonts w:hint="eastAsia" w:ascii="仿宋" w:hAnsi="仿宋" w:eastAsia="仿宋" w:cs="仿宋"/>
            <w:b w:val="0"/>
            <w:bCs w:val="0"/>
            <w:color w:val="auto"/>
            <w:kern w:val="0"/>
            <w:sz w:val="24"/>
            <w:highlight w:val="none"/>
          </w:rPr>
          <w:id w:val="-1765526721"/>
          <w14:checkbox>
            <w14:checked w14:val="0"/>
            <w14:checkedState w14:val="00FE" w14:font="Wingdings"/>
            <w14:uncheckedState w14:val="2610" w14:font="MS Gothic"/>
          </w14:checkbox>
        </w:sdtPr>
        <w:sdtEndPr>
          <w:rPr>
            <w:rFonts w:hint="eastAsia" w:ascii="仿宋" w:hAnsi="仿宋" w:eastAsia="仿宋" w:cs="仿宋"/>
            <w:b w:val="0"/>
            <w:bCs w:val="0"/>
            <w:color w:val="auto"/>
            <w:kern w:val="0"/>
            <w:sz w:val="24"/>
            <w:highlight w:val="none"/>
          </w:rPr>
        </w:sdtEndPr>
        <w:sdtContent>
          <w:r>
            <w:rPr>
              <w:rFonts w:hint="eastAsia" w:ascii="MS Gothic" w:hAnsi="MS Gothic" w:eastAsia="仿宋" w:cs="仿宋"/>
              <w:b w:val="0"/>
              <w:bCs w:val="0"/>
              <w:snapToGrid w:val="0"/>
              <w:color w:val="auto"/>
              <w:kern w:val="0"/>
              <w:sz w:val="24"/>
              <w:szCs w:val="20"/>
              <w:highlight w:val="none"/>
              <w:lang w:val="en-US" w:eastAsia="zh-CN" w:bidi="ar-SA"/>
            </w:rPr>
            <w:t>☐</w:t>
          </w:r>
        </w:sdtContent>
      </w:sdt>
      <w:r>
        <w:rPr>
          <w:rFonts w:hint="eastAsia" w:ascii="仿宋" w:hAnsi="仿宋" w:eastAsia="仿宋" w:cs="仿宋"/>
          <w:b w:val="0"/>
          <w:bCs w:val="0"/>
          <w:color w:val="auto"/>
          <w:sz w:val="24"/>
          <w:highlight w:val="none"/>
        </w:rPr>
        <w:t>否</w:t>
      </w:r>
      <w:r>
        <w:rPr>
          <w:rFonts w:hint="eastAsia" w:ascii="仿宋" w:hAnsi="仿宋" w:eastAsia="仿宋" w:cs="仿宋"/>
          <w:b w:val="0"/>
          <w:bCs w:val="0"/>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rPr>
      </w:pPr>
      <w:r>
        <w:rPr>
          <w:rFonts w:hint="eastAsia" w:ascii="仿宋_GB2312" w:hAnsi="仿宋_GB2312" w:eastAsia="仿宋_GB2312" w:cs="仿宋_GB2312"/>
          <w:snapToGrid w:val="0"/>
          <w:kern w:val="28"/>
          <w:sz w:val="24"/>
          <w:szCs w:val="20"/>
        </w:rPr>
        <w:t>2.以联合体形式投标的，提供联合协议(本项目不接受联合体投标或者投标人不以联合体形式投标的，则不需要提供) ；</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w:t>
      </w:r>
      <w:r>
        <w:rPr>
          <w:rFonts w:hint="eastAsia" w:ascii="仿宋" w:hAnsi="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.落实政府采购政策需满足的资格要求：</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货物全部由符合政策要求的中小企业制造，提供中小企业声明函；</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15260493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货物全部由符合政策要求的小微企业制造，提供中小企业声明函；</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服务全部由符合政策要求的小微企业承接，提供中小企业声明函；</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本项目的特定资格要求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具有行政管理部门颁发的《旅行社业务经营许可证》。</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cs="仿宋"/>
          <w:color w:val="auto"/>
          <w:sz w:val="24"/>
          <w:highlight w:val="none"/>
          <w:lang w:val="en-US" w:eastAsia="zh-CN"/>
        </w:rPr>
        <w:t>5</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cs="仿宋"/>
          <w:color w:val="auto"/>
          <w:sz w:val="24"/>
          <w:highlight w:val="none"/>
          <w:u w:val="single"/>
          <w:lang w:val="en-US" w:eastAsia="zh-CN"/>
        </w:rPr>
        <w:t>04</w:t>
      </w:r>
      <w:r>
        <w:rPr>
          <w:rFonts w:hint="eastAsia" w:ascii="仿宋" w:hAnsi="仿宋" w:eastAsia="仿宋" w:cs="仿宋"/>
          <w:color w:val="auto"/>
          <w:sz w:val="24"/>
          <w:highlight w:val="none"/>
          <w:u w:val="single"/>
        </w:rPr>
        <w:t>月</w:t>
      </w:r>
      <w:r>
        <w:rPr>
          <w:rFonts w:hint="eastAsia" w:ascii="仿宋" w:hAnsi="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cs="仿宋"/>
          <w:color w:val="auto"/>
          <w:sz w:val="24"/>
          <w:highlight w:val="none"/>
          <w:u w:val="single"/>
          <w:lang w:val="en-US" w:eastAsia="zh-CN"/>
        </w:rPr>
        <w:t>04</w:t>
      </w:r>
      <w:r>
        <w:rPr>
          <w:rFonts w:hint="eastAsia" w:ascii="仿宋" w:hAnsi="仿宋" w:eastAsia="仿宋" w:cs="仿宋"/>
          <w:color w:val="auto"/>
          <w:sz w:val="24"/>
          <w:highlight w:val="none"/>
          <w:u w:val="single"/>
        </w:rPr>
        <w:t>月</w:t>
      </w:r>
      <w:r>
        <w:rPr>
          <w:rFonts w:hint="eastAsia" w:ascii="仿宋" w:hAnsi="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cs="仿宋"/>
          <w:color w:val="auto"/>
          <w:sz w:val="24"/>
          <w:highlight w:val="none"/>
          <w:u w:val="single"/>
          <w:lang w:val="en-US" w:eastAsia="zh-CN"/>
        </w:rPr>
        <w:t>04</w:t>
      </w:r>
      <w:r>
        <w:rPr>
          <w:rFonts w:hint="eastAsia" w:ascii="仿宋" w:hAnsi="仿宋" w:eastAsia="仿宋" w:cs="仿宋"/>
          <w:color w:val="auto"/>
          <w:sz w:val="24"/>
          <w:highlight w:val="none"/>
          <w:u w:val="single"/>
        </w:rPr>
        <w:t>月</w:t>
      </w:r>
      <w:r>
        <w:rPr>
          <w:rFonts w:hint="eastAsia" w:ascii="仿宋" w:hAnsi="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numPr>
          <w:ilvl w:val="0"/>
          <w:numId w:val="1"/>
        </w:numPr>
        <w:snapToGrid w:val="0"/>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采购意向公开链接</w:t>
      </w:r>
    </w:p>
    <w:p>
      <w:pPr>
        <w:spacing w:line="360" w:lineRule="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https://zfcg.czt.zj.gov.cn/site/detail?parentId=600007&amp;articleId=DFyGsRKPshw7BisXYKYtkQ%3D%3D&amp;utm=site.site-PC-37000.979-pc-websitegroup-zhejiang-secondPage-front.4.94e40370d5fc11ee9ad745163031d63d</w:t>
      </w:r>
    </w:p>
    <w:p>
      <w:pPr>
        <w:spacing w:line="360" w:lineRule="auto"/>
        <w:rPr>
          <w:rFonts w:hint="eastAsia" w:ascii="仿宋" w:hAnsi="仿宋" w:eastAsia="仿宋" w:cs="仿宋"/>
          <w:color w:val="auto"/>
          <w:sz w:val="24"/>
          <w:highlight w:val="none"/>
        </w:rPr>
      </w:pPr>
      <w:r>
        <w:rPr>
          <w:rFonts w:hint="eastAsia" w:ascii="仿宋" w:hAnsi="仿宋" w:cs="仿宋"/>
          <w:b/>
          <w:color w:val="auto"/>
          <w:sz w:val="24"/>
          <w:highlight w:val="none"/>
          <w:lang w:val="en-US" w:eastAsia="zh-CN"/>
        </w:rPr>
        <w:t>六、</w:t>
      </w:r>
      <w:r>
        <w:rPr>
          <w:rFonts w:hint="eastAsia" w:ascii="仿宋" w:hAnsi="仿宋" w:eastAsia="仿宋" w:cs="仿宋"/>
          <w:b/>
          <w:color w:val="auto"/>
          <w:sz w:val="24"/>
          <w:highlight w:val="none"/>
        </w:rPr>
        <w:t xml:space="preserve">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numPr>
          <w:ilvl w:val="0"/>
          <w:numId w:val="0"/>
        </w:numPr>
        <w:spacing w:line="360" w:lineRule="auto"/>
        <w:rPr>
          <w:rFonts w:hint="eastAsia" w:ascii="仿宋" w:hAnsi="仿宋" w:eastAsia="仿宋" w:cs="仿宋"/>
          <w:b/>
          <w:color w:val="auto"/>
          <w:sz w:val="24"/>
          <w:highlight w:val="none"/>
        </w:rPr>
      </w:pPr>
      <w:r>
        <w:rPr>
          <w:rFonts w:hint="eastAsia" w:ascii="仿宋" w:hAnsi="仿宋" w:cs="仿宋"/>
          <w:b/>
          <w:color w:val="auto"/>
          <w:kern w:val="2"/>
          <w:sz w:val="24"/>
          <w:szCs w:val="24"/>
          <w:lang w:val="en-US" w:eastAsia="zh-CN" w:bidi="ar-SA"/>
        </w:rPr>
        <w:t>七</w:t>
      </w:r>
      <w:r>
        <w:rPr>
          <w:rFonts w:hint="eastAsia" w:ascii="仿宋" w:hAnsi="仿宋" w:eastAsia="仿宋" w:cs="仿宋"/>
          <w:b/>
          <w:color w:val="auto"/>
          <w:kern w:val="2"/>
          <w:sz w:val="24"/>
          <w:szCs w:val="24"/>
          <w:lang w:val="en-US" w:eastAsia="zh-CN" w:bidi="ar-SA"/>
        </w:rPr>
        <w:t>、</w:t>
      </w:r>
      <w:r>
        <w:rPr>
          <w:rFonts w:hint="eastAsia" w:ascii="仿宋" w:hAnsi="仿宋" w:eastAsia="仿宋" w:cs="仿宋"/>
          <w:b/>
          <w:color w:val="auto"/>
          <w:sz w:val="24"/>
          <w:highlight w:val="none"/>
        </w:rPr>
        <w:t>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kern w:val="0"/>
          <w:sz w:val="24"/>
          <w:szCs w:val="28"/>
          <w:highlight w:val="none"/>
          <w:lang w:val="en-US" w:eastAsia="zh-CN" w:bidi="ar-SA"/>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则视为投标文件撤回。⑩具体操作指南：详见政采云平台“服务中心-帮助文档-项目采购-操作流程-电子招投标-政府采购项目电子交易管理操作指南-供应商”。（3）招标文件公告期限与招标公告的公告期限一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cs="仿宋"/>
          <w:b/>
          <w:color w:val="auto"/>
          <w:sz w:val="24"/>
          <w:highlight w:val="none"/>
          <w:lang w:val="en-US" w:eastAsia="zh-CN"/>
        </w:rPr>
        <w:t>八</w:t>
      </w:r>
      <w:r>
        <w:rPr>
          <w:rFonts w:hint="eastAsia" w:ascii="仿宋" w:hAnsi="仿宋" w:eastAsia="仿宋" w:cs="仿宋"/>
          <w:b/>
          <w:color w:val="auto"/>
          <w:sz w:val="24"/>
          <w:highlight w:val="none"/>
        </w:rPr>
        <w:t>、对本次采购提出询问、质疑、投诉，请按以下方式联系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杭州市钱塘区人民政府义蓬街道办事处</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址：杭州市钱塘区义府大街668号</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pPr>
        <w:spacing w:line="360" w:lineRule="auto"/>
        <w:ind w:firstLine="480" w:firstLineChars="200"/>
        <w:rPr>
          <w:rFonts w:hint="eastAsia" w:ascii="仿宋" w:hAnsi="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cs="仿宋"/>
          <w:color w:val="auto"/>
          <w:sz w:val="24"/>
          <w:highlight w:val="none"/>
          <w:lang w:val="en-US" w:eastAsia="zh-CN"/>
        </w:rPr>
        <w:t>周先生</w:t>
      </w:r>
    </w:p>
    <w:p>
      <w:pPr>
        <w:spacing w:line="360" w:lineRule="auto"/>
        <w:ind w:firstLine="480" w:firstLineChars="200"/>
        <w:rPr>
          <w:rFonts w:hint="eastAsia" w:ascii="仿宋" w:hAnsi="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cs="仿宋"/>
          <w:color w:val="auto"/>
          <w:sz w:val="24"/>
          <w:highlight w:val="none"/>
          <w:lang w:val="en-US" w:eastAsia="zh-CN"/>
        </w:rPr>
        <w:t>0571-82166299</w:t>
      </w:r>
    </w:p>
    <w:p>
      <w:pPr>
        <w:spacing w:line="360" w:lineRule="auto"/>
        <w:ind w:firstLine="480" w:firstLineChars="200"/>
        <w:rPr>
          <w:rFonts w:hint="eastAsia" w:ascii="仿宋" w:hAnsi="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 顾女士</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质疑联系方式：0571-82161366</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cs="仿宋"/>
          <w:color w:val="auto"/>
          <w:sz w:val="24"/>
          <w:highlight w:val="none"/>
          <w:lang w:eastAsia="zh-CN"/>
        </w:rPr>
        <w:t>浙江中合工程管理有限公司</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szCs w:val="28"/>
          <w:highlight w:val="none"/>
          <w:lang w:val="en-US" w:eastAsia="zh-CN"/>
        </w:rPr>
        <w:t>萧山区盈丰街道浙江民营企业发展大厦B座</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pPr>
        <w:adjustRightInd/>
        <w:spacing w:line="360" w:lineRule="auto"/>
        <w:ind w:firstLine="480" w:firstLineChars="200"/>
        <w:jc w:val="left"/>
        <w:outlineLvl w:val="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val="en-US" w:eastAsia="zh-CN"/>
        </w:rPr>
        <w:t>诸女士</w:t>
      </w:r>
      <w:r>
        <w:rPr>
          <w:rFonts w:hint="eastAsia" w:ascii="仿宋" w:hAnsi="仿宋" w:eastAsia="仿宋" w:cs="仿宋"/>
          <w:color w:val="auto"/>
          <w:sz w:val="24"/>
          <w:szCs w:val="28"/>
          <w:highlight w:val="none"/>
        </w:rPr>
        <w:t xml:space="preserve">   　　　　　　　　　　</w:t>
      </w:r>
    </w:p>
    <w:p>
      <w:pPr>
        <w:adjustRightInd/>
        <w:spacing w:line="360" w:lineRule="auto"/>
        <w:ind w:firstLine="480" w:firstLineChars="200"/>
        <w:jc w:val="left"/>
        <w:outlineLvl w:val="0"/>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w:t>
      </w:r>
      <w:r>
        <w:rPr>
          <w:rFonts w:hint="eastAsia" w:ascii="仿宋" w:hAnsi="仿宋" w:cs="仿宋"/>
          <w:color w:val="auto"/>
          <w:sz w:val="24"/>
          <w:szCs w:val="28"/>
          <w:highlight w:val="none"/>
          <w:lang w:val="en-US" w:eastAsia="zh-CN"/>
        </w:rPr>
        <w:t>15381712570</w:t>
      </w:r>
    </w:p>
    <w:p>
      <w:pPr>
        <w:adjustRightInd/>
        <w:spacing w:line="360" w:lineRule="auto"/>
        <w:ind w:firstLine="480" w:firstLineChars="200"/>
        <w:jc w:val="left"/>
        <w:outlineLvl w:val="0"/>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质疑联系人：</w:t>
      </w:r>
      <w:r>
        <w:rPr>
          <w:rFonts w:hint="eastAsia" w:ascii="仿宋" w:hAnsi="仿宋" w:cs="仿宋"/>
          <w:color w:val="auto"/>
          <w:sz w:val="24"/>
          <w:szCs w:val="28"/>
          <w:highlight w:val="none"/>
          <w:lang w:val="en-US" w:eastAsia="zh-CN"/>
        </w:rPr>
        <w:t>沈女士</w:t>
      </w:r>
    </w:p>
    <w:p>
      <w:pPr>
        <w:adjustRightInd/>
        <w:spacing w:line="360" w:lineRule="auto"/>
        <w:ind w:firstLine="480" w:firstLineChars="200"/>
        <w:jc w:val="left"/>
        <w:outlineLvl w:val="0"/>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质疑联系方式：</w:t>
      </w:r>
      <w:r>
        <w:rPr>
          <w:rFonts w:hint="eastAsia" w:ascii="仿宋" w:hAnsi="仿宋" w:eastAsia="仿宋" w:cs="仿宋"/>
          <w:color w:val="auto"/>
          <w:sz w:val="24"/>
          <w:highlight w:val="none"/>
          <w:lang w:val="en-US" w:eastAsia="zh-CN"/>
        </w:rPr>
        <w:t>13575709399</w:t>
      </w:r>
    </w:p>
    <w:p>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highlight w:val="none"/>
        </w:rPr>
        <w:t xml:space="preserve"> 3.同级政府采购监督管理部门            </w:t>
      </w:r>
    </w:p>
    <w:p>
      <w:pPr>
        <w:adjustRightInd w:val="0"/>
        <w:spacing w:line="360" w:lineRule="auto"/>
        <w:ind w:left="480" w:leftChars="20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名 称：杭州市钱塘区财政局、浙江省政府采购行政裁决服务中心(杭州)</w:t>
      </w:r>
    </w:p>
    <w:p>
      <w:pPr>
        <w:adjustRightInd w:val="0"/>
        <w:spacing w:line="360" w:lineRule="auto"/>
        <w:ind w:left="480" w:leftChars="200" w:firstLine="0" w:firstLineChars="0"/>
        <w:rPr>
          <w:rFonts w:hint="eastAsia" w:ascii="仿宋" w:hAnsi="仿宋" w:eastAsia="仿宋" w:cs="仿宋"/>
          <w:color w:val="auto"/>
          <w:sz w:val="24"/>
          <w:highlight w:val="none"/>
        </w:rPr>
      </w:pPr>
      <w:r>
        <w:rPr>
          <w:rFonts w:hint="eastAsia" w:ascii="仿宋" w:hAnsi="仿宋" w:eastAsia="仿宋" w:cs="仿宋"/>
          <w:color w:val="auto"/>
          <w:highlight w:val="none"/>
        </w:rPr>
        <w:t>地 址：杭州市上城区四季青街道新业路市民之家G03办公室</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快递仅限ems或顺丰</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 xml:space="preserve"> </w:t>
      </w:r>
      <w:r>
        <w:rPr>
          <w:rFonts w:hint="eastAsia" w:ascii="仿宋" w:hAnsi="仿宋" w:eastAsia="仿宋" w:cs="仿宋"/>
          <w:color w:val="auto"/>
          <w:highlight w:val="none"/>
        </w:rPr>
        <w:br w:type="textWrapping"/>
      </w:r>
      <w:r>
        <w:rPr>
          <w:rFonts w:hint="eastAsia" w:ascii="仿宋" w:hAnsi="仿宋" w:eastAsia="仿宋" w:cs="仿宋"/>
          <w:color w:val="auto"/>
          <w:highlight w:val="none"/>
        </w:rPr>
        <w:t>联系人 ：朱女士、王女士</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监督投诉电话：0571-85252453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2"/>
        <w:rPr>
          <w:rFonts w:hint="eastAsia"/>
        </w:rPr>
      </w:pPr>
    </w:p>
    <w:p>
      <w:pPr>
        <w:pStyle w:val="32"/>
        <w:spacing w:line="360" w:lineRule="auto"/>
        <w:ind w:firstLine="723" w:firstLineChars="200"/>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24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24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snapToGrid w:val="0"/>
              <w:spacing w:line="24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spacing w:line="240" w:lineRule="auto"/>
              <w:ind w:firstLine="241" w:firstLineChars="100"/>
              <w:jc w:val="lef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spacing w:line="240" w:lineRule="auto"/>
              <w:ind w:firstLine="241" w:firstLineChars="100"/>
              <w:jc w:val="left"/>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pPr>
              <w:spacing w:line="240" w:lineRule="auto"/>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同意</w:t>
            </w:r>
            <w:r>
              <w:rPr>
                <w:rFonts w:hint="eastAsia" w:ascii="仿宋" w:hAnsi="仿宋" w:eastAsia="仿宋" w:cs="仿宋"/>
                <w:color w:val="auto"/>
                <w:sz w:val="24"/>
                <w:highlight w:val="none"/>
                <w:lang w:eastAsia="zh-CN"/>
              </w:rPr>
              <w:t>大型</w:t>
            </w:r>
            <w:r>
              <w:rPr>
                <w:rFonts w:hint="eastAsia" w:ascii="仿宋" w:hAnsi="仿宋" w:eastAsia="仿宋" w:cs="仿宋"/>
                <w:color w:val="auto"/>
                <w:sz w:val="24"/>
                <w:highlight w:val="none"/>
                <w:lang w:val="en-US" w:eastAsia="zh-CN"/>
              </w:rPr>
              <w:t>企业向小微企业、中型企业向小微企业、小微企业向小微企业合理分包</w:t>
            </w:r>
            <w:r>
              <w:rPr>
                <w:rFonts w:hint="eastAsia" w:ascii="仿宋" w:hAnsi="仿宋" w:eastAsia="仿宋" w:cs="仿宋"/>
                <w:color w:val="auto"/>
                <w:sz w:val="24"/>
                <w:highlight w:val="none"/>
              </w:rPr>
              <w:t>。</w:t>
            </w:r>
          </w:p>
          <w:p>
            <w:pPr>
              <w:spacing w:line="240" w:lineRule="auto"/>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en-US" w:eastAsia="zh-CN"/>
              </w:rPr>
              <w:t>C</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240" w:lineRule="auto"/>
              <w:jc w:val="left"/>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3"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240" w:lineRule="auto"/>
              <w:jc w:val="left"/>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pacing w:line="240" w:lineRule="auto"/>
              <w:jc w:val="left"/>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B要求提供，</w:t>
            </w:r>
          </w:p>
          <w:p>
            <w:pPr>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240" w:lineRule="auto"/>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2473058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napToGrid w:val="0"/>
              <w:spacing w:line="240" w:lineRule="auto"/>
              <w:jc w:val="left"/>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B组织。</w:t>
            </w:r>
          </w:p>
          <w:p>
            <w:pPr>
              <w:snapToGrid w:val="0"/>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pPr>
              <w:snapToGrid w:val="0"/>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，讲解演示所用电脑等设备由投标人自备。现场讲解演示人员进场时提供讲解人员名单（加盖公章）及身份证明，否则不得讲解演示。</w:t>
            </w:r>
          </w:p>
          <w:p>
            <w:pPr>
              <w:spacing w:line="24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jc w:val="left"/>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92473058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kern w:val="0"/>
                <w:sz w:val="24"/>
                <w:highlight w:val="none"/>
              </w:rPr>
              <w:t>本项目不允许采购进口产品。</w:t>
            </w:r>
          </w:p>
          <w:p>
            <w:pPr>
              <w:spacing w:line="240" w:lineRule="auto"/>
              <w:jc w:val="left"/>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240" w:lineRule="auto"/>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2473058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left"/>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rPr>
              <w:t>疗休养服务</w:t>
            </w:r>
            <w:r>
              <w:rPr>
                <w:rFonts w:hint="eastAsia" w:ascii="仿宋" w:hAnsi="仿宋" w:eastAsia="仿宋" w:cs="仿宋"/>
                <w:color w:val="auto"/>
                <w:kern w:val="0"/>
                <w:sz w:val="24"/>
                <w:highlight w:val="none"/>
              </w:rPr>
              <w:t>，属于</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pPr>
              <w:spacing w:line="240" w:lineRule="auto"/>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2473058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kern w:val="0"/>
                <w:sz w:val="24"/>
                <w:highlight w:val="none"/>
              </w:rPr>
              <w:t>A无</w:t>
            </w:r>
          </w:p>
          <w:p>
            <w:pPr>
              <w:pStyle w:val="23"/>
              <w:spacing w:line="240" w:lineRule="auto"/>
              <w:jc w:val="left"/>
              <w:rPr>
                <w:rFonts w:hint="eastAsia" w:ascii="仿宋" w:hAnsi="仿宋" w:eastAsia="仿宋" w:cs="仿宋"/>
                <w:color w:val="auto"/>
                <w:kern w:val="0"/>
                <w:highlight w:val="none"/>
              </w:rPr>
            </w:pPr>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snapToGrid w:val="0"/>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kern w:val="0"/>
                <w:highlight w:val="none"/>
              </w:rPr>
              <w:t>B</w:t>
            </w:r>
            <w:r>
              <w:rPr>
                <w:rFonts w:hint="eastAsia" w:ascii="仿宋" w:hAnsi="仿宋" w:eastAsia="仿宋" w:cs="仿宋"/>
                <w:color w:val="auto"/>
                <w:kern w:val="0"/>
                <w:highlight w:val="none"/>
                <w:lang w:val="en-US"/>
              </w:rPr>
              <w:t xml:space="preserve"> 政府</w:t>
            </w:r>
            <w:r>
              <w:rPr>
                <w:rFonts w:hint="eastAsia" w:ascii="仿宋" w:hAnsi="仿宋" w:eastAsia="仿宋" w:cs="仿宋"/>
                <w:color w:val="auto"/>
                <w:highlight w:val="none"/>
                <w:lang w:val="en-US"/>
              </w:rPr>
              <w:t>强制采购节能产品</w:t>
            </w:r>
            <w:r>
              <w:rPr>
                <w:rFonts w:hint="eastAsia" w:ascii="仿宋" w:hAnsi="仿宋" w:eastAsia="仿宋" w:cs="仿宋"/>
                <w:color w:val="auto"/>
                <w:kern w:val="0"/>
                <w:highlight w:val="none"/>
              </w:rPr>
              <w:t>：</w:t>
            </w:r>
          </w:p>
          <w:p>
            <w:pPr>
              <w:pStyle w:val="23"/>
              <w:spacing w:line="240" w:lineRule="auto"/>
              <w:ind w:firstLine="480" w:firstLineChars="200"/>
              <w:jc w:val="left"/>
              <w:rPr>
                <w:rFonts w:hint="eastAsia" w:ascii="仿宋" w:hAnsi="仿宋" w:eastAsia="仿宋" w:cs="仿宋"/>
                <w:color w:val="auto"/>
                <w:highlight w:val="none"/>
                <w:u w:val="single"/>
                <w:lang w:val="en-US"/>
              </w:rPr>
            </w:pPr>
            <w:r>
              <w:rPr>
                <w:rFonts w:hint="eastAsia" w:ascii="仿宋" w:hAnsi="仿宋" w:eastAsia="仿宋" w:cs="仿宋"/>
                <w:color w:val="auto"/>
                <w:highlight w:val="none"/>
              </w:rPr>
              <w:t>（</w:t>
            </w:r>
            <w:r>
              <w:rPr>
                <w:rFonts w:hint="eastAsia" w:ascii="仿宋" w:hAnsi="仿宋" w:eastAsia="仿宋" w:cs="仿宋"/>
                <w:color w:val="auto"/>
                <w:highlight w:val="none"/>
                <w:lang w:val="en-US"/>
              </w:rPr>
              <w:t>1</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rPr>
              <w:t xml:space="preserve">   </w:t>
            </w:r>
            <w:r>
              <w:rPr>
                <w:rFonts w:hint="eastAsia" w:ascii="仿宋" w:hAnsi="仿宋" w:eastAsia="仿宋" w:cs="仿宋"/>
                <w:color w:val="auto"/>
                <w:highlight w:val="none"/>
                <w:lang w:val="en-US"/>
              </w:rPr>
              <w:t>；</w:t>
            </w:r>
          </w:p>
          <w:p>
            <w:pPr>
              <w:pStyle w:val="23"/>
              <w:spacing w:line="240" w:lineRule="auto"/>
              <w:ind w:firstLine="480" w:firstLineChars="200"/>
              <w:jc w:val="left"/>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（2）……</w:t>
            </w:r>
          </w:p>
          <w:p>
            <w:pPr>
              <w:pStyle w:val="23"/>
              <w:spacing w:line="240" w:lineRule="auto"/>
              <w:jc w:val="left"/>
              <w:rPr>
                <w:rFonts w:hint="eastAsia" w:ascii="仿宋" w:hAnsi="仿宋" w:eastAsia="仿宋" w:cs="仿宋"/>
                <w:color w:val="auto"/>
                <w:kern w:val="0"/>
                <w:highlight w:val="none"/>
              </w:rPr>
            </w:pPr>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snapToGrid w:val="0"/>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kern w:val="0"/>
                <w:highlight w:val="none"/>
                <w:lang w:val="en-US"/>
              </w:rPr>
              <w:t xml:space="preserve">C </w:t>
            </w:r>
            <w:r>
              <w:rPr>
                <w:rFonts w:hint="eastAsia" w:ascii="仿宋" w:hAnsi="仿宋" w:eastAsia="仿宋" w:cs="仿宋"/>
                <w:color w:val="auto"/>
                <w:highlight w:val="none"/>
                <w:lang w:val="en-US"/>
              </w:rPr>
              <w:t>政府优先采购节能产品</w:t>
            </w:r>
            <w:r>
              <w:rPr>
                <w:rFonts w:hint="eastAsia" w:ascii="仿宋" w:hAnsi="仿宋" w:eastAsia="仿宋" w:cs="仿宋"/>
                <w:color w:val="auto"/>
                <w:kern w:val="0"/>
                <w:highlight w:val="none"/>
              </w:rPr>
              <w:t>：</w:t>
            </w:r>
          </w:p>
          <w:p>
            <w:pPr>
              <w:pStyle w:val="23"/>
              <w:spacing w:line="240" w:lineRule="auto"/>
              <w:ind w:firstLine="480" w:firstLineChars="200"/>
              <w:jc w:val="left"/>
              <w:rPr>
                <w:rFonts w:hint="eastAsia" w:ascii="仿宋" w:hAnsi="仿宋" w:eastAsia="仿宋" w:cs="仿宋"/>
                <w:color w:val="auto"/>
                <w:highlight w:val="none"/>
                <w:u w:val="single"/>
                <w:lang w:val="en-US"/>
              </w:rPr>
            </w:pPr>
            <w:r>
              <w:rPr>
                <w:rFonts w:hint="eastAsia" w:ascii="仿宋" w:hAnsi="仿宋" w:eastAsia="仿宋" w:cs="仿宋"/>
                <w:color w:val="auto"/>
                <w:kern w:val="0"/>
                <w:highlight w:val="none"/>
                <w:lang w:val="en-US"/>
              </w:rPr>
              <w:t>（1）</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rPr>
              <w:t xml:space="preserve">   </w:t>
            </w:r>
            <w:r>
              <w:rPr>
                <w:rFonts w:hint="eastAsia" w:ascii="仿宋" w:hAnsi="仿宋" w:eastAsia="仿宋" w:cs="仿宋"/>
                <w:color w:val="auto"/>
                <w:highlight w:val="none"/>
                <w:lang w:val="en-US"/>
              </w:rPr>
              <w:t>；</w:t>
            </w:r>
          </w:p>
          <w:p>
            <w:pPr>
              <w:pStyle w:val="23"/>
              <w:spacing w:line="240" w:lineRule="auto"/>
              <w:ind w:firstLine="480" w:firstLineChars="200"/>
              <w:jc w:val="left"/>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（2）……</w:t>
            </w:r>
          </w:p>
          <w:p>
            <w:pPr>
              <w:pStyle w:val="23"/>
              <w:spacing w:line="240" w:lineRule="auto"/>
              <w:jc w:val="left"/>
              <w:rPr>
                <w:rFonts w:hint="eastAsia" w:ascii="仿宋" w:hAnsi="仿宋" w:eastAsia="仿宋" w:cs="仿宋"/>
                <w:color w:val="auto"/>
                <w:kern w:val="0"/>
                <w:highlight w:val="none"/>
              </w:rPr>
            </w:pPr>
            <w:sdt>
              <w:sdtPr>
                <w:rPr>
                  <w:rFonts w:hint="eastAsia" w:ascii="仿宋" w:hAnsi="仿宋" w:eastAsia="仿宋" w:cs="仿宋"/>
                  <w:color w:val="auto"/>
                  <w:kern w:val="0"/>
                  <w:highlight w:val="none"/>
                </w:rPr>
                <w:id w:val="474885559"/>
              </w:sdtPr>
              <w:sdtEndPr>
                <w:rPr>
                  <w:rFonts w:hint="eastAsia" w:ascii="仿宋" w:hAnsi="仿宋" w:eastAsia="仿宋" w:cs="仿宋"/>
                  <w:color w:val="auto"/>
                  <w:kern w:val="0"/>
                  <w:highlight w:val="none"/>
                </w:rPr>
              </w:sdtEndPr>
              <w:sdtContent>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highlight w:val="none"/>
                <w:lang w:val="en-US"/>
              </w:rPr>
              <w:t xml:space="preserve">D </w:t>
            </w:r>
            <w:r>
              <w:rPr>
                <w:rFonts w:hint="eastAsia" w:ascii="仿宋" w:hAnsi="仿宋" w:eastAsia="仿宋" w:cs="仿宋"/>
                <w:color w:val="auto"/>
                <w:highlight w:val="none"/>
                <w:lang w:val="en-US"/>
              </w:rPr>
              <w:t>政府优先采购环境标志产品</w:t>
            </w:r>
            <w:r>
              <w:rPr>
                <w:rFonts w:hint="eastAsia" w:ascii="仿宋" w:hAnsi="仿宋" w:eastAsia="仿宋" w:cs="仿宋"/>
                <w:color w:val="auto"/>
                <w:kern w:val="0"/>
                <w:highlight w:val="none"/>
              </w:rPr>
              <w:t>：</w:t>
            </w:r>
          </w:p>
          <w:p>
            <w:pPr>
              <w:pStyle w:val="23"/>
              <w:spacing w:line="240" w:lineRule="auto"/>
              <w:ind w:firstLine="480" w:firstLineChars="200"/>
              <w:jc w:val="left"/>
              <w:rPr>
                <w:rFonts w:hint="eastAsia" w:ascii="仿宋" w:hAnsi="仿宋" w:eastAsia="仿宋" w:cs="仿宋"/>
                <w:color w:val="auto"/>
                <w:highlight w:val="none"/>
                <w:u w:val="single"/>
                <w:lang w:val="en-US"/>
              </w:rPr>
            </w:pPr>
            <w:r>
              <w:rPr>
                <w:rFonts w:hint="eastAsia" w:ascii="仿宋" w:hAnsi="仿宋" w:eastAsia="仿宋" w:cs="仿宋"/>
                <w:color w:val="auto"/>
                <w:kern w:val="0"/>
                <w:highlight w:val="none"/>
                <w:lang w:val="en-US"/>
              </w:rPr>
              <w:t>（1）</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rPr>
              <w:t xml:space="preserve">   </w:t>
            </w:r>
            <w:r>
              <w:rPr>
                <w:rFonts w:hint="eastAsia" w:ascii="仿宋" w:hAnsi="仿宋" w:eastAsia="仿宋" w:cs="仿宋"/>
                <w:color w:val="auto"/>
                <w:highlight w:val="none"/>
                <w:lang w:val="en-US"/>
              </w:rPr>
              <w:t>；</w:t>
            </w:r>
          </w:p>
          <w:p>
            <w:pPr>
              <w:pStyle w:val="23"/>
              <w:spacing w:line="240" w:lineRule="auto"/>
              <w:ind w:firstLine="480" w:firstLineChars="200"/>
              <w:jc w:val="left"/>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jc w:val="left"/>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240" w:lineRule="auto"/>
              <w:ind w:firstLine="480" w:firstLineChars="200"/>
              <w:jc w:val="center"/>
              <w:rPr>
                <w:rFonts w:hint="eastAsia" w:ascii="仿宋" w:hAnsi="仿宋" w:eastAsia="仿宋" w:cs="仿宋"/>
                <w:color w:val="auto"/>
                <w:highlight w:val="none"/>
              </w:rPr>
            </w:pPr>
          </w:p>
        </w:tc>
        <w:tc>
          <w:tcPr>
            <w:tcW w:w="1843" w:type="dxa"/>
            <w:vMerge w:val="continue"/>
            <w:tcBorders>
              <w:left w:val="single" w:color="000000" w:sz="2" w:space="0"/>
              <w:right w:val="single" w:color="000000" w:sz="8" w:space="0"/>
            </w:tcBorders>
            <w:vAlign w:val="center"/>
          </w:tcPr>
          <w:p>
            <w:pPr>
              <w:spacing w:line="240" w:lineRule="auto"/>
              <w:ind w:firstLine="480" w:firstLineChars="200"/>
              <w:jc w:val="center"/>
              <w:rPr>
                <w:rFonts w:hint="eastAsia" w:ascii="仿宋" w:hAnsi="仿宋" w:eastAsia="仿宋" w:cs="仿宋"/>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240" w:lineRule="auto"/>
              <w:jc w:val="lef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备份投标文件送达地点：备份响应文件送达地点：</w:t>
            </w:r>
            <w:r>
              <w:rPr>
                <w:rFonts w:hint="eastAsia" w:ascii="仿宋" w:hAnsi="仿宋" w:eastAsia="仿宋" w:cs="仿宋"/>
                <w:color w:val="auto"/>
                <w:kern w:val="28"/>
                <w:sz w:val="24"/>
                <w:szCs w:val="24"/>
                <w:highlight w:val="none"/>
                <w:u w:val="single"/>
              </w:rPr>
              <w:t>不收取。</w:t>
            </w:r>
          </w:p>
          <w:p>
            <w:pPr>
              <w:pStyle w:val="32"/>
              <w:spacing w:line="240" w:lineRule="auto"/>
              <w:jc w:val="left"/>
              <w:rPr>
                <w:rFonts w:hint="eastAsia" w:ascii="仿宋" w:hAnsi="仿宋" w:eastAsia="仿宋" w:cs="仿宋"/>
                <w:color w:val="auto"/>
                <w:kern w:val="28"/>
                <w:sz w:val="24"/>
                <w:highlight w:val="none"/>
              </w:rPr>
            </w:pPr>
            <w:r>
              <w:rPr>
                <w:rFonts w:hint="eastAsia" w:ascii="仿宋" w:hAnsi="仿宋" w:eastAsia="仿宋" w:cs="仿宋"/>
                <w:b/>
                <w:bCs/>
                <w:color w:val="auto"/>
                <w:kern w:val="28"/>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hint="eastAsia" w:ascii="仿宋" w:hAnsi="仿宋" w:eastAsia="仿宋" w:cs="仿宋"/>
                <w:snapToGrid w:val="0"/>
                <w:color w:val="auto"/>
                <w:kern w:val="28"/>
                <w:sz w:val="24"/>
                <w:highlight w:val="none"/>
              </w:rPr>
            </w:pPr>
            <w:r>
              <w:rPr>
                <w:rFonts w:hint="eastAsia" w:ascii="仿宋" w:hAnsi="仿宋" w:eastAsia="仿宋" w:cs="仿宋"/>
                <w:color w:val="auto"/>
                <w:sz w:val="24"/>
                <w:highlight w:val="none"/>
              </w:rPr>
              <w:t>本项目采购代理服务费</w:t>
            </w:r>
            <w:r>
              <w:rPr>
                <w:rFonts w:hint="eastAsia" w:ascii="仿宋" w:hAnsi="仿宋" w:eastAsia="仿宋" w:cs="仿宋"/>
                <w:color w:val="auto"/>
                <w:sz w:val="24"/>
                <w:highlight w:val="none"/>
                <w:lang w:val="en-US" w:eastAsia="zh-CN"/>
              </w:rPr>
              <w:t>标项一：</w:t>
            </w:r>
            <w:r>
              <w:rPr>
                <w:rFonts w:hint="eastAsia" w:ascii="仿宋" w:hAnsi="仿宋" w:cs="仿宋"/>
                <w:color w:val="auto"/>
                <w:sz w:val="24"/>
                <w:highlight w:val="none"/>
                <w:lang w:val="en-US" w:eastAsia="zh-CN"/>
              </w:rPr>
              <w:t>6972</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标项二：</w:t>
            </w:r>
            <w:r>
              <w:rPr>
                <w:rFonts w:hint="eastAsia" w:ascii="仿宋" w:hAnsi="仿宋" w:cs="仿宋"/>
                <w:color w:val="auto"/>
                <w:sz w:val="24"/>
                <w:highlight w:val="none"/>
                <w:lang w:val="en-US" w:eastAsia="zh-CN"/>
              </w:rPr>
              <w:t>6930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w:t>
            </w:r>
            <w:r>
              <w:rPr>
                <w:rFonts w:hint="eastAsia" w:ascii="仿宋" w:hAnsi="仿宋" w:cs="仿宋"/>
                <w:color w:val="auto"/>
                <w:sz w:val="24"/>
                <w:highlight w:val="none"/>
                <w:lang w:val="en-US" w:eastAsia="zh-CN"/>
              </w:rPr>
              <w:t>标项三：4662元，</w:t>
            </w:r>
            <w:r>
              <w:rPr>
                <w:rFonts w:hint="eastAsia" w:ascii="仿宋" w:hAnsi="仿宋" w:eastAsia="仿宋" w:cs="仿宋"/>
                <w:color w:val="auto"/>
                <w:sz w:val="24"/>
                <w:highlight w:val="none"/>
              </w:rPr>
              <w:t>由中标人支付。</w:t>
            </w:r>
            <w:r>
              <w:rPr>
                <w:rFonts w:hint="eastAsia" w:ascii="仿宋" w:hAnsi="仿宋" w:eastAsia="仿宋" w:cs="仿宋"/>
                <w:color w:val="auto"/>
                <w:sz w:val="24"/>
                <w:highlight w:val="none"/>
                <w:lang w:eastAsia="zh-CN"/>
              </w:rPr>
              <w:t>结算方式及时间为：在领取中标通知书时由中标人一次性向采购代理机构付清。</w:t>
            </w:r>
            <w:r>
              <w:rPr>
                <w:rFonts w:hint="eastAsia" w:ascii="仿宋" w:hAnsi="仿宋" w:eastAsia="仿宋" w:cs="仿宋"/>
                <w:color w:val="auto"/>
                <w:sz w:val="24"/>
                <w:highlight w:val="none"/>
              </w:rPr>
              <w:t>采购代理服务费须包含在投标报价中，并以人民币方式支付。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无</w:t>
            </w:r>
            <w:r>
              <w:rPr>
                <w:rFonts w:hint="eastAsia" w:ascii="仿宋" w:hAnsi="仿宋" w:eastAsia="仿宋" w:cs="仿宋"/>
                <w:b/>
                <w:color w:val="auto"/>
                <w:kern w:val="0"/>
                <w:sz w:val="24"/>
                <w:highlight w:val="none"/>
              </w:rPr>
              <w:t>。</w:t>
            </w:r>
          </w:p>
        </w:tc>
      </w:tr>
    </w:tbl>
    <w:p>
      <w:pPr>
        <w:snapToGrid w:val="0"/>
        <w:spacing w:line="360" w:lineRule="auto"/>
        <w:jc w:val="center"/>
        <w:rPr>
          <w:rFonts w:hint="eastAsia" w:ascii="仿宋" w:hAnsi="仿宋" w:eastAsia="仿宋" w:cs="仿宋"/>
          <w:b/>
          <w:color w:val="auto"/>
          <w:sz w:val="32"/>
          <w:szCs w:val="20"/>
          <w:highlight w:val="none"/>
        </w:rPr>
      </w:pPr>
    </w:p>
    <w:bookmarkEnd w:id="10"/>
    <w:p>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1" w:name="第三部分"/>
      <w:bookmarkStart w:id="12" w:name="_Toc164416483"/>
    </w:p>
    <w:bookmarkEnd w:id="11"/>
    <w:bookmarkEnd w:id="12"/>
    <w:p>
      <w:pPr>
        <w:keepNext w:val="0"/>
        <w:keepLines w:val="0"/>
        <w:pageBreakBefore w:val="0"/>
        <w:kinsoku/>
        <w:wordWrap/>
        <w:overflowPunct/>
        <w:topLinePunct w:val="0"/>
        <w:bidi w:val="0"/>
        <w:adjustRightInd/>
        <w:spacing w:beforeAutospacing="0" w:line="360" w:lineRule="auto"/>
        <w:jc w:val="center"/>
        <w:textAlignment w:val="auto"/>
        <w:outlineLvl w:val="0"/>
        <w:rPr>
          <w:rFonts w:hint="eastAsia" w:ascii="仿宋" w:hAnsi="仿宋" w:eastAsia="仿宋" w:cs="仿宋"/>
          <w:b/>
          <w:color w:val="auto"/>
          <w:sz w:val="32"/>
          <w:szCs w:val="20"/>
          <w:highlight w:val="none"/>
        </w:rPr>
      </w:pPr>
      <w:bookmarkStart w:id="13" w:name="_Hlt68073093"/>
      <w:bookmarkEnd w:id="13"/>
      <w:bookmarkStart w:id="14" w:name="_Hlt74714665"/>
      <w:bookmarkEnd w:id="14"/>
      <w:bookmarkStart w:id="15" w:name="_Hlt75236290"/>
      <w:bookmarkEnd w:id="15"/>
      <w:bookmarkStart w:id="16" w:name="_Hlt74729768"/>
      <w:bookmarkEnd w:id="16"/>
      <w:bookmarkStart w:id="17" w:name="_Hlt74730295"/>
      <w:bookmarkEnd w:id="17"/>
      <w:bookmarkStart w:id="18" w:name="_Hlt68057669"/>
      <w:bookmarkEnd w:id="18"/>
      <w:bookmarkStart w:id="19" w:name="_Hlt68072998"/>
      <w:bookmarkEnd w:id="19"/>
      <w:bookmarkStart w:id="20" w:name="_Hlt68403820"/>
      <w:bookmarkEnd w:id="20"/>
      <w:bookmarkStart w:id="21" w:name="_Hlt74707468"/>
      <w:bookmarkEnd w:id="21"/>
      <w:bookmarkStart w:id="22" w:name="_Hlt68072990"/>
      <w:bookmarkEnd w:id="22"/>
      <w:bookmarkStart w:id="23" w:name="_Hlt75236101"/>
      <w:bookmarkEnd w:id="23"/>
      <w:bookmarkStart w:id="24" w:name="_Hlt75236011"/>
      <w:bookmarkEnd w:id="24"/>
      <w:bookmarkStart w:id="25" w:name="第四部分"/>
      <w:r>
        <w:rPr>
          <w:rFonts w:hint="eastAsia" w:ascii="仿宋" w:hAnsi="仿宋" w:eastAsia="仿宋" w:cs="仿宋"/>
          <w:b/>
          <w:color w:val="auto"/>
          <w:sz w:val="32"/>
          <w:szCs w:val="20"/>
          <w:highlight w:val="none"/>
        </w:rPr>
        <w:t>一、总则</w:t>
      </w:r>
    </w:p>
    <w:p>
      <w:pPr>
        <w:keepNext w:val="0"/>
        <w:keepLines w:val="0"/>
        <w:pageBreakBefore w:val="0"/>
        <w:kinsoku/>
        <w:wordWrap/>
        <w:overflowPunct/>
        <w:topLinePunct w:val="0"/>
        <w:bidi w:val="0"/>
        <w:snapToGrid w:val="0"/>
        <w:spacing w:beforeAutospacing="0" w:line="360" w:lineRule="auto"/>
        <w:ind w:left="0" w:leftChars="0" w:firstLine="482" w:firstLineChars="20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keepNext w:val="0"/>
        <w:keepLines w:val="0"/>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keepNext w:val="0"/>
        <w:keepLines w:val="0"/>
        <w:pageBreakBefore w:val="0"/>
        <w:kinsoku/>
        <w:wordWrap/>
        <w:overflowPunct/>
        <w:topLinePunct w:val="0"/>
        <w:bidi w:val="0"/>
        <w:adjustRightInd/>
        <w:spacing w:beforeAutospacing="0" w:line="360" w:lineRule="auto"/>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sz w:val="24"/>
          <w:highlight w:val="none"/>
        </w:rPr>
        <w:t>” 系指不适用本项目的要求。</w:t>
      </w:r>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3.</w:t>
      </w:r>
      <w:r>
        <w:rPr>
          <w:rFonts w:hint="eastAsia" w:ascii="仿宋_GB2312" w:hAnsi="仿宋_GB2312" w:eastAsia="仿宋_GB2312" w:cs="仿宋_GB2312"/>
          <w:sz w:val="21"/>
        </w:rPr>
        <w:t xml:space="preserve"> </w:t>
      </w:r>
      <w:r>
        <w:rPr>
          <w:rFonts w:hint="eastAsia" w:ascii="仿宋_GB2312" w:hAnsi="仿宋_GB2312" w:eastAsia="仿宋_GB2312" w:cs="仿宋_GB2312"/>
          <w:b/>
          <w:sz w:val="24"/>
        </w:rPr>
        <w:t>采购项目需要落实的政府采购政策</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3.2 支持绿色发展</w:t>
      </w:r>
    </w:p>
    <w:p>
      <w:pPr>
        <w:spacing w:line="36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_GB2312" w:eastAsia="仿宋_GB2312" w:cs="仿宋_GB2312"/>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3.2.2修缮、装修类项目采购建材的，采购人应将绿色建筑和绿色建材性能、指标等作为实质性条件纳入招标文件和合同，具体性能指标要求参考相关绿色建材政府采购需求标准。</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3.3支持中小企业发展</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符合中小企业划分标准的个体工商户，在政府采购活动中视同中小企业。</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Cs/>
          <w:sz w:val="24"/>
        </w:rPr>
        <w:t>3.3.2</w:t>
      </w:r>
      <w:r>
        <w:rPr>
          <w:rFonts w:hint="eastAsia" w:ascii="仿宋_GB2312" w:hAnsi="仿宋_GB2312" w:eastAsia="仿宋_GB2312" w:cs="仿宋_GB2312"/>
          <w:kern w:val="0"/>
          <w:sz w:val="24"/>
        </w:rPr>
        <w:t>在政府采购活动中，投标人提供的货物、工程或者服务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3.3.3对于未预留份额专门面向中小企业的政府采购货物项目，以及预留份额政府采购货物项目中的非预留部分标项，对小型和微型企业的投标报价给予10%-20%的扣除（</w:t>
      </w:r>
      <w:r>
        <w:rPr>
          <w:rFonts w:hint="eastAsia" w:ascii="仿宋_GB2312" w:hAnsi="仿宋_GB2312" w:eastAsia="仿宋_GB2312" w:cs="仿宋_GB2312"/>
          <w:snapToGrid w:val="0"/>
          <w:kern w:val="28"/>
          <w:sz w:val="24"/>
        </w:rPr>
        <w:t>招标文件第四部分</w:t>
      </w:r>
      <w:r>
        <w:rPr>
          <w:rFonts w:hint="eastAsia" w:ascii="仿宋_GB2312" w:hAnsi="仿宋_GB2312" w:eastAsia="仿宋_GB2312" w:cs="仿宋_GB2312"/>
          <w:sz w:val="24"/>
          <w:u w:val="single"/>
        </w:rPr>
        <w:t>评标办分法明确具体的扣除比例，未明确的，</w:t>
      </w:r>
      <w:r>
        <w:rPr>
          <w:rFonts w:hint="eastAsia" w:ascii="仿宋_GB2312" w:hAnsi="仿宋_GB2312" w:eastAsia="仿宋_GB2312" w:cs="仿宋_GB2312"/>
          <w:sz w:val="24"/>
        </w:rPr>
        <w:t>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w:t>
      </w:r>
      <w:r>
        <w:rPr>
          <w:rFonts w:hint="eastAsia" w:ascii="仿宋_GB2312" w:hAnsi="仿宋_GB2312" w:eastAsia="仿宋_GB2312" w:cs="仿宋_GB2312"/>
          <w:snapToGrid w:val="0"/>
          <w:kern w:val="28"/>
          <w:sz w:val="24"/>
        </w:rPr>
        <w:t>招标文件第四部分</w:t>
      </w:r>
      <w:r>
        <w:rPr>
          <w:rFonts w:hint="eastAsia" w:ascii="仿宋_GB2312" w:hAnsi="仿宋_GB2312" w:eastAsia="仿宋_GB2312" w:cs="仿宋_GB2312"/>
          <w:sz w:val="24"/>
          <w:u w:val="single"/>
        </w:rPr>
        <w:t>评标办分法明确具体的扣除比例，未明确的，</w:t>
      </w:r>
      <w:r>
        <w:rPr>
          <w:rFonts w:hint="eastAsia" w:ascii="仿宋_GB2312" w:hAnsi="仿宋_GB2312" w:eastAsia="仿宋_GB2312" w:cs="仿宋_GB2312"/>
          <w:sz w:val="24"/>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3.4</w:t>
      </w:r>
      <w:r>
        <w:rPr>
          <w:rFonts w:hint="eastAsia" w:ascii="仿宋_GB2312" w:hAnsi="仿宋_GB2312" w:eastAsia="仿宋_GB2312" w:cs="仿宋_GB2312"/>
          <w:bCs/>
          <w:sz w:val="24"/>
        </w:rPr>
        <w:t>支持创新发展</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3.4.1 采购人优先采购被认定为首台套产品和“制造精品”的自主创新产品。</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3.6平等对待内外资企业和符合条件的破产重整企业</w:t>
      </w:r>
    </w:p>
    <w:p>
      <w:pPr>
        <w:spacing w:line="36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color w:val="auto"/>
          <w:sz w:val="24"/>
          <w:highlight w:val="none"/>
          <w:lang w:val="en-US" w:eastAsia="zh-CN"/>
        </w:rPr>
        <w:t xml:space="preserve">   </w:t>
      </w:r>
      <w:r>
        <w:rPr>
          <w:rFonts w:hint="eastAsia" w:ascii="仿宋_GB2312" w:hAnsi="仿宋_GB2312" w:eastAsia="仿宋_GB2312" w:cs="仿宋_GB2312"/>
          <w:b/>
          <w:sz w:val="24"/>
        </w:rPr>
        <w:t>4. 询问、质疑、投诉</w:t>
      </w:r>
    </w:p>
    <w:p>
      <w:pPr>
        <w:autoSpaceDE w:val="0"/>
        <w:autoSpaceDN w:val="0"/>
        <w:spacing w:line="360" w:lineRule="auto"/>
        <w:ind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4.1在线询问、质疑、投诉</w:t>
      </w:r>
    </w:p>
    <w:p>
      <w:pPr>
        <w:autoSpaceDE w:val="0"/>
        <w:autoSpaceDN w:val="0"/>
        <w:spacing w:line="360" w:lineRule="auto"/>
        <w:ind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4.2供应商询问</w:t>
      </w:r>
    </w:p>
    <w:p>
      <w:pPr>
        <w:autoSpaceDE w:val="0"/>
        <w:autoSpaceDN w:val="0"/>
        <w:spacing w:line="360" w:lineRule="auto"/>
        <w:ind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w:t>
      </w: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val="zh-CN"/>
        </w:rPr>
        <w:t>供应商质疑</w:t>
      </w:r>
    </w:p>
    <w:p>
      <w:pPr>
        <w:widowControl w:val="0"/>
        <w:adjustRightInd w:val="0"/>
        <w:spacing w:line="360" w:lineRule="auto"/>
        <w:ind w:firstLine="480" w:firstLineChars="200"/>
        <w:jc w:val="both"/>
        <w:rPr>
          <w:rFonts w:hint="eastAsia" w:ascii="仿宋_GB2312" w:hAnsi="仿宋_GB2312" w:eastAsia="仿宋_GB2312" w:cs="仿宋_GB2312"/>
          <w:snapToGrid w:val="0"/>
          <w:kern w:val="2"/>
          <w:sz w:val="24"/>
          <w:szCs w:val="21"/>
          <w:lang w:val="en-US" w:eastAsia="zh-CN" w:bidi="ar-SA"/>
        </w:rPr>
      </w:pPr>
      <w:r>
        <w:rPr>
          <w:rFonts w:hint="eastAsia" w:ascii="仿宋_GB2312" w:hAnsi="仿宋_GB2312" w:eastAsia="仿宋_GB2312" w:cs="仿宋_GB2312"/>
          <w:snapToGrid w:val="0"/>
          <w:kern w:val="0"/>
          <w:sz w:val="24"/>
          <w:szCs w:val="21"/>
          <w:lang w:val="zh-CN" w:eastAsia="zh-CN" w:bidi="ar-SA"/>
        </w:rPr>
        <w:t>4.</w:t>
      </w:r>
      <w:r>
        <w:rPr>
          <w:rFonts w:hint="eastAsia" w:ascii="仿宋_GB2312" w:hAnsi="仿宋_GB2312" w:eastAsia="仿宋_GB2312" w:cs="仿宋_GB2312"/>
          <w:snapToGrid w:val="0"/>
          <w:kern w:val="0"/>
          <w:sz w:val="24"/>
          <w:szCs w:val="21"/>
          <w:lang w:val="en-US" w:eastAsia="zh-CN" w:bidi="ar-SA"/>
        </w:rPr>
        <w:t>3</w:t>
      </w:r>
      <w:r>
        <w:rPr>
          <w:rFonts w:hint="eastAsia" w:ascii="仿宋_GB2312" w:hAnsi="仿宋_GB2312" w:eastAsia="仿宋_GB2312" w:cs="仿宋_GB2312"/>
          <w:snapToGrid w:val="0"/>
          <w:kern w:val="2"/>
          <w:sz w:val="24"/>
          <w:szCs w:val="21"/>
          <w:lang w:val="en-US" w:eastAsia="zh-CN" w:bidi="ar-SA"/>
        </w:rPr>
        <w:t>.1提出质疑的供应商应当是参与所质疑项目采购活动的供应商。潜在供应商已依法获取其可质疑的招标文件的，可以对该文件提出质疑。</w:t>
      </w:r>
    </w:p>
    <w:p>
      <w:pPr>
        <w:widowControl w:val="0"/>
        <w:adjustRightInd w:val="0"/>
        <w:spacing w:line="360" w:lineRule="auto"/>
        <w:ind w:firstLine="480" w:firstLineChars="200"/>
        <w:jc w:val="both"/>
        <w:rPr>
          <w:rFonts w:hint="eastAsia" w:ascii="仿宋_GB2312" w:hAnsi="仿宋_GB2312" w:eastAsia="仿宋_GB2312" w:cs="仿宋_GB2312"/>
          <w:snapToGrid w:val="0"/>
          <w:kern w:val="2"/>
          <w:sz w:val="24"/>
          <w:szCs w:val="21"/>
          <w:lang w:val="en-US" w:eastAsia="zh-CN" w:bidi="ar-SA"/>
        </w:rPr>
      </w:pPr>
      <w:r>
        <w:rPr>
          <w:rFonts w:hint="eastAsia" w:ascii="仿宋_GB2312" w:hAnsi="仿宋_GB2312" w:eastAsia="仿宋_GB2312" w:cs="仿宋_GB2312"/>
          <w:snapToGrid w:val="0"/>
          <w:kern w:val="0"/>
          <w:sz w:val="24"/>
          <w:szCs w:val="21"/>
          <w:lang w:val="zh-CN" w:eastAsia="zh-CN" w:bidi="ar-SA"/>
        </w:rPr>
        <w:t>4.</w:t>
      </w:r>
      <w:r>
        <w:rPr>
          <w:rFonts w:hint="eastAsia" w:ascii="仿宋_GB2312" w:hAnsi="仿宋_GB2312" w:eastAsia="仿宋_GB2312" w:cs="仿宋_GB2312"/>
          <w:snapToGrid w:val="0"/>
          <w:kern w:val="0"/>
          <w:sz w:val="24"/>
          <w:szCs w:val="21"/>
          <w:lang w:val="en-US" w:eastAsia="zh-CN" w:bidi="ar-SA"/>
        </w:rPr>
        <w:t>3</w:t>
      </w:r>
      <w:r>
        <w:rPr>
          <w:rFonts w:hint="eastAsia" w:ascii="仿宋_GB2312" w:hAnsi="仿宋_GB2312" w:eastAsia="仿宋_GB2312" w:cs="仿宋_GB2312"/>
          <w:snapToGrid w:val="0"/>
          <w:kern w:val="2"/>
          <w:sz w:val="24"/>
          <w:szCs w:val="21"/>
          <w:lang w:val="en-US" w:eastAsia="zh-CN" w:bidi="ar-SA"/>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widowControl/>
        <w:adjustRightInd w:val="0"/>
        <w:snapToGrid w:val="0"/>
        <w:spacing w:line="360" w:lineRule="auto"/>
        <w:ind w:firstLine="480" w:firstLineChars="200"/>
        <w:jc w:val="both"/>
        <w:rPr>
          <w:rFonts w:hint="eastAsia" w:ascii="仿宋_GB2312" w:hAnsi="仿宋_GB2312" w:eastAsia="仿宋_GB2312" w:cs="仿宋_GB2312"/>
          <w:snapToGrid/>
          <w:color w:val="auto"/>
          <w:kern w:val="2"/>
          <w:sz w:val="24"/>
          <w:szCs w:val="20"/>
          <w:lang w:val="en-US" w:eastAsia="zh-CN" w:bidi="ar-SA"/>
        </w:rPr>
      </w:pPr>
      <w:r>
        <w:rPr>
          <w:rFonts w:hint="eastAsia" w:ascii="仿宋_GB2312" w:hAnsi="仿宋_GB2312" w:eastAsia="仿宋_GB2312" w:cs="仿宋_GB2312"/>
          <w:snapToGrid/>
          <w:color w:val="auto"/>
          <w:kern w:val="2"/>
          <w:sz w:val="24"/>
          <w:szCs w:val="20"/>
          <w:lang w:val="en-US" w:eastAsia="zh-CN" w:bidi="ar-SA"/>
        </w:rPr>
        <w:t>4.3.2.1对招标文件提出质疑的，质疑期限为供应商获得招标文件之日或者招标文件公告期限届满之日起计算。</w:t>
      </w:r>
    </w:p>
    <w:p>
      <w:pPr>
        <w:widowControl w:val="0"/>
        <w:adjustRightInd w:val="0"/>
        <w:spacing w:line="360" w:lineRule="auto"/>
        <w:ind w:firstLine="480" w:firstLineChars="200"/>
        <w:jc w:val="both"/>
        <w:rPr>
          <w:rFonts w:hint="eastAsia" w:ascii="仿宋_GB2312" w:hAnsi="仿宋_GB2312" w:eastAsia="仿宋_GB2312" w:cs="仿宋_GB2312"/>
          <w:snapToGrid w:val="0"/>
          <w:kern w:val="2"/>
          <w:sz w:val="24"/>
          <w:szCs w:val="21"/>
          <w:lang w:val="en-US" w:eastAsia="zh-CN" w:bidi="ar-SA"/>
        </w:rPr>
      </w:pPr>
      <w:r>
        <w:rPr>
          <w:rFonts w:hint="eastAsia" w:ascii="仿宋_GB2312" w:hAnsi="仿宋_GB2312" w:eastAsia="仿宋_GB2312" w:cs="仿宋_GB2312"/>
          <w:snapToGrid w:val="0"/>
          <w:kern w:val="2"/>
          <w:sz w:val="24"/>
          <w:szCs w:val="21"/>
          <w:lang w:val="en-US" w:eastAsia="zh-CN" w:bidi="ar-SA"/>
        </w:rPr>
        <w:t>4.3.2.2对采购过程提出质疑的，质疑期限为各采购程序环节结束之日起计算。</w:t>
      </w:r>
    </w:p>
    <w:p>
      <w:pPr>
        <w:widowControl w:val="0"/>
        <w:adjustRightInd w:val="0"/>
        <w:spacing w:line="360" w:lineRule="auto"/>
        <w:ind w:firstLine="480" w:firstLineChars="200"/>
        <w:jc w:val="both"/>
        <w:rPr>
          <w:rFonts w:hint="eastAsia" w:ascii="仿宋_GB2312" w:hAnsi="仿宋_GB2312" w:eastAsia="仿宋_GB2312" w:cs="仿宋_GB2312"/>
          <w:snapToGrid w:val="0"/>
          <w:kern w:val="2"/>
          <w:sz w:val="24"/>
          <w:szCs w:val="21"/>
          <w:lang w:val="en-US" w:eastAsia="zh-CN" w:bidi="ar-SA"/>
        </w:rPr>
      </w:pPr>
      <w:r>
        <w:rPr>
          <w:rFonts w:hint="eastAsia" w:ascii="仿宋_GB2312" w:hAnsi="仿宋_GB2312" w:eastAsia="仿宋_GB2312" w:cs="仿宋_GB2312"/>
          <w:snapToGrid w:val="0"/>
          <w:kern w:val="2"/>
          <w:sz w:val="24"/>
          <w:szCs w:val="21"/>
          <w:lang w:val="en-US" w:eastAsia="zh-CN" w:bidi="ar-SA"/>
        </w:rPr>
        <w:t>4.3.2.3对采购结果提出质疑的，质疑期限自采购结果公告期限届满之日起计算。</w:t>
      </w:r>
    </w:p>
    <w:p>
      <w:pPr>
        <w:widowControl w:val="0"/>
        <w:adjustRightInd w:val="0"/>
        <w:spacing w:line="360" w:lineRule="auto"/>
        <w:ind w:firstLine="480" w:firstLineChars="200"/>
        <w:jc w:val="both"/>
        <w:rPr>
          <w:rFonts w:hint="eastAsia" w:ascii="仿宋_GB2312" w:hAnsi="仿宋_GB2312" w:eastAsia="仿宋_GB2312" w:cs="仿宋_GB2312"/>
          <w:snapToGrid w:val="0"/>
          <w:kern w:val="0"/>
          <w:sz w:val="24"/>
          <w:szCs w:val="21"/>
          <w:lang w:val="zh-CN" w:eastAsia="zh-CN" w:bidi="ar-SA"/>
        </w:rPr>
      </w:pPr>
      <w:r>
        <w:rPr>
          <w:rFonts w:hint="eastAsia" w:ascii="仿宋_GB2312" w:hAnsi="仿宋_GB2312" w:eastAsia="仿宋_GB2312" w:cs="仿宋_GB2312"/>
          <w:snapToGrid w:val="0"/>
          <w:kern w:val="0"/>
          <w:sz w:val="24"/>
          <w:szCs w:val="21"/>
          <w:lang w:val="zh-CN" w:eastAsia="zh-CN" w:bidi="ar-SA"/>
        </w:rPr>
        <w:t>4.</w:t>
      </w:r>
      <w:r>
        <w:rPr>
          <w:rFonts w:hint="eastAsia" w:ascii="仿宋_GB2312" w:hAnsi="仿宋_GB2312" w:eastAsia="仿宋_GB2312" w:cs="仿宋_GB2312"/>
          <w:snapToGrid w:val="0"/>
          <w:kern w:val="0"/>
          <w:sz w:val="24"/>
          <w:szCs w:val="21"/>
          <w:lang w:val="en-US" w:eastAsia="zh-CN" w:bidi="ar-SA"/>
        </w:rPr>
        <w:t>3</w:t>
      </w:r>
      <w:r>
        <w:rPr>
          <w:rFonts w:hint="eastAsia" w:ascii="仿宋_GB2312" w:hAnsi="仿宋_GB2312" w:eastAsia="仿宋_GB2312" w:cs="仿宋_GB2312"/>
          <w:snapToGrid w:val="0"/>
          <w:kern w:val="0"/>
          <w:sz w:val="24"/>
          <w:szCs w:val="21"/>
          <w:lang w:val="zh-CN" w:eastAsia="zh-CN" w:bidi="ar-SA"/>
        </w:rPr>
        <w:t>.3</w:t>
      </w:r>
      <w:r>
        <w:rPr>
          <w:rFonts w:hint="eastAsia" w:ascii="仿宋_GB2312" w:hAnsi="仿宋_GB2312" w:eastAsia="仿宋_GB2312" w:cs="仿宋_GB2312"/>
          <w:snapToGrid w:val="0"/>
          <w:kern w:val="2"/>
          <w:sz w:val="24"/>
          <w:szCs w:val="21"/>
          <w:lang w:val="en-US" w:eastAsia="zh-CN" w:bidi="ar-SA"/>
        </w:rPr>
        <w:t>供应商提出质疑应当提交质疑函和必要的证明材料。质疑函应当包括下列内容：</w:t>
      </w:r>
    </w:p>
    <w:p>
      <w:pPr>
        <w:widowControl w:val="0"/>
        <w:adjustRightInd w:val="0"/>
        <w:spacing w:line="360" w:lineRule="auto"/>
        <w:ind w:firstLine="480" w:firstLineChars="200"/>
        <w:jc w:val="both"/>
        <w:rPr>
          <w:rFonts w:hint="eastAsia" w:ascii="仿宋_GB2312" w:hAnsi="仿宋_GB2312" w:eastAsia="仿宋_GB2312" w:cs="仿宋_GB2312"/>
          <w:snapToGrid w:val="0"/>
          <w:kern w:val="0"/>
          <w:sz w:val="24"/>
          <w:szCs w:val="21"/>
          <w:lang w:val="zh-CN" w:eastAsia="zh-CN" w:bidi="ar-SA"/>
        </w:rPr>
      </w:pPr>
      <w:r>
        <w:rPr>
          <w:rFonts w:hint="eastAsia" w:ascii="仿宋_GB2312" w:hAnsi="仿宋_GB2312" w:eastAsia="仿宋_GB2312" w:cs="仿宋_GB2312"/>
          <w:snapToGrid w:val="0"/>
          <w:kern w:val="0"/>
          <w:sz w:val="24"/>
          <w:szCs w:val="21"/>
          <w:lang w:val="zh-CN" w:eastAsia="zh-CN" w:bidi="ar-SA"/>
        </w:rPr>
        <w:t>　　4.</w:t>
      </w:r>
      <w:r>
        <w:rPr>
          <w:rFonts w:hint="eastAsia" w:ascii="仿宋_GB2312" w:hAnsi="仿宋_GB2312" w:eastAsia="仿宋_GB2312" w:cs="仿宋_GB2312"/>
          <w:snapToGrid w:val="0"/>
          <w:kern w:val="0"/>
          <w:sz w:val="24"/>
          <w:szCs w:val="21"/>
          <w:lang w:val="en-US" w:eastAsia="zh-CN" w:bidi="ar-SA"/>
        </w:rPr>
        <w:t>3</w:t>
      </w:r>
      <w:r>
        <w:rPr>
          <w:rFonts w:hint="eastAsia" w:ascii="仿宋_GB2312" w:hAnsi="仿宋_GB2312" w:eastAsia="仿宋_GB2312" w:cs="仿宋_GB2312"/>
          <w:snapToGrid w:val="0"/>
          <w:kern w:val="0"/>
          <w:sz w:val="24"/>
          <w:szCs w:val="21"/>
          <w:lang w:val="zh-CN" w:eastAsia="zh-CN" w:bidi="ar-SA"/>
        </w:rPr>
        <w:t>.3.1供应商的姓名或者名称、地址、邮编、联系人及联系电话；</w:t>
      </w:r>
    </w:p>
    <w:p>
      <w:pPr>
        <w:widowControl w:val="0"/>
        <w:adjustRightInd w:val="0"/>
        <w:spacing w:line="360" w:lineRule="auto"/>
        <w:ind w:firstLine="480" w:firstLineChars="200"/>
        <w:jc w:val="both"/>
        <w:rPr>
          <w:rFonts w:hint="eastAsia" w:ascii="仿宋_GB2312" w:hAnsi="仿宋_GB2312" w:eastAsia="仿宋_GB2312" w:cs="仿宋_GB2312"/>
          <w:snapToGrid w:val="0"/>
          <w:kern w:val="0"/>
          <w:sz w:val="24"/>
          <w:szCs w:val="21"/>
          <w:lang w:val="zh-CN" w:eastAsia="zh-CN" w:bidi="ar-SA"/>
        </w:rPr>
      </w:pPr>
      <w:r>
        <w:rPr>
          <w:rFonts w:hint="eastAsia" w:ascii="仿宋_GB2312" w:hAnsi="仿宋_GB2312" w:eastAsia="仿宋_GB2312" w:cs="仿宋_GB2312"/>
          <w:snapToGrid w:val="0"/>
          <w:kern w:val="0"/>
          <w:sz w:val="24"/>
          <w:szCs w:val="21"/>
          <w:lang w:val="zh-CN" w:eastAsia="zh-CN" w:bidi="ar-SA"/>
        </w:rPr>
        <w:t>　　4.</w:t>
      </w:r>
      <w:r>
        <w:rPr>
          <w:rFonts w:hint="eastAsia" w:ascii="仿宋_GB2312" w:hAnsi="仿宋_GB2312" w:eastAsia="仿宋_GB2312" w:cs="仿宋_GB2312"/>
          <w:snapToGrid w:val="0"/>
          <w:kern w:val="0"/>
          <w:sz w:val="24"/>
          <w:szCs w:val="21"/>
          <w:lang w:val="en-US" w:eastAsia="zh-CN" w:bidi="ar-SA"/>
        </w:rPr>
        <w:t>3</w:t>
      </w:r>
      <w:r>
        <w:rPr>
          <w:rFonts w:hint="eastAsia" w:ascii="仿宋_GB2312" w:hAnsi="仿宋_GB2312" w:eastAsia="仿宋_GB2312" w:cs="仿宋_GB2312"/>
          <w:snapToGrid w:val="0"/>
          <w:kern w:val="0"/>
          <w:sz w:val="24"/>
          <w:szCs w:val="21"/>
          <w:lang w:val="zh-CN" w:eastAsia="zh-CN" w:bidi="ar-SA"/>
        </w:rPr>
        <w:t>.3.2质疑项目的名称、编号；</w:t>
      </w:r>
    </w:p>
    <w:p>
      <w:pPr>
        <w:widowControl w:val="0"/>
        <w:adjustRightInd w:val="0"/>
        <w:spacing w:line="360" w:lineRule="auto"/>
        <w:ind w:firstLine="480" w:firstLineChars="200"/>
        <w:jc w:val="both"/>
        <w:rPr>
          <w:rFonts w:hint="eastAsia" w:ascii="仿宋_GB2312" w:hAnsi="仿宋_GB2312" w:eastAsia="仿宋_GB2312" w:cs="仿宋_GB2312"/>
          <w:snapToGrid w:val="0"/>
          <w:kern w:val="0"/>
          <w:sz w:val="24"/>
          <w:szCs w:val="21"/>
          <w:lang w:val="zh-CN" w:eastAsia="zh-CN" w:bidi="ar-SA"/>
        </w:rPr>
      </w:pPr>
      <w:r>
        <w:rPr>
          <w:rFonts w:hint="eastAsia" w:ascii="仿宋_GB2312" w:hAnsi="仿宋_GB2312" w:eastAsia="仿宋_GB2312" w:cs="仿宋_GB2312"/>
          <w:snapToGrid w:val="0"/>
          <w:kern w:val="0"/>
          <w:sz w:val="24"/>
          <w:szCs w:val="21"/>
          <w:lang w:val="zh-CN" w:eastAsia="zh-CN" w:bidi="ar-SA"/>
        </w:rPr>
        <w:t>　　4.</w:t>
      </w:r>
      <w:r>
        <w:rPr>
          <w:rFonts w:hint="eastAsia" w:ascii="仿宋_GB2312" w:hAnsi="仿宋_GB2312" w:eastAsia="仿宋_GB2312" w:cs="仿宋_GB2312"/>
          <w:snapToGrid w:val="0"/>
          <w:kern w:val="0"/>
          <w:sz w:val="24"/>
          <w:szCs w:val="21"/>
          <w:lang w:val="en-US" w:eastAsia="zh-CN" w:bidi="ar-SA"/>
        </w:rPr>
        <w:t>3</w:t>
      </w:r>
      <w:r>
        <w:rPr>
          <w:rFonts w:hint="eastAsia" w:ascii="仿宋_GB2312" w:hAnsi="仿宋_GB2312" w:eastAsia="仿宋_GB2312" w:cs="仿宋_GB2312"/>
          <w:snapToGrid w:val="0"/>
          <w:kern w:val="0"/>
          <w:sz w:val="24"/>
          <w:szCs w:val="21"/>
          <w:lang w:val="zh-CN" w:eastAsia="zh-CN" w:bidi="ar-SA"/>
        </w:rPr>
        <w:t>.3.3具体、明确的质疑事项和与质疑事项相关的请求；</w:t>
      </w:r>
    </w:p>
    <w:p>
      <w:pPr>
        <w:widowControl w:val="0"/>
        <w:adjustRightInd w:val="0"/>
        <w:spacing w:line="360" w:lineRule="auto"/>
        <w:ind w:firstLine="480" w:firstLineChars="200"/>
        <w:jc w:val="both"/>
        <w:rPr>
          <w:rFonts w:hint="eastAsia" w:ascii="仿宋_GB2312" w:hAnsi="仿宋_GB2312" w:eastAsia="仿宋_GB2312" w:cs="仿宋_GB2312"/>
          <w:snapToGrid w:val="0"/>
          <w:kern w:val="0"/>
          <w:sz w:val="24"/>
          <w:szCs w:val="21"/>
          <w:lang w:val="zh-CN" w:eastAsia="zh-CN" w:bidi="ar-SA"/>
        </w:rPr>
      </w:pPr>
      <w:r>
        <w:rPr>
          <w:rFonts w:hint="eastAsia" w:ascii="仿宋_GB2312" w:hAnsi="仿宋_GB2312" w:eastAsia="仿宋_GB2312" w:cs="仿宋_GB2312"/>
          <w:snapToGrid w:val="0"/>
          <w:kern w:val="0"/>
          <w:sz w:val="24"/>
          <w:szCs w:val="21"/>
          <w:lang w:val="zh-CN" w:eastAsia="zh-CN" w:bidi="ar-SA"/>
        </w:rPr>
        <w:t>　　4.</w:t>
      </w:r>
      <w:r>
        <w:rPr>
          <w:rFonts w:hint="eastAsia" w:ascii="仿宋_GB2312" w:hAnsi="仿宋_GB2312" w:eastAsia="仿宋_GB2312" w:cs="仿宋_GB2312"/>
          <w:snapToGrid w:val="0"/>
          <w:kern w:val="0"/>
          <w:sz w:val="24"/>
          <w:szCs w:val="21"/>
          <w:lang w:val="en-US" w:eastAsia="zh-CN" w:bidi="ar-SA"/>
        </w:rPr>
        <w:t>3</w:t>
      </w:r>
      <w:r>
        <w:rPr>
          <w:rFonts w:hint="eastAsia" w:ascii="仿宋_GB2312" w:hAnsi="仿宋_GB2312" w:eastAsia="仿宋_GB2312" w:cs="仿宋_GB2312"/>
          <w:snapToGrid w:val="0"/>
          <w:kern w:val="0"/>
          <w:sz w:val="24"/>
          <w:szCs w:val="21"/>
          <w:lang w:val="zh-CN" w:eastAsia="zh-CN" w:bidi="ar-SA"/>
        </w:rPr>
        <w:t>.3.4事实依据；</w:t>
      </w:r>
    </w:p>
    <w:p>
      <w:pPr>
        <w:widowControl w:val="0"/>
        <w:adjustRightInd w:val="0"/>
        <w:spacing w:line="360" w:lineRule="auto"/>
        <w:ind w:firstLine="480" w:firstLineChars="200"/>
        <w:jc w:val="both"/>
        <w:rPr>
          <w:rFonts w:hint="eastAsia" w:ascii="仿宋_GB2312" w:hAnsi="仿宋_GB2312" w:eastAsia="仿宋_GB2312" w:cs="仿宋_GB2312"/>
          <w:snapToGrid w:val="0"/>
          <w:kern w:val="0"/>
          <w:sz w:val="24"/>
          <w:szCs w:val="21"/>
          <w:lang w:val="zh-CN" w:eastAsia="zh-CN" w:bidi="ar-SA"/>
        </w:rPr>
      </w:pPr>
      <w:r>
        <w:rPr>
          <w:rFonts w:hint="eastAsia" w:ascii="仿宋_GB2312" w:hAnsi="仿宋_GB2312" w:eastAsia="仿宋_GB2312" w:cs="仿宋_GB2312"/>
          <w:snapToGrid w:val="0"/>
          <w:kern w:val="0"/>
          <w:sz w:val="24"/>
          <w:szCs w:val="21"/>
          <w:lang w:val="zh-CN" w:eastAsia="zh-CN" w:bidi="ar-SA"/>
        </w:rPr>
        <w:t>　　4.</w:t>
      </w:r>
      <w:r>
        <w:rPr>
          <w:rFonts w:hint="eastAsia" w:ascii="仿宋_GB2312" w:hAnsi="仿宋_GB2312" w:eastAsia="仿宋_GB2312" w:cs="仿宋_GB2312"/>
          <w:snapToGrid w:val="0"/>
          <w:kern w:val="0"/>
          <w:sz w:val="24"/>
          <w:szCs w:val="21"/>
          <w:lang w:val="en-US" w:eastAsia="zh-CN" w:bidi="ar-SA"/>
        </w:rPr>
        <w:t>3</w:t>
      </w:r>
      <w:r>
        <w:rPr>
          <w:rFonts w:hint="eastAsia" w:ascii="仿宋_GB2312" w:hAnsi="仿宋_GB2312" w:eastAsia="仿宋_GB2312" w:cs="仿宋_GB2312"/>
          <w:snapToGrid w:val="0"/>
          <w:kern w:val="0"/>
          <w:sz w:val="24"/>
          <w:szCs w:val="21"/>
          <w:lang w:val="zh-CN" w:eastAsia="zh-CN" w:bidi="ar-SA"/>
        </w:rPr>
        <w:t>.3.5必要的法律依据；</w:t>
      </w:r>
    </w:p>
    <w:p>
      <w:pPr>
        <w:widowControl w:val="0"/>
        <w:adjustRightInd w:val="0"/>
        <w:spacing w:line="360" w:lineRule="auto"/>
        <w:ind w:firstLine="960" w:firstLineChars="400"/>
        <w:jc w:val="both"/>
        <w:rPr>
          <w:rFonts w:hint="eastAsia" w:ascii="仿宋_GB2312" w:hAnsi="仿宋_GB2312" w:eastAsia="仿宋_GB2312" w:cs="仿宋_GB2312"/>
          <w:snapToGrid w:val="0"/>
          <w:kern w:val="0"/>
          <w:sz w:val="24"/>
          <w:szCs w:val="21"/>
          <w:lang w:val="zh-CN" w:eastAsia="zh-CN" w:bidi="ar-SA"/>
        </w:rPr>
      </w:pPr>
      <w:r>
        <w:rPr>
          <w:rFonts w:hint="eastAsia" w:ascii="仿宋_GB2312" w:hAnsi="仿宋_GB2312" w:eastAsia="仿宋_GB2312" w:cs="仿宋_GB2312"/>
          <w:snapToGrid w:val="0"/>
          <w:kern w:val="0"/>
          <w:sz w:val="24"/>
          <w:szCs w:val="21"/>
          <w:lang w:val="zh-CN" w:eastAsia="zh-CN" w:bidi="ar-SA"/>
        </w:rPr>
        <w:t>4.</w:t>
      </w:r>
      <w:r>
        <w:rPr>
          <w:rFonts w:hint="eastAsia" w:ascii="仿宋_GB2312" w:hAnsi="仿宋_GB2312" w:eastAsia="仿宋_GB2312" w:cs="仿宋_GB2312"/>
          <w:snapToGrid w:val="0"/>
          <w:kern w:val="0"/>
          <w:sz w:val="24"/>
          <w:szCs w:val="21"/>
          <w:lang w:val="en-US" w:eastAsia="zh-CN" w:bidi="ar-SA"/>
        </w:rPr>
        <w:t>3</w:t>
      </w:r>
      <w:r>
        <w:rPr>
          <w:rFonts w:hint="eastAsia" w:ascii="仿宋_GB2312" w:hAnsi="仿宋_GB2312" w:eastAsia="仿宋_GB2312" w:cs="仿宋_GB2312"/>
          <w:snapToGrid w:val="0"/>
          <w:kern w:val="0"/>
          <w:sz w:val="24"/>
          <w:szCs w:val="21"/>
          <w:lang w:val="zh-CN" w:eastAsia="zh-CN" w:bidi="ar-SA"/>
        </w:rPr>
        <w:t>.3.6提出质疑的日期。</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供应商提交的质疑函需一式三份。供应商为自然人的，应当由本人签字；供应商为法人或者其他组织的，应当由法定代表人、主要负责人，或者其授权代表签字或者盖章，并加盖公章。</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质疑函范本及制作说明详见附件2。</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4.3.4对同一采购程序环节的质疑，供应商须在法定质疑期内一次性提出。</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4.3.6询问或者质疑事项可能影响采购结果的，采购人应当暂停签订合同，已经签订合同的，应当中止履行合同。</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4.4供应商投诉</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4.4.1质疑供应商对采购人、采购代理机构的答复不满意或者采购人、采购代理机构未在规定的时间内作出答复的，可以在答复期满后十五个工作日内向同级政府采购监督管理部门提出投诉。</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4.4.2供应商投诉的事项不得超出已质疑事项的范围，基于质疑答复内容提出的投诉事项除外。</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4.4.3供应商投诉应当有明确的请求和必要的证明材料。</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4.4.4以联合体形式参加政府采购活动的，其投诉应当由组成联合体的所有供应商共同提出。</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4.4.5项目投诉材料可寄送浙江省政府采购行政裁决服务中心（杭州），地址：杭州市上城区四季青街道新业路市民之家G03办公室，收件人：朱女士，电话：0571-85252453。</w:t>
      </w:r>
    </w:p>
    <w:p>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rPr>
      </w:pPr>
      <w:r>
        <w:rPr>
          <w:rFonts w:hint="eastAsia" w:ascii="仿宋_GB2312" w:hAnsi="仿宋_GB2312" w:eastAsia="仿宋_GB2312" w:cs="仿宋_GB2312"/>
          <w:kern w:val="2"/>
          <w:sz w:val="24"/>
          <w:szCs w:val="24"/>
          <w:lang w:val="en-US" w:eastAsia="zh-CN" w:bidi="ar-SA"/>
        </w:rPr>
        <w:t>投诉书范本及制作说明详见附件3。</w:t>
      </w:r>
    </w:p>
    <w:p>
      <w:pPr>
        <w:pStyle w:val="129"/>
        <w:keepNext w:val="0"/>
        <w:keepLines w:val="0"/>
        <w:pageBreakBefore w:val="0"/>
        <w:kinsoku/>
        <w:wordWrap/>
        <w:overflowPunct/>
        <w:topLinePunct w:val="0"/>
        <w:bidi w:val="0"/>
        <w:snapToGrid w:val="0"/>
        <w:spacing w:before="0" w:beforeAutospacing="0"/>
        <w:ind w:left="0" w:leftChars="0" w:firstLine="360" w:firstLineChars="200"/>
        <w:textAlignment w:val="auto"/>
        <w:rPr>
          <w:rFonts w:hint="eastAsia" w:ascii="仿宋" w:hAnsi="仿宋" w:eastAsia="仿宋" w:cs="仿宋"/>
          <w:color w:val="auto"/>
          <w:sz w:val="18"/>
          <w:szCs w:val="18"/>
          <w:highlight w:val="none"/>
        </w:rPr>
      </w:pPr>
    </w:p>
    <w:p>
      <w:pPr>
        <w:keepNext w:val="0"/>
        <w:keepLines w:val="0"/>
        <w:pageBreakBefore w:val="0"/>
        <w:kinsoku/>
        <w:wordWrap/>
        <w:overflowPunct/>
        <w:topLinePunct w:val="0"/>
        <w:bidi w:val="0"/>
        <w:adjustRightInd/>
        <w:spacing w:beforeAutospacing="0" w:line="360" w:lineRule="auto"/>
        <w:ind w:left="0" w:leftChars="0" w:firstLine="643" w:firstLineChars="200"/>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2"/>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widowControl w:val="0"/>
        <w:adjustRightInd w:val="0"/>
        <w:spacing w:line="360" w:lineRule="auto"/>
        <w:ind w:firstLine="480" w:firstLineChars="200"/>
        <w:jc w:val="both"/>
        <w:rPr>
          <w:rFonts w:hint="eastAsia" w:ascii="仿宋_GB2312" w:hAnsi="仿宋_GB2312" w:eastAsia="仿宋_GB2312" w:cs="仿宋_GB2312"/>
          <w:snapToGrid w:val="0"/>
          <w:kern w:val="2"/>
          <w:sz w:val="24"/>
          <w:szCs w:val="24"/>
          <w:lang w:val="en-US" w:eastAsia="zh-CN" w:bidi="ar-SA"/>
        </w:rPr>
      </w:pPr>
      <w:r>
        <w:rPr>
          <w:rFonts w:hint="eastAsia" w:ascii="仿宋_GB2312" w:hAnsi="仿宋_GB2312" w:eastAsia="仿宋_GB2312" w:cs="仿宋_GB2312"/>
          <w:snapToGrid w:val="0"/>
          <w:kern w:val="2"/>
          <w:sz w:val="24"/>
          <w:szCs w:val="24"/>
          <w:lang w:val="en-US" w:eastAsia="zh-CN" w:bidi="ar-SA"/>
        </w:rPr>
        <w:t>5.1 招标文件包括下列文件及附件：</w:t>
      </w:r>
    </w:p>
    <w:p>
      <w:pPr>
        <w:widowControl w:val="0"/>
        <w:tabs>
          <w:tab w:val="left" w:pos="840"/>
        </w:tabs>
        <w:adjustRightInd w:val="0"/>
        <w:spacing w:line="360" w:lineRule="auto"/>
        <w:ind w:firstLine="960" w:firstLineChars="400"/>
        <w:jc w:val="both"/>
        <w:rPr>
          <w:rFonts w:hint="eastAsia" w:ascii="仿宋_GB2312" w:hAnsi="仿宋_GB2312" w:eastAsia="仿宋_GB2312" w:cs="仿宋_GB2312"/>
          <w:snapToGrid w:val="0"/>
          <w:kern w:val="2"/>
          <w:sz w:val="24"/>
          <w:szCs w:val="24"/>
          <w:lang w:val="en-US" w:eastAsia="zh-CN" w:bidi="ar-SA"/>
        </w:rPr>
      </w:pPr>
      <w:r>
        <w:rPr>
          <w:rFonts w:hint="eastAsia" w:ascii="仿宋_GB2312" w:hAnsi="仿宋_GB2312" w:eastAsia="仿宋_GB2312" w:cs="仿宋_GB2312"/>
          <w:snapToGrid w:val="0"/>
          <w:kern w:val="2"/>
          <w:sz w:val="24"/>
          <w:szCs w:val="24"/>
          <w:lang w:val="en-US" w:eastAsia="zh-CN" w:bidi="ar-SA"/>
        </w:rPr>
        <w:t>5.1.1招标公告；</w:t>
      </w:r>
    </w:p>
    <w:p>
      <w:pPr>
        <w:widowControl w:val="0"/>
        <w:tabs>
          <w:tab w:val="left" w:pos="840"/>
        </w:tabs>
        <w:adjustRightInd w:val="0"/>
        <w:spacing w:line="360" w:lineRule="auto"/>
        <w:ind w:firstLine="960" w:firstLineChars="400"/>
        <w:jc w:val="both"/>
        <w:rPr>
          <w:rFonts w:hint="eastAsia" w:ascii="仿宋_GB2312" w:hAnsi="仿宋_GB2312" w:eastAsia="仿宋_GB2312" w:cs="仿宋_GB2312"/>
          <w:snapToGrid w:val="0"/>
          <w:kern w:val="2"/>
          <w:sz w:val="24"/>
          <w:szCs w:val="24"/>
          <w:lang w:val="en-US" w:eastAsia="zh-CN" w:bidi="ar-SA"/>
        </w:rPr>
      </w:pPr>
      <w:r>
        <w:rPr>
          <w:rFonts w:hint="eastAsia" w:ascii="仿宋_GB2312" w:hAnsi="仿宋_GB2312" w:eastAsia="仿宋_GB2312" w:cs="仿宋_GB2312"/>
          <w:snapToGrid w:val="0"/>
          <w:kern w:val="2"/>
          <w:sz w:val="24"/>
          <w:szCs w:val="24"/>
          <w:lang w:val="en-US" w:eastAsia="zh-CN" w:bidi="ar-SA"/>
        </w:rPr>
        <w:t>5.1.2投标人须知；</w:t>
      </w:r>
    </w:p>
    <w:p>
      <w:pPr>
        <w:widowControl w:val="0"/>
        <w:tabs>
          <w:tab w:val="left" w:pos="840"/>
        </w:tabs>
        <w:adjustRightInd w:val="0"/>
        <w:spacing w:line="360" w:lineRule="auto"/>
        <w:ind w:firstLine="960" w:firstLineChars="400"/>
        <w:jc w:val="both"/>
        <w:rPr>
          <w:rFonts w:hint="eastAsia" w:ascii="仿宋_GB2312" w:hAnsi="仿宋_GB2312" w:eastAsia="仿宋_GB2312" w:cs="仿宋_GB2312"/>
          <w:snapToGrid w:val="0"/>
          <w:kern w:val="2"/>
          <w:sz w:val="24"/>
          <w:szCs w:val="24"/>
          <w:lang w:val="en-US" w:eastAsia="zh-CN" w:bidi="ar-SA"/>
        </w:rPr>
      </w:pPr>
      <w:r>
        <w:rPr>
          <w:rFonts w:hint="eastAsia" w:ascii="仿宋_GB2312" w:hAnsi="仿宋_GB2312" w:eastAsia="仿宋_GB2312" w:cs="仿宋_GB2312"/>
          <w:snapToGrid w:val="0"/>
          <w:kern w:val="2"/>
          <w:sz w:val="24"/>
          <w:szCs w:val="24"/>
          <w:lang w:val="en-US" w:eastAsia="zh-CN" w:bidi="ar-SA"/>
        </w:rPr>
        <w:t>5.1.3采购需求；</w:t>
      </w:r>
    </w:p>
    <w:p>
      <w:pPr>
        <w:widowControl w:val="0"/>
        <w:tabs>
          <w:tab w:val="left" w:pos="840"/>
        </w:tabs>
        <w:adjustRightInd w:val="0"/>
        <w:spacing w:line="360" w:lineRule="auto"/>
        <w:ind w:firstLine="960" w:firstLineChars="400"/>
        <w:jc w:val="both"/>
        <w:rPr>
          <w:rFonts w:hint="eastAsia" w:ascii="仿宋_GB2312" w:hAnsi="仿宋_GB2312" w:eastAsia="仿宋_GB2312" w:cs="仿宋_GB2312"/>
          <w:snapToGrid w:val="0"/>
          <w:kern w:val="2"/>
          <w:sz w:val="24"/>
          <w:szCs w:val="24"/>
          <w:lang w:val="en-US" w:eastAsia="zh-CN" w:bidi="ar-SA"/>
        </w:rPr>
      </w:pPr>
      <w:r>
        <w:rPr>
          <w:rFonts w:hint="eastAsia" w:ascii="仿宋_GB2312" w:hAnsi="仿宋_GB2312" w:eastAsia="仿宋_GB2312" w:cs="仿宋_GB2312"/>
          <w:snapToGrid w:val="0"/>
          <w:kern w:val="2"/>
          <w:sz w:val="24"/>
          <w:szCs w:val="24"/>
          <w:lang w:val="en-US" w:eastAsia="zh-CN" w:bidi="ar-SA"/>
        </w:rPr>
        <w:t>5.1.4评标办法；</w:t>
      </w:r>
    </w:p>
    <w:p>
      <w:pPr>
        <w:widowControl w:val="0"/>
        <w:tabs>
          <w:tab w:val="left" w:pos="840"/>
        </w:tabs>
        <w:adjustRightInd w:val="0"/>
        <w:spacing w:line="360" w:lineRule="auto"/>
        <w:ind w:firstLine="960" w:firstLineChars="400"/>
        <w:jc w:val="both"/>
        <w:rPr>
          <w:rFonts w:hint="eastAsia" w:ascii="仿宋_GB2312" w:hAnsi="仿宋_GB2312" w:eastAsia="仿宋_GB2312" w:cs="仿宋_GB2312"/>
          <w:snapToGrid w:val="0"/>
          <w:kern w:val="2"/>
          <w:sz w:val="24"/>
          <w:szCs w:val="24"/>
          <w:lang w:val="en-US" w:eastAsia="zh-CN" w:bidi="ar-SA"/>
        </w:rPr>
      </w:pPr>
      <w:r>
        <w:rPr>
          <w:rFonts w:hint="eastAsia" w:ascii="仿宋_GB2312" w:hAnsi="仿宋_GB2312" w:eastAsia="仿宋_GB2312" w:cs="仿宋_GB2312"/>
          <w:snapToGrid w:val="0"/>
          <w:kern w:val="2"/>
          <w:sz w:val="24"/>
          <w:szCs w:val="24"/>
          <w:lang w:val="en-US" w:eastAsia="zh-CN" w:bidi="ar-SA"/>
        </w:rPr>
        <w:t>5.1.5拟签订的合同文本；</w:t>
      </w:r>
    </w:p>
    <w:p>
      <w:pPr>
        <w:widowControl w:val="0"/>
        <w:tabs>
          <w:tab w:val="left" w:pos="840"/>
        </w:tabs>
        <w:adjustRightInd w:val="0"/>
        <w:spacing w:line="360" w:lineRule="auto"/>
        <w:ind w:firstLine="960" w:firstLineChars="400"/>
        <w:jc w:val="both"/>
        <w:rPr>
          <w:rFonts w:hint="eastAsia" w:ascii="仿宋_GB2312" w:hAnsi="仿宋_GB2312" w:eastAsia="仿宋_GB2312" w:cs="仿宋_GB2312"/>
          <w:snapToGrid w:val="0"/>
          <w:kern w:val="2"/>
          <w:sz w:val="24"/>
          <w:szCs w:val="24"/>
          <w:lang w:val="en-US" w:eastAsia="zh-CN" w:bidi="ar-SA"/>
        </w:rPr>
      </w:pPr>
      <w:r>
        <w:rPr>
          <w:rFonts w:hint="eastAsia" w:ascii="仿宋_GB2312" w:hAnsi="仿宋_GB2312" w:eastAsia="仿宋_GB2312" w:cs="仿宋_GB2312"/>
          <w:snapToGrid w:val="0"/>
          <w:kern w:val="2"/>
          <w:sz w:val="24"/>
          <w:szCs w:val="21"/>
          <w:lang w:val="en-US" w:eastAsia="zh-CN" w:bidi="ar-SA"/>
        </w:rPr>
        <w:t>5.1.6</w:t>
      </w:r>
      <w:r>
        <w:rPr>
          <w:rFonts w:hint="eastAsia" w:ascii="仿宋_GB2312" w:hAnsi="仿宋_GB2312" w:eastAsia="仿宋_GB2312" w:cs="仿宋_GB2312"/>
          <w:snapToGrid w:val="0"/>
          <w:kern w:val="2"/>
          <w:sz w:val="24"/>
          <w:szCs w:val="24"/>
          <w:lang w:val="en-US" w:eastAsia="zh-CN" w:bidi="ar-SA"/>
        </w:rPr>
        <w:t>应提交的有关格式范例。</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5.2与本项目有关的</w:t>
      </w:r>
      <w:r>
        <w:rPr>
          <w:rFonts w:hint="eastAsia" w:ascii="仿宋_GB2312" w:hAnsi="仿宋_GB2312" w:eastAsia="仿宋_GB2312" w:cs="仿宋_GB2312"/>
          <w:bCs/>
          <w:sz w:val="24"/>
        </w:rPr>
        <w:t>澄清或者修改的内容为招标文件的组成部分</w:t>
      </w:r>
      <w:r>
        <w:rPr>
          <w:rFonts w:hint="eastAsia" w:ascii="仿宋_GB2312" w:hAnsi="仿宋_GB2312" w:eastAsia="仿宋_GB2312" w:cs="仿宋_GB2312"/>
          <w:sz w:val="24"/>
        </w:rPr>
        <w:t>。</w:t>
      </w:r>
    </w:p>
    <w:p>
      <w:pPr>
        <w:pStyle w:val="32"/>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0"/>
          <w:lang w:val="en-US" w:eastAsia="zh-CN" w:bidi="ar-SA"/>
        </w:rPr>
      </w:pPr>
      <w:r>
        <w:rPr>
          <w:rFonts w:hint="eastAsia" w:ascii="仿宋_GB2312" w:hAnsi="仿宋_GB2312" w:eastAsia="仿宋_GB2312" w:cs="仿宋_GB2312"/>
          <w:kern w:val="2"/>
          <w:sz w:val="24"/>
          <w:szCs w:val="20"/>
          <w:lang w:val="en-US" w:eastAsia="zh-CN" w:bidi="ar-SA"/>
        </w:rPr>
        <w:t>6.1已获取招标文件的潜在投标人，若有问题需要澄清，应于投标截止时间前，以书面形式向采购代理机构提出。</w:t>
      </w:r>
    </w:p>
    <w:p>
      <w:pPr>
        <w:pStyle w:val="23"/>
        <w:keepNext w:val="0"/>
        <w:keepLines w:val="0"/>
        <w:pageBreakBefore w:val="0"/>
        <w:kinsoku/>
        <w:wordWrap/>
        <w:overflowPunct/>
        <w:topLinePunct w:val="0"/>
        <w:bidi w:val="0"/>
        <w:spacing w:beforeAutospacing="0"/>
        <w:ind w:left="0" w:leftChars="0" w:firstLine="480" w:firstLineChars="200"/>
        <w:textAlignment w:val="auto"/>
        <w:rPr>
          <w:rFonts w:hint="eastAsia" w:ascii="仿宋" w:hAnsi="仿宋" w:eastAsia="仿宋" w:cs="仿宋"/>
          <w:color w:val="auto"/>
          <w:sz w:val="18"/>
          <w:szCs w:val="18"/>
          <w:highlight w:val="none"/>
          <w:lang w:val="en-US"/>
        </w:rPr>
      </w:pPr>
      <w:r>
        <w:rPr>
          <w:rFonts w:hint="eastAsia" w:ascii="仿宋_GB2312" w:hAnsi="仿宋_GB2312" w:eastAsia="仿宋_GB2312" w:cs="仿宋_GB2312"/>
          <w:kern w:val="2"/>
          <w:sz w:val="24"/>
          <w:szCs w:val="20"/>
          <w:lang w:val="en-US" w:eastAsia="zh-CN" w:bidi="ar-S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hint="eastAsia" w:ascii="仿宋" w:hAnsi="仿宋" w:eastAsia="仿宋" w:cs="仿宋"/>
          <w:color w:val="auto"/>
          <w:szCs w:val="24"/>
          <w:highlight w:val="none"/>
          <w:lang w:val="en-US"/>
        </w:rPr>
        <w:t xml:space="preserve">    </w:t>
      </w:r>
    </w:p>
    <w:p>
      <w:pPr>
        <w:keepNext w:val="0"/>
        <w:keepLines w:val="0"/>
        <w:pageBreakBefore w:val="0"/>
        <w:kinsoku/>
        <w:wordWrap/>
        <w:overflowPunct/>
        <w:topLinePunct w:val="0"/>
        <w:bidi w:val="0"/>
        <w:adjustRightInd/>
        <w:spacing w:beforeAutospacing="0" w:line="360" w:lineRule="auto"/>
        <w:ind w:left="0" w:leftChars="0" w:firstLine="602" w:firstLineChars="200"/>
        <w:jc w:val="center"/>
        <w:textAlignment w:val="auto"/>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2"/>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2"/>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2"/>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5"/>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2"/>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keepNext w:val="0"/>
        <w:keepLines w:val="0"/>
        <w:pageBreakBefore w:val="0"/>
        <w:kinsoku/>
        <w:wordWrap/>
        <w:overflowPunct/>
        <w:topLinePunct w:val="0"/>
        <w:autoSpaceDE w:val="0"/>
        <w:autoSpaceDN w:val="0"/>
        <w:bidi w:val="0"/>
        <w:spacing w:beforeAutospacing="0" w:line="360" w:lineRule="auto"/>
        <w:ind w:left="0" w:lef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2"/>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b/>
          <w:sz w:val="24"/>
        </w:rPr>
        <w:t>资格文件</w:t>
      </w:r>
      <w:r>
        <w:rPr>
          <w:rFonts w:hint="eastAsia" w:ascii="仿宋_GB2312" w:hAnsi="仿宋_GB2312" w:eastAsia="仿宋_GB2312" w:cs="仿宋_GB2312"/>
          <w:sz w:val="24"/>
        </w:rPr>
        <w:t>：</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11.1.1符合参加政府采购活动应当具备的一般条件的承诺函；</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11.1.2联合协议</w:t>
      </w:r>
      <w:r>
        <w:rPr>
          <w:rFonts w:hint="eastAsia" w:ascii="仿宋_GB2312" w:hAnsi="仿宋_GB2312" w:eastAsia="仿宋_GB2312" w:cs="仿宋_GB2312"/>
          <w:bCs/>
          <w:sz w:val="24"/>
        </w:rPr>
        <w:t>（如果有）</w:t>
      </w:r>
      <w:r>
        <w:rPr>
          <w:rFonts w:hint="eastAsia" w:ascii="仿宋_GB2312" w:hAnsi="仿宋_GB2312" w:eastAsia="仿宋_GB2312" w:cs="仿宋_GB2312"/>
          <w:sz w:val="24"/>
        </w:rPr>
        <w:t>；</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11.1.3落实政府采购政策需满足的资格要求</w:t>
      </w:r>
      <w:r>
        <w:rPr>
          <w:rFonts w:hint="eastAsia" w:ascii="仿宋_GB2312" w:hAnsi="仿宋_GB2312" w:eastAsia="仿宋_GB2312" w:cs="仿宋_GB2312"/>
          <w:bCs/>
          <w:sz w:val="24"/>
        </w:rPr>
        <w:t>（如果有）</w:t>
      </w:r>
      <w:r>
        <w:rPr>
          <w:rFonts w:hint="eastAsia" w:ascii="仿宋_GB2312" w:hAnsi="仿宋_GB2312" w:eastAsia="仿宋_GB2312" w:cs="仿宋_GB2312"/>
          <w:sz w:val="24"/>
        </w:rPr>
        <w:t>；</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11.1.4本项目的特定资格要求</w:t>
      </w:r>
      <w:r>
        <w:rPr>
          <w:rFonts w:hint="eastAsia" w:ascii="仿宋_GB2312" w:hAnsi="仿宋_GB2312" w:eastAsia="仿宋_GB2312" w:cs="仿宋_GB2312"/>
          <w:bCs/>
          <w:sz w:val="24"/>
        </w:rPr>
        <w:t>（如果有）</w:t>
      </w:r>
      <w:r>
        <w:rPr>
          <w:rFonts w:hint="eastAsia" w:ascii="仿宋_GB2312" w:hAnsi="仿宋_GB2312" w:eastAsia="仿宋_GB2312" w:cs="仿宋_GB2312"/>
          <w:sz w:val="24"/>
        </w:rPr>
        <w:t>。</w:t>
      </w:r>
    </w:p>
    <w:p>
      <w:pPr>
        <w:snapToGri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11.</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b/>
          <w:bCs/>
          <w:sz w:val="24"/>
        </w:rPr>
        <w:t>商务技术</w:t>
      </w:r>
      <w:r>
        <w:rPr>
          <w:rFonts w:hint="eastAsia" w:ascii="仿宋_GB2312" w:hAnsi="仿宋_GB2312" w:eastAsia="仿宋_GB2312" w:cs="仿宋_GB2312"/>
          <w:b/>
          <w:bCs/>
          <w:sz w:val="24"/>
          <w:lang w:val="zh-CN"/>
        </w:rPr>
        <w:t>文件：</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11.2.1投标函；</w:t>
      </w:r>
      <w:r>
        <w:rPr>
          <w:rFonts w:hint="eastAsia" w:ascii="仿宋_GB2312" w:hAnsi="仿宋_GB2312" w:eastAsia="仿宋_GB2312" w:cs="仿宋_GB2312"/>
          <w:sz w:val="24"/>
          <w:lang w:val="zh-CN"/>
        </w:rPr>
        <w:t xml:space="preserve"> </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11.2.2授权委托书或法定代表人（单位负责人、自然人本人）身份证明；</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11.2.3分包意向协议</w:t>
      </w:r>
      <w:r>
        <w:rPr>
          <w:rFonts w:hint="eastAsia" w:ascii="仿宋_GB2312" w:hAnsi="仿宋_GB2312" w:eastAsia="仿宋_GB2312" w:cs="仿宋_GB2312"/>
          <w:bCs/>
          <w:sz w:val="24"/>
        </w:rPr>
        <w:t>（如果有）</w:t>
      </w:r>
      <w:r>
        <w:rPr>
          <w:rFonts w:hint="eastAsia" w:ascii="仿宋_GB2312" w:hAnsi="仿宋_GB2312" w:eastAsia="仿宋_GB2312" w:cs="仿宋_GB2312"/>
          <w:sz w:val="24"/>
        </w:rPr>
        <w:t>；</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11.2.4符合性审查资料；</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11.2.5评标标准相应的商务技术资料；</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11.2.6投标标的清单；</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11.2.7商务技术偏离表；</w:t>
      </w:r>
    </w:p>
    <w:p>
      <w:pPr>
        <w:snapToGrid w:val="0"/>
        <w:spacing w:line="360" w:lineRule="auto"/>
        <w:ind w:firstLine="960" w:firstLineChars="4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11.</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8</w:t>
      </w:r>
      <w:r>
        <w:rPr>
          <w:rFonts w:hint="eastAsia" w:ascii="仿宋_GB2312" w:hAnsi="仿宋_GB2312" w:eastAsia="仿宋_GB2312" w:cs="仿宋_GB2312"/>
          <w:sz w:val="24"/>
          <w:lang w:val="zh-CN"/>
        </w:rPr>
        <w:t>政府采购供应商廉洁自律承诺书。</w:t>
      </w:r>
    </w:p>
    <w:p>
      <w:pPr>
        <w:snapToGrid w:val="0"/>
        <w:spacing w:line="360" w:lineRule="auto"/>
        <w:ind w:firstLine="480" w:firstLineChars="200"/>
        <w:rPr>
          <w:rFonts w:hint="eastAsia" w:ascii="仿宋_GB2312" w:hAnsi="仿宋_GB2312" w:eastAsia="仿宋_GB2312" w:cs="仿宋_GB2312"/>
          <w:sz w:val="24"/>
          <w:u w:val="single"/>
          <w:lang w:val="zh-CN"/>
        </w:rPr>
      </w:pPr>
      <w:r>
        <w:rPr>
          <w:rFonts w:hint="eastAsia" w:ascii="仿宋_GB2312" w:hAnsi="仿宋_GB2312" w:eastAsia="仿宋_GB2312" w:cs="仿宋_GB2312"/>
          <w:kern w:val="0"/>
          <w:sz w:val="24"/>
          <w:lang w:val="zh-CN"/>
        </w:rPr>
        <w:t>11.</w:t>
      </w:r>
      <w:r>
        <w:rPr>
          <w:rFonts w:hint="eastAsia" w:ascii="仿宋_GB2312" w:hAnsi="仿宋_GB2312" w:eastAsia="仿宋_GB2312" w:cs="仿宋_GB2312"/>
          <w:kern w:val="0"/>
          <w:sz w:val="24"/>
        </w:rPr>
        <w:t>3</w:t>
      </w:r>
      <w:r>
        <w:rPr>
          <w:rFonts w:hint="eastAsia" w:ascii="仿宋_GB2312" w:hAnsi="仿宋_GB2312" w:eastAsia="仿宋_GB2312" w:cs="仿宋_GB2312"/>
          <w:b/>
          <w:sz w:val="24"/>
        </w:rPr>
        <w:t>报价文件：</w:t>
      </w:r>
      <w:r>
        <w:rPr>
          <w:rFonts w:hint="eastAsia" w:ascii="仿宋_GB2312" w:hAnsi="仿宋_GB2312" w:eastAsia="仿宋_GB2312" w:cs="仿宋_GB2312"/>
          <w:sz w:val="24"/>
        </w:rPr>
        <w:t xml:space="preserve"> </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11.3.1开标一览表（报价表）；</w:t>
      </w:r>
    </w:p>
    <w:p>
      <w:pPr>
        <w:snapToGrid w:val="0"/>
        <w:spacing w:line="360"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11.3.2中小企业声明函</w:t>
      </w:r>
      <w:r>
        <w:rPr>
          <w:rFonts w:hint="eastAsia" w:ascii="仿宋_GB2312" w:hAnsi="仿宋_GB2312" w:eastAsia="仿宋_GB2312" w:cs="仿宋_GB2312"/>
          <w:bCs/>
          <w:sz w:val="24"/>
        </w:rPr>
        <w:t>（如果有）</w:t>
      </w:r>
      <w:r>
        <w:rPr>
          <w:rFonts w:hint="eastAsia" w:ascii="仿宋_GB2312" w:hAnsi="仿宋_GB2312" w:eastAsia="仿宋_GB2312" w:cs="仿宋_GB2312"/>
          <w:b/>
          <w:sz w:val="24"/>
        </w:rPr>
        <w:t>。</w:t>
      </w:r>
    </w:p>
    <w:p>
      <w:pPr>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29"/>
        <w:keepNext w:val="0"/>
        <w:keepLines w:val="0"/>
        <w:pageBreakBefore w:val="0"/>
        <w:kinsoku/>
        <w:wordWrap/>
        <w:overflowPunct/>
        <w:topLinePunct w:val="0"/>
        <w:bidi w:val="0"/>
        <w:snapToGrid w:val="0"/>
        <w:spacing w:before="0" w:beforeAutospacing="0"/>
        <w:ind w:left="0" w:leftChars="0" w:firstLine="482" w:firstLineChars="200"/>
        <w:textAlignment w:val="auto"/>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keepNext w:val="0"/>
        <w:keepLines w:val="0"/>
        <w:pageBreakBefore w:val="0"/>
        <w:kinsoku/>
        <w:wordWrap/>
        <w:overflowPunct/>
        <w:topLinePunct w:val="0"/>
        <w:bidi w:val="0"/>
        <w:snapToGrid w:val="0"/>
        <w:spacing w:beforeAutospacing="0" w:line="360" w:lineRule="auto"/>
        <w:ind w:left="0" w:lef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29"/>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29"/>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29"/>
        <w:keepNext w:val="0"/>
        <w:keepLines w:val="0"/>
        <w:pageBreakBefore w:val="0"/>
        <w:kinsoku/>
        <w:wordWrap/>
        <w:overflowPunct/>
        <w:topLinePunct w:val="0"/>
        <w:bidi w:val="0"/>
        <w:spacing w:before="0" w:beforeAutospacing="0"/>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widowControl w:val="0"/>
        <w:adjustRightInd w:val="0"/>
        <w:spacing w:before="156" w:line="360" w:lineRule="auto"/>
        <w:ind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widowControl w:val="0"/>
        <w:adjustRightInd w:val="0"/>
        <w:spacing w:before="0" w:line="360" w:lineRule="auto"/>
        <w:ind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14.2电子交易平台收到投标文件，将妥善保存并即时向供应商发出确认回执通知。在投标截止时间前，除供应商补充、修改或者撤回投标文件外，任何单位和个人不得解密或提取投标文件。</w:t>
      </w:r>
    </w:p>
    <w:p>
      <w:pPr>
        <w:widowControl w:val="0"/>
        <w:adjustRightInd w:val="0"/>
        <w:spacing w:before="0" w:line="360" w:lineRule="auto"/>
        <w:ind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14.3采购人、采购代理机构可以视情况延长投标文件提交的截止时间。在上述情况下，采购代理机构与投标人以前在投标截止期方面的全部权利、责任和义务，将适用于延长至新的投标截止期。</w:t>
      </w:r>
    </w:p>
    <w:p>
      <w:pPr>
        <w:pStyle w:val="32"/>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widowControl w:val="0"/>
        <w:adjustRightInd w:val="0"/>
        <w:spacing w:line="360" w:lineRule="auto"/>
        <w:ind w:firstLine="360" w:firstLineChars="150"/>
        <w:jc w:val="both"/>
        <w:rPr>
          <w:rFonts w:hint="eastAsia" w:ascii="仿宋" w:hAnsi="仿宋" w:eastAsia="仿宋" w:cs="仿宋"/>
          <w:b/>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 xml:space="preserve"> 15.1投标人在电子交易平台传输递交投标文件后，还可以在投标截止时间前直接提交或者以邮政快递方式递交备份投标文件1份，</w:t>
      </w:r>
      <w:r>
        <w:rPr>
          <w:rFonts w:hint="eastAsia" w:ascii="仿宋" w:hAnsi="仿宋" w:eastAsia="仿宋" w:cs="仿宋"/>
          <w:b/>
          <w:snapToGrid w:val="0"/>
          <w:color w:val="auto"/>
          <w:kern w:val="2"/>
          <w:sz w:val="24"/>
          <w:szCs w:val="24"/>
          <w:highlight w:val="none"/>
          <w:lang w:val="en-US" w:eastAsia="zh-CN" w:bidi="ar-SA"/>
        </w:rPr>
        <w:t>但采购人、采购代理机构不强制或变相强制投标人提交备份投标文件。</w:t>
      </w:r>
    </w:p>
    <w:p>
      <w:pPr>
        <w:widowControl w:val="0"/>
        <w:adjustRightInd w:val="0"/>
        <w:spacing w:line="360" w:lineRule="auto"/>
        <w:ind w:firstLine="480" w:firstLineChars="200"/>
        <w:jc w:val="both"/>
        <w:rPr>
          <w:rFonts w:hint="eastAsia" w:ascii="仿宋" w:hAnsi="仿宋" w:eastAsia="仿宋" w:cs="仿宋"/>
          <w:b/>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15.2备份投标文件须在“政采云投标客户端”制作生成，并储存在</w:t>
      </w:r>
      <w:r>
        <w:rPr>
          <w:rFonts w:hint="eastAsia" w:ascii="仿宋" w:hAnsi="仿宋" w:eastAsia="仿宋" w:cs="仿宋"/>
          <w:snapToGrid w:val="0"/>
          <w:color w:val="auto"/>
          <w:kern w:val="2"/>
          <w:sz w:val="24"/>
          <w:szCs w:val="21"/>
          <w:highlight w:val="none"/>
          <w:lang w:val="en-US" w:eastAsia="zh-CN" w:bidi="ar-SA"/>
        </w:rPr>
        <w:t>DVD光盘等存储介质</w:t>
      </w:r>
      <w:r>
        <w:rPr>
          <w:rFonts w:hint="eastAsia" w:ascii="仿宋" w:hAnsi="仿宋" w:eastAsia="仿宋" w:cs="仿宋"/>
          <w:snapToGrid w:val="0"/>
          <w:color w:val="auto"/>
          <w:kern w:val="2"/>
          <w:sz w:val="24"/>
          <w:szCs w:val="24"/>
          <w:highlight w:val="none"/>
          <w:lang w:val="en-US" w:eastAsia="zh-CN" w:bidi="ar-SA"/>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napToGrid w:val="0"/>
          <w:color w:val="auto"/>
          <w:kern w:val="2"/>
          <w:sz w:val="24"/>
          <w:szCs w:val="21"/>
          <w:highlight w:val="none"/>
          <w:lang w:val="en-US" w:eastAsia="zh-CN" w:bidi="ar-SA"/>
        </w:rPr>
        <w:t>不符合上述制作、</w:t>
      </w:r>
      <w:r>
        <w:rPr>
          <w:rFonts w:hint="eastAsia" w:ascii="仿宋" w:hAnsi="仿宋" w:eastAsia="仿宋" w:cs="仿宋"/>
          <w:b/>
          <w:snapToGrid w:val="0"/>
          <w:color w:val="auto"/>
          <w:kern w:val="2"/>
          <w:sz w:val="24"/>
          <w:szCs w:val="24"/>
          <w:highlight w:val="none"/>
          <w:lang w:val="en-US" w:eastAsia="zh-CN" w:bidi="ar-SA"/>
        </w:rPr>
        <w:t>存储、密封规定的备份投标文件将被视为无效或者被拒绝接收。</w:t>
      </w:r>
    </w:p>
    <w:p>
      <w:pPr>
        <w:widowControl w:val="0"/>
        <w:adjustRightInd w:val="0"/>
        <w:spacing w:line="360" w:lineRule="auto"/>
        <w:ind w:firstLine="480" w:firstLineChars="20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15.3直接提交备份投标文件的，投标人应于投标截止时间前在招标公告中载明的开标地点将备份投标文件提交给采购代理机构，采购代理机构将拒绝接受逾期送达的备份投标文件。</w:t>
      </w:r>
    </w:p>
    <w:p>
      <w:pPr>
        <w:widowControl w:val="0"/>
        <w:adjustRightInd w:val="0"/>
        <w:spacing w:line="360" w:lineRule="auto"/>
        <w:ind w:firstLine="480" w:firstLineChars="20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kern w:val="2"/>
          <w:sz w:val="24"/>
          <w:szCs w:val="24"/>
          <w:highlight w:val="none"/>
          <w:lang w:val="en-US" w:eastAsia="zh-CN" w:bidi="ar-SA"/>
        </w:rPr>
        <w:t>招标文件第二部分投标人须知前附表规定的备份投标文件送达地点；</w:t>
      </w:r>
      <w:r>
        <w:rPr>
          <w:rFonts w:hint="eastAsia" w:ascii="仿宋" w:hAnsi="仿宋" w:eastAsia="仿宋" w:cs="仿宋"/>
          <w:snapToGrid w:val="0"/>
          <w:color w:val="auto"/>
          <w:kern w:val="2"/>
          <w:sz w:val="24"/>
          <w:szCs w:val="24"/>
          <w:highlight w:val="none"/>
          <w:lang w:val="en-US" w:eastAsia="zh-CN" w:bidi="ar-SA"/>
        </w:rPr>
        <w:t>送达时间以签收人签收时间为准。采购代理机构将拒绝接受逾期送达的备份投标文件。邮寄过程中，电子备份投标文件发生泄露、遗失、损坏或延期送达等情况的，由投标人自行负责。</w:t>
      </w:r>
    </w:p>
    <w:p>
      <w:pPr>
        <w:widowControl w:val="0"/>
        <w:adjustRightInd w:val="0"/>
        <w:spacing w:line="360" w:lineRule="auto"/>
        <w:ind w:firstLine="479" w:firstLineChars="199"/>
        <w:jc w:val="both"/>
        <w:rPr>
          <w:rFonts w:hint="eastAsia" w:ascii="仿宋" w:hAnsi="仿宋" w:eastAsia="仿宋" w:cs="仿宋"/>
          <w:b/>
          <w:snapToGrid w:val="0"/>
          <w:color w:val="auto"/>
          <w:kern w:val="2"/>
          <w:sz w:val="24"/>
          <w:szCs w:val="24"/>
          <w:highlight w:val="none"/>
          <w:lang w:val="en-US" w:eastAsia="zh-CN" w:bidi="ar-SA"/>
        </w:rPr>
      </w:pPr>
      <w:r>
        <w:rPr>
          <w:rFonts w:hint="eastAsia" w:ascii="仿宋" w:hAnsi="仿宋" w:eastAsia="仿宋" w:cs="仿宋"/>
          <w:b/>
          <w:snapToGrid w:val="0"/>
          <w:color w:val="auto"/>
          <w:kern w:val="2"/>
          <w:sz w:val="24"/>
          <w:szCs w:val="24"/>
          <w:highlight w:val="none"/>
          <w:lang w:val="en-US" w:eastAsia="zh-CN" w:bidi="ar-SA"/>
        </w:rPr>
        <w:t>15.5投标人仅提交备份投标文件，未在电子交易平台传输递交投标文件的，投标无效。</w:t>
      </w:r>
    </w:p>
    <w:p>
      <w:pPr>
        <w:pStyle w:val="129"/>
        <w:keepNext w:val="0"/>
        <w:keepLines w:val="0"/>
        <w:pageBreakBefore w:val="0"/>
        <w:kinsoku/>
        <w:wordWrap/>
        <w:overflowPunct/>
        <w:topLinePunct w:val="0"/>
        <w:bidi w:val="0"/>
        <w:spacing w:before="0" w:beforeAutospacing="0"/>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129"/>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有招标文件第四部分第4.2条规定的情形之一的，投标无效：</w:t>
      </w:r>
    </w:p>
    <w:p>
      <w:pPr>
        <w:pStyle w:val="129"/>
        <w:keepNext w:val="0"/>
        <w:keepLines w:val="0"/>
        <w:pageBreakBefore w:val="0"/>
        <w:kinsoku/>
        <w:wordWrap/>
        <w:overflowPunct/>
        <w:topLinePunct w:val="0"/>
        <w:bidi w:val="0"/>
        <w:spacing w:before="0" w:beforeAutospacing="0"/>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29"/>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29"/>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9"/>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17.4在投标截止时间起至投标有效期届满，供应商投标文件不可撤销。</w:t>
      </w:r>
    </w:p>
    <w:p>
      <w:pPr>
        <w:pStyle w:val="129"/>
        <w:keepNext w:val="0"/>
        <w:keepLines w:val="0"/>
        <w:pageBreakBefore w:val="0"/>
        <w:kinsoku/>
        <w:wordWrap/>
        <w:overflowPunct/>
        <w:topLinePunct w:val="0"/>
        <w:bidi w:val="0"/>
        <w:spacing w:before="0" w:beforeAutospacing="0"/>
        <w:ind w:left="0" w:leftChars="0" w:firstLine="643" w:firstLineChars="200"/>
        <w:textAlignment w:val="auto"/>
        <w:rPr>
          <w:rFonts w:hint="eastAsia" w:ascii="仿宋" w:hAnsi="仿宋" w:eastAsia="仿宋" w:cs="仿宋"/>
          <w:b/>
          <w:color w:val="auto"/>
          <w:sz w:val="32"/>
          <w:highlight w:val="none"/>
        </w:rPr>
      </w:pPr>
    </w:p>
    <w:p>
      <w:pPr>
        <w:pStyle w:val="129"/>
        <w:keepNext w:val="0"/>
        <w:keepLines w:val="0"/>
        <w:pageBreakBefore w:val="0"/>
        <w:kinsoku/>
        <w:wordWrap/>
        <w:overflowPunct/>
        <w:topLinePunct w:val="0"/>
        <w:bidi w:val="0"/>
        <w:spacing w:before="0" w:beforeAutospacing="0"/>
        <w:ind w:left="0" w:leftChars="0" w:firstLine="0" w:firstLineChars="0"/>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4"/>
        <w:keepNext w:val="0"/>
        <w:keepLines w:val="0"/>
        <w:pageBreakBefore w:val="0"/>
        <w:kinsoku/>
        <w:wordWrap/>
        <w:overflowPunct/>
        <w:topLinePunct w:val="0"/>
        <w:bidi w:val="0"/>
        <w:spacing w:before="0" w:beforeAutospacing="0" w:line="360" w:lineRule="auto"/>
        <w:ind w:left="0" w:leftChars="0" w:firstLine="482"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4"/>
        <w:keepNext w:val="0"/>
        <w:keepLines w:val="0"/>
        <w:pageBreakBefore w:val="0"/>
        <w:kinsoku/>
        <w:wordWrap/>
        <w:overflowPunct/>
        <w:topLinePunct w:val="0"/>
        <w:bidi w:val="0"/>
        <w:spacing w:before="0" w:beforeAutospacing="0" w:line="360" w:lineRule="auto"/>
        <w:ind w:left="0" w:leftChars="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554"/>
        <w:keepNext w:val="0"/>
        <w:keepLines w:val="0"/>
        <w:pageBreakBefore w:val="0"/>
        <w:kinsoku/>
        <w:wordWrap/>
        <w:overflowPunct/>
        <w:topLinePunct w:val="0"/>
        <w:bidi w:val="0"/>
        <w:spacing w:before="0" w:beforeAutospacing="0" w:line="360" w:lineRule="auto"/>
        <w:ind w:left="0" w:leftChars="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554"/>
        <w:keepNext w:val="0"/>
        <w:keepLines w:val="0"/>
        <w:pageBreakBefore w:val="0"/>
        <w:kinsoku/>
        <w:wordWrap/>
        <w:overflowPunct/>
        <w:topLinePunct w:val="0"/>
        <w:bidi w:val="0"/>
        <w:spacing w:before="0" w:beforeAutospacing="0" w:line="360" w:lineRule="auto"/>
        <w:ind w:left="0" w:leftChars="0" w:firstLine="480" w:firstLineChars="200"/>
        <w:contextualSpacing/>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bidi w:val="0"/>
        <w:spacing w:beforeAutospacing="0" w:line="360" w:lineRule="auto"/>
        <w:ind w:left="0" w:leftChars="0" w:firstLine="482" w:firstLineChars="200"/>
        <w:jc w:val="left"/>
        <w:textAlignment w:val="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19、资格审查</w:t>
      </w:r>
    </w:p>
    <w:p>
      <w:pPr>
        <w:pStyle w:val="129"/>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19.1开标后，采购人将依据法律法规和招标文件的规定，对投标人的资格进行审查。</w:t>
      </w:r>
    </w:p>
    <w:p>
      <w:pPr>
        <w:pStyle w:val="129"/>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19.2投标人未按照招标文件要求提供与资格条件相应的有效资格证明材料的，视为投标人不具备招标文件中规定的资格要求，其投标无效。</w:t>
      </w:r>
    </w:p>
    <w:p>
      <w:pPr>
        <w:pStyle w:val="129"/>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19.3对未通过资格审查的投标人，告知其未通过的原因。</w:t>
      </w:r>
    </w:p>
    <w:p>
      <w:pPr>
        <w:pStyle w:val="129"/>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19.4合格投标人不足3家的，不再评标。</w:t>
      </w:r>
    </w:p>
    <w:p>
      <w:pPr>
        <w:pStyle w:val="129"/>
        <w:keepNext w:val="0"/>
        <w:keepLines w:val="0"/>
        <w:pageBreakBefore w:val="0"/>
        <w:kinsoku/>
        <w:wordWrap/>
        <w:overflowPunct/>
        <w:topLinePunct w:val="0"/>
        <w:bidi w:val="0"/>
        <w:spacing w:before="0" w:beforeAutospacing="0"/>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29"/>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129"/>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29"/>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29"/>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kern w:val="0"/>
          <w:szCs w:val="24"/>
          <w:highlight w:val="none"/>
        </w:rPr>
      </w:pPr>
    </w:p>
    <w:p>
      <w:pPr>
        <w:keepNext w:val="0"/>
        <w:keepLines w:val="0"/>
        <w:pageBreakBefore w:val="0"/>
        <w:kinsoku/>
        <w:wordWrap/>
        <w:overflowPunct/>
        <w:topLinePunct w:val="0"/>
        <w:bidi w:val="0"/>
        <w:snapToGrid w:val="0"/>
        <w:spacing w:beforeAutospacing="0" w:line="360" w:lineRule="auto"/>
        <w:ind w:left="0" w:leftChars="0" w:firstLine="723" w:firstLineChars="200"/>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highlight w:val="none"/>
        </w:rPr>
      </w:pPr>
    </w:p>
    <w:p>
      <w:pPr>
        <w:keepNext w:val="0"/>
        <w:keepLines w:val="0"/>
        <w:pageBreakBefore w:val="0"/>
        <w:kinsoku/>
        <w:wordWrap/>
        <w:overflowPunct/>
        <w:topLinePunct w:val="0"/>
        <w:bidi w:val="0"/>
        <w:snapToGrid w:val="0"/>
        <w:spacing w:beforeAutospacing="0" w:line="360" w:lineRule="auto"/>
        <w:ind w:left="0" w:leftChars="0" w:firstLine="723" w:firstLineChars="200"/>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4"/>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29"/>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pPr>
        <w:pStyle w:val="129"/>
        <w:keepNext w:val="0"/>
        <w:keepLines w:val="0"/>
        <w:pageBreakBefore w:val="0"/>
        <w:kinsoku/>
        <w:wordWrap/>
        <w:overflowPunct/>
        <w:topLinePunct w:val="0"/>
        <w:bidi w:val="0"/>
        <w:snapToGrid w:val="0"/>
        <w:spacing w:before="0" w:beforeAutospacing="0"/>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keepNext w:val="0"/>
        <w:keepLines w:val="0"/>
        <w:pageBreakBefore w:val="0"/>
        <w:widowControl/>
        <w:shd w:val="clear" w:color="auto" w:fill="FFFFFF"/>
        <w:kinsoku/>
        <w:wordWrap/>
        <w:overflowPunct/>
        <w:topLinePunct w:val="0"/>
        <w:bidi w:val="0"/>
        <w:spacing w:beforeAutospacing="0" w:line="360" w:lineRule="auto"/>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keepNext w:val="0"/>
        <w:keepLines w:val="0"/>
        <w:pageBreakBefore w:val="0"/>
        <w:widowControl/>
        <w:shd w:val="clear" w:color="auto" w:fill="FFFFFF"/>
        <w:kinsoku/>
        <w:wordWrap/>
        <w:overflowPunct/>
        <w:topLinePunct w:val="0"/>
        <w:bidi w:val="0"/>
        <w:spacing w:beforeAutospacing="0" w:line="360" w:lineRule="auto"/>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keepNext w:val="0"/>
        <w:keepLines w:val="0"/>
        <w:pageBreakBefore w:val="0"/>
        <w:widowControl/>
        <w:shd w:val="clear" w:color="auto" w:fill="FFFFFF"/>
        <w:kinsoku/>
        <w:wordWrap/>
        <w:overflowPunct/>
        <w:topLinePunct w:val="0"/>
        <w:bidi w:val="0"/>
        <w:spacing w:beforeAutospacing="0" w:line="360" w:lineRule="auto"/>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keepNext w:val="0"/>
        <w:keepLines w:val="0"/>
        <w:pageBreakBefore w:val="0"/>
        <w:kinsoku/>
        <w:wordWrap/>
        <w:overflowPunct/>
        <w:topLinePunct w:val="0"/>
        <w:bidi w:val="0"/>
        <w:snapToGrid w:val="0"/>
        <w:spacing w:beforeAutospacing="0" w:line="360" w:lineRule="auto"/>
        <w:ind w:left="0" w:leftChars="0" w:firstLine="643" w:firstLineChars="200"/>
        <w:jc w:val="center"/>
        <w:textAlignment w:val="auto"/>
        <w:rPr>
          <w:rFonts w:hint="eastAsia" w:ascii="仿宋" w:hAnsi="仿宋" w:eastAsia="仿宋" w:cs="仿宋"/>
          <w:b/>
          <w:color w:val="auto"/>
          <w:sz w:val="32"/>
          <w:highlight w:val="none"/>
        </w:rPr>
      </w:pPr>
    </w:p>
    <w:p>
      <w:pPr>
        <w:keepNext w:val="0"/>
        <w:keepLines w:val="0"/>
        <w:pageBreakBefore w:val="0"/>
        <w:kinsoku/>
        <w:wordWrap/>
        <w:overflowPunct/>
        <w:topLinePunct w:val="0"/>
        <w:bidi w:val="0"/>
        <w:snapToGrid w:val="0"/>
        <w:spacing w:beforeAutospacing="0" w:line="360" w:lineRule="auto"/>
        <w:ind w:left="0" w:leftChars="0" w:firstLine="643" w:firstLineChars="200"/>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4"/>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4"/>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keepNext w:val="0"/>
        <w:keepLines w:val="0"/>
        <w:pageBreakBefore w:val="0"/>
        <w:widowControl/>
        <w:shd w:val="clear" w:color="auto" w:fill="FFFFFF"/>
        <w:kinsoku/>
        <w:wordWrap/>
        <w:overflowPunct/>
        <w:topLinePunct w:val="0"/>
        <w:bidi w:val="0"/>
        <w:spacing w:beforeAutospacing="0" w:line="360" w:lineRule="auto"/>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129"/>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29"/>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9"/>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4"/>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pStyle w:val="2"/>
        <w:ind w:left="0" w:firstLine="480" w:firstLineChars="200"/>
        <w:rPr>
          <w:rFonts w:hint="eastAsia" w:ascii="仿宋_GB2312" w:hAnsi="仿宋_GB2312" w:eastAsia="仿宋_GB2312" w:cs="仿宋_GB2312"/>
          <w:lang w:val="en-US"/>
        </w:rPr>
      </w:pPr>
      <w:r>
        <w:rPr>
          <w:rFonts w:hint="eastAsia" w:ascii="仿宋_GB2312" w:hAnsi="仿宋_GB2312" w:eastAsia="仿宋_GB2312" w:cs="仿宋_GB2312"/>
          <w:b w:val="0"/>
          <w:bCs w:val="0"/>
          <w:snapToGrid w:val="0"/>
          <w:kern w:val="28"/>
          <w:sz w:val="24"/>
        </w:rPr>
        <w:t>供应商</w:t>
      </w:r>
      <w:r>
        <w:rPr>
          <w:rFonts w:hint="eastAsia" w:ascii="仿宋_GB2312" w:hAnsi="仿宋_GB2312" w:eastAsia="仿宋_GB2312" w:cs="仿宋_GB2312"/>
          <w:b w:val="0"/>
          <w:bCs w:val="0"/>
          <w:snapToGrid w:val="0"/>
          <w:kern w:val="28"/>
          <w:sz w:val="24"/>
          <w:lang w:val="en-US"/>
        </w:rPr>
        <w:t>可</w:t>
      </w:r>
      <w:r>
        <w:rPr>
          <w:rFonts w:hint="eastAsia" w:ascii="仿宋_GB2312" w:hAnsi="仿宋_GB2312" w:eastAsia="仿宋_GB2312" w:cs="仿宋_GB2312"/>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rFonts w:hint="eastAsia" w:ascii="仿宋_GB2312" w:hAnsi="仿宋_GB2312" w:eastAsia="仿宋_GB2312" w:cs="仿宋_GB2312"/>
        </w:rPr>
      </w:pPr>
      <w:r>
        <w:rPr>
          <w:rFonts w:hint="eastAsia" w:ascii="仿宋_GB2312" w:hAnsi="仿宋_GB2312" w:eastAsia="仿宋_GB2312" w:cs="仿宋_GB2312"/>
          <w:sz w:val="24"/>
          <w:lang w:val="en-US"/>
        </w:rPr>
        <w:t>2</w:t>
      </w:r>
      <w:r>
        <w:rPr>
          <w:rFonts w:hint="eastAsia" w:hAnsi="仿宋_GB2312" w:cs="仿宋_GB2312"/>
          <w:sz w:val="24"/>
          <w:lang w:val="en-US" w:eastAsia="zh-CN"/>
        </w:rPr>
        <w:t>7</w:t>
      </w:r>
      <w:r>
        <w:rPr>
          <w:rFonts w:hint="eastAsia" w:ascii="仿宋_GB2312" w:hAnsi="仿宋_GB2312" w:eastAsia="仿宋_GB2312" w:cs="仿宋_GB2312"/>
          <w:sz w:val="24"/>
          <w:lang w:val="en-US"/>
        </w:rPr>
        <w:t>. 预付款</w:t>
      </w:r>
    </w:p>
    <w:p>
      <w:pPr>
        <w:snapToGrid w:val="0"/>
        <w:spacing w:line="360" w:lineRule="auto"/>
        <w:ind w:firstLine="480" w:firstLineChars="200"/>
        <w:rPr>
          <w:rFonts w:hint="eastAsia" w:ascii="仿宋_GB2312" w:hAnsi="仿宋_GB2312" w:eastAsia="仿宋_GB2312" w:cs="仿宋_GB2312"/>
          <w:b/>
          <w:sz w:val="32"/>
        </w:rPr>
      </w:pPr>
      <w:r>
        <w:rPr>
          <w:rFonts w:hint="eastAsia" w:ascii="仿宋_GB2312" w:hAnsi="仿宋_GB2312" w:eastAsia="仿宋_GB2312" w:cs="仿宋_GB2312"/>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pStyle w:val="2"/>
        <w:rPr>
          <w:rFonts w:hint="eastAsia"/>
        </w:rPr>
      </w:pPr>
    </w:p>
    <w:p>
      <w:pPr>
        <w:pStyle w:val="23"/>
        <w:keepNext w:val="0"/>
        <w:keepLines w:val="0"/>
        <w:pageBreakBefore w:val="0"/>
        <w:kinsoku/>
        <w:wordWrap/>
        <w:overflowPunct/>
        <w:topLinePunct w:val="0"/>
        <w:bidi w:val="0"/>
        <w:spacing w:beforeAutospacing="0"/>
        <w:ind w:left="0" w:leftChars="0" w:firstLine="480" w:firstLineChars="200"/>
        <w:textAlignment w:val="auto"/>
        <w:rPr>
          <w:rFonts w:hint="eastAsia" w:ascii="仿宋" w:hAnsi="仿宋" w:eastAsia="仿宋" w:cs="仿宋"/>
          <w:color w:val="auto"/>
          <w:highlight w:val="none"/>
        </w:rPr>
      </w:pPr>
    </w:p>
    <w:p>
      <w:pPr>
        <w:keepNext w:val="0"/>
        <w:keepLines w:val="0"/>
        <w:pageBreakBefore w:val="0"/>
        <w:kinsoku/>
        <w:wordWrap/>
        <w:overflowPunct/>
        <w:topLinePunct w:val="0"/>
        <w:bidi w:val="0"/>
        <w:snapToGrid w:val="0"/>
        <w:spacing w:beforeAutospacing="0"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widowControl w:val="0"/>
        <w:adjustRightInd w:val="0"/>
        <w:snapToGrid w:val="0"/>
        <w:spacing w:before="0" w:line="360" w:lineRule="auto"/>
        <w:ind w:firstLine="0" w:firstLineChars="0"/>
        <w:jc w:val="both"/>
        <w:rPr>
          <w:rFonts w:hint="eastAsia" w:ascii="仿宋_GB2312" w:hAnsi="仿宋_GB2312" w:eastAsia="仿宋_GB2312" w:cs="仿宋_GB2312"/>
          <w:kern w:val="2"/>
          <w:sz w:val="24"/>
          <w:szCs w:val="20"/>
          <w:lang w:val="en-US" w:eastAsia="zh-CN" w:bidi="ar-SA"/>
        </w:rPr>
      </w:pPr>
      <w:r>
        <w:rPr>
          <w:rFonts w:hint="eastAsia" w:ascii="仿宋_GB2312" w:hAnsi="仿宋_GB2312" w:eastAsia="仿宋_GB2312" w:cs="仿宋_GB2312"/>
          <w:b/>
          <w:bCs/>
          <w:kern w:val="2"/>
          <w:sz w:val="24"/>
          <w:szCs w:val="20"/>
          <w:lang w:val="en-US" w:eastAsia="zh-CN" w:bidi="ar-SA"/>
        </w:rPr>
        <w:t>28</w:t>
      </w:r>
      <w:r>
        <w:rPr>
          <w:rFonts w:hint="eastAsia" w:ascii="仿宋_GB2312" w:hAnsi="仿宋_GB2312" w:eastAsia="仿宋_GB2312" w:cs="仿宋_GB2312"/>
          <w:b/>
          <w:bCs/>
          <w:kern w:val="2"/>
          <w:sz w:val="24"/>
          <w:szCs w:val="24"/>
          <w:lang w:val="en-US" w:eastAsia="zh-CN" w:bidi="ar-SA"/>
        </w:rPr>
        <w:t>.</w:t>
      </w:r>
      <w:r>
        <w:rPr>
          <w:rFonts w:hint="eastAsia" w:ascii="仿宋_GB2312" w:hAnsi="仿宋_GB2312" w:eastAsia="仿宋_GB2312" w:cs="仿宋_GB2312"/>
          <w:b/>
          <w:kern w:val="2"/>
          <w:sz w:val="24"/>
          <w:szCs w:val="24"/>
          <w:lang w:val="en-US" w:eastAsia="zh-CN" w:bidi="ar-SA"/>
        </w:rPr>
        <w:t xml:space="preserve"> 电子交易活动的中止。</w:t>
      </w:r>
      <w:r>
        <w:rPr>
          <w:rFonts w:hint="eastAsia" w:ascii="仿宋_GB2312" w:hAnsi="仿宋_GB2312" w:eastAsia="仿宋_GB2312" w:cs="仿宋_GB2312"/>
          <w:kern w:val="2"/>
          <w:sz w:val="24"/>
          <w:szCs w:val="20"/>
          <w:lang w:val="en-US" w:eastAsia="zh-CN" w:bidi="ar-SA"/>
        </w:rPr>
        <w:t>采购过程中出现以下情形，导致电子交易平台无法正常运行，或者无法保证电子交易的公平、公正和安全时，采购代理机构可中止电子交易活动：</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0"/>
          <w:lang w:val="en-US" w:eastAsia="zh-CN" w:bidi="ar-SA"/>
        </w:rPr>
      </w:pPr>
      <w:r>
        <w:rPr>
          <w:rFonts w:hint="eastAsia" w:ascii="仿宋_GB2312" w:hAnsi="仿宋_GB2312" w:eastAsia="仿宋_GB2312" w:cs="仿宋_GB2312"/>
          <w:kern w:val="2"/>
          <w:sz w:val="24"/>
          <w:szCs w:val="20"/>
          <w:lang w:val="en-US" w:eastAsia="zh-CN" w:bidi="ar-SA"/>
        </w:rPr>
        <w:t xml:space="preserve">27.1电子交易平台发生故障而无法登录访问的； </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0"/>
          <w:lang w:val="en-US" w:eastAsia="zh-CN" w:bidi="ar-SA"/>
        </w:rPr>
      </w:pPr>
      <w:r>
        <w:rPr>
          <w:rFonts w:hint="eastAsia" w:ascii="仿宋_GB2312" w:hAnsi="仿宋_GB2312" w:eastAsia="仿宋_GB2312" w:cs="仿宋_GB2312"/>
          <w:kern w:val="2"/>
          <w:sz w:val="24"/>
          <w:szCs w:val="20"/>
          <w:lang w:val="en-US" w:eastAsia="zh-CN" w:bidi="ar-SA"/>
        </w:rPr>
        <w:t>27.2电子交易平台应用或数据库出现错误，不能进行正常操作的；</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0"/>
          <w:lang w:val="en-US" w:eastAsia="zh-CN" w:bidi="ar-SA"/>
        </w:rPr>
      </w:pPr>
      <w:r>
        <w:rPr>
          <w:rFonts w:hint="eastAsia" w:ascii="仿宋_GB2312" w:hAnsi="仿宋_GB2312" w:eastAsia="仿宋_GB2312" w:cs="仿宋_GB2312"/>
          <w:kern w:val="2"/>
          <w:sz w:val="24"/>
          <w:szCs w:val="20"/>
          <w:lang w:val="en-US" w:eastAsia="zh-CN" w:bidi="ar-SA"/>
        </w:rPr>
        <w:t>27.3电子交易平台发现严重安全漏洞，有潜在泄密危险的；</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0"/>
          <w:lang w:val="en-US" w:eastAsia="zh-CN" w:bidi="ar-SA"/>
        </w:rPr>
      </w:pPr>
      <w:r>
        <w:rPr>
          <w:rFonts w:hint="eastAsia" w:ascii="仿宋_GB2312" w:hAnsi="仿宋_GB2312" w:eastAsia="仿宋_GB2312" w:cs="仿宋_GB2312"/>
          <w:kern w:val="2"/>
          <w:sz w:val="24"/>
          <w:szCs w:val="20"/>
          <w:lang w:val="en-US" w:eastAsia="zh-CN" w:bidi="ar-SA"/>
        </w:rPr>
        <w:t xml:space="preserve">27.4病毒发作导致不能进行正常操作的； </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0"/>
          <w:lang w:val="en-US" w:eastAsia="zh-CN" w:bidi="ar-SA"/>
        </w:rPr>
      </w:pPr>
      <w:r>
        <w:rPr>
          <w:rFonts w:hint="eastAsia" w:ascii="仿宋_GB2312" w:hAnsi="仿宋_GB2312" w:eastAsia="仿宋_GB2312" w:cs="仿宋_GB2312"/>
          <w:kern w:val="2"/>
          <w:sz w:val="24"/>
          <w:szCs w:val="20"/>
          <w:lang w:val="en-US" w:eastAsia="zh-CN" w:bidi="ar-SA"/>
        </w:rPr>
        <w:t>27.5其他无法保证电子交易的公平、公正和安全的情况。</w:t>
      </w:r>
    </w:p>
    <w:p>
      <w:pPr>
        <w:widowControl w:val="0"/>
        <w:adjustRightInd w:val="0"/>
        <w:snapToGrid w:val="0"/>
        <w:spacing w:before="0" w:line="360" w:lineRule="auto"/>
        <w:ind w:firstLine="0" w:firstLineChars="0"/>
        <w:jc w:val="both"/>
        <w:rPr>
          <w:rFonts w:hint="eastAsia" w:ascii="仿宋_GB2312" w:hAnsi="仿宋_GB2312" w:eastAsia="仿宋_GB2312" w:cs="仿宋_GB2312"/>
          <w:kern w:val="2"/>
          <w:sz w:val="24"/>
          <w:szCs w:val="20"/>
          <w:lang w:val="en-US" w:eastAsia="zh-CN" w:bidi="ar-SA"/>
        </w:rPr>
      </w:pPr>
      <w:r>
        <w:rPr>
          <w:rFonts w:hint="eastAsia" w:ascii="仿宋_GB2312" w:hAnsi="仿宋_GB2312" w:eastAsia="仿宋_GB2312" w:cs="仿宋_GB2312"/>
          <w:b/>
          <w:bCs/>
          <w:kern w:val="2"/>
          <w:sz w:val="24"/>
          <w:szCs w:val="20"/>
          <w:lang w:val="en-US" w:eastAsia="zh-CN" w:bidi="ar-SA"/>
        </w:rPr>
        <w:t>29.</w:t>
      </w:r>
      <w:r>
        <w:rPr>
          <w:rFonts w:hint="eastAsia" w:ascii="仿宋_GB2312" w:hAnsi="仿宋_GB2312" w:eastAsia="仿宋_GB2312" w:cs="仿宋_GB2312"/>
          <w:kern w:val="2"/>
          <w:sz w:val="24"/>
          <w:szCs w:val="20"/>
          <w:lang w:val="en-US" w:eastAsia="zh-CN" w:bidi="ar-SA"/>
        </w:rPr>
        <w:t>出现以上情形，不影响采购公平、公正性的，采购组织机构可以待上述情形消除后继续组织电子交易活动，也可以决定某些环节以纸质形式进行；影响或可能影响采购公平、公正性的，应当重新采购。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tabs>
          <w:tab w:val="left" w:pos="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p>
    <w:p>
      <w:pPr>
        <w:keepNext w:val="0"/>
        <w:keepLines w:val="0"/>
        <w:pageBreakBefore w:val="0"/>
        <w:kinsoku/>
        <w:wordWrap/>
        <w:overflowPunct/>
        <w:topLinePunct w:val="0"/>
        <w:bidi w:val="0"/>
        <w:snapToGrid w:val="0"/>
        <w:spacing w:beforeAutospacing="0" w:line="360" w:lineRule="auto"/>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ageBreakBefore w:val="0"/>
        <w:tabs>
          <w:tab w:val="left" w:pos="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仿宋" w:hAnsi="仿宋" w:cs="仿宋"/>
          <w:color w:val="auto"/>
          <w:kern w:val="0"/>
          <w:sz w:val="24"/>
          <w:highlight w:val="none"/>
          <w:lang w:val="en-US" w:eastAsia="zh-CN"/>
        </w:rPr>
        <w:t>30</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pPr>
        <w:rPr>
          <w:rFonts w:hint="eastAsia" w:ascii="仿宋" w:hAnsi="仿宋" w:eastAsia="仿宋" w:cs="仿宋"/>
          <w:color w:val="auto"/>
          <w:highlight w:val="none"/>
          <w:lang w:eastAsia="zh-CN"/>
        </w:rPr>
      </w:pPr>
    </w:p>
    <w:p>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（一）招标一览表</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标项：</w:t>
      </w:r>
    </w:p>
    <w:tbl>
      <w:tblPr>
        <w:tblStyle w:val="62"/>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6"/>
        <w:gridCol w:w="4677"/>
        <w:gridCol w:w="1500"/>
        <w:gridCol w:w="682"/>
        <w:gridCol w:w="695"/>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5" w:hRule="atLeast"/>
          <w:jc w:val="center"/>
        </w:trPr>
        <w:tc>
          <w:tcPr>
            <w:tcW w:w="67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标项</w:t>
            </w:r>
          </w:p>
        </w:tc>
        <w:tc>
          <w:tcPr>
            <w:tcW w:w="467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规格型号与参数</w:t>
            </w:r>
          </w:p>
        </w:tc>
        <w:tc>
          <w:tcPr>
            <w:tcW w:w="6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6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6" w:hRule="atLeast"/>
          <w:jc w:val="center"/>
        </w:trPr>
        <w:tc>
          <w:tcPr>
            <w:tcW w:w="67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67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spacing w:before="75" w:after="75"/>
              <w:jc w:val="center"/>
              <w:rPr>
                <w:rFonts w:hint="eastAsia" w:ascii="仿宋" w:hAnsi="仿宋" w:eastAsia="仿宋" w:cs="仿宋"/>
                <w:color w:val="auto"/>
                <w:kern w:val="0"/>
                <w:sz w:val="24"/>
                <w:highlight w:val="none"/>
                <w:lang w:eastAsia="zh-CN"/>
              </w:rPr>
            </w:pPr>
            <w:r>
              <w:rPr>
                <w:rFonts w:hint="eastAsia" w:ascii="仿宋" w:hAnsi="仿宋" w:cs="仿宋"/>
                <w:color w:val="auto"/>
                <w:sz w:val="24"/>
                <w:szCs w:val="28"/>
                <w:highlight w:val="none"/>
                <w:lang w:eastAsia="zh-CN"/>
              </w:rPr>
              <w:t>义蓬街道职工2024年疗休养服务采购项目（</w:t>
            </w:r>
            <w:r>
              <w:rPr>
                <w:rFonts w:hint="eastAsia" w:ascii="仿宋" w:hAnsi="仿宋" w:cs="仿宋"/>
                <w:color w:val="auto"/>
                <w:sz w:val="24"/>
                <w:szCs w:val="28"/>
                <w:highlight w:val="none"/>
                <w:lang w:val="en-US" w:eastAsia="zh-CN"/>
              </w:rPr>
              <w:t>编外一，湖州、衢州、台州</w:t>
            </w:r>
            <w:r>
              <w:rPr>
                <w:rFonts w:hint="eastAsia" w:ascii="仿宋" w:hAnsi="仿宋" w:cs="仿宋"/>
                <w:color w:val="auto"/>
                <w:sz w:val="24"/>
                <w:szCs w:val="28"/>
                <w:highlight w:val="none"/>
                <w:lang w:eastAsia="zh-CN"/>
              </w:rPr>
              <w:t>）</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详见招标需求</w:t>
            </w:r>
          </w:p>
        </w:tc>
        <w:tc>
          <w:tcPr>
            <w:tcW w:w="6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w:t>
            </w:r>
          </w:p>
        </w:tc>
        <w:tc>
          <w:tcPr>
            <w:tcW w:w="6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8" w:hRule="atLeast"/>
          <w:jc w:val="center"/>
        </w:trPr>
        <w:tc>
          <w:tcPr>
            <w:tcW w:w="67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67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spacing w:before="75" w:after="75"/>
              <w:jc w:val="center"/>
              <w:rPr>
                <w:rFonts w:hint="eastAsia" w:ascii="仿宋" w:hAnsi="仿宋" w:eastAsia="仿宋" w:cs="仿宋"/>
                <w:color w:val="auto"/>
                <w:kern w:val="0"/>
                <w:sz w:val="24"/>
                <w:highlight w:val="none"/>
                <w:lang w:eastAsia="zh-CN"/>
              </w:rPr>
            </w:pPr>
            <w:r>
              <w:rPr>
                <w:rFonts w:hint="eastAsia" w:ascii="仿宋" w:hAnsi="仿宋" w:cs="仿宋"/>
                <w:color w:val="auto"/>
                <w:sz w:val="24"/>
                <w:szCs w:val="28"/>
                <w:highlight w:val="none"/>
                <w:lang w:eastAsia="zh-CN"/>
              </w:rPr>
              <w:t>义蓬街道职工2024年疗休养服务采购项目（</w:t>
            </w:r>
            <w:r>
              <w:rPr>
                <w:rFonts w:hint="eastAsia" w:ascii="仿宋" w:hAnsi="仿宋" w:cs="仿宋"/>
                <w:color w:val="auto"/>
                <w:sz w:val="24"/>
                <w:szCs w:val="28"/>
                <w:highlight w:val="none"/>
                <w:lang w:val="en-US" w:eastAsia="zh-CN"/>
              </w:rPr>
              <w:t>编外二，湖州、衢州、台州</w:t>
            </w:r>
            <w:r>
              <w:rPr>
                <w:rFonts w:hint="eastAsia" w:ascii="仿宋" w:hAnsi="仿宋" w:cs="仿宋"/>
                <w:color w:val="auto"/>
                <w:kern w:val="0"/>
                <w:sz w:val="24"/>
                <w:highlight w:val="none"/>
                <w:lang w:eastAsia="zh-CN"/>
              </w:rPr>
              <w:t>）</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详见招标需求</w:t>
            </w:r>
          </w:p>
        </w:tc>
        <w:tc>
          <w:tcPr>
            <w:tcW w:w="6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w:t>
            </w:r>
          </w:p>
        </w:tc>
        <w:tc>
          <w:tcPr>
            <w:tcW w:w="6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8" w:hRule="atLeast"/>
          <w:jc w:val="center"/>
        </w:trPr>
        <w:tc>
          <w:tcPr>
            <w:tcW w:w="67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cs="仿宋"/>
                <w:color w:val="auto"/>
                <w:sz w:val="24"/>
                <w:highlight w:val="none"/>
                <w:lang w:val="en-US" w:eastAsia="zh-CN"/>
              </w:rPr>
              <w:t>3</w:t>
            </w:r>
          </w:p>
        </w:tc>
        <w:tc>
          <w:tcPr>
            <w:tcW w:w="467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spacing w:before="75" w:after="75"/>
              <w:jc w:val="center"/>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sz w:val="24"/>
                <w:szCs w:val="28"/>
                <w:highlight w:val="none"/>
                <w:lang w:eastAsia="zh-CN"/>
              </w:rPr>
              <w:t>义蓬街道职工2024年疗休养服务采购项目（</w:t>
            </w:r>
            <w:r>
              <w:rPr>
                <w:rFonts w:hint="eastAsia" w:ascii="仿宋" w:hAnsi="仿宋" w:cs="仿宋"/>
                <w:color w:val="auto"/>
                <w:sz w:val="24"/>
                <w:szCs w:val="28"/>
                <w:highlight w:val="none"/>
                <w:lang w:val="en-US" w:eastAsia="zh-CN"/>
              </w:rPr>
              <w:t>编内，</w:t>
            </w:r>
            <w:r>
              <w:rPr>
                <w:rFonts w:hint="eastAsia" w:ascii="仿宋" w:hAnsi="仿宋" w:cs="Arial"/>
                <w:snapToGrid w:val="0"/>
                <w:kern w:val="0"/>
                <w:sz w:val="24"/>
                <w:lang w:val="en-US" w:eastAsia="zh-CN"/>
              </w:rPr>
              <w:t>衢州</w:t>
            </w:r>
            <w:r>
              <w:rPr>
                <w:rFonts w:hint="eastAsia" w:ascii="仿宋" w:hAnsi="仿宋" w:cs="Arial"/>
                <w:snapToGrid w:val="0"/>
                <w:kern w:val="0"/>
                <w:sz w:val="24"/>
                <w:lang w:eastAsia="zh-CN"/>
              </w:rPr>
              <w:t>、舟山</w:t>
            </w:r>
            <w:r>
              <w:rPr>
                <w:rFonts w:hint="eastAsia" w:ascii="仿宋" w:hAnsi="仿宋" w:cs="Arial"/>
                <w:snapToGrid w:val="0"/>
                <w:kern w:val="0"/>
                <w:sz w:val="24"/>
                <w:lang w:val="en-US" w:eastAsia="zh-CN"/>
              </w:rPr>
              <w:t>嵊泗</w:t>
            </w:r>
            <w:r>
              <w:rPr>
                <w:rFonts w:hint="eastAsia" w:ascii="仿宋" w:hAnsi="仿宋" w:cs="仿宋"/>
                <w:color w:val="auto"/>
                <w:sz w:val="24"/>
                <w:szCs w:val="28"/>
                <w:highlight w:val="none"/>
                <w:lang w:eastAsia="zh-CN"/>
              </w:rPr>
              <w:t>）</w:t>
            </w:r>
          </w:p>
        </w:tc>
        <w:tc>
          <w:tcPr>
            <w:tcW w:w="15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详见招标需求</w:t>
            </w:r>
          </w:p>
        </w:tc>
        <w:tc>
          <w:tcPr>
            <w:tcW w:w="6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项</w:t>
            </w:r>
          </w:p>
        </w:tc>
        <w:tc>
          <w:tcPr>
            <w:tcW w:w="6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r>
    </w:tbl>
    <w:p>
      <w:pPr>
        <w:spacing w:line="360" w:lineRule="auto"/>
        <w:ind w:firstLine="482" w:firstLineChars="200"/>
        <w:jc w:val="left"/>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lang w:val="en-US" w:eastAsia="zh-CN"/>
        </w:rPr>
        <w:t>注：</w:t>
      </w:r>
      <w:r>
        <w:rPr>
          <w:rFonts w:hint="eastAsia" w:ascii="仿宋" w:hAnsi="仿宋" w:eastAsia="仿宋" w:cs="仿宋"/>
          <w:b/>
          <w:bCs w:val="0"/>
          <w:color w:val="auto"/>
          <w:sz w:val="24"/>
          <w:highlight w:val="none"/>
        </w:rPr>
        <w:t>本项目共分</w:t>
      </w:r>
      <w:r>
        <w:rPr>
          <w:rFonts w:hint="eastAsia" w:ascii="仿宋" w:hAnsi="仿宋" w:cs="仿宋"/>
          <w:b/>
          <w:bCs w:val="0"/>
          <w:color w:val="auto"/>
          <w:sz w:val="24"/>
          <w:highlight w:val="none"/>
          <w:lang w:val="en-US" w:eastAsia="zh-CN"/>
        </w:rPr>
        <w:t>三</w:t>
      </w:r>
      <w:r>
        <w:rPr>
          <w:rFonts w:hint="eastAsia" w:ascii="仿宋" w:hAnsi="仿宋" w:eastAsia="仿宋" w:cs="仿宋"/>
          <w:b/>
          <w:bCs w:val="0"/>
          <w:color w:val="auto"/>
          <w:sz w:val="24"/>
          <w:highlight w:val="none"/>
        </w:rPr>
        <w:t>个标项，不同标项需分别制作投标文件，所有投标人可同时参加</w:t>
      </w:r>
      <w:r>
        <w:rPr>
          <w:rFonts w:hint="eastAsia" w:ascii="仿宋" w:hAnsi="仿宋" w:cs="仿宋"/>
          <w:b/>
          <w:bCs w:val="0"/>
          <w:color w:val="auto"/>
          <w:sz w:val="24"/>
          <w:highlight w:val="none"/>
          <w:lang w:val="en-US" w:eastAsia="zh-CN"/>
        </w:rPr>
        <w:t>三</w:t>
      </w:r>
      <w:r>
        <w:rPr>
          <w:rFonts w:hint="eastAsia" w:ascii="仿宋" w:hAnsi="仿宋" w:eastAsia="仿宋" w:cs="仿宋"/>
          <w:b/>
          <w:bCs w:val="0"/>
          <w:color w:val="auto"/>
          <w:sz w:val="24"/>
          <w:highlight w:val="none"/>
        </w:rPr>
        <w:t>个标项的投标，但是不能重复中标。评审小组按标项一、二</w:t>
      </w:r>
      <w:r>
        <w:rPr>
          <w:rFonts w:hint="eastAsia" w:ascii="仿宋" w:hAnsi="仿宋" w:cs="仿宋"/>
          <w:b/>
          <w:bCs w:val="0"/>
          <w:color w:val="auto"/>
          <w:sz w:val="24"/>
          <w:highlight w:val="none"/>
          <w:lang w:eastAsia="zh-CN"/>
        </w:rPr>
        <w:t>、</w:t>
      </w:r>
      <w:r>
        <w:rPr>
          <w:rFonts w:hint="eastAsia" w:ascii="仿宋" w:hAnsi="仿宋" w:cs="仿宋"/>
          <w:b/>
          <w:bCs w:val="0"/>
          <w:color w:val="auto"/>
          <w:sz w:val="24"/>
          <w:highlight w:val="none"/>
          <w:lang w:val="en-US" w:eastAsia="zh-CN"/>
        </w:rPr>
        <w:t>三</w:t>
      </w:r>
      <w:r>
        <w:rPr>
          <w:rFonts w:hint="eastAsia" w:ascii="仿宋" w:hAnsi="仿宋" w:eastAsia="仿宋" w:cs="仿宋"/>
          <w:b/>
          <w:bCs w:val="0"/>
          <w:color w:val="auto"/>
          <w:sz w:val="24"/>
          <w:highlight w:val="none"/>
        </w:rPr>
        <w:t>依次分别评审。标项一的中标候选人不再推荐为标段</w:t>
      </w:r>
      <w:r>
        <w:rPr>
          <w:rFonts w:hint="eastAsia" w:ascii="仿宋" w:hAnsi="仿宋" w:cs="仿宋"/>
          <w:b/>
          <w:bCs w:val="0"/>
          <w:color w:val="auto"/>
          <w:sz w:val="24"/>
          <w:highlight w:val="none"/>
          <w:lang w:val="en-US" w:eastAsia="zh-CN"/>
        </w:rPr>
        <w:t>二、三</w:t>
      </w:r>
      <w:r>
        <w:rPr>
          <w:rFonts w:hint="eastAsia" w:ascii="仿宋" w:hAnsi="仿宋" w:eastAsia="仿宋" w:cs="仿宋"/>
          <w:b/>
          <w:bCs w:val="0"/>
          <w:color w:val="auto"/>
          <w:sz w:val="24"/>
          <w:highlight w:val="none"/>
        </w:rPr>
        <w:t>的中标候选人</w:t>
      </w:r>
      <w:r>
        <w:rPr>
          <w:rFonts w:hint="eastAsia" w:ascii="仿宋" w:hAnsi="仿宋" w:cs="仿宋"/>
          <w:b/>
          <w:bCs w:val="0"/>
          <w:color w:val="auto"/>
          <w:sz w:val="24"/>
          <w:highlight w:val="none"/>
          <w:lang w:val="en-US" w:eastAsia="zh-CN"/>
        </w:rPr>
        <w:t>以此类推</w:t>
      </w:r>
      <w:r>
        <w:rPr>
          <w:rFonts w:hint="eastAsia" w:ascii="仿宋" w:hAnsi="仿宋" w:eastAsia="仿宋" w:cs="仿宋"/>
          <w:b/>
          <w:bCs w:val="0"/>
          <w:color w:val="auto"/>
          <w:sz w:val="24"/>
          <w:highlight w:val="none"/>
        </w:rPr>
        <w:t>。</w:t>
      </w:r>
    </w:p>
    <w:p>
      <w:pPr>
        <w:pStyle w:val="84"/>
        <w:numPr>
          <w:ilvl w:val="0"/>
          <w:numId w:val="2"/>
        </w:numPr>
        <w:ind w:left="0" w:leftChars="0" w:firstLine="0" w:firstLineChars="0"/>
        <w:jc w:val="center"/>
        <w:rPr>
          <w:rFonts w:hint="eastAsia" w:ascii="仿宋" w:hAnsi="仿宋" w:eastAsia="仿宋" w:cs="仿宋"/>
          <w:b/>
          <w:color w:val="auto"/>
          <w:kern w:val="2"/>
          <w:sz w:val="28"/>
          <w:szCs w:val="28"/>
          <w:highlight w:val="none"/>
          <w:lang w:val="en-US" w:eastAsia="zh-CN" w:bidi="ar-SA"/>
        </w:rPr>
      </w:pPr>
      <w:r>
        <w:rPr>
          <w:rFonts w:hint="eastAsia" w:ascii="仿宋" w:hAnsi="仿宋" w:cs="仿宋"/>
          <w:b/>
          <w:color w:val="auto"/>
          <w:kern w:val="2"/>
          <w:sz w:val="28"/>
          <w:szCs w:val="28"/>
          <w:highlight w:val="none"/>
          <w:lang w:val="en-US" w:eastAsia="zh-CN" w:bidi="ar-SA"/>
        </w:rPr>
        <w:t>招标</w:t>
      </w:r>
      <w:r>
        <w:rPr>
          <w:rFonts w:hint="eastAsia" w:ascii="仿宋" w:hAnsi="仿宋" w:eastAsia="仿宋" w:cs="仿宋"/>
          <w:b/>
          <w:color w:val="auto"/>
          <w:kern w:val="2"/>
          <w:sz w:val="28"/>
          <w:szCs w:val="28"/>
          <w:highlight w:val="none"/>
          <w:lang w:val="en-US" w:eastAsia="zh-CN" w:bidi="ar-SA"/>
        </w:rPr>
        <w:t>需求</w:t>
      </w:r>
    </w:p>
    <w:p>
      <w:pPr>
        <w:spacing w:line="360" w:lineRule="auto"/>
        <w:rPr>
          <w:rFonts w:ascii="仿宋" w:hAnsi="仿宋" w:eastAsia="仿宋" w:cs="Arial"/>
          <w:b/>
          <w:bCs/>
          <w:snapToGrid w:val="0"/>
          <w:kern w:val="0"/>
          <w:sz w:val="24"/>
        </w:rPr>
      </w:pPr>
      <w:r>
        <w:rPr>
          <w:rFonts w:hint="eastAsia" w:ascii="仿宋" w:hAnsi="仿宋" w:eastAsia="仿宋" w:cs="Arial"/>
          <w:b/>
          <w:bCs/>
          <w:snapToGrid w:val="0"/>
          <w:kern w:val="0"/>
          <w:sz w:val="24"/>
        </w:rPr>
        <w:t>一、项目概述</w:t>
      </w:r>
    </w:p>
    <w:p>
      <w:pPr>
        <w:spacing w:line="360" w:lineRule="auto"/>
        <w:ind w:firstLine="480" w:firstLineChars="200"/>
        <w:rPr>
          <w:rFonts w:ascii="仿宋" w:hAnsi="仿宋" w:eastAsia="仿宋" w:cs="Arial"/>
          <w:snapToGrid w:val="0"/>
          <w:kern w:val="0"/>
          <w:sz w:val="24"/>
        </w:rPr>
      </w:pPr>
      <w:r>
        <w:rPr>
          <w:rFonts w:hint="eastAsia" w:ascii="仿宋" w:hAnsi="仿宋" w:eastAsia="仿宋" w:cs="Arial"/>
          <w:b w:val="0"/>
          <w:bCs w:val="0"/>
          <w:snapToGrid w:val="0"/>
          <w:kern w:val="0"/>
          <w:sz w:val="24"/>
          <w:highlight w:val="none"/>
        </w:rPr>
        <w:t>杭州市钱塘区人民政府义蓬街道办事处</w:t>
      </w:r>
      <w:r>
        <w:rPr>
          <w:rFonts w:hint="eastAsia" w:ascii="仿宋" w:hAnsi="仿宋" w:eastAsia="仿宋" w:cs="仿宋"/>
          <w:b w:val="0"/>
          <w:bCs w:val="0"/>
          <w:sz w:val="24"/>
          <w:szCs w:val="28"/>
          <w:highlight w:val="none"/>
        </w:rPr>
        <w:t>计划安排</w:t>
      </w:r>
      <w:r>
        <w:rPr>
          <w:rFonts w:hint="eastAsia" w:ascii="仿宋" w:hAnsi="仿宋" w:cs="仿宋"/>
          <w:b w:val="0"/>
          <w:bCs w:val="0"/>
          <w:sz w:val="24"/>
          <w:szCs w:val="28"/>
          <w:highlight w:val="none"/>
          <w:lang w:eastAsia="zh-CN"/>
        </w:rPr>
        <w:t>2024</w:t>
      </w:r>
      <w:r>
        <w:rPr>
          <w:rFonts w:hint="eastAsia" w:ascii="仿宋" w:hAnsi="仿宋" w:eastAsia="仿宋" w:cs="仿宋"/>
          <w:b w:val="0"/>
          <w:bCs w:val="0"/>
          <w:sz w:val="24"/>
          <w:szCs w:val="28"/>
          <w:highlight w:val="none"/>
        </w:rPr>
        <w:t>年</w:t>
      </w:r>
      <w:r>
        <w:rPr>
          <w:rFonts w:hint="eastAsia" w:ascii="仿宋" w:hAnsi="仿宋" w:cs="仿宋"/>
          <w:b w:val="0"/>
          <w:bCs w:val="0"/>
          <w:sz w:val="24"/>
          <w:szCs w:val="28"/>
          <w:highlight w:val="none"/>
          <w:lang w:val="en-US" w:eastAsia="zh-CN"/>
        </w:rPr>
        <w:t>编内、编外</w:t>
      </w:r>
      <w:r>
        <w:rPr>
          <w:rFonts w:hint="eastAsia" w:ascii="仿宋" w:hAnsi="仿宋" w:eastAsia="仿宋" w:cs="仿宋"/>
          <w:b w:val="0"/>
          <w:bCs w:val="0"/>
          <w:sz w:val="24"/>
          <w:szCs w:val="28"/>
          <w:highlight w:val="none"/>
        </w:rPr>
        <w:t>疗休养活动</w:t>
      </w:r>
      <w:r>
        <w:rPr>
          <w:rFonts w:hint="eastAsia" w:ascii="仿宋" w:hAnsi="仿宋" w:eastAsia="仿宋" w:cs="Arial"/>
          <w:b w:val="0"/>
          <w:bCs w:val="0"/>
          <w:snapToGrid w:val="0"/>
          <w:kern w:val="0"/>
          <w:sz w:val="24"/>
          <w:highlight w:val="none"/>
        </w:rPr>
        <w:t>，对服务供应商进行公开招标。本项目标项一</w:t>
      </w:r>
      <w:r>
        <w:rPr>
          <w:rFonts w:hint="eastAsia" w:ascii="仿宋" w:hAnsi="仿宋" w:cs="Arial"/>
          <w:b w:val="0"/>
          <w:bCs w:val="0"/>
          <w:snapToGrid w:val="0"/>
          <w:kern w:val="0"/>
          <w:sz w:val="24"/>
          <w:highlight w:val="none"/>
          <w:lang w:eastAsia="zh-CN"/>
        </w:rPr>
        <w:t>、</w:t>
      </w:r>
      <w:r>
        <w:rPr>
          <w:rFonts w:hint="eastAsia" w:ascii="仿宋" w:hAnsi="仿宋" w:cs="Arial"/>
          <w:b w:val="0"/>
          <w:bCs w:val="0"/>
          <w:snapToGrid w:val="0"/>
          <w:kern w:val="0"/>
          <w:sz w:val="24"/>
          <w:highlight w:val="none"/>
          <w:lang w:val="en-US" w:eastAsia="zh-CN"/>
        </w:rPr>
        <w:t>二</w:t>
      </w:r>
      <w:r>
        <w:rPr>
          <w:rFonts w:hint="eastAsia" w:ascii="仿宋" w:hAnsi="仿宋" w:eastAsia="仿宋" w:cs="Arial"/>
          <w:b w:val="0"/>
          <w:bCs w:val="0"/>
          <w:snapToGrid w:val="0"/>
          <w:kern w:val="0"/>
          <w:sz w:val="24"/>
          <w:highlight w:val="none"/>
        </w:rPr>
        <w:t>服务对象为</w:t>
      </w:r>
      <w:r>
        <w:rPr>
          <w:rFonts w:hint="eastAsia" w:ascii="仿宋" w:hAnsi="仿宋" w:cs="Arial"/>
          <w:b w:val="0"/>
          <w:bCs w:val="0"/>
          <w:snapToGrid w:val="0"/>
          <w:kern w:val="0"/>
          <w:sz w:val="24"/>
          <w:highlight w:val="none"/>
          <w:lang w:val="en-US" w:eastAsia="zh-CN"/>
        </w:rPr>
        <w:t>编外人员</w:t>
      </w:r>
      <w:r>
        <w:rPr>
          <w:rFonts w:hint="eastAsia" w:ascii="仿宋" w:hAnsi="仿宋" w:eastAsia="仿宋" w:cs="Arial"/>
          <w:b w:val="0"/>
          <w:bCs w:val="0"/>
          <w:snapToGrid w:val="0"/>
          <w:kern w:val="0"/>
          <w:sz w:val="24"/>
          <w:highlight w:val="none"/>
        </w:rPr>
        <w:t>，包含3条，三天两晚，人均不超过2000元。标项</w:t>
      </w:r>
      <w:r>
        <w:rPr>
          <w:rFonts w:hint="eastAsia" w:ascii="仿宋" w:hAnsi="仿宋" w:cs="Arial"/>
          <w:b w:val="0"/>
          <w:bCs w:val="0"/>
          <w:snapToGrid w:val="0"/>
          <w:kern w:val="0"/>
          <w:sz w:val="24"/>
          <w:highlight w:val="none"/>
          <w:lang w:val="en-US" w:eastAsia="zh-CN"/>
        </w:rPr>
        <w:t>三</w:t>
      </w:r>
      <w:r>
        <w:rPr>
          <w:rFonts w:hint="eastAsia" w:ascii="仿宋" w:hAnsi="仿宋" w:eastAsia="仿宋" w:cs="Arial"/>
          <w:b w:val="0"/>
          <w:bCs w:val="0"/>
          <w:snapToGrid w:val="0"/>
          <w:kern w:val="0"/>
          <w:sz w:val="24"/>
          <w:highlight w:val="none"/>
        </w:rPr>
        <w:t>对象为</w:t>
      </w:r>
      <w:r>
        <w:rPr>
          <w:rFonts w:hint="eastAsia" w:ascii="仿宋" w:hAnsi="仿宋" w:cs="Arial"/>
          <w:b w:val="0"/>
          <w:bCs w:val="0"/>
          <w:snapToGrid w:val="0"/>
          <w:kern w:val="0"/>
          <w:sz w:val="24"/>
          <w:highlight w:val="none"/>
          <w:lang w:val="en-US" w:eastAsia="zh-CN"/>
        </w:rPr>
        <w:t>编内人员</w:t>
      </w:r>
      <w:r>
        <w:rPr>
          <w:rFonts w:hint="eastAsia" w:ascii="仿宋" w:hAnsi="仿宋" w:eastAsia="仿宋" w:cs="Arial"/>
          <w:b w:val="0"/>
          <w:bCs w:val="0"/>
          <w:snapToGrid w:val="0"/>
          <w:kern w:val="0"/>
          <w:sz w:val="24"/>
          <w:highlight w:val="none"/>
        </w:rPr>
        <w:t>，包含</w:t>
      </w:r>
      <w:r>
        <w:rPr>
          <w:rFonts w:hint="eastAsia" w:ascii="仿宋" w:hAnsi="仿宋" w:cs="Arial"/>
          <w:b w:val="0"/>
          <w:bCs w:val="0"/>
          <w:snapToGrid w:val="0"/>
          <w:kern w:val="0"/>
          <w:sz w:val="24"/>
          <w:highlight w:val="none"/>
          <w:lang w:val="en-US" w:eastAsia="zh-CN"/>
        </w:rPr>
        <w:t>2条路线</w:t>
      </w:r>
      <w:r>
        <w:rPr>
          <w:rFonts w:hint="eastAsia" w:ascii="仿宋" w:hAnsi="仿宋" w:eastAsia="仿宋" w:cs="Arial"/>
          <w:b w:val="0"/>
          <w:bCs w:val="0"/>
          <w:snapToGrid w:val="0"/>
          <w:kern w:val="0"/>
          <w:sz w:val="24"/>
          <w:highlight w:val="none"/>
        </w:rPr>
        <w:t>，</w:t>
      </w:r>
      <w:r>
        <w:rPr>
          <w:rFonts w:hint="eastAsia" w:ascii="仿宋" w:hAnsi="仿宋" w:cs="Arial"/>
          <w:b w:val="0"/>
          <w:bCs w:val="0"/>
          <w:snapToGrid w:val="0"/>
          <w:kern w:val="0"/>
          <w:sz w:val="24"/>
          <w:highlight w:val="none"/>
          <w:lang w:val="en-US" w:eastAsia="zh-CN"/>
        </w:rPr>
        <w:t>五</w:t>
      </w:r>
      <w:r>
        <w:rPr>
          <w:rFonts w:hint="eastAsia" w:ascii="仿宋" w:hAnsi="仿宋" w:eastAsia="仿宋" w:cs="Arial"/>
          <w:b w:val="0"/>
          <w:bCs w:val="0"/>
          <w:snapToGrid w:val="0"/>
          <w:kern w:val="0"/>
          <w:sz w:val="24"/>
          <w:highlight w:val="none"/>
        </w:rPr>
        <w:t>天</w:t>
      </w:r>
      <w:r>
        <w:rPr>
          <w:rFonts w:hint="eastAsia" w:ascii="仿宋" w:hAnsi="仿宋" w:cs="Arial"/>
          <w:b w:val="0"/>
          <w:bCs w:val="0"/>
          <w:snapToGrid w:val="0"/>
          <w:kern w:val="0"/>
          <w:sz w:val="24"/>
          <w:highlight w:val="none"/>
          <w:lang w:val="en-US" w:eastAsia="zh-CN"/>
        </w:rPr>
        <w:t>四</w:t>
      </w:r>
      <w:r>
        <w:rPr>
          <w:rFonts w:hint="eastAsia" w:ascii="仿宋" w:hAnsi="仿宋" w:eastAsia="仿宋" w:cs="Arial"/>
          <w:b w:val="0"/>
          <w:bCs w:val="0"/>
          <w:snapToGrid w:val="0"/>
          <w:kern w:val="0"/>
          <w:sz w:val="24"/>
          <w:highlight w:val="none"/>
        </w:rPr>
        <w:t>晚，人均不超过3</w:t>
      </w:r>
      <w:r>
        <w:rPr>
          <w:rFonts w:ascii="仿宋" w:hAnsi="仿宋" w:eastAsia="仿宋" w:cs="Arial"/>
          <w:b w:val="0"/>
          <w:bCs w:val="0"/>
          <w:snapToGrid w:val="0"/>
          <w:kern w:val="0"/>
          <w:sz w:val="24"/>
          <w:highlight w:val="none"/>
        </w:rPr>
        <w:t>000</w:t>
      </w:r>
      <w:r>
        <w:rPr>
          <w:rFonts w:hint="eastAsia" w:ascii="仿宋" w:hAnsi="仿宋" w:eastAsia="仿宋" w:cs="Arial"/>
          <w:b w:val="0"/>
          <w:bCs w:val="0"/>
          <w:snapToGrid w:val="0"/>
          <w:kern w:val="0"/>
          <w:sz w:val="24"/>
          <w:highlight w:val="none"/>
        </w:rPr>
        <w:t>元</w:t>
      </w:r>
      <w:r>
        <w:rPr>
          <w:rFonts w:hint="eastAsia" w:ascii="仿宋" w:hAnsi="仿宋" w:cs="Arial"/>
          <w:b w:val="0"/>
          <w:bCs w:val="0"/>
          <w:snapToGrid w:val="0"/>
          <w:kern w:val="0"/>
          <w:sz w:val="24"/>
          <w:highlight w:val="none"/>
          <w:lang w:eastAsia="zh-CN"/>
        </w:rPr>
        <w:t>。</w:t>
      </w:r>
      <w:r>
        <w:rPr>
          <w:rFonts w:hint="eastAsia" w:ascii="仿宋" w:hAnsi="仿宋" w:eastAsia="仿宋" w:cs="Arial"/>
          <w:b w:val="0"/>
          <w:bCs w:val="0"/>
          <w:snapToGrid w:val="0"/>
          <w:kern w:val="0"/>
          <w:sz w:val="24"/>
          <w:highlight w:val="none"/>
        </w:rPr>
        <w:t>投</w:t>
      </w:r>
      <w:r>
        <w:rPr>
          <w:rFonts w:hint="eastAsia" w:ascii="仿宋" w:hAnsi="仿宋" w:eastAsia="仿宋" w:cs="Arial"/>
          <w:snapToGrid w:val="0"/>
          <w:kern w:val="0"/>
          <w:sz w:val="24"/>
        </w:rPr>
        <w:t>标人须以合理的服务流程和服务人数、优良的服务质量、稳定的服务队伍、优惠的价格来制订详细的服务方案，充分体现自身的实力，发挥自身优势，为采购人提供全方位、一体化的专业服务保障。</w:t>
      </w:r>
    </w:p>
    <w:p>
      <w:pPr>
        <w:spacing w:line="360" w:lineRule="auto"/>
        <w:rPr>
          <w:rFonts w:ascii="仿宋" w:hAnsi="仿宋" w:eastAsia="仿宋" w:cs="Arial"/>
          <w:b/>
          <w:bCs/>
          <w:snapToGrid w:val="0"/>
          <w:kern w:val="0"/>
          <w:sz w:val="24"/>
        </w:rPr>
      </w:pPr>
      <w:r>
        <w:rPr>
          <w:rFonts w:hint="eastAsia" w:ascii="仿宋" w:hAnsi="仿宋" w:eastAsia="仿宋" w:cs="Arial"/>
          <w:b/>
          <w:bCs/>
          <w:snapToGrid w:val="0"/>
          <w:kern w:val="0"/>
          <w:sz w:val="24"/>
        </w:rPr>
        <w:t>二、标项、线路安排及预计人数</w:t>
      </w:r>
    </w:p>
    <w:p>
      <w:pPr>
        <w:spacing w:line="360" w:lineRule="auto"/>
        <w:ind w:firstLine="480" w:firstLineChars="200"/>
        <w:rPr>
          <w:rFonts w:ascii="仿宋" w:hAnsi="仿宋" w:eastAsia="仿宋" w:cs="Arial"/>
          <w:snapToGrid w:val="0"/>
          <w:kern w:val="0"/>
          <w:sz w:val="24"/>
          <w:highlight w:val="none"/>
        </w:rPr>
      </w:pPr>
      <w:r>
        <w:rPr>
          <w:rFonts w:hint="eastAsia" w:ascii="仿宋" w:hAnsi="仿宋" w:eastAsia="仿宋" w:cs="Arial"/>
          <w:snapToGrid w:val="0"/>
          <w:kern w:val="0"/>
          <w:sz w:val="24"/>
          <w:highlight w:val="none"/>
        </w:rPr>
        <w:t>标项一：</w:t>
      </w:r>
      <w:r>
        <w:rPr>
          <w:rFonts w:hint="eastAsia" w:ascii="仿宋" w:hAnsi="仿宋" w:cs="仿宋"/>
          <w:color w:val="auto"/>
          <w:sz w:val="24"/>
          <w:szCs w:val="28"/>
          <w:highlight w:val="none"/>
          <w:lang w:eastAsia="zh-CN"/>
        </w:rPr>
        <w:t>义蓬街道职工2024年疗休养服务采购项目（</w:t>
      </w:r>
      <w:r>
        <w:rPr>
          <w:rFonts w:hint="eastAsia" w:ascii="仿宋" w:hAnsi="仿宋" w:cs="仿宋"/>
          <w:color w:val="auto"/>
          <w:sz w:val="24"/>
          <w:szCs w:val="28"/>
          <w:highlight w:val="none"/>
          <w:lang w:val="en-US" w:eastAsia="zh-CN"/>
        </w:rPr>
        <w:t>编外一，湖州、衢州、台州</w:t>
      </w:r>
      <w:r>
        <w:rPr>
          <w:rFonts w:hint="eastAsia" w:ascii="仿宋" w:hAnsi="仿宋" w:cs="仿宋"/>
          <w:color w:val="auto"/>
          <w:kern w:val="0"/>
          <w:sz w:val="24"/>
          <w:highlight w:val="none"/>
          <w:lang w:eastAsia="zh-CN"/>
        </w:rPr>
        <w:t>）</w:t>
      </w:r>
      <w:r>
        <w:rPr>
          <w:rFonts w:hint="eastAsia" w:ascii="仿宋" w:hAnsi="仿宋" w:eastAsia="仿宋" w:cs="仿宋"/>
          <w:sz w:val="24"/>
          <w:szCs w:val="28"/>
          <w:highlight w:val="none"/>
        </w:rPr>
        <w:t>，</w:t>
      </w:r>
      <w:r>
        <w:rPr>
          <w:rFonts w:hint="eastAsia" w:ascii="仿宋" w:hAnsi="仿宋" w:eastAsia="仿宋" w:cs="Arial"/>
          <w:snapToGrid w:val="0"/>
          <w:kern w:val="0"/>
          <w:sz w:val="24"/>
          <w:highlight w:val="none"/>
        </w:rPr>
        <w:t>预计</w:t>
      </w:r>
      <w:r>
        <w:rPr>
          <w:rFonts w:hint="eastAsia" w:ascii="仿宋" w:hAnsi="仿宋" w:cs="Arial"/>
          <w:snapToGrid w:val="0"/>
          <w:kern w:val="0"/>
          <w:sz w:val="24"/>
          <w:highlight w:val="none"/>
          <w:lang w:val="en-US" w:eastAsia="zh-CN"/>
        </w:rPr>
        <w:t>332</w:t>
      </w:r>
      <w:r>
        <w:rPr>
          <w:rFonts w:hint="eastAsia" w:ascii="仿宋" w:hAnsi="仿宋" w:eastAsia="仿宋" w:cs="Arial"/>
          <w:snapToGrid w:val="0"/>
          <w:kern w:val="0"/>
          <w:sz w:val="24"/>
          <w:highlight w:val="none"/>
        </w:rPr>
        <w:t>人；</w:t>
      </w:r>
    </w:p>
    <w:p>
      <w:pPr>
        <w:spacing w:line="360" w:lineRule="auto"/>
        <w:ind w:firstLine="480" w:firstLineChars="200"/>
        <w:rPr>
          <w:rFonts w:hint="eastAsia" w:ascii="仿宋" w:hAnsi="仿宋" w:eastAsia="仿宋" w:cs="Arial"/>
          <w:snapToGrid w:val="0"/>
          <w:kern w:val="0"/>
          <w:sz w:val="24"/>
          <w:highlight w:val="none"/>
        </w:rPr>
      </w:pPr>
      <w:r>
        <w:rPr>
          <w:rFonts w:hint="eastAsia" w:ascii="仿宋" w:hAnsi="仿宋" w:eastAsia="仿宋" w:cs="Arial"/>
          <w:snapToGrid w:val="0"/>
          <w:kern w:val="0"/>
          <w:sz w:val="24"/>
          <w:highlight w:val="none"/>
        </w:rPr>
        <w:t>标项二：</w:t>
      </w:r>
      <w:r>
        <w:rPr>
          <w:rFonts w:hint="eastAsia" w:ascii="仿宋" w:hAnsi="仿宋" w:cs="仿宋"/>
          <w:color w:val="auto"/>
          <w:sz w:val="24"/>
          <w:szCs w:val="28"/>
          <w:highlight w:val="none"/>
          <w:lang w:eastAsia="zh-CN"/>
        </w:rPr>
        <w:t>义蓬街道职工2024年疗休养服务采购项目（</w:t>
      </w:r>
      <w:r>
        <w:rPr>
          <w:rFonts w:hint="eastAsia" w:ascii="仿宋" w:hAnsi="仿宋" w:cs="仿宋"/>
          <w:color w:val="auto"/>
          <w:sz w:val="24"/>
          <w:szCs w:val="28"/>
          <w:highlight w:val="none"/>
          <w:lang w:val="en-US" w:eastAsia="zh-CN"/>
        </w:rPr>
        <w:t>编外二，湖州、衢州、台州</w:t>
      </w:r>
      <w:r>
        <w:rPr>
          <w:rFonts w:hint="eastAsia" w:ascii="仿宋" w:hAnsi="仿宋" w:cs="仿宋"/>
          <w:color w:val="auto"/>
          <w:kern w:val="0"/>
          <w:sz w:val="24"/>
          <w:highlight w:val="none"/>
          <w:lang w:eastAsia="zh-CN"/>
        </w:rPr>
        <w:t>）</w:t>
      </w:r>
      <w:r>
        <w:rPr>
          <w:rFonts w:hint="eastAsia" w:ascii="仿宋" w:hAnsi="仿宋" w:eastAsia="仿宋" w:cs="仿宋"/>
          <w:sz w:val="24"/>
          <w:szCs w:val="28"/>
          <w:highlight w:val="none"/>
        </w:rPr>
        <w:t>，</w:t>
      </w:r>
      <w:r>
        <w:rPr>
          <w:rFonts w:hint="eastAsia" w:ascii="仿宋" w:hAnsi="仿宋" w:eastAsia="仿宋" w:cs="Arial"/>
          <w:snapToGrid w:val="0"/>
          <w:kern w:val="0"/>
          <w:sz w:val="24"/>
          <w:highlight w:val="none"/>
        </w:rPr>
        <w:t>预计</w:t>
      </w:r>
      <w:r>
        <w:rPr>
          <w:rFonts w:hint="eastAsia" w:ascii="仿宋" w:hAnsi="仿宋" w:cs="Arial"/>
          <w:snapToGrid w:val="0"/>
          <w:kern w:val="0"/>
          <w:sz w:val="24"/>
          <w:highlight w:val="none"/>
          <w:lang w:val="en-US" w:eastAsia="zh-CN"/>
        </w:rPr>
        <w:t>330</w:t>
      </w:r>
      <w:r>
        <w:rPr>
          <w:rFonts w:hint="eastAsia" w:ascii="仿宋" w:hAnsi="仿宋" w:eastAsia="仿宋" w:cs="Arial"/>
          <w:snapToGrid w:val="0"/>
          <w:kern w:val="0"/>
          <w:sz w:val="24"/>
          <w:highlight w:val="none"/>
        </w:rPr>
        <w:t>人；</w:t>
      </w:r>
    </w:p>
    <w:p>
      <w:pPr>
        <w:spacing w:line="360" w:lineRule="auto"/>
        <w:ind w:firstLine="480" w:firstLineChars="200"/>
        <w:rPr>
          <w:rFonts w:ascii="仿宋" w:hAnsi="仿宋" w:eastAsia="仿宋" w:cs="Arial"/>
          <w:snapToGrid w:val="0"/>
          <w:kern w:val="0"/>
          <w:sz w:val="24"/>
          <w:highlight w:val="none"/>
        </w:rPr>
      </w:pPr>
      <w:r>
        <w:rPr>
          <w:rFonts w:hint="eastAsia" w:ascii="仿宋" w:hAnsi="仿宋" w:eastAsia="仿宋" w:cs="Arial"/>
          <w:snapToGrid w:val="0"/>
          <w:kern w:val="0"/>
          <w:sz w:val="24"/>
          <w:highlight w:val="none"/>
        </w:rPr>
        <w:t>标项</w:t>
      </w:r>
      <w:r>
        <w:rPr>
          <w:rFonts w:hint="eastAsia" w:ascii="仿宋" w:hAnsi="仿宋" w:cs="Arial"/>
          <w:snapToGrid w:val="0"/>
          <w:kern w:val="0"/>
          <w:sz w:val="24"/>
          <w:highlight w:val="none"/>
          <w:lang w:val="en-US" w:eastAsia="zh-CN"/>
        </w:rPr>
        <w:t>三</w:t>
      </w:r>
      <w:r>
        <w:rPr>
          <w:rFonts w:hint="eastAsia" w:ascii="仿宋" w:hAnsi="仿宋" w:eastAsia="仿宋" w:cs="Arial"/>
          <w:snapToGrid w:val="0"/>
          <w:kern w:val="0"/>
          <w:sz w:val="24"/>
          <w:highlight w:val="none"/>
        </w:rPr>
        <w:t>：</w:t>
      </w:r>
      <w:r>
        <w:rPr>
          <w:rFonts w:hint="eastAsia" w:ascii="仿宋" w:hAnsi="仿宋" w:cs="仿宋"/>
          <w:color w:val="auto"/>
          <w:sz w:val="24"/>
          <w:szCs w:val="28"/>
          <w:highlight w:val="none"/>
          <w:lang w:eastAsia="zh-CN"/>
        </w:rPr>
        <w:t>义蓬街道职工2024年疗休养服务采购项目（</w:t>
      </w:r>
      <w:r>
        <w:rPr>
          <w:rFonts w:hint="eastAsia" w:ascii="仿宋" w:hAnsi="仿宋" w:cs="仿宋"/>
          <w:color w:val="auto"/>
          <w:sz w:val="24"/>
          <w:szCs w:val="28"/>
          <w:highlight w:val="none"/>
          <w:lang w:val="en-US" w:eastAsia="zh-CN"/>
        </w:rPr>
        <w:t>编内，</w:t>
      </w:r>
      <w:r>
        <w:rPr>
          <w:rFonts w:hint="eastAsia" w:ascii="仿宋" w:hAnsi="仿宋" w:cs="Arial"/>
          <w:snapToGrid w:val="0"/>
          <w:kern w:val="0"/>
          <w:sz w:val="24"/>
          <w:highlight w:val="none"/>
          <w:lang w:val="en-US" w:eastAsia="zh-CN"/>
        </w:rPr>
        <w:t>衢州</w:t>
      </w:r>
      <w:r>
        <w:rPr>
          <w:rFonts w:hint="eastAsia" w:ascii="仿宋" w:hAnsi="仿宋" w:cs="Arial"/>
          <w:snapToGrid w:val="0"/>
          <w:kern w:val="0"/>
          <w:sz w:val="24"/>
          <w:highlight w:val="none"/>
          <w:lang w:eastAsia="zh-CN"/>
        </w:rPr>
        <w:t>、舟山</w:t>
      </w:r>
      <w:r>
        <w:rPr>
          <w:rFonts w:hint="eastAsia" w:ascii="仿宋" w:hAnsi="仿宋" w:cs="Arial"/>
          <w:snapToGrid w:val="0"/>
          <w:kern w:val="0"/>
          <w:sz w:val="24"/>
          <w:highlight w:val="none"/>
          <w:lang w:val="en-US" w:eastAsia="zh-CN"/>
        </w:rPr>
        <w:t>嵊泗</w:t>
      </w:r>
      <w:r>
        <w:rPr>
          <w:rFonts w:hint="eastAsia" w:ascii="仿宋" w:hAnsi="仿宋" w:cs="仿宋"/>
          <w:color w:val="auto"/>
          <w:sz w:val="24"/>
          <w:szCs w:val="28"/>
          <w:highlight w:val="none"/>
          <w:lang w:eastAsia="zh-CN"/>
        </w:rPr>
        <w:t>）</w:t>
      </w:r>
      <w:r>
        <w:rPr>
          <w:rFonts w:hint="eastAsia" w:ascii="仿宋" w:hAnsi="仿宋" w:eastAsia="仿宋" w:cs="Arial"/>
          <w:snapToGrid w:val="0"/>
          <w:kern w:val="0"/>
          <w:sz w:val="24"/>
          <w:highlight w:val="none"/>
        </w:rPr>
        <w:t>，预计</w:t>
      </w:r>
      <w:r>
        <w:rPr>
          <w:rFonts w:hint="eastAsia" w:ascii="仿宋" w:hAnsi="仿宋" w:cs="Arial"/>
          <w:snapToGrid w:val="0"/>
          <w:kern w:val="0"/>
          <w:sz w:val="24"/>
          <w:highlight w:val="none"/>
          <w:lang w:val="en-US" w:eastAsia="zh-CN"/>
        </w:rPr>
        <w:t>148</w:t>
      </w:r>
      <w:r>
        <w:rPr>
          <w:rFonts w:hint="eastAsia" w:ascii="仿宋" w:hAnsi="仿宋" w:eastAsia="仿宋" w:cs="Arial"/>
          <w:snapToGrid w:val="0"/>
          <w:kern w:val="0"/>
          <w:sz w:val="24"/>
          <w:highlight w:val="none"/>
        </w:rPr>
        <w:t>人；</w:t>
      </w:r>
    </w:p>
    <w:p>
      <w:pPr>
        <w:spacing w:line="360" w:lineRule="auto"/>
        <w:ind w:firstLine="482" w:firstLineChars="200"/>
        <w:rPr>
          <w:rFonts w:ascii="仿宋" w:hAnsi="仿宋" w:eastAsia="仿宋" w:cs="Arial"/>
          <w:b/>
          <w:bCs/>
          <w:snapToGrid w:val="0"/>
          <w:kern w:val="0"/>
          <w:sz w:val="24"/>
        </w:rPr>
      </w:pPr>
      <w:r>
        <w:rPr>
          <w:rFonts w:hint="eastAsia" w:ascii="仿宋" w:hAnsi="仿宋" w:eastAsia="仿宋" w:cs="Arial"/>
          <w:b/>
          <w:bCs/>
          <w:snapToGrid w:val="0"/>
          <w:kern w:val="0"/>
          <w:sz w:val="24"/>
        </w:rPr>
        <w:t>注：预计人数仅供参考，具体以实际出行线路、人数结算，招标人对各标项业务量不作保证。</w:t>
      </w:r>
    </w:p>
    <w:p>
      <w:pPr>
        <w:spacing w:line="360" w:lineRule="auto"/>
        <w:rPr>
          <w:rFonts w:ascii="仿宋" w:hAnsi="仿宋" w:eastAsia="仿宋" w:cs="Arial"/>
          <w:b/>
          <w:bCs/>
          <w:snapToGrid w:val="0"/>
          <w:kern w:val="0"/>
          <w:sz w:val="24"/>
        </w:rPr>
      </w:pPr>
      <w:r>
        <w:rPr>
          <w:rFonts w:hint="eastAsia" w:ascii="仿宋" w:hAnsi="仿宋" w:eastAsia="仿宋" w:cs="Arial"/>
          <w:b/>
          <w:bCs/>
          <w:snapToGrid w:val="0"/>
          <w:kern w:val="0"/>
          <w:sz w:val="24"/>
        </w:rPr>
        <w:t>三、线路划分</w:t>
      </w:r>
    </w:p>
    <w:p>
      <w:pPr>
        <w:spacing w:line="360" w:lineRule="auto"/>
        <w:ind w:firstLine="482" w:firstLineChars="200"/>
        <w:rPr>
          <w:rFonts w:hint="eastAsia" w:ascii="仿宋" w:hAnsi="仿宋" w:eastAsia="仿宋" w:cs="Arial"/>
          <w:b/>
          <w:bCs/>
          <w:snapToGrid w:val="0"/>
          <w:kern w:val="0"/>
          <w:sz w:val="24"/>
          <w:highlight w:val="none"/>
        </w:rPr>
      </w:pPr>
      <w:r>
        <w:rPr>
          <w:rFonts w:hint="eastAsia" w:ascii="仿宋" w:hAnsi="仿宋" w:eastAsia="仿宋" w:cs="Arial"/>
          <w:b/>
          <w:bCs/>
          <w:snapToGrid w:val="0"/>
          <w:kern w:val="0"/>
          <w:sz w:val="24"/>
          <w:highlight w:val="none"/>
        </w:rPr>
        <w:t>标项</w:t>
      </w:r>
      <w:r>
        <w:rPr>
          <w:rFonts w:hint="eastAsia" w:ascii="仿宋" w:hAnsi="仿宋" w:cs="Arial"/>
          <w:b/>
          <w:bCs/>
          <w:snapToGrid w:val="0"/>
          <w:kern w:val="0"/>
          <w:sz w:val="24"/>
          <w:highlight w:val="none"/>
          <w:lang w:val="en-US" w:eastAsia="zh-CN"/>
        </w:rPr>
        <w:t>一</w:t>
      </w:r>
      <w:r>
        <w:rPr>
          <w:rFonts w:hint="eastAsia" w:ascii="仿宋" w:hAnsi="仿宋" w:eastAsia="仿宋" w:cs="Arial"/>
          <w:b/>
          <w:bCs/>
          <w:snapToGrid w:val="0"/>
          <w:kern w:val="0"/>
          <w:sz w:val="24"/>
          <w:highlight w:val="none"/>
        </w:rPr>
        <w:t>行程线路：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Arial"/>
          <w:snapToGrid w:val="0"/>
          <w:kern w:val="0"/>
          <w:sz w:val="24"/>
          <w:highlight w:val="none"/>
        </w:rPr>
      </w:pPr>
      <w:r>
        <w:rPr>
          <w:rFonts w:hint="eastAsia" w:ascii="仿宋" w:hAnsi="仿宋" w:eastAsia="仿宋" w:cs="Arial"/>
          <w:snapToGrid w:val="0"/>
          <w:kern w:val="0"/>
          <w:sz w:val="24"/>
          <w:highlight w:val="none"/>
        </w:rPr>
        <w:t>行程1：</w:t>
      </w:r>
      <w:r>
        <w:rPr>
          <w:rFonts w:hint="eastAsia" w:ascii="仿宋" w:hAnsi="仿宋" w:cs="Arial"/>
          <w:snapToGrid w:val="0"/>
          <w:kern w:val="0"/>
          <w:sz w:val="24"/>
          <w:highlight w:val="none"/>
          <w:lang w:val="en-US" w:eastAsia="zh-CN"/>
        </w:rPr>
        <w:t>湖州</w:t>
      </w:r>
      <w:r>
        <w:rPr>
          <w:rFonts w:hint="eastAsia" w:ascii="仿宋" w:hAnsi="仿宋" w:eastAsia="仿宋" w:cs="Arial"/>
          <w:snapToGrid w:val="0"/>
          <w:kern w:val="0"/>
          <w:sz w:val="24"/>
          <w:highlight w:val="none"/>
        </w:rPr>
        <w:t xml:space="preserve">       费用不超过2000元/人，交通大巴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Arial"/>
          <w:snapToGrid w:val="0"/>
          <w:kern w:val="0"/>
          <w:sz w:val="24"/>
          <w:highlight w:val="none"/>
        </w:rPr>
      </w:pPr>
      <w:r>
        <w:rPr>
          <w:rFonts w:hint="eastAsia" w:ascii="仿宋" w:hAnsi="仿宋" w:eastAsia="仿宋" w:cs="Arial"/>
          <w:snapToGrid w:val="0"/>
          <w:kern w:val="0"/>
          <w:sz w:val="24"/>
          <w:highlight w:val="none"/>
        </w:rPr>
        <w:t>天数：3天2晚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Arial"/>
          <w:snapToGrid w:val="0"/>
          <w:kern w:val="0"/>
          <w:sz w:val="24"/>
          <w:highlight w:val="none"/>
        </w:rPr>
      </w:pPr>
      <w:r>
        <w:rPr>
          <w:rFonts w:hint="eastAsia" w:ascii="仿宋" w:hAnsi="仿宋" w:eastAsia="仿宋" w:cs="Arial"/>
          <w:snapToGrid w:val="0"/>
          <w:kern w:val="0"/>
          <w:sz w:val="24"/>
          <w:highlight w:val="none"/>
        </w:rPr>
        <w:t>人数：40人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Arial"/>
          <w:snapToGrid w:val="0"/>
          <w:kern w:val="0"/>
          <w:sz w:val="24"/>
          <w:highlight w:val="none"/>
        </w:rPr>
      </w:pPr>
      <w:r>
        <w:rPr>
          <w:rFonts w:hint="eastAsia" w:ascii="仿宋" w:hAnsi="仿宋" w:eastAsia="仿宋" w:cs="Arial"/>
          <w:snapToGrid w:val="0"/>
          <w:kern w:val="0"/>
          <w:sz w:val="24"/>
          <w:highlight w:val="none"/>
        </w:rPr>
        <w:t>景点：</w:t>
      </w:r>
      <w:r>
        <w:rPr>
          <w:rFonts w:hint="eastAsia" w:ascii="仿宋" w:hAnsi="仿宋" w:cs="Arial"/>
          <w:snapToGrid w:val="0"/>
          <w:kern w:val="0"/>
          <w:sz w:val="24"/>
          <w:highlight w:val="none"/>
          <w:lang w:val="en-US" w:eastAsia="zh-CN"/>
        </w:rPr>
        <w:t>南浔古镇、湖州影视城、太湖游船</w:t>
      </w:r>
      <w:r>
        <w:rPr>
          <w:rFonts w:hint="eastAsia" w:ascii="仿宋" w:hAnsi="仿宋" w:eastAsia="仿宋" w:cs="Arial"/>
          <w:snapToGrid w:val="0"/>
          <w:kern w:val="0"/>
          <w:sz w:val="24"/>
          <w:highlight w:val="none"/>
        </w:rPr>
        <w:t>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Arial"/>
          <w:snapToGrid w:val="0"/>
          <w:kern w:val="0"/>
          <w:sz w:val="24"/>
          <w:highlight w:val="none"/>
        </w:rPr>
      </w:pPr>
      <w:r>
        <w:rPr>
          <w:rFonts w:hint="eastAsia" w:ascii="仿宋" w:hAnsi="仿宋" w:eastAsia="仿宋" w:cs="Arial"/>
          <w:snapToGrid w:val="0"/>
          <w:kern w:val="0"/>
          <w:sz w:val="24"/>
          <w:highlight w:val="none"/>
        </w:rPr>
        <w:t>行程2：</w:t>
      </w:r>
      <w:r>
        <w:rPr>
          <w:rFonts w:hint="eastAsia" w:ascii="仿宋" w:hAnsi="仿宋" w:cs="Arial"/>
          <w:snapToGrid w:val="0"/>
          <w:kern w:val="0"/>
          <w:sz w:val="24"/>
          <w:highlight w:val="none"/>
          <w:lang w:val="en-US" w:eastAsia="zh-CN"/>
        </w:rPr>
        <w:t>衢州</w:t>
      </w:r>
      <w:r>
        <w:rPr>
          <w:rFonts w:hint="eastAsia" w:ascii="仿宋" w:hAnsi="仿宋" w:eastAsia="仿宋" w:cs="Arial"/>
          <w:snapToGrid w:val="0"/>
          <w:kern w:val="0"/>
          <w:sz w:val="24"/>
          <w:highlight w:val="none"/>
        </w:rPr>
        <w:t xml:space="preserve">         费用不超过2000元/人，交通大巴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Arial"/>
          <w:snapToGrid w:val="0"/>
          <w:kern w:val="0"/>
          <w:sz w:val="24"/>
          <w:highlight w:val="none"/>
        </w:rPr>
      </w:pPr>
      <w:r>
        <w:rPr>
          <w:rFonts w:hint="eastAsia" w:ascii="仿宋" w:hAnsi="仿宋" w:eastAsia="仿宋" w:cs="Arial"/>
          <w:snapToGrid w:val="0"/>
          <w:kern w:val="0"/>
          <w:sz w:val="24"/>
          <w:highlight w:val="none"/>
        </w:rPr>
        <w:t>天数：3天2晚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Arial"/>
          <w:snapToGrid w:val="0"/>
          <w:kern w:val="0"/>
          <w:sz w:val="24"/>
          <w:highlight w:val="none"/>
        </w:rPr>
      </w:pPr>
      <w:r>
        <w:rPr>
          <w:rFonts w:hint="eastAsia" w:ascii="仿宋" w:hAnsi="仿宋" w:eastAsia="仿宋" w:cs="Arial"/>
          <w:snapToGrid w:val="0"/>
          <w:kern w:val="0"/>
          <w:sz w:val="24"/>
          <w:highlight w:val="none"/>
        </w:rPr>
        <w:t>人数：40人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Arial"/>
          <w:snapToGrid w:val="0"/>
          <w:kern w:val="0"/>
          <w:sz w:val="24"/>
          <w:highlight w:val="none"/>
        </w:rPr>
      </w:pPr>
      <w:r>
        <w:rPr>
          <w:rFonts w:hint="eastAsia" w:ascii="仿宋" w:hAnsi="仿宋" w:eastAsia="仿宋" w:cs="Arial"/>
          <w:snapToGrid w:val="0"/>
          <w:kern w:val="0"/>
          <w:sz w:val="24"/>
          <w:highlight w:val="none"/>
        </w:rPr>
        <w:t>景点：</w:t>
      </w:r>
      <w:r>
        <w:rPr>
          <w:rFonts w:hint="eastAsia" w:ascii="仿宋" w:hAnsi="仿宋" w:cs="Arial"/>
          <w:snapToGrid w:val="0"/>
          <w:kern w:val="0"/>
          <w:sz w:val="24"/>
          <w:highlight w:val="none"/>
          <w:lang w:val="en-US" w:eastAsia="zh-CN"/>
        </w:rPr>
        <w:t>龙游石窟、江郎山、廿八都古镇</w:t>
      </w:r>
      <w:r>
        <w:rPr>
          <w:rFonts w:hint="eastAsia" w:ascii="仿宋" w:hAnsi="仿宋" w:eastAsia="仿宋" w:cs="Arial"/>
          <w:snapToGrid w:val="0"/>
          <w:kern w:val="0"/>
          <w:sz w:val="24"/>
          <w:highlight w:val="none"/>
        </w:rPr>
        <w:t>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Arial"/>
          <w:snapToGrid w:val="0"/>
          <w:kern w:val="0"/>
          <w:sz w:val="24"/>
          <w:highlight w:val="none"/>
        </w:rPr>
      </w:pPr>
      <w:r>
        <w:rPr>
          <w:rFonts w:hint="eastAsia" w:ascii="仿宋" w:hAnsi="仿宋" w:eastAsia="仿宋" w:cs="Arial"/>
          <w:snapToGrid w:val="0"/>
          <w:kern w:val="0"/>
          <w:sz w:val="24"/>
          <w:highlight w:val="none"/>
        </w:rPr>
        <w:t>行程3：</w:t>
      </w:r>
      <w:r>
        <w:rPr>
          <w:rFonts w:hint="eastAsia" w:ascii="仿宋" w:hAnsi="仿宋" w:cs="Arial"/>
          <w:snapToGrid w:val="0"/>
          <w:kern w:val="0"/>
          <w:sz w:val="24"/>
          <w:highlight w:val="none"/>
          <w:lang w:val="en-US" w:eastAsia="zh-CN"/>
        </w:rPr>
        <w:t>台州</w:t>
      </w:r>
      <w:r>
        <w:rPr>
          <w:rFonts w:hint="eastAsia" w:ascii="仿宋" w:hAnsi="仿宋" w:eastAsia="仿宋" w:cs="Arial"/>
          <w:snapToGrid w:val="0"/>
          <w:kern w:val="0"/>
          <w:sz w:val="24"/>
          <w:highlight w:val="none"/>
        </w:rPr>
        <w:t xml:space="preserve">       费用不超过2000元/人，交通大巴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Arial"/>
          <w:snapToGrid w:val="0"/>
          <w:kern w:val="0"/>
          <w:sz w:val="24"/>
          <w:highlight w:val="none"/>
        </w:rPr>
      </w:pPr>
      <w:r>
        <w:rPr>
          <w:rFonts w:hint="eastAsia" w:ascii="仿宋" w:hAnsi="仿宋" w:eastAsia="仿宋" w:cs="Arial"/>
          <w:snapToGrid w:val="0"/>
          <w:kern w:val="0"/>
          <w:sz w:val="24"/>
          <w:highlight w:val="none"/>
        </w:rPr>
        <w:t>天数：3天2晚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Arial"/>
          <w:snapToGrid w:val="0"/>
          <w:kern w:val="0"/>
          <w:sz w:val="24"/>
          <w:highlight w:val="none"/>
        </w:rPr>
      </w:pPr>
      <w:r>
        <w:rPr>
          <w:rFonts w:hint="eastAsia" w:ascii="仿宋" w:hAnsi="仿宋" w:eastAsia="仿宋" w:cs="Arial"/>
          <w:snapToGrid w:val="0"/>
          <w:kern w:val="0"/>
          <w:sz w:val="24"/>
          <w:highlight w:val="none"/>
        </w:rPr>
        <w:t>人数：40人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Arial"/>
          <w:snapToGrid w:val="0"/>
          <w:kern w:val="0"/>
          <w:sz w:val="24"/>
          <w:highlight w:val="none"/>
        </w:rPr>
      </w:pPr>
      <w:r>
        <w:rPr>
          <w:rFonts w:hint="eastAsia" w:ascii="仿宋" w:hAnsi="仿宋" w:eastAsia="仿宋" w:cs="Arial"/>
          <w:snapToGrid w:val="0"/>
          <w:kern w:val="0"/>
          <w:sz w:val="24"/>
          <w:highlight w:val="none"/>
        </w:rPr>
        <w:t>景点：</w:t>
      </w:r>
      <w:r>
        <w:rPr>
          <w:rFonts w:hint="eastAsia" w:ascii="仿宋" w:hAnsi="仿宋" w:cs="Arial"/>
          <w:snapToGrid w:val="0"/>
          <w:kern w:val="0"/>
          <w:sz w:val="24"/>
          <w:highlight w:val="none"/>
          <w:lang w:val="en-US" w:eastAsia="zh-CN"/>
        </w:rPr>
        <w:t>长屿硐天、洞下沙滩、临海江南长城</w:t>
      </w:r>
      <w:r>
        <w:rPr>
          <w:rFonts w:hint="eastAsia" w:ascii="仿宋" w:hAnsi="仿宋" w:eastAsia="仿宋" w:cs="Arial"/>
          <w:snapToGrid w:val="0"/>
          <w:kern w:val="0"/>
          <w:sz w:val="24"/>
          <w:highlight w:val="none"/>
        </w:rPr>
        <w:t>等</w:t>
      </w:r>
    </w:p>
    <w:p>
      <w:pPr>
        <w:spacing w:line="360" w:lineRule="auto"/>
        <w:ind w:firstLine="482" w:firstLineChars="200"/>
        <w:rPr>
          <w:rFonts w:ascii="仿宋" w:hAnsi="仿宋" w:eastAsia="仿宋" w:cs="Arial"/>
          <w:b/>
          <w:bCs/>
          <w:snapToGrid w:val="0"/>
          <w:kern w:val="0"/>
          <w:sz w:val="24"/>
          <w:highlight w:val="none"/>
        </w:rPr>
      </w:pPr>
      <w:r>
        <w:rPr>
          <w:rFonts w:hint="eastAsia" w:ascii="仿宋" w:hAnsi="仿宋" w:eastAsia="仿宋" w:cs="Arial"/>
          <w:b/>
          <w:bCs/>
          <w:snapToGrid w:val="0"/>
          <w:kern w:val="0"/>
          <w:sz w:val="24"/>
          <w:highlight w:val="none"/>
        </w:rPr>
        <w:t>标项</w:t>
      </w:r>
      <w:r>
        <w:rPr>
          <w:rFonts w:hint="eastAsia" w:ascii="仿宋" w:hAnsi="仿宋" w:cs="Arial"/>
          <w:b/>
          <w:bCs/>
          <w:snapToGrid w:val="0"/>
          <w:kern w:val="0"/>
          <w:sz w:val="24"/>
          <w:highlight w:val="none"/>
          <w:lang w:val="en-US" w:eastAsia="zh-CN"/>
        </w:rPr>
        <w:t>二</w:t>
      </w:r>
      <w:r>
        <w:rPr>
          <w:rFonts w:hint="eastAsia" w:ascii="仿宋" w:hAnsi="仿宋" w:eastAsia="仿宋" w:cs="Arial"/>
          <w:b/>
          <w:bCs/>
          <w:snapToGrid w:val="0"/>
          <w:kern w:val="0"/>
          <w:sz w:val="24"/>
          <w:highlight w:val="none"/>
        </w:rPr>
        <w:t>行程线路：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Arial"/>
          <w:snapToGrid w:val="0"/>
          <w:kern w:val="0"/>
          <w:sz w:val="24"/>
          <w:highlight w:val="none"/>
        </w:rPr>
      </w:pPr>
      <w:r>
        <w:rPr>
          <w:rFonts w:hint="eastAsia" w:ascii="仿宋" w:hAnsi="仿宋" w:eastAsia="仿宋" w:cs="Arial"/>
          <w:snapToGrid w:val="0"/>
          <w:kern w:val="0"/>
          <w:sz w:val="24"/>
          <w:highlight w:val="none"/>
        </w:rPr>
        <w:t>行程1：</w:t>
      </w:r>
      <w:r>
        <w:rPr>
          <w:rFonts w:hint="eastAsia" w:ascii="仿宋" w:hAnsi="仿宋" w:cs="Arial"/>
          <w:snapToGrid w:val="0"/>
          <w:kern w:val="0"/>
          <w:sz w:val="24"/>
          <w:highlight w:val="none"/>
          <w:lang w:val="en-US" w:eastAsia="zh-CN"/>
        </w:rPr>
        <w:t>湖州</w:t>
      </w:r>
      <w:r>
        <w:rPr>
          <w:rFonts w:hint="eastAsia" w:ascii="仿宋" w:hAnsi="仿宋" w:eastAsia="仿宋" w:cs="Arial"/>
          <w:snapToGrid w:val="0"/>
          <w:kern w:val="0"/>
          <w:sz w:val="24"/>
          <w:highlight w:val="none"/>
        </w:rPr>
        <w:t xml:space="preserve">       费用不超过2000元/人，交通大巴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Arial"/>
          <w:snapToGrid w:val="0"/>
          <w:kern w:val="0"/>
          <w:sz w:val="24"/>
          <w:highlight w:val="none"/>
        </w:rPr>
      </w:pPr>
      <w:r>
        <w:rPr>
          <w:rFonts w:hint="eastAsia" w:ascii="仿宋" w:hAnsi="仿宋" w:eastAsia="仿宋" w:cs="Arial"/>
          <w:snapToGrid w:val="0"/>
          <w:kern w:val="0"/>
          <w:sz w:val="24"/>
          <w:highlight w:val="none"/>
        </w:rPr>
        <w:t>天数：3天2晚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Arial"/>
          <w:snapToGrid w:val="0"/>
          <w:kern w:val="0"/>
          <w:sz w:val="24"/>
          <w:highlight w:val="none"/>
        </w:rPr>
      </w:pPr>
      <w:r>
        <w:rPr>
          <w:rFonts w:hint="eastAsia" w:ascii="仿宋" w:hAnsi="仿宋" w:eastAsia="仿宋" w:cs="Arial"/>
          <w:snapToGrid w:val="0"/>
          <w:kern w:val="0"/>
          <w:sz w:val="24"/>
          <w:highlight w:val="none"/>
        </w:rPr>
        <w:t>人数：40人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Arial"/>
          <w:snapToGrid w:val="0"/>
          <w:kern w:val="0"/>
          <w:sz w:val="24"/>
          <w:highlight w:val="none"/>
        </w:rPr>
      </w:pPr>
      <w:r>
        <w:rPr>
          <w:rFonts w:hint="eastAsia" w:ascii="仿宋" w:hAnsi="仿宋" w:eastAsia="仿宋" w:cs="Arial"/>
          <w:snapToGrid w:val="0"/>
          <w:kern w:val="0"/>
          <w:sz w:val="24"/>
          <w:highlight w:val="none"/>
        </w:rPr>
        <w:t>景点：</w:t>
      </w:r>
      <w:r>
        <w:rPr>
          <w:rFonts w:hint="eastAsia" w:ascii="仿宋" w:hAnsi="仿宋" w:cs="Arial"/>
          <w:snapToGrid w:val="0"/>
          <w:kern w:val="0"/>
          <w:sz w:val="24"/>
          <w:highlight w:val="none"/>
          <w:lang w:val="en-US" w:eastAsia="zh-CN"/>
        </w:rPr>
        <w:t>南浔古镇、湖州影视城、太湖游船</w:t>
      </w:r>
      <w:r>
        <w:rPr>
          <w:rFonts w:hint="eastAsia" w:ascii="仿宋" w:hAnsi="仿宋" w:eastAsia="仿宋" w:cs="Arial"/>
          <w:snapToGrid w:val="0"/>
          <w:kern w:val="0"/>
          <w:sz w:val="24"/>
          <w:highlight w:val="none"/>
        </w:rPr>
        <w:t>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Arial"/>
          <w:snapToGrid w:val="0"/>
          <w:kern w:val="0"/>
          <w:sz w:val="24"/>
          <w:highlight w:val="none"/>
        </w:rPr>
      </w:pPr>
      <w:r>
        <w:rPr>
          <w:rFonts w:hint="eastAsia" w:ascii="仿宋" w:hAnsi="仿宋" w:eastAsia="仿宋" w:cs="Arial"/>
          <w:snapToGrid w:val="0"/>
          <w:kern w:val="0"/>
          <w:sz w:val="24"/>
          <w:highlight w:val="none"/>
        </w:rPr>
        <w:t>行程2：</w:t>
      </w:r>
      <w:r>
        <w:rPr>
          <w:rFonts w:hint="eastAsia" w:ascii="仿宋" w:hAnsi="仿宋" w:cs="Arial"/>
          <w:snapToGrid w:val="0"/>
          <w:kern w:val="0"/>
          <w:sz w:val="24"/>
          <w:highlight w:val="none"/>
          <w:lang w:val="en-US" w:eastAsia="zh-CN"/>
        </w:rPr>
        <w:t>衢州</w:t>
      </w:r>
      <w:r>
        <w:rPr>
          <w:rFonts w:hint="eastAsia" w:ascii="仿宋" w:hAnsi="仿宋" w:eastAsia="仿宋" w:cs="Arial"/>
          <w:snapToGrid w:val="0"/>
          <w:kern w:val="0"/>
          <w:sz w:val="24"/>
          <w:highlight w:val="none"/>
        </w:rPr>
        <w:t xml:space="preserve">         费用不超过2000元/人，交通大巴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Arial"/>
          <w:snapToGrid w:val="0"/>
          <w:kern w:val="0"/>
          <w:sz w:val="24"/>
          <w:highlight w:val="none"/>
        </w:rPr>
      </w:pPr>
      <w:r>
        <w:rPr>
          <w:rFonts w:hint="eastAsia" w:ascii="仿宋" w:hAnsi="仿宋" w:eastAsia="仿宋" w:cs="Arial"/>
          <w:snapToGrid w:val="0"/>
          <w:kern w:val="0"/>
          <w:sz w:val="24"/>
          <w:highlight w:val="none"/>
        </w:rPr>
        <w:t>天数：3天2晚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Arial"/>
          <w:snapToGrid w:val="0"/>
          <w:kern w:val="0"/>
          <w:sz w:val="24"/>
          <w:highlight w:val="none"/>
        </w:rPr>
      </w:pPr>
      <w:r>
        <w:rPr>
          <w:rFonts w:hint="eastAsia" w:ascii="仿宋" w:hAnsi="仿宋" w:eastAsia="仿宋" w:cs="Arial"/>
          <w:snapToGrid w:val="0"/>
          <w:kern w:val="0"/>
          <w:sz w:val="24"/>
          <w:highlight w:val="none"/>
        </w:rPr>
        <w:t>人数：40人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Arial"/>
          <w:snapToGrid w:val="0"/>
          <w:kern w:val="0"/>
          <w:sz w:val="24"/>
          <w:highlight w:val="none"/>
        </w:rPr>
      </w:pPr>
      <w:r>
        <w:rPr>
          <w:rFonts w:hint="eastAsia" w:ascii="仿宋" w:hAnsi="仿宋" w:eastAsia="仿宋" w:cs="Arial"/>
          <w:snapToGrid w:val="0"/>
          <w:kern w:val="0"/>
          <w:sz w:val="24"/>
          <w:highlight w:val="none"/>
        </w:rPr>
        <w:t>景点：</w:t>
      </w:r>
      <w:r>
        <w:rPr>
          <w:rFonts w:hint="eastAsia" w:ascii="仿宋" w:hAnsi="仿宋" w:cs="Arial"/>
          <w:snapToGrid w:val="0"/>
          <w:kern w:val="0"/>
          <w:sz w:val="24"/>
          <w:highlight w:val="none"/>
          <w:lang w:val="en-US" w:eastAsia="zh-CN"/>
        </w:rPr>
        <w:t>龙游石窟、江郎山、廿八都古镇</w:t>
      </w:r>
      <w:r>
        <w:rPr>
          <w:rFonts w:hint="eastAsia" w:ascii="仿宋" w:hAnsi="仿宋" w:eastAsia="仿宋" w:cs="Arial"/>
          <w:snapToGrid w:val="0"/>
          <w:kern w:val="0"/>
          <w:sz w:val="24"/>
          <w:highlight w:val="none"/>
        </w:rPr>
        <w:t>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Arial"/>
          <w:snapToGrid w:val="0"/>
          <w:kern w:val="0"/>
          <w:sz w:val="24"/>
          <w:highlight w:val="none"/>
        </w:rPr>
      </w:pPr>
      <w:r>
        <w:rPr>
          <w:rFonts w:hint="eastAsia" w:ascii="仿宋" w:hAnsi="仿宋" w:eastAsia="仿宋" w:cs="Arial"/>
          <w:snapToGrid w:val="0"/>
          <w:kern w:val="0"/>
          <w:sz w:val="24"/>
          <w:highlight w:val="none"/>
        </w:rPr>
        <w:t>行程3：</w:t>
      </w:r>
      <w:r>
        <w:rPr>
          <w:rFonts w:hint="eastAsia" w:ascii="仿宋" w:hAnsi="仿宋" w:cs="Arial"/>
          <w:snapToGrid w:val="0"/>
          <w:kern w:val="0"/>
          <w:sz w:val="24"/>
          <w:highlight w:val="none"/>
          <w:lang w:val="en-US" w:eastAsia="zh-CN"/>
        </w:rPr>
        <w:t>台州</w:t>
      </w:r>
      <w:r>
        <w:rPr>
          <w:rFonts w:hint="eastAsia" w:ascii="仿宋" w:hAnsi="仿宋" w:eastAsia="仿宋" w:cs="Arial"/>
          <w:snapToGrid w:val="0"/>
          <w:kern w:val="0"/>
          <w:sz w:val="24"/>
          <w:highlight w:val="none"/>
        </w:rPr>
        <w:t xml:space="preserve">       费用不超过2000元/人，交通大巴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Arial"/>
          <w:snapToGrid w:val="0"/>
          <w:kern w:val="0"/>
          <w:sz w:val="24"/>
          <w:highlight w:val="none"/>
        </w:rPr>
      </w:pPr>
      <w:r>
        <w:rPr>
          <w:rFonts w:hint="eastAsia" w:ascii="仿宋" w:hAnsi="仿宋" w:eastAsia="仿宋" w:cs="Arial"/>
          <w:snapToGrid w:val="0"/>
          <w:kern w:val="0"/>
          <w:sz w:val="24"/>
          <w:highlight w:val="none"/>
        </w:rPr>
        <w:t>天数：3天2晚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Arial"/>
          <w:snapToGrid w:val="0"/>
          <w:kern w:val="0"/>
          <w:sz w:val="24"/>
          <w:highlight w:val="none"/>
        </w:rPr>
      </w:pPr>
      <w:r>
        <w:rPr>
          <w:rFonts w:hint="eastAsia" w:ascii="仿宋" w:hAnsi="仿宋" w:eastAsia="仿宋" w:cs="Arial"/>
          <w:snapToGrid w:val="0"/>
          <w:kern w:val="0"/>
          <w:sz w:val="24"/>
          <w:highlight w:val="none"/>
        </w:rPr>
        <w:t>人数：40人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Arial"/>
          <w:snapToGrid w:val="0"/>
          <w:kern w:val="0"/>
          <w:sz w:val="24"/>
          <w:highlight w:val="none"/>
        </w:rPr>
      </w:pPr>
      <w:r>
        <w:rPr>
          <w:rFonts w:hint="eastAsia" w:ascii="仿宋" w:hAnsi="仿宋" w:eastAsia="仿宋" w:cs="Arial"/>
          <w:snapToGrid w:val="0"/>
          <w:kern w:val="0"/>
          <w:sz w:val="24"/>
          <w:highlight w:val="none"/>
        </w:rPr>
        <w:t>景点：</w:t>
      </w:r>
      <w:r>
        <w:rPr>
          <w:rFonts w:hint="eastAsia" w:ascii="仿宋" w:hAnsi="仿宋" w:cs="Arial"/>
          <w:snapToGrid w:val="0"/>
          <w:kern w:val="0"/>
          <w:sz w:val="24"/>
          <w:highlight w:val="none"/>
          <w:lang w:val="en-US" w:eastAsia="zh-CN"/>
        </w:rPr>
        <w:t>长屿硐天、洞下沙滩、临海江南长城</w:t>
      </w:r>
      <w:r>
        <w:rPr>
          <w:rFonts w:hint="eastAsia" w:ascii="仿宋" w:hAnsi="仿宋" w:eastAsia="仿宋" w:cs="Arial"/>
          <w:snapToGrid w:val="0"/>
          <w:kern w:val="0"/>
          <w:sz w:val="24"/>
          <w:highlight w:val="none"/>
        </w:rPr>
        <w:t>等</w:t>
      </w:r>
    </w:p>
    <w:p>
      <w:pPr>
        <w:spacing w:line="360" w:lineRule="auto"/>
        <w:ind w:firstLine="482" w:firstLineChars="200"/>
        <w:rPr>
          <w:rFonts w:ascii="仿宋" w:hAnsi="仿宋" w:eastAsia="仿宋" w:cs="Arial"/>
          <w:b/>
          <w:bCs/>
          <w:snapToGrid w:val="0"/>
          <w:kern w:val="0"/>
          <w:sz w:val="24"/>
          <w:highlight w:val="none"/>
        </w:rPr>
      </w:pPr>
      <w:r>
        <w:rPr>
          <w:rFonts w:hint="eastAsia" w:ascii="仿宋" w:hAnsi="仿宋" w:eastAsia="仿宋" w:cs="Arial"/>
          <w:b/>
          <w:bCs/>
          <w:snapToGrid w:val="0"/>
          <w:kern w:val="0"/>
          <w:sz w:val="24"/>
          <w:highlight w:val="none"/>
        </w:rPr>
        <w:t>标项</w:t>
      </w:r>
      <w:r>
        <w:rPr>
          <w:rFonts w:hint="eastAsia" w:ascii="仿宋" w:hAnsi="仿宋" w:cs="Arial"/>
          <w:b/>
          <w:bCs/>
          <w:snapToGrid w:val="0"/>
          <w:kern w:val="0"/>
          <w:sz w:val="24"/>
          <w:highlight w:val="none"/>
          <w:lang w:val="en-US" w:eastAsia="zh-CN"/>
        </w:rPr>
        <w:t>三</w:t>
      </w:r>
      <w:r>
        <w:rPr>
          <w:rFonts w:hint="eastAsia" w:ascii="仿宋" w:hAnsi="仿宋" w:eastAsia="仿宋" w:cs="Arial"/>
          <w:b/>
          <w:bCs/>
          <w:snapToGrid w:val="0"/>
          <w:kern w:val="0"/>
          <w:sz w:val="24"/>
          <w:highlight w:val="none"/>
        </w:rPr>
        <w:t>行程线路：</w:t>
      </w:r>
    </w:p>
    <w:p>
      <w:pPr>
        <w:spacing w:line="360" w:lineRule="auto"/>
        <w:ind w:firstLine="480" w:firstLineChars="200"/>
        <w:rPr>
          <w:rFonts w:hint="eastAsia" w:ascii="仿宋" w:hAnsi="仿宋" w:eastAsia="仿宋" w:cs="Arial"/>
          <w:snapToGrid w:val="0"/>
          <w:kern w:val="0"/>
          <w:sz w:val="24"/>
          <w:highlight w:val="none"/>
        </w:rPr>
      </w:pPr>
      <w:r>
        <w:rPr>
          <w:rFonts w:hint="eastAsia" w:ascii="仿宋" w:hAnsi="仿宋" w:eastAsia="仿宋" w:cs="Arial"/>
          <w:snapToGrid w:val="0"/>
          <w:kern w:val="0"/>
          <w:sz w:val="24"/>
          <w:highlight w:val="none"/>
        </w:rPr>
        <w:t>行程1：</w:t>
      </w:r>
      <w:r>
        <w:rPr>
          <w:rFonts w:hint="eastAsia" w:ascii="仿宋" w:hAnsi="仿宋" w:cs="Arial"/>
          <w:snapToGrid w:val="0"/>
          <w:kern w:val="0"/>
          <w:sz w:val="24"/>
          <w:lang w:val="en-US" w:eastAsia="zh-CN"/>
        </w:rPr>
        <w:t>衢州</w:t>
      </w:r>
      <w:r>
        <w:rPr>
          <w:rFonts w:hint="eastAsia" w:ascii="仿宋" w:hAnsi="仿宋" w:eastAsia="仿宋" w:cs="Arial"/>
          <w:snapToGrid w:val="0"/>
          <w:kern w:val="0"/>
          <w:sz w:val="24"/>
          <w:highlight w:val="none"/>
        </w:rPr>
        <w:t xml:space="preserve">         费用不超过3000元/人，交通大巴</w:t>
      </w:r>
    </w:p>
    <w:p>
      <w:pPr>
        <w:spacing w:line="360" w:lineRule="auto"/>
        <w:ind w:firstLine="480" w:firstLineChars="200"/>
        <w:rPr>
          <w:rFonts w:hint="eastAsia" w:ascii="仿宋" w:hAnsi="仿宋" w:eastAsia="仿宋" w:cs="Arial"/>
          <w:snapToGrid w:val="0"/>
          <w:kern w:val="0"/>
          <w:sz w:val="24"/>
          <w:highlight w:val="none"/>
        </w:rPr>
      </w:pPr>
      <w:r>
        <w:rPr>
          <w:rFonts w:hint="eastAsia" w:ascii="仿宋" w:hAnsi="仿宋" w:eastAsia="仿宋" w:cs="Arial"/>
          <w:snapToGrid w:val="0"/>
          <w:kern w:val="0"/>
          <w:sz w:val="24"/>
          <w:highlight w:val="none"/>
        </w:rPr>
        <w:t>天数：5天4晚</w:t>
      </w:r>
    </w:p>
    <w:p>
      <w:pPr>
        <w:spacing w:line="360" w:lineRule="auto"/>
        <w:ind w:firstLine="480" w:firstLineChars="200"/>
        <w:rPr>
          <w:rFonts w:hint="eastAsia" w:ascii="仿宋" w:hAnsi="仿宋" w:eastAsia="仿宋" w:cs="Arial"/>
          <w:snapToGrid w:val="0"/>
          <w:kern w:val="0"/>
          <w:sz w:val="24"/>
          <w:highlight w:val="none"/>
        </w:rPr>
      </w:pPr>
      <w:r>
        <w:rPr>
          <w:rFonts w:hint="eastAsia" w:ascii="仿宋" w:hAnsi="仿宋" w:eastAsia="仿宋" w:cs="Arial"/>
          <w:snapToGrid w:val="0"/>
          <w:kern w:val="0"/>
          <w:sz w:val="24"/>
          <w:highlight w:val="none"/>
        </w:rPr>
        <w:t>人数：40人</w:t>
      </w:r>
    </w:p>
    <w:p>
      <w:pPr>
        <w:spacing w:line="360" w:lineRule="auto"/>
        <w:ind w:firstLine="480" w:firstLineChars="200"/>
        <w:rPr>
          <w:rFonts w:hint="eastAsia" w:ascii="仿宋" w:hAnsi="仿宋" w:eastAsia="仿宋" w:cs="Arial"/>
          <w:snapToGrid w:val="0"/>
          <w:kern w:val="0"/>
          <w:sz w:val="24"/>
          <w:highlight w:val="none"/>
        </w:rPr>
      </w:pPr>
      <w:r>
        <w:rPr>
          <w:rFonts w:hint="eastAsia" w:ascii="仿宋" w:hAnsi="仿宋" w:eastAsia="仿宋" w:cs="Arial"/>
          <w:snapToGrid w:val="0"/>
          <w:kern w:val="0"/>
          <w:sz w:val="24"/>
          <w:highlight w:val="none"/>
        </w:rPr>
        <w:t>景点：</w:t>
      </w:r>
      <w:r>
        <w:rPr>
          <w:rFonts w:hint="eastAsia" w:ascii="仿宋" w:hAnsi="仿宋" w:cs="Arial"/>
          <w:snapToGrid w:val="0"/>
          <w:kern w:val="0"/>
          <w:sz w:val="24"/>
          <w:highlight w:val="none"/>
          <w:lang w:val="en-US" w:eastAsia="zh-CN"/>
        </w:rPr>
        <w:t>龙游石窟、江郎山、廿八都古镇、天脊龙门、开化根雕博览园</w:t>
      </w:r>
      <w:r>
        <w:rPr>
          <w:rFonts w:hint="eastAsia" w:ascii="仿宋" w:hAnsi="仿宋" w:eastAsia="仿宋" w:cs="Arial"/>
          <w:snapToGrid w:val="0"/>
          <w:kern w:val="0"/>
          <w:sz w:val="24"/>
          <w:highlight w:val="none"/>
        </w:rPr>
        <w:t>等</w:t>
      </w:r>
    </w:p>
    <w:p>
      <w:pPr>
        <w:spacing w:line="360" w:lineRule="auto"/>
        <w:ind w:firstLine="480" w:firstLineChars="200"/>
        <w:rPr>
          <w:rFonts w:hint="eastAsia" w:ascii="仿宋" w:hAnsi="仿宋" w:eastAsia="仿宋" w:cs="Arial"/>
          <w:snapToGrid w:val="0"/>
          <w:kern w:val="0"/>
          <w:sz w:val="24"/>
          <w:highlight w:val="none"/>
        </w:rPr>
      </w:pPr>
      <w:r>
        <w:rPr>
          <w:rFonts w:hint="eastAsia" w:ascii="仿宋" w:hAnsi="仿宋" w:eastAsia="仿宋" w:cs="Arial"/>
          <w:snapToGrid w:val="0"/>
          <w:kern w:val="0"/>
          <w:sz w:val="24"/>
          <w:highlight w:val="none"/>
        </w:rPr>
        <w:t>行程2：</w:t>
      </w:r>
      <w:r>
        <w:rPr>
          <w:rFonts w:hint="eastAsia" w:ascii="仿宋" w:hAnsi="仿宋" w:cs="Arial"/>
          <w:snapToGrid w:val="0"/>
          <w:kern w:val="0"/>
          <w:sz w:val="24"/>
          <w:lang w:eastAsia="zh-CN"/>
        </w:rPr>
        <w:t>舟山</w:t>
      </w:r>
      <w:r>
        <w:rPr>
          <w:rFonts w:hint="eastAsia" w:ascii="仿宋" w:hAnsi="仿宋" w:cs="Arial"/>
          <w:snapToGrid w:val="0"/>
          <w:kern w:val="0"/>
          <w:sz w:val="24"/>
          <w:lang w:val="en-US" w:eastAsia="zh-CN"/>
        </w:rPr>
        <w:t>嵊泗</w:t>
      </w:r>
      <w:r>
        <w:rPr>
          <w:rFonts w:hint="eastAsia" w:ascii="仿宋" w:hAnsi="仿宋" w:eastAsia="仿宋" w:cs="Arial"/>
          <w:snapToGrid w:val="0"/>
          <w:kern w:val="0"/>
          <w:sz w:val="24"/>
          <w:highlight w:val="none"/>
        </w:rPr>
        <w:t xml:space="preserve">       费用不超过3000元/人，交通大巴</w:t>
      </w:r>
    </w:p>
    <w:p>
      <w:pPr>
        <w:spacing w:line="360" w:lineRule="auto"/>
        <w:ind w:firstLine="480" w:firstLineChars="200"/>
        <w:rPr>
          <w:rFonts w:hint="eastAsia" w:ascii="仿宋" w:hAnsi="仿宋" w:eastAsia="仿宋" w:cs="Arial"/>
          <w:snapToGrid w:val="0"/>
          <w:kern w:val="0"/>
          <w:sz w:val="24"/>
          <w:highlight w:val="none"/>
        </w:rPr>
      </w:pPr>
      <w:r>
        <w:rPr>
          <w:rFonts w:hint="eastAsia" w:ascii="仿宋" w:hAnsi="仿宋" w:eastAsia="仿宋" w:cs="Arial"/>
          <w:snapToGrid w:val="0"/>
          <w:kern w:val="0"/>
          <w:sz w:val="24"/>
          <w:highlight w:val="none"/>
        </w:rPr>
        <w:t>天数：5天4晚</w:t>
      </w:r>
    </w:p>
    <w:p>
      <w:pPr>
        <w:spacing w:line="360" w:lineRule="auto"/>
        <w:ind w:firstLine="480" w:firstLineChars="200"/>
        <w:rPr>
          <w:rFonts w:hint="eastAsia" w:ascii="仿宋" w:hAnsi="仿宋" w:eastAsia="仿宋" w:cs="Arial"/>
          <w:snapToGrid w:val="0"/>
          <w:kern w:val="0"/>
          <w:sz w:val="24"/>
          <w:highlight w:val="none"/>
        </w:rPr>
      </w:pPr>
      <w:r>
        <w:rPr>
          <w:rFonts w:hint="eastAsia" w:ascii="仿宋" w:hAnsi="仿宋" w:eastAsia="仿宋" w:cs="Arial"/>
          <w:snapToGrid w:val="0"/>
          <w:kern w:val="0"/>
          <w:sz w:val="24"/>
          <w:highlight w:val="none"/>
        </w:rPr>
        <w:t>人数：40人</w:t>
      </w:r>
    </w:p>
    <w:p>
      <w:pPr>
        <w:spacing w:line="360" w:lineRule="auto"/>
        <w:ind w:firstLine="480" w:firstLineChars="200"/>
        <w:rPr>
          <w:rFonts w:ascii="仿宋" w:hAnsi="仿宋" w:eastAsia="仿宋" w:cs="Arial"/>
          <w:snapToGrid w:val="0"/>
          <w:kern w:val="0"/>
          <w:sz w:val="24"/>
          <w:highlight w:val="none"/>
        </w:rPr>
      </w:pPr>
      <w:r>
        <w:rPr>
          <w:rFonts w:hint="eastAsia" w:ascii="仿宋" w:hAnsi="仿宋" w:eastAsia="仿宋" w:cs="Arial"/>
          <w:snapToGrid w:val="0"/>
          <w:kern w:val="0"/>
          <w:sz w:val="24"/>
          <w:highlight w:val="none"/>
        </w:rPr>
        <w:t>景点：</w:t>
      </w:r>
      <w:r>
        <w:rPr>
          <w:rFonts w:hint="eastAsia" w:ascii="仿宋" w:hAnsi="仿宋" w:cs="Arial"/>
          <w:snapToGrid w:val="0"/>
          <w:kern w:val="0"/>
          <w:sz w:val="24"/>
          <w:highlight w:val="none"/>
          <w:lang w:val="en-US" w:eastAsia="zh-CN"/>
        </w:rPr>
        <w:t>东海渔村、渔家乐、基湖沙滩、六井潭+和尚套、鱼雷洞</w:t>
      </w:r>
      <w:r>
        <w:rPr>
          <w:rFonts w:hint="eastAsia" w:ascii="仿宋" w:hAnsi="仿宋" w:eastAsia="仿宋" w:cs="Arial"/>
          <w:snapToGrid w:val="0"/>
          <w:kern w:val="0"/>
          <w:sz w:val="24"/>
          <w:highlight w:val="none"/>
        </w:rPr>
        <w:t>等</w:t>
      </w:r>
    </w:p>
    <w:p>
      <w:pPr>
        <w:spacing w:line="360" w:lineRule="auto"/>
        <w:ind w:firstLine="482" w:firstLineChars="200"/>
        <w:rPr>
          <w:rFonts w:ascii="仿宋" w:hAnsi="仿宋" w:eastAsia="仿宋"/>
          <w:bCs/>
          <w:sz w:val="24"/>
        </w:rPr>
      </w:pPr>
      <w:r>
        <w:rPr>
          <w:rFonts w:hint="eastAsia" w:ascii="仿宋" w:hAnsi="仿宋" w:eastAsia="仿宋" w:cs="Arial"/>
          <w:b/>
          <w:bCs/>
          <w:snapToGrid w:val="0"/>
          <w:kern w:val="0"/>
          <w:sz w:val="24"/>
        </w:rPr>
        <w:t>以上投标线路包含行程各景点，但不局限以上景点。</w:t>
      </w:r>
    </w:p>
    <w:p>
      <w:pPr>
        <w:snapToGrid w:val="0"/>
        <w:spacing w:line="360" w:lineRule="auto"/>
        <w:jc w:val="left"/>
        <w:rPr>
          <w:rFonts w:ascii="仿宋" w:hAnsi="仿宋" w:eastAsia="仿宋"/>
          <w:b/>
          <w:sz w:val="24"/>
        </w:rPr>
      </w:pPr>
      <w:r>
        <w:rPr>
          <w:rFonts w:hint="eastAsia" w:ascii="仿宋" w:hAnsi="仿宋" w:eastAsia="仿宋"/>
          <w:b/>
          <w:sz w:val="24"/>
        </w:rPr>
        <w:t>四、基本服务要求（针对所有标项）：</w:t>
      </w:r>
    </w:p>
    <w:p>
      <w:pPr>
        <w:snapToGrid w:val="0"/>
        <w:spacing w:line="360" w:lineRule="auto"/>
        <w:ind w:firstLine="480" w:firstLineChars="200"/>
        <w:jc w:val="left"/>
        <w:rPr>
          <w:lang w:val="en-US"/>
        </w:rPr>
      </w:pPr>
      <w:r>
        <w:rPr>
          <w:rFonts w:hint="eastAsia" w:ascii="仿宋" w:hAnsi="仿宋" w:eastAsia="仿宋"/>
          <w:sz w:val="24"/>
        </w:rPr>
        <w:t>1、</w:t>
      </w:r>
      <w:bookmarkStart w:id="26" w:name="_Hlk103633467"/>
      <w:r>
        <w:rPr>
          <w:rFonts w:hint="eastAsia" w:ascii="仿宋" w:hAnsi="仿宋" w:eastAsia="仿宋"/>
          <w:sz w:val="24"/>
        </w:rPr>
        <w:t>拟派服务团队要求：需具备优质的导游全程陪同服务（含地接导游服务）。拟派服务团队导游人数不少于</w:t>
      </w:r>
      <w:r>
        <w:rPr>
          <w:rFonts w:ascii="仿宋" w:hAnsi="仿宋" w:eastAsia="仿宋"/>
          <w:sz w:val="24"/>
        </w:rPr>
        <w:t>8</w:t>
      </w:r>
      <w:r>
        <w:rPr>
          <w:rFonts w:hint="eastAsia" w:ascii="仿宋" w:hAnsi="仿宋" w:eastAsia="仿宋"/>
          <w:sz w:val="24"/>
        </w:rPr>
        <w:t>人（含项目总负责人一名），服务团队导游需具有疗休养带团经验且从业年限不低于五年，</w:t>
      </w:r>
      <w:r>
        <w:rPr>
          <w:rFonts w:hint="eastAsia" w:ascii="仿宋" w:hAnsi="仿宋" w:eastAsia="仿宋"/>
          <w:bCs/>
          <w:sz w:val="24"/>
        </w:rPr>
        <w:t>配备中级、高级导游为佳。</w:t>
      </w:r>
      <w:bookmarkEnd w:id="26"/>
    </w:p>
    <w:p>
      <w:pPr>
        <w:snapToGrid w:val="0"/>
        <w:spacing w:line="360" w:lineRule="auto"/>
        <w:ind w:firstLine="480" w:firstLineChars="200"/>
        <w:jc w:val="left"/>
        <w:rPr>
          <w:rFonts w:ascii="仿宋" w:hAnsi="仿宋" w:eastAsia="仿宋"/>
          <w:sz w:val="24"/>
        </w:rPr>
      </w:pPr>
      <w:r>
        <w:rPr>
          <w:rFonts w:hint="eastAsia" w:ascii="仿宋" w:hAnsi="仿宋"/>
          <w:sz w:val="24"/>
          <w:lang w:val="en-US" w:eastAsia="zh-CN"/>
        </w:rPr>
        <w:t>2</w:t>
      </w:r>
      <w:r>
        <w:rPr>
          <w:rFonts w:hint="eastAsia" w:ascii="仿宋" w:hAnsi="仿宋" w:eastAsia="仿宋"/>
          <w:sz w:val="24"/>
        </w:rPr>
        <w:t>、交通标准：旅游大巴、用车必须为二年之内设施好的空调旅游车。</w:t>
      </w:r>
    </w:p>
    <w:p>
      <w:pPr>
        <w:snapToGrid w:val="0"/>
        <w:spacing w:line="360" w:lineRule="auto"/>
        <w:ind w:firstLine="480" w:firstLineChars="200"/>
        <w:jc w:val="left"/>
        <w:rPr>
          <w:rFonts w:ascii="仿宋" w:hAnsi="仿宋" w:eastAsia="仿宋"/>
          <w:color w:val="auto"/>
          <w:sz w:val="24"/>
        </w:rPr>
      </w:pPr>
      <w:r>
        <w:rPr>
          <w:rFonts w:hint="eastAsia" w:ascii="仿宋" w:hAnsi="仿宋"/>
          <w:sz w:val="24"/>
          <w:lang w:val="en-US" w:eastAsia="zh-CN"/>
        </w:rPr>
        <w:t>3</w:t>
      </w:r>
      <w:r>
        <w:rPr>
          <w:rFonts w:hint="eastAsia" w:ascii="仿宋" w:hAnsi="仿宋" w:eastAsia="仿宋"/>
          <w:sz w:val="24"/>
        </w:rPr>
        <w:t>、游览标准：游览线路必须包含其主要景点，标示每一天的具体行程安排，每个景</w:t>
      </w:r>
      <w:r>
        <w:rPr>
          <w:rFonts w:hint="eastAsia" w:ascii="仿宋" w:hAnsi="仿宋" w:eastAsia="仿宋"/>
          <w:color w:val="auto"/>
          <w:sz w:val="24"/>
        </w:rPr>
        <w:t>点的游览时间安排及价格。</w:t>
      </w:r>
    </w:p>
    <w:p>
      <w:pPr>
        <w:snapToGrid w:val="0"/>
        <w:spacing w:line="360" w:lineRule="auto"/>
        <w:ind w:firstLine="480" w:firstLineChars="200"/>
        <w:jc w:val="left"/>
        <w:rPr>
          <w:rFonts w:ascii="仿宋" w:hAnsi="仿宋" w:eastAsia="仿宋"/>
          <w:sz w:val="24"/>
        </w:rPr>
      </w:pPr>
      <w:r>
        <w:rPr>
          <w:rFonts w:hint="eastAsia" w:ascii="仿宋" w:hAnsi="仿宋"/>
          <w:color w:val="auto"/>
          <w:sz w:val="24"/>
          <w:lang w:val="en-US" w:eastAsia="zh-CN"/>
        </w:rPr>
        <w:t>4</w:t>
      </w:r>
      <w:r>
        <w:rPr>
          <w:rFonts w:hint="eastAsia" w:ascii="仿宋" w:hAnsi="仿宋" w:eastAsia="仿宋"/>
          <w:color w:val="auto"/>
          <w:sz w:val="24"/>
        </w:rPr>
        <w:t>、</w:t>
      </w:r>
      <w:r>
        <w:rPr>
          <w:rFonts w:hint="eastAsia" w:ascii="仿宋" w:hAnsi="仿宋" w:eastAsia="仿宋"/>
          <w:color w:val="auto"/>
          <w:sz w:val="24"/>
          <w:highlight w:val="none"/>
        </w:rPr>
        <w:t>住宿标准：酒店</w:t>
      </w:r>
      <w:r>
        <w:rPr>
          <w:rFonts w:hint="eastAsia" w:ascii="仿宋" w:hAnsi="仿宋"/>
          <w:color w:val="auto"/>
          <w:sz w:val="24"/>
          <w:highlight w:val="none"/>
          <w:lang w:val="en-US" w:eastAsia="zh-CN"/>
        </w:rPr>
        <w:t>准四星及以上</w:t>
      </w:r>
      <w:r>
        <w:rPr>
          <w:rFonts w:hint="eastAsia" w:ascii="仿宋" w:hAnsi="仿宋" w:eastAsia="仿宋"/>
          <w:color w:val="auto"/>
          <w:sz w:val="24"/>
          <w:highlight w:val="none"/>
        </w:rPr>
        <w:t>标准，地处该地区中心（除必须入住景区周边的酒店外），</w:t>
      </w:r>
      <w:r>
        <w:rPr>
          <w:rFonts w:hint="eastAsia" w:ascii="仿宋" w:hAnsi="仿宋" w:eastAsia="仿宋"/>
          <w:sz w:val="24"/>
          <w:highlight w:val="none"/>
        </w:rPr>
        <w:t>需选择2015年后营业或2</w:t>
      </w:r>
      <w:r>
        <w:rPr>
          <w:rFonts w:ascii="仿宋" w:hAnsi="仿宋" w:eastAsia="仿宋"/>
          <w:sz w:val="24"/>
          <w:highlight w:val="none"/>
        </w:rPr>
        <w:t>015</w:t>
      </w:r>
      <w:r>
        <w:rPr>
          <w:rFonts w:hint="eastAsia" w:ascii="仿宋" w:hAnsi="仿宋" w:eastAsia="仿宋"/>
          <w:sz w:val="24"/>
          <w:highlight w:val="none"/>
        </w:rPr>
        <w:t>年后重新装修，配套</w:t>
      </w:r>
      <w:r>
        <w:rPr>
          <w:rFonts w:hint="eastAsia" w:ascii="仿宋" w:hAnsi="仿宋" w:eastAsia="仿宋"/>
          <w:sz w:val="24"/>
        </w:rPr>
        <w:t>设施中应含有游泳池和健身房，要标注每天酒店的名称、星级、具体地址。</w:t>
      </w:r>
    </w:p>
    <w:p>
      <w:pPr>
        <w:snapToGrid w:val="0"/>
        <w:spacing w:line="360" w:lineRule="auto"/>
        <w:ind w:firstLine="480" w:firstLineChars="200"/>
        <w:jc w:val="left"/>
        <w:rPr>
          <w:rFonts w:ascii="仿宋" w:hAnsi="仿宋" w:eastAsia="仿宋"/>
          <w:color w:val="auto"/>
          <w:sz w:val="24"/>
        </w:rPr>
      </w:pPr>
      <w:r>
        <w:rPr>
          <w:rFonts w:hint="eastAsia" w:ascii="仿宋" w:hAnsi="仿宋"/>
          <w:color w:val="auto"/>
          <w:sz w:val="24"/>
          <w:lang w:val="en-US" w:eastAsia="zh-CN"/>
        </w:rPr>
        <w:t>5</w:t>
      </w:r>
      <w:r>
        <w:rPr>
          <w:rFonts w:hint="eastAsia" w:ascii="仿宋" w:hAnsi="仿宋" w:eastAsia="仿宋"/>
          <w:color w:val="auto"/>
          <w:sz w:val="24"/>
        </w:rPr>
        <w:t>、用餐标准：省内线路的餐标中餐不低于</w:t>
      </w:r>
      <w:r>
        <w:rPr>
          <w:rFonts w:hint="eastAsia" w:ascii="仿宋" w:hAnsi="仿宋"/>
          <w:color w:val="auto"/>
          <w:sz w:val="24"/>
          <w:lang w:val="en-US" w:eastAsia="zh-CN"/>
        </w:rPr>
        <w:t>80</w:t>
      </w:r>
      <w:r>
        <w:rPr>
          <w:rFonts w:hint="eastAsia" w:ascii="仿宋" w:hAnsi="仿宋" w:eastAsia="仿宋"/>
          <w:color w:val="auto"/>
          <w:sz w:val="24"/>
        </w:rPr>
        <w:t>元/人，晚餐不低于</w:t>
      </w:r>
      <w:r>
        <w:rPr>
          <w:rFonts w:hint="eastAsia" w:ascii="仿宋" w:hAnsi="仿宋"/>
          <w:color w:val="auto"/>
          <w:sz w:val="24"/>
          <w:lang w:val="en-US" w:eastAsia="zh-CN"/>
        </w:rPr>
        <w:t>100</w:t>
      </w:r>
      <w:r>
        <w:rPr>
          <w:rFonts w:hint="eastAsia" w:ascii="仿宋" w:hAnsi="仿宋" w:eastAsia="仿宋"/>
          <w:color w:val="auto"/>
          <w:sz w:val="24"/>
        </w:rPr>
        <w:t>元/人（其中最后一个晚餐要安排当地特色餐不低于120元/人）。</w:t>
      </w:r>
    </w:p>
    <w:p>
      <w:pPr>
        <w:snapToGrid w:val="0"/>
        <w:spacing w:line="360" w:lineRule="auto"/>
        <w:ind w:firstLine="480" w:firstLineChars="200"/>
        <w:jc w:val="left"/>
        <w:rPr>
          <w:rFonts w:ascii="仿宋" w:hAnsi="仿宋" w:eastAsia="仿宋"/>
          <w:color w:val="auto"/>
          <w:sz w:val="24"/>
        </w:rPr>
      </w:pPr>
      <w:r>
        <w:rPr>
          <w:rFonts w:hint="eastAsia" w:ascii="仿宋" w:hAnsi="仿宋"/>
          <w:color w:val="auto"/>
          <w:sz w:val="24"/>
          <w:lang w:val="en-US" w:eastAsia="zh-CN"/>
        </w:rPr>
        <w:t>6</w:t>
      </w:r>
      <w:r>
        <w:rPr>
          <w:rFonts w:hint="eastAsia" w:ascii="仿宋" w:hAnsi="仿宋" w:eastAsia="仿宋"/>
          <w:color w:val="auto"/>
          <w:sz w:val="24"/>
        </w:rPr>
        <w:t>、投标人需提供工作程序和步骤、管理和协调方法、关键步骤合理可行，包括整体行程策划，与采购人的沟通协调，行程前、行程中、行程后的组织条理清晰。</w:t>
      </w:r>
    </w:p>
    <w:p>
      <w:pPr>
        <w:snapToGrid w:val="0"/>
        <w:spacing w:line="360" w:lineRule="auto"/>
        <w:ind w:firstLine="480" w:firstLineChars="200"/>
        <w:jc w:val="left"/>
        <w:rPr>
          <w:rFonts w:hint="eastAsia" w:ascii="仿宋" w:hAnsi="仿宋" w:eastAsia="仿宋"/>
          <w:color w:val="auto"/>
          <w:sz w:val="24"/>
        </w:rPr>
      </w:pPr>
      <w:bookmarkStart w:id="27" w:name="_Hlk103869279"/>
      <w:r>
        <w:rPr>
          <w:rFonts w:ascii="仿宋" w:hAnsi="仿宋" w:eastAsia="仿宋"/>
          <w:color w:val="auto"/>
          <w:sz w:val="24"/>
        </w:rPr>
        <w:t>7</w:t>
      </w:r>
      <w:r>
        <w:rPr>
          <w:rFonts w:hint="eastAsia" w:ascii="仿宋" w:hAnsi="仿宋" w:eastAsia="仿宋"/>
          <w:color w:val="auto"/>
          <w:sz w:val="24"/>
        </w:rPr>
        <w:t>、</w:t>
      </w:r>
      <w:bookmarkStart w:id="28" w:name="_Hlk103867670"/>
      <w:r>
        <w:rPr>
          <w:rFonts w:hint="eastAsia" w:ascii="仿宋" w:hAnsi="仿宋" w:eastAsia="仿宋"/>
          <w:color w:val="auto"/>
          <w:sz w:val="24"/>
        </w:rPr>
        <w:t>疗休养每批次</w:t>
      </w:r>
      <w:r>
        <w:rPr>
          <w:rFonts w:hint="eastAsia" w:ascii="仿宋" w:hAnsi="仿宋"/>
          <w:color w:val="auto"/>
          <w:sz w:val="24"/>
          <w:lang w:val="en-US" w:eastAsia="zh-CN"/>
        </w:rPr>
        <w:t>约40</w:t>
      </w:r>
      <w:r>
        <w:rPr>
          <w:rFonts w:hint="eastAsia" w:ascii="仿宋" w:hAnsi="仿宋" w:eastAsia="仿宋"/>
          <w:color w:val="auto"/>
          <w:sz w:val="24"/>
        </w:rPr>
        <w:t>人及以上配备领队1名</w:t>
      </w:r>
      <w:r>
        <w:rPr>
          <w:rFonts w:hint="eastAsia" w:ascii="仿宋" w:hAnsi="仿宋"/>
          <w:color w:val="auto"/>
          <w:sz w:val="24"/>
          <w:lang w:eastAsia="zh-CN"/>
        </w:rPr>
        <w:t>（</w:t>
      </w:r>
      <w:r>
        <w:rPr>
          <w:rFonts w:hint="eastAsia" w:ascii="仿宋" w:hAnsi="仿宋"/>
          <w:color w:val="auto"/>
          <w:sz w:val="24"/>
          <w:lang w:val="en-US" w:eastAsia="zh-CN"/>
        </w:rPr>
        <w:t>每次出行不少于提供团队3人及以上</w:t>
      </w:r>
      <w:r>
        <w:rPr>
          <w:rFonts w:hint="eastAsia" w:ascii="仿宋" w:hAnsi="仿宋"/>
          <w:color w:val="auto"/>
          <w:sz w:val="24"/>
          <w:lang w:eastAsia="zh-CN"/>
        </w:rPr>
        <w:t>）</w:t>
      </w:r>
      <w:r>
        <w:rPr>
          <w:rFonts w:hint="eastAsia" w:ascii="仿宋" w:hAnsi="仿宋" w:eastAsia="仿宋"/>
          <w:color w:val="auto"/>
          <w:sz w:val="24"/>
        </w:rPr>
        <w:t>，领队负责与供应商对接工作，其费用包含在投标报价中。</w:t>
      </w:r>
    </w:p>
    <w:p>
      <w:pPr>
        <w:snapToGrid w:val="0"/>
        <w:spacing w:line="360" w:lineRule="auto"/>
        <w:ind w:firstLine="480" w:firstLineChars="200"/>
        <w:jc w:val="left"/>
        <w:rPr>
          <w:rFonts w:ascii="仿宋" w:hAnsi="仿宋" w:eastAsia="仿宋"/>
          <w:sz w:val="24"/>
        </w:rPr>
      </w:pPr>
      <w:r>
        <w:rPr>
          <w:rFonts w:ascii="仿宋" w:hAnsi="仿宋" w:eastAsia="仿宋"/>
          <w:sz w:val="24"/>
        </w:rPr>
        <w:t>8</w:t>
      </w:r>
      <w:r>
        <w:rPr>
          <w:rFonts w:hint="eastAsia" w:ascii="仿宋" w:hAnsi="仿宋" w:eastAsia="仿宋"/>
          <w:sz w:val="24"/>
        </w:rPr>
        <w:t>、投标人需提供工作程序和步骤、管理和协调方法、关键步骤合理可行，包括整体行程策划，与采购人的沟通协调，行程前、行程中、行程后的组织条理清晰。</w:t>
      </w:r>
    </w:p>
    <w:bookmarkEnd w:id="27"/>
    <w:bookmarkEnd w:id="28"/>
    <w:p>
      <w:pPr>
        <w:snapToGrid w:val="0"/>
        <w:spacing w:line="360" w:lineRule="auto"/>
        <w:ind w:firstLine="480" w:firstLineChars="200"/>
        <w:jc w:val="left"/>
        <w:rPr>
          <w:rFonts w:ascii="仿宋" w:hAnsi="仿宋" w:eastAsia="仿宋"/>
          <w:sz w:val="24"/>
        </w:rPr>
      </w:pPr>
      <w:r>
        <w:rPr>
          <w:rFonts w:hint="eastAsia" w:ascii="仿宋" w:hAnsi="仿宋"/>
          <w:sz w:val="24"/>
          <w:lang w:val="en-US" w:eastAsia="zh-CN"/>
        </w:rPr>
        <w:t>9</w:t>
      </w:r>
      <w:r>
        <w:rPr>
          <w:rFonts w:hint="eastAsia" w:ascii="仿宋" w:hAnsi="仿宋" w:eastAsia="仿宋"/>
          <w:sz w:val="24"/>
        </w:rPr>
        <w:t>、需对人员出行批次（每批次的人数）的进度安排合理、科学，包括每个团的人数控制到位，不因出团人员过多导致服务质量的下降，也不因出团人员过少，向采购人提出拒绝服务的要求，不对出团人数设置前提条件。</w:t>
      </w:r>
    </w:p>
    <w:p>
      <w:pPr>
        <w:snapToGrid w:val="0"/>
        <w:spacing w:line="360" w:lineRule="auto"/>
        <w:ind w:firstLine="480" w:firstLineChars="200"/>
        <w:jc w:val="left"/>
        <w:rPr>
          <w:rFonts w:ascii="仿宋" w:hAnsi="仿宋" w:eastAsia="仿宋"/>
          <w:sz w:val="24"/>
        </w:rPr>
      </w:pPr>
      <w:r>
        <w:rPr>
          <w:rFonts w:hint="eastAsia" w:ascii="仿宋" w:hAnsi="仿宋"/>
          <w:sz w:val="24"/>
          <w:lang w:val="en-US" w:eastAsia="zh-CN"/>
        </w:rPr>
        <w:t>10</w:t>
      </w:r>
      <w:r>
        <w:rPr>
          <w:rFonts w:hint="eastAsia" w:ascii="仿宋" w:hAnsi="仿宋" w:eastAsia="仿宋"/>
          <w:sz w:val="24"/>
        </w:rPr>
        <w:t>、需提供安全管理（应急预案应考虑医院与酒店的距离）措施到位，充分考虑安全管理的各方面因素，如人员受伤、食物中毒、身体不适等因素。</w:t>
      </w:r>
    </w:p>
    <w:p>
      <w:pPr>
        <w:snapToGrid w:val="0"/>
        <w:spacing w:line="360" w:lineRule="auto"/>
        <w:ind w:firstLine="480" w:firstLineChars="200"/>
        <w:jc w:val="left"/>
        <w:rPr>
          <w:rFonts w:ascii="仿宋" w:hAnsi="仿宋" w:eastAsia="仿宋"/>
          <w:sz w:val="24"/>
        </w:rPr>
      </w:pPr>
      <w:r>
        <w:rPr>
          <w:rFonts w:hint="eastAsia" w:ascii="仿宋" w:hAnsi="仿宋"/>
          <w:sz w:val="24"/>
          <w:lang w:val="en-US" w:eastAsia="zh-CN"/>
        </w:rPr>
        <w:t>11</w:t>
      </w:r>
      <w:r>
        <w:rPr>
          <w:rFonts w:hint="eastAsia" w:ascii="仿宋" w:hAnsi="仿宋" w:eastAsia="仿宋"/>
          <w:sz w:val="24"/>
        </w:rPr>
        <w:t>、提供加强服务舒适度保障的相关措施及管理制度健全，能有效保障本次服务，对服务人员有效管控。</w:t>
      </w:r>
    </w:p>
    <w:p>
      <w:pPr>
        <w:snapToGrid w:val="0"/>
        <w:spacing w:line="360" w:lineRule="auto"/>
        <w:ind w:firstLine="480" w:firstLineChars="200"/>
        <w:jc w:val="left"/>
        <w:rPr>
          <w:rFonts w:ascii="仿宋" w:hAnsi="仿宋" w:eastAsia="仿宋"/>
          <w:sz w:val="24"/>
        </w:rPr>
      </w:pPr>
      <w:r>
        <w:rPr>
          <w:rFonts w:hint="eastAsia" w:ascii="仿宋" w:hAnsi="仿宋"/>
          <w:sz w:val="24"/>
          <w:lang w:val="en-US" w:eastAsia="zh-CN"/>
        </w:rPr>
        <w:t>12</w:t>
      </w:r>
      <w:r>
        <w:rPr>
          <w:rFonts w:hint="eastAsia" w:ascii="仿宋" w:hAnsi="仿宋" w:eastAsia="仿宋"/>
          <w:sz w:val="24"/>
        </w:rPr>
        <w:t>、需提供本项目的服务重点、难点，且根据分析出的重点难点，具有针对性的提出解决方案，解决方案切合实际，能有效解决服务中的问题。</w:t>
      </w:r>
    </w:p>
    <w:p>
      <w:pPr>
        <w:snapToGrid w:val="0"/>
        <w:spacing w:line="360" w:lineRule="auto"/>
        <w:ind w:firstLine="480" w:firstLineChars="200"/>
        <w:jc w:val="left"/>
        <w:rPr>
          <w:rFonts w:ascii="仿宋" w:hAnsi="仿宋" w:eastAsia="仿宋"/>
          <w:color w:val="auto"/>
          <w:sz w:val="24"/>
        </w:rPr>
      </w:pPr>
      <w:r>
        <w:rPr>
          <w:rFonts w:hint="eastAsia" w:ascii="仿宋" w:hAnsi="仿宋"/>
          <w:color w:val="auto"/>
          <w:sz w:val="24"/>
          <w:lang w:val="en-US" w:eastAsia="zh-CN"/>
        </w:rPr>
        <w:t>13</w:t>
      </w:r>
      <w:r>
        <w:rPr>
          <w:rFonts w:hint="eastAsia" w:ascii="仿宋" w:hAnsi="仿宋" w:eastAsia="仿宋"/>
          <w:color w:val="auto"/>
          <w:sz w:val="24"/>
        </w:rPr>
        <w:t>、供应商需提供企业责任保险保额达到2000万及以上的承诺。</w:t>
      </w:r>
    </w:p>
    <w:p>
      <w:pPr>
        <w:snapToGrid w:val="0"/>
        <w:spacing w:line="360" w:lineRule="auto"/>
        <w:ind w:firstLine="480" w:firstLineChars="200"/>
        <w:jc w:val="left"/>
        <w:rPr>
          <w:rFonts w:ascii="仿宋" w:hAnsi="仿宋" w:eastAsia="仿宋"/>
          <w:color w:val="auto"/>
          <w:sz w:val="24"/>
        </w:rPr>
      </w:pPr>
      <w:r>
        <w:rPr>
          <w:rFonts w:hint="eastAsia" w:ascii="仿宋" w:hAnsi="仿宋"/>
          <w:color w:val="auto"/>
          <w:sz w:val="24"/>
          <w:lang w:val="en-US" w:eastAsia="zh-CN"/>
        </w:rPr>
        <w:t>14</w:t>
      </w:r>
      <w:r>
        <w:rPr>
          <w:rFonts w:hint="eastAsia" w:ascii="仿宋" w:hAnsi="仿宋" w:eastAsia="仿宋"/>
          <w:color w:val="auto"/>
          <w:sz w:val="24"/>
        </w:rPr>
        <w:t>、供应商需提供个人旅游人身意外险（人身意外险包括意外伤害、突发性疾病、伤害医疗、突发性医疗等）保额达到100万及以上的承诺。</w:t>
      </w:r>
    </w:p>
    <w:p>
      <w:pPr>
        <w:snapToGrid w:val="0"/>
        <w:spacing w:line="360" w:lineRule="auto"/>
        <w:ind w:firstLine="480" w:firstLineChars="200"/>
        <w:jc w:val="left"/>
        <w:rPr>
          <w:rFonts w:ascii="仿宋" w:hAnsi="仿宋" w:eastAsia="仿宋"/>
          <w:color w:val="auto"/>
          <w:sz w:val="24"/>
        </w:rPr>
      </w:pPr>
      <w:r>
        <w:rPr>
          <w:rFonts w:hint="eastAsia" w:ascii="仿宋" w:hAnsi="仿宋"/>
          <w:color w:val="auto"/>
          <w:sz w:val="24"/>
          <w:lang w:val="en-US" w:eastAsia="zh-CN"/>
        </w:rPr>
        <w:t>15</w:t>
      </w:r>
      <w:r>
        <w:rPr>
          <w:rFonts w:hint="eastAsia" w:ascii="仿宋" w:hAnsi="仿宋" w:eastAsia="仿宋"/>
          <w:color w:val="auto"/>
          <w:sz w:val="24"/>
        </w:rPr>
        <w:t>、供应商需提供小额赔款（5000元及以下）先行赔付的承诺。</w:t>
      </w:r>
    </w:p>
    <w:p>
      <w:pPr>
        <w:snapToGrid w:val="0"/>
        <w:spacing w:line="360" w:lineRule="auto"/>
        <w:ind w:firstLine="480" w:firstLineChars="200"/>
        <w:jc w:val="left"/>
        <w:rPr>
          <w:rFonts w:ascii="仿宋" w:hAnsi="仿宋" w:eastAsia="仿宋"/>
          <w:color w:val="auto"/>
          <w:sz w:val="24"/>
        </w:rPr>
      </w:pPr>
      <w:r>
        <w:rPr>
          <w:rFonts w:hint="eastAsia" w:ascii="仿宋" w:hAnsi="仿宋"/>
          <w:color w:val="auto"/>
          <w:sz w:val="24"/>
          <w:lang w:val="en-US" w:eastAsia="zh-CN"/>
        </w:rPr>
        <w:t>16</w:t>
      </w:r>
      <w:r>
        <w:rPr>
          <w:rFonts w:hint="eastAsia" w:ascii="仿宋" w:hAnsi="仿宋" w:eastAsia="仿宋"/>
          <w:color w:val="auto"/>
          <w:sz w:val="24"/>
        </w:rPr>
        <w:t>、需具有回访服务及总结方案及严谨、详细、操作性强的服务质量标准。</w:t>
      </w:r>
    </w:p>
    <w:p>
      <w:pPr>
        <w:snapToGrid w:val="0"/>
        <w:spacing w:line="360" w:lineRule="auto"/>
        <w:ind w:firstLine="480" w:firstLineChars="200"/>
        <w:jc w:val="left"/>
      </w:pPr>
      <w:r>
        <w:rPr>
          <w:rFonts w:hint="eastAsia" w:ascii="仿宋" w:hAnsi="仿宋"/>
          <w:sz w:val="24"/>
          <w:lang w:val="en-US" w:eastAsia="zh-CN"/>
        </w:rPr>
        <w:t>17</w:t>
      </w:r>
      <w:r>
        <w:rPr>
          <w:rFonts w:hint="eastAsia" w:ascii="仿宋" w:hAnsi="仿宋" w:eastAsia="仿宋"/>
          <w:sz w:val="24"/>
        </w:rPr>
        <w:t>、需在符合招标文件规定的线路标准的基础上，根据招标人疗休养目的地及服务对象（民警或辅警）等方面，提出合理化建议，增加疗休养体验感提高满意度。</w:t>
      </w:r>
    </w:p>
    <w:p>
      <w:pPr>
        <w:snapToGrid w:val="0"/>
        <w:spacing w:line="360" w:lineRule="auto"/>
        <w:ind w:firstLine="480" w:firstLineChars="200"/>
        <w:jc w:val="left"/>
        <w:rPr>
          <w:rFonts w:ascii="仿宋" w:hAnsi="仿宋" w:eastAsia="仿宋"/>
          <w:sz w:val="24"/>
          <w:highlight w:val="none"/>
        </w:rPr>
      </w:pPr>
      <w:r>
        <w:rPr>
          <w:rFonts w:hint="eastAsia" w:ascii="仿宋" w:hAnsi="仿宋"/>
          <w:sz w:val="24"/>
          <w:highlight w:val="none"/>
          <w:lang w:val="en-US" w:eastAsia="zh-CN"/>
        </w:rPr>
        <w:t>18</w:t>
      </w:r>
      <w:r>
        <w:rPr>
          <w:rFonts w:hint="eastAsia" w:ascii="仿宋" w:hAnsi="仿宋" w:eastAsia="仿宋"/>
          <w:sz w:val="24"/>
          <w:highlight w:val="none"/>
        </w:rPr>
        <w:t>、具备近三年（20</w:t>
      </w:r>
      <w:r>
        <w:rPr>
          <w:rFonts w:hint="eastAsia" w:ascii="仿宋" w:hAnsi="仿宋"/>
          <w:sz w:val="24"/>
          <w:highlight w:val="none"/>
          <w:lang w:val="en-US" w:eastAsia="zh-CN"/>
        </w:rPr>
        <w:t>21</w:t>
      </w:r>
      <w:r>
        <w:rPr>
          <w:rFonts w:hint="eastAsia" w:ascii="仿宋" w:hAnsi="仿宋" w:eastAsia="仿宋"/>
          <w:sz w:val="24"/>
          <w:highlight w:val="none"/>
        </w:rPr>
        <w:t>年1月1日至今）以来承担疗休养项目服务经验。</w:t>
      </w:r>
    </w:p>
    <w:p>
      <w:pPr>
        <w:snapToGrid w:val="0"/>
        <w:spacing w:line="360" w:lineRule="auto"/>
        <w:ind w:firstLine="480" w:firstLineChars="200"/>
        <w:jc w:val="left"/>
        <w:rPr>
          <w:rFonts w:ascii="仿宋" w:hAnsi="仿宋" w:eastAsia="仿宋"/>
          <w:color w:val="auto"/>
          <w:sz w:val="24"/>
        </w:rPr>
      </w:pPr>
      <w:r>
        <w:rPr>
          <w:rFonts w:ascii="仿宋" w:hAnsi="仿宋" w:eastAsia="仿宋"/>
          <w:color w:val="auto"/>
          <w:sz w:val="24"/>
          <w:highlight w:val="none"/>
        </w:rPr>
        <w:t>1</w:t>
      </w:r>
      <w:r>
        <w:rPr>
          <w:rFonts w:hint="eastAsia" w:ascii="仿宋" w:hAnsi="仿宋"/>
          <w:color w:val="auto"/>
          <w:sz w:val="24"/>
          <w:highlight w:val="none"/>
          <w:lang w:val="en-US" w:eastAsia="zh-CN"/>
        </w:rPr>
        <w:t>9</w:t>
      </w:r>
      <w:r>
        <w:rPr>
          <w:rFonts w:hint="eastAsia" w:ascii="仿宋" w:hAnsi="仿宋" w:eastAsia="仿宋"/>
          <w:color w:val="auto"/>
          <w:sz w:val="24"/>
          <w:highlight w:val="none"/>
        </w:rPr>
        <w:t>、提供每人每天两瓶矿泉水</w:t>
      </w:r>
      <w:r>
        <w:rPr>
          <w:rFonts w:hint="eastAsia" w:ascii="仿宋" w:hAnsi="仿宋"/>
          <w:color w:val="auto"/>
          <w:sz w:val="24"/>
          <w:highlight w:val="none"/>
          <w:lang w:val="en-US" w:eastAsia="zh-CN"/>
        </w:rPr>
        <w:t>及一份疗休养必需品（帽子、背包、靠枕）</w:t>
      </w:r>
      <w:r>
        <w:rPr>
          <w:rFonts w:hint="eastAsia" w:ascii="仿宋" w:hAnsi="仿宋"/>
          <w:color w:val="auto"/>
          <w:sz w:val="24"/>
          <w:highlight w:val="none"/>
          <w:lang w:eastAsia="zh-CN"/>
        </w:rPr>
        <w:t>，</w:t>
      </w:r>
      <w:r>
        <w:rPr>
          <w:rFonts w:hint="eastAsia" w:ascii="仿宋" w:hAnsi="仿宋"/>
          <w:color w:val="auto"/>
          <w:sz w:val="24"/>
          <w:highlight w:val="none"/>
          <w:lang w:val="en-US" w:eastAsia="zh-CN"/>
        </w:rPr>
        <w:t>另每天</w:t>
      </w:r>
      <w:r>
        <w:rPr>
          <w:rFonts w:hint="eastAsia" w:ascii="仿宋" w:hAnsi="仿宋"/>
          <w:color w:val="auto"/>
          <w:sz w:val="24"/>
          <w:lang w:val="en-US" w:eastAsia="zh-CN"/>
        </w:rPr>
        <w:t>房间内提供一份水果</w:t>
      </w:r>
      <w:r>
        <w:rPr>
          <w:rFonts w:hint="eastAsia" w:ascii="仿宋" w:hAnsi="仿宋" w:eastAsia="仿宋"/>
          <w:color w:val="auto"/>
          <w:sz w:val="24"/>
        </w:rPr>
        <w:t>。</w:t>
      </w:r>
    </w:p>
    <w:p>
      <w:pPr>
        <w:snapToGrid w:val="0"/>
        <w:spacing w:line="360" w:lineRule="auto"/>
        <w:ind w:firstLine="480" w:firstLineChars="200"/>
        <w:jc w:val="left"/>
        <w:rPr>
          <w:rFonts w:ascii="仿宋" w:hAnsi="仿宋" w:eastAsia="仿宋"/>
          <w:sz w:val="24"/>
        </w:rPr>
      </w:pPr>
      <w:r>
        <w:rPr>
          <w:rFonts w:hint="eastAsia" w:ascii="仿宋" w:hAnsi="仿宋"/>
          <w:sz w:val="24"/>
          <w:lang w:val="en-US" w:eastAsia="zh-CN"/>
        </w:rPr>
        <w:t>20</w:t>
      </w:r>
      <w:r>
        <w:rPr>
          <w:rFonts w:hint="eastAsia" w:ascii="仿宋" w:hAnsi="仿宋" w:eastAsia="仿宋"/>
          <w:sz w:val="24"/>
        </w:rPr>
        <w:t>、休养价格：还必须包括游线景点门票、上下索道、交通费、人身意外保险费等费用，并明确标示每项的具体价格。</w:t>
      </w:r>
    </w:p>
    <w:p>
      <w:pPr>
        <w:snapToGrid w:val="0"/>
        <w:spacing w:line="360" w:lineRule="auto"/>
        <w:ind w:firstLine="480" w:firstLineChars="200"/>
        <w:jc w:val="left"/>
        <w:rPr>
          <w:rFonts w:ascii="仿宋" w:hAnsi="仿宋" w:eastAsia="仿宋"/>
          <w:sz w:val="24"/>
          <w:highlight w:val="none"/>
        </w:rPr>
      </w:pPr>
      <w:r>
        <w:rPr>
          <w:rFonts w:hint="eastAsia" w:ascii="仿宋" w:hAnsi="仿宋"/>
          <w:sz w:val="24"/>
          <w:highlight w:val="none"/>
          <w:lang w:val="en-US" w:eastAsia="zh-CN"/>
        </w:rPr>
        <w:t>21</w:t>
      </w:r>
      <w:r>
        <w:rPr>
          <w:rFonts w:hint="eastAsia" w:ascii="仿宋" w:hAnsi="仿宋" w:eastAsia="仿宋"/>
          <w:sz w:val="24"/>
          <w:highlight w:val="none"/>
        </w:rPr>
        <w:t>、不得强行推销自费项目、零购物。</w:t>
      </w:r>
    </w:p>
    <w:p>
      <w:pPr>
        <w:snapToGrid w:val="0"/>
        <w:spacing w:line="360" w:lineRule="auto"/>
        <w:ind w:firstLine="480" w:firstLineChars="200"/>
        <w:jc w:val="left"/>
        <w:rPr>
          <w:rFonts w:ascii="仿宋" w:hAnsi="仿宋" w:eastAsia="仿宋"/>
          <w:sz w:val="24"/>
          <w:highlight w:val="none"/>
        </w:rPr>
      </w:pPr>
      <w:r>
        <w:rPr>
          <w:rFonts w:hint="eastAsia" w:ascii="仿宋" w:hAnsi="仿宋"/>
          <w:sz w:val="24"/>
          <w:highlight w:val="none"/>
          <w:lang w:val="en-US" w:eastAsia="zh-CN"/>
        </w:rPr>
        <w:t>22</w:t>
      </w:r>
      <w:r>
        <w:rPr>
          <w:rFonts w:hint="eastAsia" w:ascii="仿宋" w:hAnsi="仿宋" w:eastAsia="仿宋"/>
          <w:sz w:val="24"/>
          <w:highlight w:val="none"/>
        </w:rPr>
        <w:t>、各成交供应商提供的休养发票须按照采购人的要求开具休养发票。</w:t>
      </w:r>
    </w:p>
    <w:p>
      <w:pPr>
        <w:snapToGrid w:val="0"/>
        <w:spacing w:line="360" w:lineRule="auto"/>
        <w:ind w:firstLine="480" w:firstLineChars="200"/>
        <w:jc w:val="left"/>
        <w:rPr>
          <w:rFonts w:ascii="仿宋" w:hAnsi="仿宋" w:eastAsia="仿宋"/>
          <w:bCs/>
          <w:sz w:val="24"/>
          <w:highlight w:val="none"/>
        </w:rPr>
      </w:pPr>
      <w:r>
        <w:rPr>
          <w:rFonts w:hint="eastAsia" w:ascii="仿宋" w:hAnsi="仿宋"/>
          <w:sz w:val="24"/>
          <w:highlight w:val="none"/>
          <w:lang w:val="en-US" w:eastAsia="zh-CN"/>
        </w:rPr>
        <w:t>23</w:t>
      </w:r>
      <w:r>
        <w:rPr>
          <w:rFonts w:hint="eastAsia" w:ascii="仿宋" w:hAnsi="仿宋" w:eastAsia="仿宋"/>
          <w:sz w:val="24"/>
          <w:highlight w:val="none"/>
        </w:rPr>
        <w:t>、</w:t>
      </w:r>
      <w:r>
        <w:rPr>
          <w:rFonts w:hint="eastAsia" w:ascii="仿宋" w:hAnsi="仿宋" w:eastAsia="仿宋"/>
          <w:bCs/>
          <w:sz w:val="24"/>
          <w:highlight w:val="none"/>
        </w:rPr>
        <w:t>因前往地出现台风、地震等不可抗拒的因素，经采购人、成交供应商协商，同意后选择相近路线，并不能超出中标价。</w:t>
      </w:r>
    </w:p>
    <w:p>
      <w:pPr>
        <w:snapToGrid w:val="0"/>
        <w:spacing w:line="360" w:lineRule="auto"/>
        <w:ind w:firstLine="240" w:firstLineChars="100"/>
        <w:jc w:val="left"/>
        <w:rPr>
          <w:rFonts w:hint="eastAsia" w:ascii="仿宋" w:hAnsi="仿宋" w:eastAsia="仿宋"/>
          <w:bCs/>
          <w:color w:val="auto"/>
          <w:sz w:val="24"/>
        </w:rPr>
      </w:pPr>
      <w:r>
        <w:rPr>
          <w:rFonts w:hint="eastAsia" w:ascii="仿宋" w:hAnsi="仿宋" w:eastAsia="仿宋"/>
          <w:bCs/>
          <w:sz w:val="24"/>
        </w:rPr>
        <w:t>▲</w:t>
      </w:r>
      <w:r>
        <w:rPr>
          <w:rFonts w:hint="eastAsia" w:ascii="仿宋" w:hAnsi="仿宋"/>
          <w:bCs/>
          <w:sz w:val="24"/>
          <w:lang w:val="en-US" w:eastAsia="zh-CN"/>
        </w:rPr>
        <w:t>24</w:t>
      </w:r>
      <w:r>
        <w:rPr>
          <w:rFonts w:hint="eastAsia" w:ascii="仿宋" w:hAnsi="仿宋" w:eastAsia="仿宋"/>
          <w:bCs/>
          <w:sz w:val="24"/>
        </w:rPr>
        <w:t>、具体出行时间</w:t>
      </w:r>
      <w:r>
        <w:rPr>
          <w:rFonts w:hint="eastAsia" w:ascii="仿宋" w:hAnsi="仿宋"/>
          <w:bCs/>
          <w:sz w:val="24"/>
          <w:lang w:val="en-US" w:eastAsia="zh-CN"/>
        </w:rPr>
        <w:t>因</w:t>
      </w:r>
      <w:r>
        <w:rPr>
          <w:rFonts w:hint="eastAsia" w:ascii="仿宋" w:hAnsi="仿宋" w:eastAsia="仿宋"/>
          <w:bCs/>
          <w:sz w:val="24"/>
        </w:rPr>
        <w:t>其他不可抗力因素对行程进行相应调整，供应商需无条件配合</w:t>
      </w:r>
      <w:r>
        <w:rPr>
          <w:rFonts w:hint="eastAsia" w:ascii="仿宋" w:hAnsi="仿宋" w:eastAsia="仿宋"/>
          <w:bCs/>
          <w:color w:val="auto"/>
          <w:sz w:val="24"/>
        </w:rPr>
        <w:t>采购人需求。</w:t>
      </w:r>
    </w:p>
    <w:p>
      <w:pPr>
        <w:pStyle w:val="23"/>
        <w:ind w:firstLine="480" w:firstLineChars="200"/>
        <w:rPr>
          <w:rFonts w:hint="default" w:eastAsia="仿宋"/>
          <w:color w:val="auto"/>
          <w:highlight w:val="none"/>
          <w:lang w:val="en-US" w:eastAsia="zh-CN"/>
        </w:rPr>
      </w:pPr>
      <w:r>
        <w:rPr>
          <w:rFonts w:hint="eastAsia" w:ascii="仿宋" w:hAnsi="仿宋"/>
          <w:bCs/>
          <w:color w:val="auto"/>
          <w:sz w:val="24"/>
          <w:lang w:val="en-US" w:eastAsia="zh-CN"/>
        </w:rPr>
        <w:t>25、投标人还需提供延伸服务，如党员活动、春游活动等，具体价格按相应政策规定。</w:t>
      </w:r>
    </w:p>
    <w:p>
      <w:pPr>
        <w:snapToGrid w:val="0"/>
        <w:spacing w:line="360" w:lineRule="auto"/>
        <w:ind w:firstLine="480" w:firstLineChars="200"/>
        <w:jc w:val="left"/>
        <w:rPr>
          <w:rFonts w:ascii="仿宋" w:hAnsi="仿宋" w:eastAsia="仿宋"/>
          <w:bCs/>
          <w:sz w:val="24"/>
          <w:highlight w:val="none"/>
        </w:rPr>
      </w:pPr>
      <w:r>
        <w:rPr>
          <w:rFonts w:hint="eastAsia" w:ascii="仿宋" w:hAnsi="仿宋"/>
          <w:bCs/>
          <w:sz w:val="24"/>
          <w:highlight w:val="none"/>
          <w:lang w:val="en-US" w:eastAsia="zh-CN"/>
        </w:rPr>
        <w:t>26</w:t>
      </w:r>
      <w:r>
        <w:rPr>
          <w:rFonts w:hint="eastAsia" w:ascii="仿宋" w:hAnsi="仿宋" w:eastAsia="仿宋"/>
          <w:bCs/>
          <w:sz w:val="24"/>
          <w:highlight w:val="none"/>
        </w:rPr>
        <w:t>、</w:t>
      </w:r>
      <w:r>
        <w:rPr>
          <w:rFonts w:hint="eastAsia" w:ascii="仿宋" w:hAnsi="仿宋" w:eastAsia="仿宋"/>
          <w:sz w:val="24"/>
          <w:highlight w:val="none"/>
        </w:rPr>
        <w:t>本项目预估总人数为</w:t>
      </w:r>
      <w:r>
        <w:rPr>
          <w:rFonts w:hint="eastAsia" w:ascii="仿宋" w:hAnsi="仿宋"/>
          <w:sz w:val="24"/>
          <w:highlight w:val="none"/>
          <w:lang w:val="en-US" w:eastAsia="zh-CN"/>
        </w:rPr>
        <w:t>810</w:t>
      </w:r>
      <w:r>
        <w:rPr>
          <w:rFonts w:hint="eastAsia" w:ascii="仿宋" w:hAnsi="仿宋" w:eastAsia="仿宋"/>
          <w:sz w:val="24"/>
          <w:highlight w:val="none"/>
        </w:rPr>
        <w:t>人，其中</w:t>
      </w:r>
      <w:r>
        <w:rPr>
          <w:rFonts w:hint="eastAsia" w:ascii="仿宋" w:hAnsi="仿宋"/>
          <w:sz w:val="24"/>
          <w:highlight w:val="none"/>
          <w:lang w:val="en-US" w:eastAsia="zh-CN"/>
        </w:rPr>
        <w:t>编外一</w:t>
      </w:r>
      <w:r>
        <w:rPr>
          <w:rFonts w:hint="eastAsia" w:ascii="仿宋" w:hAnsi="仿宋" w:eastAsia="仿宋"/>
          <w:sz w:val="24"/>
          <w:highlight w:val="none"/>
        </w:rPr>
        <w:t>约</w:t>
      </w:r>
      <w:r>
        <w:rPr>
          <w:rFonts w:ascii="仿宋" w:hAnsi="仿宋" w:eastAsia="仿宋"/>
          <w:sz w:val="24"/>
          <w:highlight w:val="none"/>
        </w:rPr>
        <w:t xml:space="preserve"> </w:t>
      </w:r>
      <w:r>
        <w:rPr>
          <w:rFonts w:hint="eastAsia" w:ascii="仿宋" w:hAnsi="仿宋"/>
          <w:sz w:val="24"/>
          <w:highlight w:val="none"/>
          <w:lang w:val="en-US" w:eastAsia="zh-CN"/>
        </w:rPr>
        <w:t>332</w:t>
      </w:r>
      <w:r>
        <w:rPr>
          <w:rFonts w:hint="eastAsia" w:ascii="仿宋" w:hAnsi="仿宋" w:eastAsia="仿宋"/>
          <w:sz w:val="24"/>
          <w:highlight w:val="none"/>
        </w:rPr>
        <w:t>人</w:t>
      </w:r>
      <w:r>
        <w:rPr>
          <w:rFonts w:hint="eastAsia" w:ascii="仿宋" w:hAnsi="仿宋"/>
          <w:sz w:val="24"/>
          <w:highlight w:val="none"/>
          <w:lang w:eastAsia="zh-CN"/>
        </w:rPr>
        <w:t>，</w:t>
      </w:r>
      <w:r>
        <w:rPr>
          <w:rFonts w:hint="eastAsia" w:ascii="仿宋" w:hAnsi="仿宋"/>
          <w:sz w:val="24"/>
          <w:highlight w:val="none"/>
          <w:lang w:val="en-US" w:eastAsia="zh-CN"/>
        </w:rPr>
        <w:t>编外二</w:t>
      </w:r>
      <w:r>
        <w:rPr>
          <w:rFonts w:hint="eastAsia" w:ascii="仿宋" w:hAnsi="仿宋" w:eastAsia="仿宋"/>
          <w:sz w:val="24"/>
          <w:highlight w:val="none"/>
        </w:rPr>
        <w:t>约</w:t>
      </w:r>
      <w:r>
        <w:rPr>
          <w:rFonts w:ascii="仿宋" w:hAnsi="仿宋" w:eastAsia="仿宋"/>
          <w:sz w:val="24"/>
          <w:highlight w:val="none"/>
        </w:rPr>
        <w:t xml:space="preserve"> </w:t>
      </w:r>
      <w:r>
        <w:rPr>
          <w:rFonts w:hint="eastAsia" w:ascii="仿宋" w:hAnsi="仿宋"/>
          <w:sz w:val="24"/>
          <w:highlight w:val="none"/>
          <w:lang w:val="en-US" w:eastAsia="zh-CN"/>
        </w:rPr>
        <w:t>330</w:t>
      </w:r>
      <w:r>
        <w:rPr>
          <w:rFonts w:hint="eastAsia" w:ascii="仿宋" w:hAnsi="仿宋" w:eastAsia="仿宋"/>
          <w:sz w:val="24"/>
          <w:highlight w:val="none"/>
        </w:rPr>
        <w:t>人，</w:t>
      </w:r>
      <w:r>
        <w:rPr>
          <w:rFonts w:hint="eastAsia" w:ascii="仿宋" w:hAnsi="仿宋"/>
          <w:sz w:val="24"/>
          <w:highlight w:val="none"/>
          <w:lang w:val="en-US" w:eastAsia="zh-CN"/>
        </w:rPr>
        <w:t>编内</w:t>
      </w:r>
      <w:r>
        <w:rPr>
          <w:rFonts w:hint="eastAsia" w:ascii="仿宋" w:hAnsi="仿宋" w:eastAsia="仿宋"/>
          <w:sz w:val="24"/>
          <w:highlight w:val="none"/>
        </w:rPr>
        <w:t>约</w:t>
      </w:r>
      <w:r>
        <w:rPr>
          <w:rFonts w:hint="eastAsia" w:ascii="仿宋" w:hAnsi="仿宋"/>
          <w:sz w:val="24"/>
          <w:highlight w:val="none"/>
          <w:lang w:val="en-US" w:eastAsia="zh-CN"/>
        </w:rPr>
        <w:t>148</w:t>
      </w:r>
      <w:r>
        <w:rPr>
          <w:rFonts w:hint="eastAsia" w:ascii="仿宋" w:hAnsi="仿宋" w:eastAsia="仿宋"/>
          <w:sz w:val="24"/>
          <w:highlight w:val="none"/>
        </w:rPr>
        <w:t>人</w:t>
      </w:r>
      <w:r>
        <w:rPr>
          <w:rFonts w:hint="eastAsia" w:ascii="仿宋" w:hAnsi="仿宋"/>
          <w:sz w:val="24"/>
          <w:highlight w:val="none"/>
          <w:lang w:eastAsia="zh-CN"/>
        </w:rPr>
        <w:t>，</w:t>
      </w:r>
      <w:r>
        <w:rPr>
          <w:rFonts w:hint="eastAsia" w:ascii="仿宋" w:hAnsi="仿宋" w:eastAsia="仿宋"/>
          <w:sz w:val="24"/>
          <w:highlight w:val="none"/>
        </w:rPr>
        <w:t>以上人数仅供参考，</w:t>
      </w:r>
      <w:r>
        <w:rPr>
          <w:rFonts w:hint="eastAsia" w:ascii="仿宋" w:hAnsi="仿宋" w:eastAsia="仿宋"/>
          <w:bCs/>
          <w:sz w:val="24"/>
          <w:highlight w:val="none"/>
        </w:rPr>
        <w:t>最终以实际出行线路、人数结算,采购人对各标项业务量不作保证。</w:t>
      </w:r>
    </w:p>
    <w:p>
      <w:pPr>
        <w:snapToGrid w:val="0"/>
        <w:spacing w:line="360" w:lineRule="auto"/>
        <w:ind w:firstLine="480" w:firstLineChars="200"/>
        <w:jc w:val="left"/>
        <w:rPr>
          <w:rFonts w:ascii="仿宋" w:hAnsi="仿宋" w:eastAsia="仿宋"/>
          <w:sz w:val="24"/>
        </w:rPr>
      </w:pPr>
      <w:r>
        <w:rPr>
          <w:rFonts w:hint="eastAsia" w:ascii="仿宋" w:hAnsi="仿宋"/>
          <w:sz w:val="24"/>
          <w:lang w:val="en-US" w:eastAsia="zh-CN"/>
        </w:rPr>
        <w:t>27</w:t>
      </w:r>
      <w:r>
        <w:rPr>
          <w:rFonts w:hint="eastAsia" w:ascii="仿宋" w:hAnsi="仿宋" w:eastAsia="仿宋"/>
          <w:sz w:val="24"/>
        </w:rPr>
        <w:t>、服务期为合同签订并生效之日起至</w:t>
      </w:r>
      <w:r>
        <w:rPr>
          <w:rFonts w:hint="eastAsia" w:ascii="仿宋" w:hAnsi="仿宋"/>
          <w:sz w:val="24"/>
          <w:lang w:eastAsia="zh-CN"/>
        </w:rPr>
        <w:t>2024</w:t>
      </w:r>
      <w:r>
        <w:rPr>
          <w:rFonts w:hint="eastAsia" w:ascii="仿宋" w:hAnsi="仿宋" w:eastAsia="仿宋"/>
          <w:sz w:val="24"/>
        </w:rPr>
        <w:t>年12月31日。</w:t>
      </w:r>
      <w:r>
        <w:rPr>
          <w:rFonts w:hint="eastAsia" w:ascii="仿宋" w:hAnsi="仿宋" w:eastAsia="仿宋" w:cs="仿宋"/>
          <w:sz w:val="24"/>
          <w:lang w:eastAsia="zh-Hans"/>
        </w:rPr>
        <w:t>如因</w:t>
      </w:r>
      <w:r>
        <w:rPr>
          <w:rFonts w:hint="eastAsia" w:ascii="仿宋" w:hAnsi="仿宋" w:cs="仿宋"/>
          <w:sz w:val="24"/>
          <w:lang w:val="en-US" w:eastAsia="zh-CN"/>
        </w:rPr>
        <w:t>特殊</w:t>
      </w:r>
      <w:r>
        <w:rPr>
          <w:rFonts w:hint="eastAsia" w:ascii="仿宋" w:hAnsi="仿宋" w:eastAsia="仿宋" w:cs="仿宋"/>
          <w:sz w:val="24"/>
          <w:lang w:eastAsia="zh-Hans"/>
        </w:rPr>
        <w:t>原因未能出行</w:t>
      </w:r>
      <w:r>
        <w:rPr>
          <w:rFonts w:ascii="仿宋" w:hAnsi="仿宋" w:eastAsia="仿宋" w:cs="仿宋"/>
          <w:sz w:val="24"/>
          <w:lang w:eastAsia="zh-Hans"/>
        </w:rPr>
        <w:t>，</w:t>
      </w:r>
      <w:r>
        <w:rPr>
          <w:rFonts w:hint="eastAsia" w:ascii="仿宋" w:hAnsi="仿宋" w:eastAsia="仿宋" w:cs="仿宋"/>
          <w:sz w:val="24"/>
          <w:lang w:eastAsia="zh-Hans"/>
        </w:rPr>
        <w:t>则合同履行期限相应调整</w:t>
      </w:r>
      <w:r>
        <w:rPr>
          <w:rFonts w:ascii="仿宋" w:hAnsi="仿宋" w:eastAsia="仿宋" w:cs="仿宋"/>
          <w:sz w:val="24"/>
          <w:lang w:eastAsia="zh-Hans"/>
        </w:rPr>
        <w:t>，</w:t>
      </w:r>
      <w:r>
        <w:rPr>
          <w:rFonts w:hint="eastAsia" w:ascii="仿宋" w:hAnsi="仿宋" w:eastAsia="仿宋" w:cs="仿宋"/>
          <w:sz w:val="24"/>
          <w:lang w:eastAsia="zh-Hans"/>
        </w:rPr>
        <w:t>具体以采购人通知为准。</w:t>
      </w:r>
      <w:r>
        <w:rPr>
          <w:rFonts w:hint="eastAsia" w:ascii="仿宋" w:hAnsi="仿宋" w:eastAsia="仿宋"/>
          <w:sz w:val="24"/>
        </w:rPr>
        <w:t>合同期内如遇政策调整等问题，采购人有权提前终止合同；（具体线路实施时间以实际为准，采购人有权调整，供应商应无条件服从）；服务期内采购人不定期组织对供应商服务情况进行综合考核，对综合满意度低于</w:t>
      </w:r>
      <w:r>
        <w:rPr>
          <w:rFonts w:ascii="仿宋" w:hAnsi="仿宋" w:eastAsia="仿宋"/>
          <w:sz w:val="24"/>
        </w:rPr>
        <w:t>9</w:t>
      </w:r>
      <w:r>
        <w:rPr>
          <w:rFonts w:hint="eastAsia" w:ascii="仿宋" w:hAnsi="仿宋" w:eastAsia="仿宋"/>
          <w:sz w:val="24"/>
        </w:rPr>
        <w:t>0%的供应商进行清退，招标人有权取消服务资格。</w:t>
      </w:r>
    </w:p>
    <w:p>
      <w:pPr>
        <w:snapToGrid w:val="0"/>
        <w:spacing w:line="360" w:lineRule="auto"/>
        <w:ind w:firstLine="482" w:firstLineChars="200"/>
        <w:jc w:val="left"/>
        <w:rPr>
          <w:rFonts w:ascii="仿宋" w:hAnsi="仿宋" w:eastAsia="仿宋"/>
          <w:b/>
          <w:bCs/>
          <w:sz w:val="24"/>
        </w:rPr>
      </w:pPr>
      <w:r>
        <w:rPr>
          <w:rFonts w:hint="eastAsia" w:ascii="仿宋" w:hAnsi="仿宋"/>
          <w:b/>
          <w:bCs/>
          <w:sz w:val="24"/>
          <w:lang w:val="en-US" w:eastAsia="zh-CN"/>
        </w:rPr>
        <w:t>28</w:t>
      </w:r>
      <w:r>
        <w:rPr>
          <w:rFonts w:hint="eastAsia" w:ascii="仿宋" w:hAnsi="仿宋" w:eastAsia="仿宋"/>
          <w:b/>
          <w:bCs/>
          <w:sz w:val="24"/>
        </w:rPr>
        <w:t>、中标供应商所提供的货物、服务（交通标准、住宿标准、用餐标准等）须与投标承诺一致，若实际菜单因季节供应或其他特殊原因有所调整，须提前与采购人沟通，并按同等金额菜肴进行调换，不得以次充好、偷工减料，供应商在履约过程中有政府采购法律法规规定的违法违规情形的，应当及时报告本级财政部门。</w:t>
      </w:r>
    </w:p>
    <w:p>
      <w:pPr>
        <w:spacing w:line="360" w:lineRule="auto"/>
        <w:ind w:firstLine="480" w:firstLineChars="200"/>
        <w:rPr>
          <w:rFonts w:hint="eastAsia" w:ascii="仿宋" w:hAnsi="仿宋" w:eastAsia="仿宋"/>
          <w:sz w:val="24"/>
          <w:highlight w:val="none"/>
        </w:rPr>
      </w:pPr>
      <w:r>
        <w:rPr>
          <w:rFonts w:hint="eastAsia" w:ascii="仿宋" w:hAnsi="仿宋"/>
          <w:sz w:val="24"/>
          <w:lang w:val="en-US" w:eastAsia="zh-CN"/>
        </w:rPr>
        <w:t>29</w:t>
      </w:r>
      <w:r>
        <w:rPr>
          <w:rFonts w:hint="eastAsia" w:ascii="仿宋" w:hAnsi="仿宋" w:eastAsia="仿宋"/>
          <w:sz w:val="24"/>
        </w:rPr>
        <w:t>、合同期内发生以下情况，采购人有权取消其服务资格并终止合同。①服务期间发生安全事故的；②信用记录不良，发生法律诉讼的；③发生消费投诉，受到旅游主管部</w:t>
      </w:r>
      <w:r>
        <w:rPr>
          <w:rFonts w:hint="eastAsia" w:ascii="仿宋" w:hAnsi="仿宋" w:eastAsia="仿宋"/>
          <w:sz w:val="24"/>
          <w:highlight w:val="none"/>
        </w:rPr>
        <w:t>门处罚的。</w:t>
      </w:r>
    </w:p>
    <w:p>
      <w:pPr>
        <w:pStyle w:val="23"/>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outlineLvl w:val="9"/>
        <w:rPr>
          <w:rFonts w:hint="eastAsia" w:ascii="仿宋" w:hAnsi="仿宋" w:eastAsia="仿宋" w:cs="仿宋"/>
          <w:b/>
          <w:bCs/>
          <w:color w:val="auto"/>
          <w:sz w:val="24"/>
          <w:highlight w:val="none"/>
          <w:lang w:val="en-US" w:eastAsia="zh-CN"/>
        </w:rPr>
      </w:pPr>
      <w:r>
        <w:rPr>
          <w:rFonts w:hint="eastAsia" w:ascii="仿宋" w:hAnsi="仿宋" w:cs="仿宋"/>
          <w:b/>
          <w:bCs/>
          <w:color w:val="auto"/>
          <w:sz w:val="24"/>
          <w:highlight w:val="none"/>
          <w:lang w:val="en-US" w:eastAsia="zh-CN"/>
        </w:rPr>
        <w:t>30.</w:t>
      </w:r>
      <w:r>
        <w:rPr>
          <w:rFonts w:hint="eastAsia" w:ascii="仿宋" w:hAnsi="仿宋" w:eastAsia="仿宋" w:cs="仿宋"/>
          <w:b/>
          <w:bCs/>
          <w:color w:val="auto"/>
          <w:sz w:val="24"/>
          <w:highlight w:val="none"/>
          <w:lang w:val="en-US" w:eastAsia="zh-CN"/>
        </w:rPr>
        <w:t>履约保证金</w:t>
      </w:r>
    </w:p>
    <w:p>
      <w:pPr>
        <w:pStyle w:val="23"/>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highlight w:val="none"/>
        </w:rPr>
      </w:pPr>
      <w:r>
        <w:rPr>
          <w:rFonts w:hint="eastAsia" w:ascii="仿宋" w:hAnsi="仿宋" w:eastAsia="仿宋" w:cs="仿宋"/>
          <w:sz w:val="24"/>
          <w:highlight w:val="none"/>
        </w:rPr>
        <w:t>合同生效后5个工作日内，中标单位支付合同总额的1%作为履约保证金</w:t>
      </w:r>
      <w:r>
        <w:rPr>
          <w:rFonts w:hint="eastAsia" w:ascii="仿宋" w:hAnsi="仿宋" w:cs="仿宋"/>
          <w:sz w:val="24"/>
          <w:highlight w:val="none"/>
          <w:lang w:eastAsia="zh-CN"/>
        </w:rPr>
        <w:t>（</w:t>
      </w:r>
      <w:r>
        <w:rPr>
          <w:rFonts w:hint="eastAsia" w:ascii="仿宋" w:hAnsi="仿宋" w:eastAsia="仿宋" w:cs="仿宋"/>
          <w:sz w:val="24"/>
          <w:highlight w:val="none"/>
        </w:rPr>
        <w:t>履约保证金形式应以银行、保险公司出具的保函形式提供）。</w:t>
      </w:r>
    </w:p>
    <w:p>
      <w:pPr>
        <w:snapToGrid w:val="0"/>
        <w:spacing w:line="360" w:lineRule="auto"/>
        <w:ind w:firstLine="482" w:firstLineChars="200"/>
        <w:jc w:val="left"/>
        <w:rPr>
          <w:rFonts w:hint="eastAsia" w:ascii="仿宋" w:hAnsi="仿宋" w:eastAsia="仿宋"/>
          <w:b/>
          <w:bCs/>
          <w:color w:val="auto"/>
          <w:sz w:val="24"/>
          <w:highlight w:val="none"/>
          <w:lang w:val="en-US" w:eastAsia="zh-CN"/>
        </w:rPr>
      </w:pPr>
      <w:r>
        <w:rPr>
          <w:rFonts w:hint="eastAsia" w:ascii="仿宋" w:hAnsi="仿宋"/>
          <w:b/>
          <w:bCs/>
          <w:color w:val="auto"/>
          <w:sz w:val="24"/>
          <w:highlight w:val="none"/>
          <w:lang w:val="en-US" w:eastAsia="zh-CN"/>
        </w:rPr>
        <w:t>31</w:t>
      </w:r>
      <w:r>
        <w:rPr>
          <w:rFonts w:hint="eastAsia" w:ascii="仿宋" w:hAnsi="仿宋" w:eastAsia="仿宋"/>
          <w:b/>
          <w:bCs/>
          <w:color w:val="auto"/>
          <w:sz w:val="24"/>
          <w:highlight w:val="none"/>
          <w:lang w:val="en-US" w:eastAsia="zh-CN"/>
        </w:rPr>
        <w:t>、付款方式：合同签订并缴纳履约保证金后</w:t>
      </w:r>
      <w:r>
        <w:rPr>
          <w:rFonts w:hint="eastAsia" w:ascii="仿宋" w:hAnsi="仿宋" w:eastAsia="仿宋" w:cs="仿宋"/>
          <w:sz w:val="24"/>
          <w:highlight w:val="none"/>
        </w:rPr>
        <w:t>，中标人先向采购人支付合同40%的预付款保函（应当以支票、汇票、本票或者金融机构、担保机构出具的保函等非现金形式提交。鼓励和支持供应商以银行、保险公司出具的保函形式提供），待采购人收到预付款保函后，采购人向中标人预付合同总价的40%。（签订合同时，乙方提出不要求预付款或降低预付款比例的，可不适用该条款）</w:t>
      </w:r>
      <w:r>
        <w:rPr>
          <w:rFonts w:hint="eastAsia" w:ascii="仿宋" w:hAnsi="仿宋" w:eastAsia="仿宋" w:cs="仿宋"/>
          <w:sz w:val="24"/>
          <w:highlight w:val="none"/>
          <w:lang w:eastAsia="zh-CN"/>
        </w:rPr>
        <w:t>，</w:t>
      </w:r>
      <w:r>
        <w:rPr>
          <w:rFonts w:hint="eastAsia" w:ascii="仿宋" w:hAnsi="仿宋" w:eastAsia="仿宋"/>
          <w:b/>
          <w:bCs/>
          <w:color w:val="auto"/>
          <w:sz w:val="24"/>
          <w:highlight w:val="none"/>
          <w:lang w:val="en-US" w:eastAsia="zh-CN"/>
        </w:rPr>
        <w:t>最终结算价按照各标项实际参加人数*投标单价，全部批次人员返程后</w:t>
      </w:r>
      <w:r>
        <w:rPr>
          <w:rFonts w:hint="eastAsia" w:ascii="仿宋" w:hAnsi="仿宋"/>
          <w:b/>
          <w:bCs/>
          <w:color w:val="auto"/>
          <w:sz w:val="24"/>
          <w:highlight w:val="none"/>
          <w:lang w:val="en-US" w:eastAsia="zh-CN"/>
        </w:rPr>
        <w:t>一</w:t>
      </w:r>
      <w:r>
        <w:rPr>
          <w:rFonts w:hint="eastAsia" w:ascii="仿宋" w:hAnsi="仿宋" w:eastAsia="仿宋"/>
          <w:b/>
          <w:bCs/>
          <w:color w:val="auto"/>
          <w:sz w:val="24"/>
          <w:highlight w:val="none"/>
          <w:lang w:val="en-US" w:eastAsia="zh-CN"/>
        </w:rPr>
        <w:t>个月内付清。</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b/>
          <w:bCs/>
          <w:color w:val="auto"/>
          <w:kern w:val="0"/>
          <w:sz w:val="24"/>
          <w:szCs w:val="24"/>
          <w:highlight w:val="none"/>
        </w:rPr>
        <w:t>1.招标文件中打▲内容为实质性要求，不允许有负偏离，否则将以涉及无效投标条款作无效投标。</w:t>
      </w:r>
    </w:p>
    <w:p>
      <w:pPr>
        <w:pStyle w:val="2"/>
        <w:rPr>
          <w:rFonts w:hint="eastAsia" w:ascii="仿宋" w:hAnsi="仿宋" w:eastAsia="仿宋" w:cs="仿宋"/>
          <w:b/>
          <w:bCs/>
          <w:color w:val="auto"/>
          <w:kern w:val="0"/>
          <w:sz w:val="24"/>
          <w:szCs w:val="24"/>
          <w:highlight w:val="none"/>
        </w:rPr>
      </w:pPr>
    </w:p>
    <w:p>
      <w:pPr>
        <w:rPr>
          <w:rFonts w:hint="eastAsia" w:ascii="仿宋" w:hAnsi="仿宋" w:eastAsia="仿宋" w:cs="仿宋"/>
          <w:b/>
          <w:bCs/>
          <w:color w:val="auto"/>
          <w:kern w:val="0"/>
          <w:sz w:val="24"/>
          <w:szCs w:val="24"/>
          <w:highlight w:val="none"/>
        </w:rPr>
      </w:pPr>
    </w:p>
    <w:p>
      <w:pPr>
        <w:pStyle w:val="2"/>
        <w:rPr>
          <w:rFonts w:hint="eastAsia" w:ascii="仿宋" w:hAnsi="仿宋" w:eastAsia="仿宋" w:cs="仿宋"/>
          <w:b/>
          <w:bCs/>
          <w:color w:val="auto"/>
          <w:kern w:val="0"/>
          <w:sz w:val="24"/>
          <w:szCs w:val="24"/>
          <w:highlight w:val="none"/>
        </w:rPr>
      </w:pPr>
    </w:p>
    <w:p>
      <w:pPr>
        <w:rPr>
          <w:rFonts w:hint="eastAsia" w:ascii="仿宋" w:hAnsi="仿宋" w:eastAsia="仿宋" w:cs="仿宋"/>
          <w:b/>
          <w:bCs/>
          <w:color w:val="auto"/>
          <w:kern w:val="0"/>
          <w:sz w:val="24"/>
          <w:szCs w:val="24"/>
          <w:highlight w:val="none"/>
        </w:rPr>
      </w:pPr>
    </w:p>
    <w:p>
      <w:pPr>
        <w:pStyle w:val="2"/>
        <w:rPr>
          <w:rFonts w:hint="eastAsia" w:ascii="仿宋" w:hAnsi="仿宋" w:eastAsia="仿宋" w:cs="仿宋"/>
          <w:b/>
          <w:bCs/>
          <w:color w:val="auto"/>
          <w:kern w:val="0"/>
          <w:sz w:val="24"/>
          <w:szCs w:val="24"/>
          <w:highlight w:val="none"/>
        </w:rPr>
      </w:pPr>
    </w:p>
    <w:p>
      <w:pPr>
        <w:rPr>
          <w:rFonts w:hint="eastAsia" w:ascii="仿宋" w:hAnsi="仿宋" w:eastAsia="仿宋" w:cs="仿宋"/>
          <w:b/>
          <w:bCs/>
          <w:color w:val="auto"/>
          <w:kern w:val="0"/>
          <w:sz w:val="24"/>
          <w:szCs w:val="24"/>
          <w:highlight w:val="none"/>
        </w:rPr>
      </w:pPr>
    </w:p>
    <w:p>
      <w:pPr>
        <w:pStyle w:val="2"/>
        <w:rPr>
          <w:rFonts w:hint="eastAsia" w:ascii="仿宋" w:hAnsi="仿宋" w:eastAsia="仿宋" w:cs="仿宋"/>
          <w:b/>
          <w:bCs/>
          <w:color w:val="auto"/>
          <w:kern w:val="0"/>
          <w:sz w:val="24"/>
          <w:szCs w:val="24"/>
          <w:highlight w:val="none"/>
        </w:rPr>
      </w:pPr>
    </w:p>
    <w:p>
      <w:pPr>
        <w:rPr>
          <w:rFonts w:hint="eastAsia" w:ascii="仿宋" w:hAnsi="仿宋" w:eastAsia="仿宋" w:cs="仿宋"/>
          <w:b/>
          <w:bCs/>
          <w:color w:val="auto"/>
          <w:kern w:val="0"/>
          <w:sz w:val="24"/>
          <w:szCs w:val="24"/>
          <w:highlight w:val="none"/>
        </w:rPr>
      </w:pPr>
    </w:p>
    <w:p>
      <w:pPr>
        <w:pStyle w:val="2"/>
        <w:rPr>
          <w:rFonts w:hint="eastAsia" w:ascii="仿宋" w:hAnsi="仿宋" w:eastAsia="仿宋" w:cs="仿宋"/>
          <w:b/>
          <w:bCs/>
          <w:color w:val="auto"/>
          <w:kern w:val="0"/>
          <w:sz w:val="24"/>
          <w:szCs w:val="24"/>
          <w:highlight w:val="none"/>
        </w:rPr>
      </w:pPr>
    </w:p>
    <w:p>
      <w:pPr>
        <w:pStyle w:val="2"/>
        <w:ind w:left="0" w:leftChars="0" w:firstLine="0" w:firstLineChars="0"/>
        <w:rPr>
          <w:rFonts w:hint="eastAsia" w:ascii="仿宋" w:hAnsi="仿宋" w:eastAsia="仿宋" w:cs="仿宋"/>
          <w:b/>
          <w:bCs/>
          <w:color w:val="auto"/>
          <w:kern w:val="0"/>
          <w:sz w:val="24"/>
          <w:szCs w:val="24"/>
          <w:highlight w:val="none"/>
        </w:rPr>
      </w:pPr>
    </w:p>
    <w:p>
      <w:pPr>
        <w:rPr>
          <w:rFonts w:hint="eastAsia" w:ascii="仿宋" w:hAnsi="仿宋" w:eastAsia="仿宋" w:cs="仿宋"/>
          <w:b/>
          <w:bCs/>
          <w:color w:val="auto"/>
          <w:kern w:val="0"/>
          <w:sz w:val="24"/>
          <w:szCs w:val="24"/>
          <w:highlight w:val="none"/>
        </w:rPr>
      </w:pPr>
    </w:p>
    <w:p>
      <w:pPr>
        <w:snapToGrid w:val="0"/>
        <w:spacing w:line="360" w:lineRule="auto"/>
        <w:jc w:val="both"/>
        <w:rPr>
          <w:rFonts w:hint="eastAsia" w:ascii="仿宋" w:hAnsi="仿宋" w:eastAsia="仿宋" w:cs="仿宋"/>
          <w:b/>
          <w:color w:val="auto"/>
          <w:sz w:val="36"/>
          <w:szCs w:val="36"/>
          <w:highlight w:val="none"/>
        </w:rPr>
      </w:pPr>
    </w:p>
    <w:p>
      <w:pPr>
        <w:snapToGrid w:val="0"/>
        <w:spacing w:line="360" w:lineRule="auto"/>
        <w:ind w:firstLine="2891" w:firstLineChars="800"/>
        <w:jc w:val="both"/>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9" w:name="_Toc184312130"/>
      <w:bookmarkEnd w:id="29"/>
      <w:bookmarkStart w:id="30" w:name="_Toc184312108"/>
      <w:bookmarkEnd w:id="30"/>
      <w:bookmarkStart w:id="31" w:name="_Toc184312088"/>
      <w:bookmarkEnd w:id="31"/>
      <w:bookmarkStart w:id="32" w:name="_Toc184314455"/>
      <w:bookmarkEnd w:id="32"/>
      <w:bookmarkStart w:id="33" w:name="_Toc184308054"/>
      <w:bookmarkEnd w:id="33"/>
      <w:bookmarkStart w:id="34" w:name="_Toc184310338"/>
      <w:bookmarkEnd w:id="34"/>
      <w:bookmarkStart w:id="35" w:name="_Toc184313290"/>
      <w:bookmarkEnd w:id="35"/>
      <w:bookmarkStart w:id="36" w:name="_Toc184314458"/>
      <w:bookmarkEnd w:id="36"/>
      <w:bookmarkStart w:id="37" w:name="_Toc184312112"/>
      <w:bookmarkEnd w:id="37"/>
      <w:bookmarkStart w:id="38" w:name="_Toc184308063"/>
      <w:bookmarkEnd w:id="38"/>
      <w:bookmarkStart w:id="39" w:name="_Toc184314468"/>
      <w:bookmarkEnd w:id="39"/>
      <w:bookmarkStart w:id="40" w:name="_Toc184310289"/>
      <w:bookmarkEnd w:id="40"/>
      <w:bookmarkStart w:id="41" w:name="_Toc184314456"/>
      <w:bookmarkEnd w:id="41"/>
      <w:bookmarkStart w:id="42" w:name="_Toc184310318"/>
      <w:bookmarkEnd w:id="42"/>
      <w:bookmarkStart w:id="43" w:name="_Toc184308058"/>
      <w:bookmarkEnd w:id="43"/>
      <w:bookmarkStart w:id="44" w:name="_Toc184310314"/>
      <w:bookmarkEnd w:id="44"/>
      <w:bookmarkStart w:id="45" w:name="_Toc184310287"/>
      <w:bookmarkEnd w:id="45"/>
      <w:bookmarkStart w:id="46" w:name="_Toc184312099"/>
      <w:bookmarkEnd w:id="46"/>
      <w:bookmarkStart w:id="47" w:name="_Toc184310305"/>
      <w:bookmarkEnd w:id="47"/>
      <w:bookmarkStart w:id="48" w:name="_Toc184314414"/>
      <w:bookmarkEnd w:id="48"/>
      <w:bookmarkStart w:id="49" w:name="_Toc184314453"/>
      <w:bookmarkEnd w:id="49"/>
      <w:bookmarkStart w:id="50" w:name="_Toc184310306"/>
      <w:bookmarkEnd w:id="50"/>
      <w:bookmarkStart w:id="51" w:name="_Toc184310316"/>
      <w:bookmarkEnd w:id="51"/>
      <w:bookmarkStart w:id="52" w:name="_Toc184314480"/>
      <w:bookmarkEnd w:id="52"/>
      <w:bookmarkStart w:id="53" w:name="_Toc184313307"/>
      <w:bookmarkEnd w:id="53"/>
      <w:bookmarkStart w:id="54" w:name="_Toc184308072"/>
      <w:bookmarkEnd w:id="54"/>
      <w:bookmarkStart w:id="55" w:name="_Toc184312126"/>
      <w:bookmarkEnd w:id="55"/>
      <w:bookmarkStart w:id="56" w:name="_Toc184310328"/>
      <w:bookmarkEnd w:id="56"/>
      <w:bookmarkStart w:id="57" w:name="_Toc184313249"/>
      <w:bookmarkEnd w:id="57"/>
      <w:bookmarkStart w:id="58" w:name="_Toc184313248"/>
      <w:bookmarkEnd w:id="58"/>
      <w:bookmarkStart w:id="59" w:name="_Toc184308036"/>
      <w:bookmarkEnd w:id="59"/>
      <w:bookmarkStart w:id="60" w:name="_Toc184312068"/>
      <w:bookmarkEnd w:id="60"/>
      <w:bookmarkStart w:id="61" w:name="_Toc184314423"/>
      <w:bookmarkEnd w:id="61"/>
      <w:bookmarkStart w:id="62" w:name="_Toc184313283"/>
      <w:bookmarkEnd w:id="62"/>
      <w:bookmarkStart w:id="63" w:name="_Toc184314472"/>
      <w:bookmarkEnd w:id="63"/>
      <w:bookmarkStart w:id="64" w:name="_Toc184313263"/>
      <w:bookmarkEnd w:id="64"/>
      <w:bookmarkStart w:id="65" w:name="_Toc184308083"/>
      <w:bookmarkEnd w:id="65"/>
      <w:bookmarkStart w:id="66" w:name="_Toc184308048"/>
      <w:bookmarkEnd w:id="66"/>
      <w:bookmarkStart w:id="67" w:name="_Toc184312100"/>
      <w:bookmarkEnd w:id="67"/>
      <w:bookmarkStart w:id="68" w:name="_Toc184313268"/>
      <w:bookmarkEnd w:id="68"/>
      <w:bookmarkStart w:id="69" w:name="_Toc184313242"/>
      <w:bookmarkEnd w:id="69"/>
      <w:bookmarkStart w:id="70" w:name="_Toc184314440"/>
      <w:bookmarkEnd w:id="70"/>
      <w:bookmarkStart w:id="71" w:name="_Toc184308038"/>
      <w:bookmarkEnd w:id="71"/>
      <w:bookmarkStart w:id="72" w:name="_Toc184312094"/>
      <w:bookmarkEnd w:id="72"/>
      <w:bookmarkStart w:id="73" w:name="_Toc184314482"/>
      <w:bookmarkEnd w:id="73"/>
      <w:bookmarkStart w:id="74" w:name="_Toc184312096"/>
      <w:bookmarkEnd w:id="74"/>
      <w:bookmarkStart w:id="75" w:name="_Toc184312119"/>
      <w:bookmarkEnd w:id="75"/>
      <w:bookmarkStart w:id="76" w:name="_Toc184310315"/>
      <w:bookmarkEnd w:id="76"/>
      <w:bookmarkStart w:id="77" w:name="_Toc184313289"/>
      <w:bookmarkEnd w:id="77"/>
      <w:bookmarkStart w:id="78" w:name="_Toc184310320"/>
      <w:bookmarkEnd w:id="78"/>
      <w:bookmarkStart w:id="79" w:name="_Toc184313267"/>
      <w:bookmarkEnd w:id="79"/>
      <w:bookmarkStart w:id="80" w:name="_Toc184310296"/>
      <w:bookmarkEnd w:id="80"/>
      <w:bookmarkStart w:id="81" w:name="_Toc184310285"/>
      <w:bookmarkEnd w:id="81"/>
      <w:bookmarkStart w:id="82" w:name="_Toc184313295"/>
      <w:bookmarkEnd w:id="82"/>
      <w:bookmarkStart w:id="83" w:name="_Toc184310329"/>
      <w:bookmarkEnd w:id="83"/>
      <w:bookmarkStart w:id="84" w:name="_Toc184308069"/>
      <w:bookmarkEnd w:id="84"/>
      <w:bookmarkStart w:id="85" w:name="_Toc184310295"/>
      <w:bookmarkEnd w:id="85"/>
      <w:bookmarkStart w:id="86" w:name="_Toc184313279"/>
      <w:bookmarkEnd w:id="86"/>
      <w:bookmarkStart w:id="87" w:name="_Toc184312118"/>
      <w:bookmarkEnd w:id="87"/>
      <w:bookmarkStart w:id="88" w:name="_Toc184308101"/>
      <w:bookmarkEnd w:id="88"/>
      <w:bookmarkStart w:id="89" w:name="_Toc184308107"/>
      <w:bookmarkEnd w:id="89"/>
      <w:bookmarkStart w:id="90" w:name="_Toc184313260"/>
      <w:bookmarkEnd w:id="90"/>
      <w:bookmarkStart w:id="91" w:name="_Toc184313239"/>
      <w:bookmarkEnd w:id="91"/>
      <w:bookmarkStart w:id="92" w:name="_Toc184314424"/>
      <w:bookmarkEnd w:id="92"/>
      <w:bookmarkStart w:id="93" w:name="_Toc184310280"/>
      <w:bookmarkEnd w:id="93"/>
      <w:bookmarkStart w:id="94" w:name="_Toc184313276"/>
      <w:bookmarkEnd w:id="94"/>
      <w:bookmarkStart w:id="95" w:name="_Toc184313308"/>
      <w:bookmarkEnd w:id="95"/>
      <w:bookmarkStart w:id="96" w:name="_Toc184313269"/>
      <w:bookmarkEnd w:id="96"/>
      <w:bookmarkStart w:id="97" w:name="_Toc184310307"/>
      <w:bookmarkEnd w:id="97"/>
      <w:bookmarkStart w:id="98" w:name="_Toc184308102"/>
      <w:bookmarkEnd w:id="98"/>
      <w:bookmarkStart w:id="99" w:name="_Toc184308078"/>
      <w:bookmarkEnd w:id="99"/>
      <w:bookmarkStart w:id="100" w:name="_Toc184308052"/>
      <w:bookmarkEnd w:id="100"/>
      <w:bookmarkStart w:id="101" w:name="_Toc184314416"/>
      <w:bookmarkEnd w:id="101"/>
      <w:bookmarkStart w:id="102" w:name="_Toc184312113"/>
      <w:bookmarkEnd w:id="102"/>
      <w:bookmarkStart w:id="103" w:name="_Toc184310310"/>
      <w:bookmarkEnd w:id="103"/>
      <w:bookmarkStart w:id="104" w:name="_Toc184310298"/>
      <w:bookmarkEnd w:id="104"/>
      <w:bookmarkStart w:id="105" w:name="_Toc184308099"/>
      <w:bookmarkEnd w:id="105"/>
      <w:bookmarkStart w:id="106" w:name="_Toc184313251"/>
      <w:bookmarkEnd w:id="106"/>
      <w:bookmarkStart w:id="107" w:name="_Toc184312097"/>
      <w:bookmarkEnd w:id="107"/>
      <w:bookmarkStart w:id="108" w:name="_Toc184310290"/>
      <w:bookmarkEnd w:id="108"/>
      <w:bookmarkStart w:id="109" w:name="_Toc184312077"/>
      <w:bookmarkEnd w:id="109"/>
      <w:bookmarkStart w:id="110" w:name="_Toc184312081"/>
      <w:bookmarkEnd w:id="110"/>
      <w:bookmarkStart w:id="111" w:name="_Toc184308047"/>
      <w:bookmarkEnd w:id="111"/>
      <w:bookmarkStart w:id="112" w:name="_Toc184310332"/>
      <w:bookmarkEnd w:id="112"/>
      <w:bookmarkStart w:id="113" w:name="_Toc184310342"/>
      <w:bookmarkEnd w:id="113"/>
      <w:bookmarkStart w:id="114" w:name="_Toc184312116"/>
      <w:bookmarkEnd w:id="114"/>
      <w:bookmarkStart w:id="115" w:name="_Toc184312132"/>
      <w:bookmarkEnd w:id="115"/>
      <w:bookmarkStart w:id="116" w:name="_Toc184314447"/>
      <w:bookmarkEnd w:id="116"/>
      <w:bookmarkStart w:id="117" w:name="_Toc184313302"/>
      <w:bookmarkEnd w:id="117"/>
      <w:bookmarkStart w:id="118" w:name="_Toc184314443"/>
      <w:bookmarkEnd w:id="118"/>
      <w:bookmarkStart w:id="119" w:name="_Toc184310273"/>
      <w:bookmarkEnd w:id="119"/>
      <w:bookmarkStart w:id="120" w:name="_Toc184313273"/>
      <w:bookmarkEnd w:id="120"/>
      <w:bookmarkStart w:id="121" w:name="_Toc184308080"/>
      <w:bookmarkEnd w:id="121"/>
      <w:bookmarkStart w:id="122" w:name="_Toc184310311"/>
      <w:bookmarkEnd w:id="122"/>
      <w:bookmarkStart w:id="123" w:name="_Toc184308075"/>
      <w:bookmarkEnd w:id="123"/>
      <w:bookmarkStart w:id="124" w:name="_Toc184314444"/>
      <w:bookmarkEnd w:id="124"/>
      <w:bookmarkStart w:id="125" w:name="_Toc184312131"/>
      <w:bookmarkEnd w:id="125"/>
      <w:bookmarkStart w:id="126" w:name="_Toc184314478"/>
      <w:bookmarkEnd w:id="126"/>
      <w:bookmarkStart w:id="127" w:name="_Toc184312079"/>
      <w:bookmarkEnd w:id="127"/>
      <w:bookmarkStart w:id="128" w:name="_Toc184310309"/>
      <w:bookmarkEnd w:id="128"/>
      <w:bookmarkStart w:id="129" w:name="_Toc184312072"/>
      <w:bookmarkEnd w:id="129"/>
      <w:bookmarkStart w:id="130" w:name="_Toc184313284"/>
      <w:bookmarkEnd w:id="130"/>
      <w:bookmarkStart w:id="131" w:name="_Toc184314460"/>
      <w:bookmarkEnd w:id="131"/>
      <w:bookmarkStart w:id="132" w:name="_Toc184314422"/>
      <w:bookmarkEnd w:id="132"/>
      <w:bookmarkStart w:id="133" w:name="_Toc184308051"/>
      <w:bookmarkEnd w:id="133"/>
      <w:bookmarkStart w:id="134" w:name="_Toc184308040"/>
      <w:bookmarkEnd w:id="134"/>
      <w:bookmarkStart w:id="135" w:name="_Toc184308100"/>
      <w:bookmarkEnd w:id="135"/>
      <w:bookmarkStart w:id="136" w:name="_Toc184312089"/>
      <w:bookmarkEnd w:id="136"/>
      <w:bookmarkStart w:id="137" w:name="_Toc184313278"/>
      <w:bookmarkEnd w:id="137"/>
      <w:bookmarkStart w:id="138" w:name="_Toc184314428"/>
      <w:bookmarkEnd w:id="138"/>
      <w:bookmarkStart w:id="139" w:name="_Toc184312123"/>
      <w:bookmarkEnd w:id="139"/>
      <w:bookmarkStart w:id="140" w:name="_Toc184312137"/>
      <w:bookmarkEnd w:id="140"/>
      <w:bookmarkStart w:id="141" w:name="_Toc184314457"/>
      <w:bookmarkEnd w:id="141"/>
      <w:bookmarkStart w:id="142" w:name="_Toc184314475"/>
      <w:bookmarkEnd w:id="142"/>
      <w:bookmarkStart w:id="143" w:name="_Toc184308055"/>
      <w:bookmarkEnd w:id="143"/>
      <w:bookmarkStart w:id="144" w:name="_Toc184308074"/>
      <w:bookmarkEnd w:id="144"/>
      <w:bookmarkStart w:id="145" w:name="_Toc184308037"/>
      <w:bookmarkEnd w:id="145"/>
      <w:bookmarkStart w:id="146" w:name="_Toc184314479"/>
      <w:bookmarkEnd w:id="146"/>
      <w:bookmarkStart w:id="147" w:name="_Toc184312069"/>
      <w:bookmarkEnd w:id="147"/>
      <w:bookmarkStart w:id="148" w:name="_Toc184308068"/>
      <w:bookmarkEnd w:id="148"/>
      <w:bookmarkStart w:id="149" w:name="_Toc184312115"/>
      <w:bookmarkEnd w:id="149"/>
      <w:bookmarkStart w:id="150" w:name="_Toc184313264"/>
      <w:bookmarkEnd w:id="150"/>
      <w:bookmarkStart w:id="151" w:name="_Toc184312138"/>
      <w:bookmarkEnd w:id="151"/>
      <w:bookmarkStart w:id="152" w:name="_Toc184310337"/>
      <w:bookmarkEnd w:id="152"/>
      <w:bookmarkStart w:id="153" w:name="_Toc184312098"/>
      <w:bookmarkEnd w:id="153"/>
      <w:bookmarkStart w:id="154" w:name="_Toc184310334"/>
      <w:bookmarkEnd w:id="154"/>
      <w:bookmarkStart w:id="155" w:name="_Toc184313280"/>
      <w:bookmarkEnd w:id="155"/>
      <w:bookmarkStart w:id="156" w:name="_Toc184310276"/>
      <w:bookmarkEnd w:id="156"/>
      <w:bookmarkStart w:id="157" w:name="_Toc184314410"/>
      <w:bookmarkEnd w:id="157"/>
      <w:bookmarkStart w:id="158" w:name="_Toc184312136"/>
      <w:bookmarkEnd w:id="158"/>
      <w:bookmarkStart w:id="159" w:name="_Toc184312103"/>
      <w:bookmarkEnd w:id="159"/>
      <w:bookmarkStart w:id="160" w:name="_Toc184312110"/>
      <w:bookmarkEnd w:id="160"/>
      <w:bookmarkStart w:id="161" w:name="_Toc184310322"/>
      <w:bookmarkEnd w:id="161"/>
      <w:bookmarkStart w:id="162" w:name="_Toc184313270"/>
      <w:bookmarkEnd w:id="162"/>
      <w:bookmarkStart w:id="163" w:name="_Toc184310300"/>
      <w:bookmarkEnd w:id="163"/>
      <w:bookmarkStart w:id="164" w:name="_Toc184312087"/>
      <w:bookmarkEnd w:id="164"/>
      <w:bookmarkStart w:id="165" w:name="_Toc184308041"/>
      <w:bookmarkEnd w:id="165"/>
      <w:bookmarkStart w:id="166" w:name="_Toc184314441"/>
      <w:bookmarkEnd w:id="166"/>
      <w:bookmarkStart w:id="167" w:name="_Toc184308093"/>
      <w:bookmarkEnd w:id="167"/>
      <w:bookmarkStart w:id="168" w:name="_Toc184314430"/>
      <w:bookmarkEnd w:id="168"/>
      <w:bookmarkStart w:id="169" w:name="_Toc184308056"/>
      <w:bookmarkEnd w:id="169"/>
      <w:bookmarkStart w:id="170" w:name="_Toc184314452"/>
      <w:bookmarkEnd w:id="170"/>
      <w:bookmarkStart w:id="171" w:name="_Toc184313301"/>
      <w:bookmarkEnd w:id="171"/>
      <w:bookmarkStart w:id="172" w:name="_Toc184310292"/>
      <w:bookmarkEnd w:id="172"/>
      <w:bookmarkStart w:id="173" w:name="_Toc184314411"/>
      <w:bookmarkEnd w:id="173"/>
      <w:bookmarkStart w:id="174" w:name="_Toc184308084"/>
      <w:bookmarkEnd w:id="174"/>
      <w:bookmarkStart w:id="175" w:name="_Toc184312122"/>
      <w:bookmarkEnd w:id="175"/>
      <w:bookmarkStart w:id="176" w:name="_Toc184314446"/>
      <w:bookmarkEnd w:id="176"/>
      <w:bookmarkStart w:id="177" w:name="_Toc184312105"/>
      <w:bookmarkEnd w:id="177"/>
      <w:bookmarkStart w:id="178" w:name="_Toc184308065"/>
      <w:bookmarkEnd w:id="178"/>
      <w:bookmarkStart w:id="179" w:name="_Toc184312106"/>
      <w:bookmarkEnd w:id="179"/>
      <w:bookmarkStart w:id="180" w:name="_Toc184314439"/>
      <w:bookmarkEnd w:id="180"/>
      <w:bookmarkStart w:id="181" w:name="_Toc184312117"/>
      <w:bookmarkEnd w:id="181"/>
      <w:bookmarkStart w:id="182" w:name="_Toc184313240"/>
      <w:bookmarkEnd w:id="182"/>
      <w:bookmarkStart w:id="183" w:name="_Toc184313254"/>
      <w:bookmarkEnd w:id="183"/>
      <w:bookmarkStart w:id="184" w:name="_Toc184308061"/>
      <w:bookmarkEnd w:id="184"/>
      <w:bookmarkStart w:id="185" w:name="_Toc184314459"/>
      <w:bookmarkEnd w:id="185"/>
      <w:bookmarkStart w:id="186" w:name="_Toc184310291"/>
      <w:bookmarkEnd w:id="186"/>
      <w:bookmarkStart w:id="187" w:name="_Toc184312093"/>
      <w:bookmarkEnd w:id="187"/>
      <w:bookmarkStart w:id="188" w:name="_Toc184312074"/>
      <w:bookmarkEnd w:id="188"/>
      <w:bookmarkStart w:id="189" w:name="_Toc184310341"/>
      <w:bookmarkEnd w:id="189"/>
      <w:bookmarkStart w:id="190" w:name="_Toc184310331"/>
      <w:bookmarkEnd w:id="190"/>
      <w:bookmarkStart w:id="191" w:name="_Toc184310282"/>
      <w:bookmarkEnd w:id="191"/>
      <w:bookmarkStart w:id="192" w:name="_Toc184314467"/>
      <w:bookmarkEnd w:id="192"/>
      <w:bookmarkStart w:id="193" w:name="_Toc184310272"/>
      <w:bookmarkEnd w:id="193"/>
      <w:bookmarkStart w:id="194" w:name="_Toc184312107"/>
      <w:bookmarkEnd w:id="194"/>
      <w:bookmarkStart w:id="195" w:name="_Toc184312084"/>
      <w:bookmarkEnd w:id="195"/>
      <w:bookmarkStart w:id="196" w:name="_Toc184313287"/>
      <w:bookmarkEnd w:id="196"/>
      <w:bookmarkStart w:id="197" w:name="_Toc184312071"/>
      <w:bookmarkEnd w:id="197"/>
      <w:bookmarkStart w:id="198" w:name="_Toc184312082"/>
      <w:bookmarkEnd w:id="198"/>
      <w:bookmarkStart w:id="199" w:name="_Toc184308103"/>
      <w:bookmarkEnd w:id="199"/>
      <w:bookmarkStart w:id="200" w:name="_Toc184308079"/>
      <w:bookmarkEnd w:id="200"/>
      <w:bookmarkStart w:id="201" w:name="_Toc184313258"/>
      <w:bookmarkEnd w:id="201"/>
      <w:bookmarkStart w:id="202" w:name="_Toc184308094"/>
      <w:bookmarkEnd w:id="202"/>
      <w:bookmarkStart w:id="203" w:name="_Toc184313275"/>
      <w:bookmarkEnd w:id="203"/>
      <w:bookmarkStart w:id="204" w:name="_Toc184308039"/>
      <w:bookmarkEnd w:id="204"/>
      <w:bookmarkStart w:id="205" w:name="_Toc184313259"/>
      <w:bookmarkEnd w:id="205"/>
      <w:bookmarkStart w:id="206" w:name="_Toc184314476"/>
      <w:bookmarkEnd w:id="206"/>
      <w:bookmarkStart w:id="207" w:name="_Toc184310336"/>
      <w:bookmarkEnd w:id="207"/>
      <w:bookmarkStart w:id="208" w:name="_Toc184308076"/>
      <w:bookmarkEnd w:id="208"/>
      <w:bookmarkStart w:id="209" w:name="_Toc184314426"/>
      <w:bookmarkEnd w:id="209"/>
      <w:bookmarkStart w:id="210" w:name="_Toc184310293"/>
      <w:bookmarkEnd w:id="210"/>
      <w:bookmarkStart w:id="211" w:name="_Toc184312101"/>
      <w:bookmarkEnd w:id="211"/>
      <w:bookmarkStart w:id="212" w:name="_Toc184313241"/>
      <w:bookmarkEnd w:id="212"/>
      <w:bookmarkStart w:id="213" w:name="_Toc184308108"/>
      <w:bookmarkEnd w:id="213"/>
      <w:bookmarkStart w:id="214" w:name="_Toc184312139"/>
      <w:bookmarkEnd w:id="214"/>
      <w:bookmarkStart w:id="215" w:name="_Toc184314451"/>
      <w:bookmarkEnd w:id="215"/>
      <w:bookmarkStart w:id="216" w:name="_Toc184314448"/>
      <w:bookmarkEnd w:id="216"/>
      <w:bookmarkStart w:id="217" w:name="_Toc184313255"/>
      <w:bookmarkEnd w:id="217"/>
      <w:bookmarkStart w:id="218" w:name="_Toc184314461"/>
      <w:bookmarkEnd w:id="218"/>
      <w:bookmarkStart w:id="219" w:name="_Toc184312092"/>
      <w:bookmarkEnd w:id="219"/>
      <w:bookmarkStart w:id="220" w:name="_Toc184313257"/>
      <w:bookmarkEnd w:id="220"/>
      <w:bookmarkStart w:id="221" w:name="_Toc184308106"/>
      <w:bookmarkEnd w:id="221"/>
      <w:bookmarkStart w:id="222" w:name="_Toc184314417"/>
      <w:bookmarkEnd w:id="222"/>
      <w:bookmarkStart w:id="223" w:name="_Toc184308098"/>
      <w:bookmarkEnd w:id="223"/>
      <w:bookmarkStart w:id="224" w:name="_Toc184314471"/>
      <w:bookmarkEnd w:id="224"/>
      <w:bookmarkStart w:id="225" w:name="_Toc184314466"/>
      <w:bookmarkEnd w:id="225"/>
      <w:bookmarkStart w:id="226" w:name="_Toc184310277"/>
      <w:bookmarkEnd w:id="226"/>
      <w:bookmarkStart w:id="227" w:name="_Toc184314413"/>
      <w:bookmarkEnd w:id="227"/>
      <w:bookmarkStart w:id="228" w:name="_Toc184312073"/>
      <w:bookmarkEnd w:id="228"/>
      <w:bookmarkStart w:id="229" w:name="_Toc184310319"/>
      <w:bookmarkEnd w:id="229"/>
      <w:bookmarkStart w:id="230" w:name="_Toc184314438"/>
      <w:bookmarkEnd w:id="230"/>
      <w:bookmarkStart w:id="231" w:name="_Toc184314433"/>
      <w:bookmarkEnd w:id="231"/>
      <w:bookmarkStart w:id="232" w:name="_Toc184308066"/>
      <w:bookmarkEnd w:id="232"/>
      <w:bookmarkStart w:id="233" w:name="_Toc184308049"/>
      <w:bookmarkEnd w:id="233"/>
      <w:bookmarkStart w:id="234" w:name="_Toc184310323"/>
      <w:bookmarkEnd w:id="234"/>
      <w:bookmarkStart w:id="235" w:name="_Toc184312128"/>
      <w:bookmarkEnd w:id="235"/>
      <w:bookmarkStart w:id="236" w:name="_Toc184310330"/>
      <w:bookmarkEnd w:id="236"/>
      <w:bookmarkStart w:id="237" w:name="_Toc184313296"/>
      <w:bookmarkEnd w:id="237"/>
      <w:bookmarkStart w:id="238" w:name="_Toc184313285"/>
      <w:bookmarkEnd w:id="238"/>
      <w:bookmarkStart w:id="239" w:name="_Toc184308091"/>
      <w:bookmarkEnd w:id="239"/>
      <w:bookmarkStart w:id="240" w:name="_Toc184308060"/>
      <w:bookmarkEnd w:id="240"/>
      <w:bookmarkStart w:id="241" w:name="_Toc184308070"/>
      <w:bookmarkEnd w:id="241"/>
      <w:bookmarkStart w:id="242" w:name="_Toc184308077"/>
      <w:bookmarkEnd w:id="242"/>
      <w:bookmarkStart w:id="243" w:name="_Toc184310327"/>
      <w:bookmarkEnd w:id="243"/>
      <w:bookmarkStart w:id="244" w:name="_Toc184308088"/>
      <w:bookmarkEnd w:id="244"/>
      <w:bookmarkStart w:id="245" w:name="_Toc184312125"/>
      <w:bookmarkEnd w:id="245"/>
      <w:bookmarkStart w:id="246" w:name="_Toc184308073"/>
      <w:bookmarkEnd w:id="246"/>
      <w:bookmarkStart w:id="247" w:name="_Toc184312085"/>
      <w:bookmarkEnd w:id="247"/>
      <w:bookmarkStart w:id="248" w:name="_Toc184314436"/>
      <w:bookmarkEnd w:id="248"/>
      <w:bookmarkStart w:id="249" w:name="_Toc184314412"/>
      <w:bookmarkEnd w:id="249"/>
      <w:bookmarkStart w:id="250" w:name="_Toc184313262"/>
      <w:bookmarkEnd w:id="250"/>
      <w:bookmarkStart w:id="251" w:name="_Toc184314454"/>
      <w:bookmarkEnd w:id="251"/>
      <w:bookmarkStart w:id="252" w:name="_Toc184314474"/>
      <w:bookmarkEnd w:id="252"/>
      <w:bookmarkStart w:id="253" w:name="_Toc184308053"/>
      <w:bookmarkEnd w:id="253"/>
      <w:bookmarkStart w:id="254" w:name="_Toc184308043"/>
      <w:bookmarkEnd w:id="254"/>
      <w:bookmarkStart w:id="255" w:name="_Toc184313288"/>
      <w:bookmarkEnd w:id="255"/>
      <w:bookmarkStart w:id="256" w:name="_Toc184312111"/>
      <w:bookmarkEnd w:id="256"/>
      <w:bookmarkStart w:id="257" w:name="_Toc184312135"/>
      <w:bookmarkEnd w:id="257"/>
      <w:bookmarkStart w:id="258" w:name="_Toc184310278"/>
      <w:bookmarkEnd w:id="258"/>
      <w:bookmarkStart w:id="259" w:name="_Toc184313245"/>
      <w:bookmarkEnd w:id="259"/>
      <w:bookmarkStart w:id="260" w:name="_Toc184310297"/>
      <w:bookmarkEnd w:id="260"/>
      <w:bookmarkStart w:id="261" w:name="_Toc184313271"/>
      <w:bookmarkEnd w:id="261"/>
      <w:bookmarkStart w:id="262" w:name="_Toc184308050"/>
      <w:bookmarkEnd w:id="262"/>
      <w:bookmarkStart w:id="263" w:name="_Toc184313303"/>
      <w:bookmarkEnd w:id="263"/>
      <w:bookmarkStart w:id="264" w:name="_Toc184314481"/>
      <w:bookmarkEnd w:id="264"/>
      <w:bookmarkStart w:id="265" w:name="_Toc184308095"/>
      <w:bookmarkEnd w:id="265"/>
      <w:bookmarkStart w:id="266" w:name="_Toc184314415"/>
      <w:bookmarkEnd w:id="266"/>
      <w:bookmarkStart w:id="267" w:name="_Toc184308096"/>
      <w:bookmarkEnd w:id="267"/>
      <w:bookmarkStart w:id="268" w:name="_Toc184312075"/>
      <w:bookmarkEnd w:id="268"/>
      <w:bookmarkStart w:id="269" w:name="_Toc184313274"/>
      <w:bookmarkEnd w:id="269"/>
      <w:bookmarkStart w:id="270" w:name="_Toc184312127"/>
      <w:bookmarkEnd w:id="270"/>
      <w:bookmarkStart w:id="271" w:name="_Toc184314469"/>
      <w:bookmarkEnd w:id="271"/>
      <w:bookmarkStart w:id="272" w:name="_Toc184308089"/>
      <w:bookmarkEnd w:id="272"/>
      <w:bookmarkStart w:id="273" w:name="_Toc184310339"/>
      <w:bookmarkEnd w:id="273"/>
      <w:bookmarkStart w:id="274" w:name="_Toc184310274"/>
      <w:bookmarkEnd w:id="274"/>
      <w:bookmarkStart w:id="275" w:name="_Toc184310321"/>
      <w:bookmarkEnd w:id="275"/>
      <w:bookmarkStart w:id="276" w:name="_Toc184312133"/>
      <w:bookmarkEnd w:id="276"/>
      <w:bookmarkStart w:id="277" w:name="_Toc184313238"/>
      <w:bookmarkEnd w:id="277"/>
      <w:bookmarkStart w:id="278" w:name="_Toc184308071"/>
      <w:bookmarkEnd w:id="278"/>
      <w:bookmarkStart w:id="279" w:name="_Toc184314437"/>
      <w:bookmarkEnd w:id="279"/>
      <w:bookmarkStart w:id="280" w:name="_Toc184312102"/>
      <w:bookmarkEnd w:id="280"/>
      <w:bookmarkStart w:id="281" w:name="_Toc184310325"/>
      <w:bookmarkEnd w:id="281"/>
      <w:bookmarkStart w:id="282" w:name="_Toc184314425"/>
      <w:bookmarkEnd w:id="282"/>
      <w:bookmarkStart w:id="283" w:name="_Toc184310286"/>
      <w:bookmarkEnd w:id="283"/>
      <w:bookmarkStart w:id="284" w:name="_Toc184310308"/>
      <w:bookmarkEnd w:id="284"/>
      <w:bookmarkStart w:id="285" w:name="_Toc184310335"/>
      <w:bookmarkEnd w:id="285"/>
      <w:bookmarkStart w:id="286" w:name="_Toc184313310"/>
      <w:bookmarkEnd w:id="286"/>
      <w:bookmarkStart w:id="287" w:name="_Toc184313253"/>
      <w:bookmarkEnd w:id="287"/>
      <w:bookmarkStart w:id="288" w:name="_Toc184312078"/>
      <w:bookmarkEnd w:id="288"/>
      <w:bookmarkStart w:id="289" w:name="_Toc184312080"/>
      <w:bookmarkEnd w:id="289"/>
      <w:bookmarkStart w:id="290" w:name="_Toc184310312"/>
      <w:bookmarkEnd w:id="290"/>
      <w:bookmarkStart w:id="291" w:name="_Toc184310333"/>
      <w:bookmarkEnd w:id="291"/>
      <w:bookmarkStart w:id="292" w:name="_Toc184310304"/>
      <w:bookmarkEnd w:id="292"/>
      <w:bookmarkStart w:id="293" w:name="_Toc184313244"/>
      <w:bookmarkEnd w:id="293"/>
      <w:bookmarkStart w:id="294" w:name="_Toc184314477"/>
      <w:bookmarkEnd w:id="294"/>
      <w:bookmarkStart w:id="295" w:name="_Toc184312129"/>
      <w:bookmarkEnd w:id="295"/>
      <w:bookmarkStart w:id="296" w:name="_Toc184314450"/>
      <w:bookmarkEnd w:id="296"/>
      <w:bookmarkStart w:id="297" w:name="_Toc184308045"/>
      <w:bookmarkEnd w:id="297"/>
      <w:bookmarkStart w:id="298" w:name="_Toc184310324"/>
      <w:bookmarkEnd w:id="298"/>
      <w:bookmarkStart w:id="299" w:name="_Toc184313297"/>
      <w:bookmarkEnd w:id="299"/>
      <w:bookmarkStart w:id="300" w:name="_Toc184310281"/>
      <w:bookmarkEnd w:id="300"/>
      <w:bookmarkStart w:id="301" w:name="_Toc184312076"/>
      <w:bookmarkEnd w:id="301"/>
      <w:bookmarkStart w:id="302" w:name="_Toc184310283"/>
      <w:bookmarkEnd w:id="302"/>
      <w:bookmarkStart w:id="303" w:name="_Toc184308085"/>
      <w:bookmarkEnd w:id="303"/>
      <w:bookmarkStart w:id="304" w:name="_Toc184308044"/>
      <w:bookmarkEnd w:id="304"/>
      <w:bookmarkStart w:id="305" w:name="_Toc184313277"/>
      <w:bookmarkEnd w:id="305"/>
      <w:bookmarkStart w:id="306" w:name="_Toc184313246"/>
      <w:bookmarkEnd w:id="306"/>
      <w:bookmarkStart w:id="307" w:name="_Toc184308090"/>
      <w:bookmarkEnd w:id="307"/>
      <w:bookmarkStart w:id="308" w:name="_Toc184310340"/>
      <w:bookmarkEnd w:id="308"/>
      <w:bookmarkStart w:id="309" w:name="_Toc184308046"/>
      <w:bookmarkEnd w:id="309"/>
      <w:bookmarkStart w:id="310" w:name="_Toc184313291"/>
      <w:bookmarkEnd w:id="310"/>
      <w:bookmarkStart w:id="311" w:name="_Toc184308092"/>
      <w:bookmarkEnd w:id="311"/>
      <w:bookmarkStart w:id="312" w:name="_Toc184312109"/>
      <w:bookmarkEnd w:id="312"/>
      <w:bookmarkStart w:id="313" w:name="_Toc184312091"/>
      <w:bookmarkEnd w:id="313"/>
      <w:bookmarkStart w:id="314" w:name="_Toc184310344"/>
      <w:bookmarkEnd w:id="314"/>
      <w:bookmarkStart w:id="315" w:name="_Toc184314445"/>
      <w:bookmarkEnd w:id="315"/>
      <w:bookmarkStart w:id="316" w:name="_Toc184313300"/>
      <w:bookmarkEnd w:id="316"/>
      <w:bookmarkStart w:id="317" w:name="_Toc184308082"/>
      <w:bookmarkEnd w:id="317"/>
      <w:bookmarkStart w:id="318" w:name="_Toc184314420"/>
      <w:bookmarkEnd w:id="318"/>
      <w:bookmarkStart w:id="319" w:name="_Toc184313256"/>
      <w:bookmarkEnd w:id="319"/>
      <w:bookmarkStart w:id="320" w:name="_Toc184310299"/>
      <w:bookmarkEnd w:id="320"/>
      <w:bookmarkStart w:id="321" w:name="_Toc184313282"/>
      <w:bookmarkEnd w:id="321"/>
      <w:bookmarkStart w:id="322" w:name="_Toc184313304"/>
      <w:bookmarkEnd w:id="322"/>
      <w:bookmarkStart w:id="323" w:name="_Toc184308087"/>
      <w:bookmarkEnd w:id="323"/>
      <w:bookmarkStart w:id="324" w:name="_Toc184314449"/>
      <w:bookmarkEnd w:id="324"/>
      <w:bookmarkStart w:id="325" w:name="_Toc184314465"/>
      <w:bookmarkEnd w:id="325"/>
      <w:bookmarkStart w:id="326" w:name="_Toc184314418"/>
      <w:bookmarkEnd w:id="326"/>
      <w:bookmarkStart w:id="327" w:name="_Toc184313252"/>
      <w:bookmarkEnd w:id="327"/>
      <w:bookmarkStart w:id="328" w:name="_Toc184310313"/>
      <w:bookmarkEnd w:id="328"/>
      <w:bookmarkStart w:id="329" w:name="_Toc184310317"/>
      <w:bookmarkEnd w:id="329"/>
      <w:bookmarkStart w:id="330" w:name="_Toc184313272"/>
      <w:bookmarkEnd w:id="330"/>
      <w:bookmarkStart w:id="331" w:name="_Toc184314432"/>
      <w:bookmarkEnd w:id="331"/>
      <w:bookmarkStart w:id="332" w:name="_Toc184312067"/>
      <w:bookmarkEnd w:id="332"/>
      <w:bookmarkStart w:id="333" w:name="_Toc184314470"/>
      <w:bookmarkEnd w:id="333"/>
      <w:bookmarkStart w:id="334" w:name="_Toc184314464"/>
      <w:bookmarkEnd w:id="334"/>
      <w:bookmarkStart w:id="335" w:name="_Toc184310284"/>
      <w:bookmarkEnd w:id="335"/>
      <w:bookmarkStart w:id="336" w:name="_Toc184308104"/>
      <w:bookmarkEnd w:id="336"/>
      <w:bookmarkStart w:id="337" w:name="_Toc184312083"/>
      <w:bookmarkEnd w:id="337"/>
      <w:bookmarkStart w:id="338" w:name="_Toc184308086"/>
      <w:bookmarkEnd w:id="338"/>
      <w:bookmarkStart w:id="339" w:name="_Toc184308059"/>
      <w:bookmarkEnd w:id="339"/>
      <w:bookmarkStart w:id="340" w:name="_Toc184308105"/>
      <w:bookmarkEnd w:id="340"/>
      <w:bookmarkStart w:id="341" w:name="_Toc184313247"/>
      <w:bookmarkEnd w:id="341"/>
      <w:bookmarkStart w:id="342" w:name="_Toc184314462"/>
      <w:bookmarkEnd w:id="342"/>
      <w:bookmarkStart w:id="343" w:name="_Toc184308042"/>
      <w:bookmarkEnd w:id="343"/>
      <w:bookmarkStart w:id="344" w:name="_Toc184313243"/>
      <w:bookmarkEnd w:id="344"/>
      <w:bookmarkStart w:id="345" w:name="_Toc184314431"/>
      <w:bookmarkEnd w:id="345"/>
      <w:bookmarkStart w:id="346" w:name="_Toc184312104"/>
      <w:bookmarkEnd w:id="346"/>
      <w:bookmarkStart w:id="347" w:name="_Toc184314427"/>
      <w:bookmarkEnd w:id="347"/>
      <w:bookmarkStart w:id="348" w:name="_Toc184313266"/>
      <w:bookmarkEnd w:id="348"/>
      <w:bookmarkStart w:id="349" w:name="_Toc184312090"/>
      <w:bookmarkEnd w:id="349"/>
      <w:bookmarkStart w:id="350" w:name="_Toc184308057"/>
      <w:bookmarkEnd w:id="350"/>
      <w:bookmarkStart w:id="351" w:name="_Toc184314429"/>
      <w:bookmarkEnd w:id="351"/>
      <w:bookmarkStart w:id="352" w:name="_Toc184308062"/>
      <w:bookmarkEnd w:id="352"/>
      <w:bookmarkStart w:id="353" w:name="_Toc184312124"/>
      <w:bookmarkEnd w:id="353"/>
      <w:bookmarkStart w:id="354" w:name="_Toc184312086"/>
      <w:bookmarkEnd w:id="354"/>
      <w:bookmarkStart w:id="355" w:name="_Toc184308067"/>
      <w:bookmarkEnd w:id="355"/>
      <w:bookmarkStart w:id="356" w:name="_Toc184312070"/>
      <w:bookmarkEnd w:id="356"/>
      <w:bookmarkStart w:id="357" w:name="_Toc184313293"/>
      <w:bookmarkEnd w:id="357"/>
      <w:bookmarkStart w:id="358" w:name="_Toc184313292"/>
      <w:bookmarkEnd w:id="358"/>
      <w:bookmarkStart w:id="359" w:name="_Toc184314463"/>
      <w:bookmarkEnd w:id="359"/>
      <w:bookmarkStart w:id="360" w:name="_Toc184310301"/>
      <w:bookmarkEnd w:id="360"/>
      <w:bookmarkStart w:id="361" w:name="_Toc184314442"/>
      <w:bookmarkEnd w:id="361"/>
      <w:bookmarkStart w:id="362" w:name="_Toc184310302"/>
      <w:bookmarkEnd w:id="362"/>
      <w:bookmarkStart w:id="363" w:name="_Toc184310303"/>
      <w:bookmarkEnd w:id="363"/>
      <w:bookmarkStart w:id="364" w:name="_Toc184313299"/>
      <w:bookmarkEnd w:id="364"/>
      <w:bookmarkStart w:id="365" w:name="_Toc184310279"/>
      <w:bookmarkEnd w:id="365"/>
      <w:bookmarkStart w:id="366" w:name="_Toc184313261"/>
      <w:bookmarkEnd w:id="366"/>
      <w:bookmarkStart w:id="367" w:name="_Toc184310275"/>
      <w:bookmarkEnd w:id="367"/>
      <w:bookmarkStart w:id="368" w:name="_Toc184314435"/>
      <w:bookmarkEnd w:id="368"/>
      <w:bookmarkStart w:id="369" w:name="_Toc184312134"/>
      <w:bookmarkEnd w:id="369"/>
      <w:bookmarkStart w:id="370" w:name="_Toc184312114"/>
      <w:bookmarkEnd w:id="370"/>
      <w:bookmarkStart w:id="371" w:name="_Toc184312121"/>
      <w:bookmarkEnd w:id="371"/>
      <w:bookmarkStart w:id="372" w:name="_Toc184310326"/>
      <w:bookmarkEnd w:id="372"/>
      <w:bookmarkStart w:id="373" w:name="_Toc184313306"/>
      <w:bookmarkEnd w:id="373"/>
      <w:bookmarkStart w:id="374" w:name="_Toc184310288"/>
      <w:bookmarkEnd w:id="374"/>
      <w:bookmarkStart w:id="375" w:name="_Toc184312120"/>
      <w:bookmarkEnd w:id="375"/>
      <w:bookmarkStart w:id="376" w:name="_Toc184310294"/>
      <w:bookmarkEnd w:id="376"/>
      <w:bookmarkStart w:id="377" w:name="_Toc184314473"/>
      <w:bookmarkEnd w:id="377"/>
      <w:bookmarkStart w:id="378" w:name="_Toc184313298"/>
      <w:bookmarkEnd w:id="378"/>
      <w:bookmarkStart w:id="379" w:name="_Toc184312095"/>
      <w:bookmarkEnd w:id="379"/>
      <w:bookmarkStart w:id="380" w:name="_Toc184313265"/>
      <w:bookmarkEnd w:id="380"/>
      <w:bookmarkStart w:id="381" w:name="_Toc184308081"/>
      <w:bookmarkEnd w:id="381"/>
      <w:bookmarkStart w:id="382" w:name="_Toc184313309"/>
      <w:bookmarkEnd w:id="382"/>
      <w:bookmarkStart w:id="383" w:name="_Toc184314434"/>
      <w:bookmarkEnd w:id="383"/>
      <w:bookmarkStart w:id="384" w:name="_Toc184310343"/>
      <w:bookmarkEnd w:id="384"/>
      <w:bookmarkStart w:id="385" w:name="_Toc184308097"/>
      <w:bookmarkEnd w:id="385"/>
      <w:bookmarkStart w:id="386" w:name="_Toc184314419"/>
      <w:bookmarkEnd w:id="386"/>
      <w:bookmarkStart w:id="387" w:name="_Toc184313281"/>
      <w:bookmarkEnd w:id="387"/>
      <w:bookmarkStart w:id="388" w:name="_Toc184313286"/>
      <w:bookmarkEnd w:id="388"/>
      <w:bookmarkStart w:id="389" w:name="_Toc184313250"/>
      <w:bookmarkEnd w:id="389"/>
      <w:bookmarkStart w:id="390" w:name="_Toc184314421"/>
      <w:bookmarkEnd w:id="390"/>
      <w:bookmarkStart w:id="391" w:name="_Toc184308064"/>
      <w:bookmarkEnd w:id="391"/>
      <w:bookmarkStart w:id="392" w:name="_Toc184313305"/>
      <w:bookmarkEnd w:id="392"/>
      <w:bookmarkStart w:id="393" w:name="_Toc184313294"/>
      <w:bookmarkEnd w:id="393"/>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lang w:eastAsia="zh-CN"/>
        </w:rPr>
      </w:pPr>
      <w:r>
        <w:rPr>
          <w:rFonts w:hint="eastAsia" w:ascii="仿宋" w:hAnsi="仿宋" w:eastAsia="仿宋" w:cs="仿宋"/>
          <w:b/>
          <w:color w:val="auto"/>
          <w:sz w:val="32"/>
          <w:szCs w:val="20"/>
          <w:highlight w:val="none"/>
        </w:rPr>
        <w:t>评标办法前附表</w:t>
      </w:r>
      <w:r>
        <w:rPr>
          <w:rFonts w:hint="eastAsia" w:ascii="仿宋" w:hAnsi="仿宋" w:cs="仿宋"/>
          <w:b/>
          <w:color w:val="auto"/>
          <w:sz w:val="32"/>
          <w:szCs w:val="20"/>
          <w:highlight w:val="none"/>
          <w:lang w:eastAsia="zh-CN"/>
        </w:rPr>
        <w:t>（</w:t>
      </w:r>
      <w:r>
        <w:rPr>
          <w:rFonts w:hint="eastAsia" w:ascii="仿宋" w:hAnsi="仿宋" w:cs="仿宋"/>
          <w:b/>
          <w:color w:val="auto"/>
          <w:sz w:val="32"/>
          <w:szCs w:val="20"/>
          <w:highlight w:val="none"/>
          <w:lang w:val="en-US" w:eastAsia="zh-CN"/>
        </w:rPr>
        <w:t>标项一、二、三</w:t>
      </w:r>
      <w:r>
        <w:rPr>
          <w:rFonts w:hint="eastAsia" w:ascii="仿宋" w:hAnsi="仿宋" w:cs="仿宋"/>
          <w:b/>
          <w:color w:val="auto"/>
          <w:sz w:val="32"/>
          <w:szCs w:val="20"/>
          <w:highlight w:val="none"/>
          <w:lang w:eastAsia="zh-CN"/>
        </w:rPr>
        <w:t>）</w:t>
      </w:r>
    </w:p>
    <w:tbl>
      <w:tblPr>
        <w:tblStyle w:val="62"/>
        <w:tblW w:w="52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6085"/>
        <w:gridCol w:w="1240"/>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370" w:type="pct"/>
            <w:vAlign w:val="center"/>
          </w:tcPr>
          <w:p>
            <w:pPr>
              <w:keepNext w:val="0"/>
              <w:keepLines w:val="0"/>
              <w:pageBreakBefore w:val="0"/>
              <w:kinsoku/>
              <w:wordWrap/>
              <w:overflowPunct/>
              <w:topLinePunct w:val="0"/>
              <w:autoSpaceDN/>
              <w:bidi w:val="0"/>
              <w:spacing w:line="24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3124" w:type="pct"/>
            <w:vAlign w:val="center"/>
          </w:tcPr>
          <w:p>
            <w:pPr>
              <w:keepNext w:val="0"/>
              <w:keepLines w:val="0"/>
              <w:pageBreakBefore w:val="0"/>
              <w:kinsoku/>
              <w:wordWrap/>
              <w:overflowPunct/>
              <w:topLinePunct w:val="0"/>
              <w:autoSpaceDN/>
              <w:bidi w:val="0"/>
              <w:spacing w:line="24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评标标准</w:t>
            </w:r>
          </w:p>
        </w:tc>
        <w:tc>
          <w:tcPr>
            <w:tcW w:w="636" w:type="pct"/>
            <w:vAlign w:val="center"/>
          </w:tcPr>
          <w:p>
            <w:pPr>
              <w:keepNext w:val="0"/>
              <w:keepLines w:val="0"/>
              <w:pageBreakBefore w:val="0"/>
              <w:kinsoku/>
              <w:wordWrap/>
              <w:overflowPunct/>
              <w:topLinePunct w:val="0"/>
              <w:autoSpaceDN/>
              <w:bidi w:val="0"/>
              <w:spacing w:line="24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权重</w:t>
            </w:r>
          </w:p>
        </w:tc>
        <w:tc>
          <w:tcPr>
            <w:tcW w:w="868" w:type="pct"/>
            <w:vAlign w:val="center"/>
          </w:tcPr>
          <w:p>
            <w:pPr>
              <w:keepNext w:val="0"/>
              <w:keepLines w:val="0"/>
              <w:pageBreakBefore w:val="0"/>
              <w:kinsoku/>
              <w:wordWrap/>
              <w:overflowPunct/>
              <w:topLinePunct w:val="0"/>
              <w:autoSpaceDN/>
              <w:bidi w:val="0"/>
              <w:spacing w:line="24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r>
              <w:rPr>
                <w:rFonts w:hint="eastAsia" w:ascii="仿宋" w:hAnsi="仿宋" w:eastAsia="仿宋" w:cs="仿宋"/>
                <w:color w:val="auto"/>
                <w:sz w:val="24"/>
                <w:szCs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70" w:type="pct"/>
            <w:vAlign w:val="center"/>
          </w:tcPr>
          <w:p>
            <w:pPr>
              <w:keepNext w:val="0"/>
              <w:keepLines w:val="0"/>
              <w:pageBreakBefore w:val="0"/>
              <w:kinsoku/>
              <w:wordWrap/>
              <w:overflowPunct/>
              <w:topLinePunct w:val="0"/>
              <w:autoSpaceDN/>
              <w:bidi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p>
        </w:tc>
        <w:tc>
          <w:tcPr>
            <w:tcW w:w="3124" w:type="pct"/>
            <w:vAlign w:val="center"/>
          </w:tcPr>
          <w:p>
            <w:pPr>
              <w:keepNext w:val="0"/>
              <w:keepLines w:val="0"/>
              <w:pageBreakBefore w:val="0"/>
              <w:kinsoku/>
              <w:wordWrap/>
              <w:overflowPunct/>
              <w:topLinePunct w:val="0"/>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投标人星级评分：投标人被评为五星级品质旅行社的得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分，被评为四星级品质旅行社的得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分，被评为三星级品质旅行社的得1分,其余不得分。（投标文件中提供当地旅游局等单位颁发的相关文件，加盖公章。）</w:t>
            </w:r>
          </w:p>
        </w:tc>
        <w:tc>
          <w:tcPr>
            <w:tcW w:w="636" w:type="pct"/>
            <w:vAlign w:val="center"/>
          </w:tcPr>
          <w:p>
            <w:pPr>
              <w:keepNext w:val="0"/>
              <w:keepLines w:val="0"/>
              <w:pageBreakBefore w:val="0"/>
              <w:kinsoku/>
              <w:wordWrap/>
              <w:overflowPunct/>
              <w:topLinePunct w:val="0"/>
              <w:autoSpaceDN/>
              <w:bidi w:val="0"/>
              <w:adjustRightInd w:val="0"/>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p>
            <w:pPr>
              <w:keepNext w:val="0"/>
              <w:keepLines w:val="0"/>
              <w:pageBreakBefore w:val="0"/>
              <w:kinsoku/>
              <w:wordWrap/>
              <w:overflowPunct/>
              <w:topLinePunct w:val="0"/>
              <w:autoSpaceDN/>
              <w:bidi w:val="0"/>
              <w:adjustRightInd w:val="0"/>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（客观）</w:t>
            </w:r>
          </w:p>
        </w:tc>
        <w:tc>
          <w:tcPr>
            <w:tcW w:w="868" w:type="pct"/>
            <w:vAlign w:val="center"/>
          </w:tcPr>
          <w:p>
            <w:pPr>
              <w:keepNext w:val="0"/>
              <w:keepLines w:val="0"/>
              <w:pageBreakBefore w:val="0"/>
              <w:widowControl/>
              <w:kinsoku/>
              <w:wordWrap/>
              <w:overflowPunct/>
              <w:topLinePunct w:val="0"/>
              <w:autoSpaceDN/>
              <w:bidi w:val="0"/>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旅行社星级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0" w:type="pct"/>
            <w:vAlign w:val="center"/>
          </w:tcPr>
          <w:p>
            <w:pPr>
              <w:keepNext w:val="0"/>
              <w:keepLines w:val="0"/>
              <w:pageBreakBefore w:val="0"/>
              <w:kinsoku/>
              <w:wordWrap/>
              <w:overflowPunct/>
              <w:topLinePunct w:val="0"/>
              <w:autoSpaceDN/>
              <w:bidi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3124" w:type="pct"/>
            <w:vAlign w:val="center"/>
          </w:tcPr>
          <w:p>
            <w:pPr>
              <w:keepNext w:val="0"/>
              <w:keepLines w:val="0"/>
              <w:pageBreakBefore w:val="0"/>
              <w:kinsoku/>
              <w:wordWrap/>
              <w:overflowPunct/>
              <w:topLinePunct w:val="0"/>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投标人自20</w:t>
            </w:r>
            <w:r>
              <w:rPr>
                <w:rFonts w:hint="eastAsia" w:ascii="仿宋" w:hAnsi="仿宋" w:cs="仿宋"/>
                <w:color w:val="auto"/>
                <w:kern w:val="0"/>
                <w:sz w:val="24"/>
                <w:szCs w:val="24"/>
                <w:highlight w:val="none"/>
                <w:lang w:val="en-US" w:eastAsia="zh-CN"/>
              </w:rPr>
              <w:t>21</w:t>
            </w:r>
            <w:r>
              <w:rPr>
                <w:rFonts w:hint="eastAsia" w:ascii="仿宋" w:hAnsi="仿宋" w:eastAsia="仿宋" w:cs="仿宋"/>
                <w:color w:val="auto"/>
                <w:kern w:val="0"/>
                <w:sz w:val="24"/>
                <w:szCs w:val="24"/>
                <w:highlight w:val="none"/>
              </w:rPr>
              <w:t>年1月1日以来（以合同签订时间为准）完成过类似项目合同业绩的每个得</w:t>
            </w:r>
            <w:r>
              <w:rPr>
                <w:rFonts w:hint="eastAsia" w:ascii="仿宋" w:hAnsi="仿宋" w:cs="仿宋"/>
                <w:color w:val="auto"/>
                <w:kern w:val="0"/>
                <w:sz w:val="24"/>
                <w:szCs w:val="24"/>
                <w:highlight w:val="none"/>
                <w:lang w:val="en-US" w:eastAsia="zh-CN"/>
              </w:rPr>
              <w:t>0.5</w:t>
            </w:r>
            <w:r>
              <w:rPr>
                <w:rFonts w:hint="eastAsia" w:ascii="仿宋" w:hAnsi="仿宋" w:eastAsia="仿宋" w:cs="仿宋"/>
                <w:color w:val="auto"/>
                <w:kern w:val="0"/>
                <w:sz w:val="24"/>
                <w:szCs w:val="24"/>
                <w:highlight w:val="none"/>
              </w:rPr>
              <w:t>分，最高得</w:t>
            </w:r>
            <w:r>
              <w:rPr>
                <w:rFonts w:hint="eastAsia" w:ascii="仿宋" w:hAnsi="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分。（投标文件中提供合同复印件，加盖公章。）</w:t>
            </w:r>
          </w:p>
        </w:tc>
        <w:tc>
          <w:tcPr>
            <w:tcW w:w="636" w:type="pct"/>
            <w:vAlign w:val="center"/>
          </w:tcPr>
          <w:p>
            <w:pPr>
              <w:keepNext w:val="0"/>
              <w:keepLines w:val="0"/>
              <w:pageBreakBefore w:val="0"/>
              <w:kinsoku/>
              <w:wordWrap/>
              <w:overflowPunct/>
              <w:topLinePunct w:val="0"/>
              <w:autoSpaceDN/>
              <w:bidi w:val="0"/>
              <w:adjustRightInd w:val="0"/>
              <w:snapToGrid w:val="0"/>
              <w:spacing w:line="240" w:lineRule="auto"/>
              <w:jc w:val="center"/>
              <w:rPr>
                <w:rFonts w:hint="eastAsia"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1</w:t>
            </w:r>
          </w:p>
          <w:p>
            <w:pPr>
              <w:keepNext w:val="0"/>
              <w:keepLines w:val="0"/>
              <w:pageBreakBefore w:val="0"/>
              <w:kinsoku/>
              <w:wordWrap/>
              <w:overflowPunct/>
              <w:topLinePunct w:val="0"/>
              <w:autoSpaceDN/>
              <w:bidi w:val="0"/>
              <w:adjustRightInd w:val="0"/>
              <w:snapToGrid w:val="0"/>
              <w:spacing w:line="240" w:lineRule="auto"/>
              <w:jc w:val="cente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color w:val="auto"/>
                <w:sz w:val="24"/>
                <w:szCs w:val="24"/>
                <w:highlight w:val="none"/>
              </w:rPr>
              <w:t>（客观）</w:t>
            </w:r>
          </w:p>
        </w:tc>
        <w:tc>
          <w:tcPr>
            <w:tcW w:w="868" w:type="pct"/>
            <w:vAlign w:val="center"/>
          </w:tcPr>
          <w:p>
            <w:pPr>
              <w:keepNext w:val="0"/>
              <w:keepLines w:val="0"/>
              <w:pageBreakBefore w:val="0"/>
              <w:widowControl/>
              <w:kinsoku/>
              <w:wordWrap/>
              <w:overflowPunct/>
              <w:topLinePunct w:val="0"/>
              <w:autoSpaceDN/>
              <w:bidi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70" w:type="pct"/>
            <w:vAlign w:val="center"/>
          </w:tcPr>
          <w:p>
            <w:pPr>
              <w:keepNext w:val="0"/>
              <w:keepLines w:val="0"/>
              <w:pageBreakBefore w:val="0"/>
              <w:kinsoku/>
              <w:wordWrap/>
              <w:overflowPunct/>
              <w:topLinePunct w:val="0"/>
              <w:autoSpaceDN/>
              <w:bidi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3124" w:type="pct"/>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rightChars="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投标人具有质量保证体系认证、环境管理体系认证、职业健康安全管理体系认证（证书须在有效期内）：三个体系得3分；任意两个体系得2分；单个体系得1分。</w:t>
            </w:r>
            <w:r>
              <w:rPr>
                <w:rFonts w:hint="eastAsia" w:ascii="仿宋" w:hAnsi="仿宋" w:eastAsia="仿宋" w:cs="仿宋"/>
                <w:color w:val="auto"/>
                <w:kern w:val="11"/>
                <w:sz w:val="24"/>
                <w:szCs w:val="24"/>
                <w:highlight w:val="none"/>
              </w:rPr>
              <w:t>（</w:t>
            </w:r>
            <w:r>
              <w:rPr>
                <w:rFonts w:hint="eastAsia" w:ascii="仿宋" w:hAnsi="仿宋" w:eastAsia="仿宋" w:cs="仿宋"/>
                <w:color w:val="auto"/>
                <w:sz w:val="24"/>
                <w:highlight w:val="none"/>
                <w:lang w:val="en-US" w:eastAsia="zh-CN"/>
              </w:rPr>
              <w:t>投标文件中提供证书复印件并加盖投标人公章，证书需在有效期内，由评标委员会在国家认监委网站www.cnca.gov.cn查询，未在该网站上查询到的，不得分。</w:t>
            </w:r>
            <w:r>
              <w:rPr>
                <w:rFonts w:hint="eastAsia" w:ascii="仿宋" w:hAnsi="仿宋" w:eastAsia="仿宋" w:cs="仿宋"/>
                <w:spacing w:val="0"/>
                <w:kern w:val="11"/>
                <w:sz w:val="24"/>
                <w:szCs w:val="24"/>
                <w:u w:val="none"/>
                <w:lang w:val="en-US" w:eastAsia="zh-CN" w:bidi="ar-SA"/>
              </w:rPr>
              <w:t>）</w:t>
            </w:r>
          </w:p>
        </w:tc>
        <w:tc>
          <w:tcPr>
            <w:tcW w:w="636" w:type="pct"/>
            <w:vAlign w:val="center"/>
          </w:tcPr>
          <w:p>
            <w:pPr>
              <w:keepNext w:val="0"/>
              <w:keepLines w:val="0"/>
              <w:pageBreakBefore w:val="0"/>
              <w:kinsoku/>
              <w:wordWrap/>
              <w:overflowPunct/>
              <w:topLinePunct w:val="0"/>
              <w:autoSpaceDE w:val="0"/>
              <w:autoSpaceDN/>
              <w:bidi w:val="0"/>
              <w:adjustRightInd w:val="0"/>
              <w:snapToGrid w:val="0"/>
              <w:spacing w:line="240" w:lineRule="auto"/>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3</w:t>
            </w:r>
          </w:p>
          <w:p>
            <w:pPr>
              <w:keepNext w:val="0"/>
              <w:keepLines w:val="0"/>
              <w:pageBreakBefore w:val="0"/>
              <w:kinsoku/>
              <w:wordWrap/>
              <w:overflowPunct/>
              <w:topLinePunct w:val="0"/>
              <w:autoSpaceDE w:val="0"/>
              <w:autoSpaceDN/>
              <w:bidi w:val="0"/>
              <w:adjustRightInd w:val="0"/>
              <w:snapToGrid w:val="0"/>
              <w:spacing w:line="240" w:lineRule="auto"/>
              <w:jc w:val="cente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color w:val="auto"/>
                <w:sz w:val="24"/>
                <w:szCs w:val="24"/>
                <w:highlight w:val="none"/>
              </w:rPr>
              <w:t>（客观）</w:t>
            </w:r>
          </w:p>
        </w:tc>
        <w:tc>
          <w:tcPr>
            <w:tcW w:w="868" w:type="pct"/>
            <w:vAlign w:val="center"/>
          </w:tcPr>
          <w:p>
            <w:pPr>
              <w:keepNext w:val="0"/>
              <w:keepLines w:val="0"/>
              <w:pageBreakBefore w:val="0"/>
              <w:widowControl/>
              <w:kinsoku/>
              <w:wordWrap/>
              <w:overflowPunct/>
              <w:topLinePunct w:val="0"/>
              <w:autoSpaceDN/>
              <w:bidi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70" w:type="pct"/>
            <w:vMerge w:val="restart"/>
            <w:vAlign w:val="center"/>
          </w:tcPr>
          <w:p>
            <w:pPr>
              <w:keepNext w:val="0"/>
              <w:keepLines w:val="0"/>
              <w:pageBreakBefore w:val="0"/>
              <w:tabs>
                <w:tab w:val="left" w:pos="851"/>
                <w:tab w:val="left" w:pos="993"/>
              </w:tabs>
              <w:kinsoku/>
              <w:wordWrap/>
              <w:overflowPunct/>
              <w:topLinePunct w:val="0"/>
              <w:autoSpaceDE/>
              <w:autoSpaceDN/>
              <w:bidi w:val="0"/>
              <w:snapToGrid w:val="0"/>
              <w:spacing w:line="240" w:lineRule="auto"/>
              <w:ind w:left="0" w:leftChars="0" w:right="0" w:righ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4</w:t>
            </w:r>
          </w:p>
        </w:tc>
        <w:tc>
          <w:tcPr>
            <w:tcW w:w="3124" w:type="pct"/>
            <w:vAlign w:val="center"/>
          </w:tcPr>
          <w:p>
            <w:pPr>
              <w:keepNext w:val="0"/>
              <w:keepLines w:val="0"/>
              <w:pageBreakBefore w:val="0"/>
              <w:kinsoku/>
              <w:wordWrap/>
              <w:overflowPunct/>
              <w:topLinePunct w:val="0"/>
              <w:autoSpaceDE/>
              <w:autoSpaceDN/>
              <w:bidi w:val="0"/>
              <w:adjustRightInd w:val="0"/>
              <w:snapToGrid/>
              <w:spacing w:line="320" w:lineRule="exact"/>
              <w:ind w:left="0" w:leftChars="0" w:right="0" w:rightChars="0"/>
              <w:textAlignment w:val="auto"/>
              <w:rPr>
                <w:rFonts w:hint="eastAsia" w:ascii="仿宋" w:hAnsi="仿宋" w:eastAsia="仿宋" w:cs="仿宋"/>
                <w:sz w:val="24"/>
                <w:szCs w:val="24"/>
                <w:highlight w:val="none"/>
                <w:lang w:val="en-US" w:eastAsia="zh-CN"/>
              </w:rPr>
            </w:pPr>
            <w:r>
              <w:rPr>
                <w:rFonts w:hint="eastAsia" w:ascii="宋体" w:hAnsi="宋体" w:cs="宋体"/>
                <w:szCs w:val="21"/>
                <w:lang w:val="en-US" w:eastAsia="zh-CN"/>
              </w:rPr>
              <w:t>1</w:t>
            </w:r>
            <w:r>
              <w:rPr>
                <w:rFonts w:hint="eastAsia" w:ascii="宋体" w:hAnsi="宋体" w:cs="宋体"/>
                <w:szCs w:val="21"/>
                <w:lang w:val="zh-CN"/>
              </w:rPr>
              <w:t>、游</w:t>
            </w:r>
            <w:r>
              <w:rPr>
                <w:rFonts w:hint="eastAsia" w:ascii="宋体" w:hAnsi="宋体" w:cs="宋体"/>
                <w:szCs w:val="21"/>
              </w:rPr>
              <w:t>览行程安排合理具体，景点与需求吻合程度，提供具体方案：方案内容完整、考虑周到与项目匹配度好的得5分</w:t>
            </w:r>
            <w:r>
              <w:rPr>
                <w:rFonts w:hint="eastAsia" w:ascii="宋体" w:hAnsi="宋体" w:cs="宋体"/>
                <w:szCs w:val="21"/>
                <w:lang w:eastAsia="zh-CN"/>
              </w:rPr>
              <w:t>；</w:t>
            </w:r>
            <w:r>
              <w:rPr>
                <w:rFonts w:hint="eastAsia" w:ascii="宋体" w:hAnsi="宋体" w:cs="宋体"/>
                <w:szCs w:val="21"/>
              </w:rPr>
              <w:t>方案内容基本完整、考虑基本到位且与项目匹配度较好的得4分；方案内容基本完整、考虑到位与项目匹配度一般的得3分；方案内容略有瑕疵的，得2分；瑕疵较多的，得1分；</w:t>
            </w:r>
            <w:r>
              <w:rPr>
                <w:rFonts w:hint="eastAsia" w:ascii="宋体" w:hAnsi="宋体" w:cs="宋体"/>
                <w:szCs w:val="21"/>
                <w:lang w:val="en-US"/>
              </w:rPr>
              <w:t>方案内容缺失严重、应对失措或与项目不匹配的不得分。</w:t>
            </w:r>
          </w:p>
        </w:tc>
        <w:tc>
          <w:tcPr>
            <w:tcW w:w="636" w:type="pct"/>
            <w:vAlign w:val="center"/>
          </w:tcPr>
          <w:p>
            <w:pPr>
              <w:keepNext w:val="0"/>
              <w:keepLines w:val="0"/>
              <w:pageBreakBefore w:val="0"/>
              <w:kinsoku/>
              <w:wordWrap/>
              <w:overflowPunct/>
              <w:topLinePunct w:val="0"/>
              <w:autoSpaceDE/>
              <w:autoSpaceDN/>
              <w:bidi w:val="0"/>
              <w:snapToGrid w:val="0"/>
              <w:spacing w:line="240" w:lineRule="auto"/>
              <w:ind w:left="0" w:leftChars="0" w:right="0" w:rightChars="0"/>
              <w:jc w:val="center"/>
              <w:textAlignment w:val="auto"/>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5</w:t>
            </w:r>
          </w:p>
          <w:p>
            <w:pPr>
              <w:keepNext w:val="0"/>
              <w:keepLines w:val="0"/>
              <w:pageBreakBefore w:val="0"/>
              <w:kinsoku/>
              <w:wordWrap/>
              <w:overflowPunct/>
              <w:topLinePunct w:val="0"/>
              <w:autoSpaceDE/>
              <w:autoSpaceDN/>
              <w:bidi w:val="0"/>
              <w:snapToGrid w:val="0"/>
              <w:spacing w:line="240" w:lineRule="auto"/>
              <w:ind w:left="0" w:leftChars="0" w:right="0" w:rightChars="0"/>
              <w:jc w:val="center"/>
              <w:textAlignment w:val="auto"/>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（主观）</w:t>
            </w:r>
          </w:p>
        </w:tc>
        <w:tc>
          <w:tcPr>
            <w:tcW w:w="868" w:type="pct"/>
            <w:vMerge w:val="restart"/>
            <w:vAlign w:val="center"/>
          </w:tcPr>
          <w:p>
            <w:pPr>
              <w:keepNext w:val="0"/>
              <w:keepLines w:val="0"/>
              <w:pageBreakBefore w:val="0"/>
              <w:widowControl/>
              <w:kinsoku/>
              <w:wordWrap/>
              <w:overflowPunct/>
              <w:topLinePunct w:val="0"/>
              <w:autoSpaceDN/>
              <w:bidi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旅行方案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70" w:type="pct"/>
            <w:vMerge w:val="continue"/>
            <w:vAlign w:val="center"/>
          </w:tcPr>
          <w:p>
            <w:pPr>
              <w:keepNext w:val="0"/>
              <w:keepLines w:val="0"/>
              <w:pageBreakBefore w:val="0"/>
              <w:tabs>
                <w:tab w:val="left" w:pos="851"/>
                <w:tab w:val="left" w:pos="993"/>
              </w:tabs>
              <w:kinsoku/>
              <w:wordWrap/>
              <w:overflowPunct/>
              <w:topLinePunct w:val="0"/>
              <w:autoSpaceDE/>
              <w:autoSpaceDN/>
              <w:bidi w:val="0"/>
              <w:snapToGrid w:val="0"/>
              <w:spacing w:line="240" w:lineRule="auto"/>
              <w:ind w:left="0" w:leftChars="0" w:right="0" w:rightChars="0"/>
              <w:jc w:val="center"/>
              <w:textAlignment w:val="auto"/>
              <w:rPr>
                <w:rFonts w:hint="eastAsia" w:ascii="仿宋" w:hAnsi="仿宋" w:eastAsia="仿宋" w:cs="仿宋"/>
                <w:color w:val="auto"/>
                <w:sz w:val="24"/>
                <w:szCs w:val="24"/>
                <w:highlight w:val="none"/>
                <w:lang w:val="en-US" w:eastAsia="zh-CN"/>
              </w:rPr>
            </w:pPr>
          </w:p>
        </w:tc>
        <w:tc>
          <w:tcPr>
            <w:tcW w:w="3124" w:type="pct"/>
            <w:vAlign w:val="center"/>
          </w:tcPr>
          <w:p>
            <w:pPr>
              <w:keepNext w:val="0"/>
              <w:keepLines w:val="0"/>
              <w:pageBreakBefore w:val="0"/>
              <w:kinsoku/>
              <w:wordWrap/>
              <w:overflowPunct/>
              <w:topLinePunct w:val="0"/>
              <w:autoSpaceDE/>
              <w:autoSpaceDN/>
              <w:bidi w:val="0"/>
              <w:adjustRightInd w:val="0"/>
              <w:snapToGrid/>
              <w:spacing w:line="320" w:lineRule="exact"/>
              <w:ind w:left="0" w:leftChars="0" w:right="0" w:rightChars="0"/>
              <w:textAlignment w:val="auto"/>
              <w:rPr>
                <w:rFonts w:hint="eastAsia" w:ascii="仿宋" w:hAnsi="仿宋" w:eastAsia="仿宋" w:cs="仿宋"/>
                <w:sz w:val="24"/>
                <w:szCs w:val="24"/>
                <w:highlight w:val="none"/>
                <w:lang w:val="en-US" w:eastAsia="zh-CN"/>
              </w:rPr>
            </w:pPr>
            <w:r>
              <w:rPr>
                <w:rFonts w:hint="eastAsia" w:ascii="宋体" w:hAnsi="宋体" w:cs="宋体"/>
                <w:szCs w:val="21"/>
                <w:lang w:val="en-US" w:eastAsia="zh-CN"/>
              </w:rPr>
              <w:t>2</w:t>
            </w:r>
            <w:r>
              <w:rPr>
                <w:rFonts w:hint="eastAsia" w:ascii="宋体" w:hAnsi="宋体" w:cs="宋体"/>
                <w:szCs w:val="21"/>
              </w:rPr>
              <w:t>、文娱活动外出游览策划方案具有特色且突出主题：文娱活动外出游览策划方案特色明显、明显突出本项目主题得</w:t>
            </w:r>
            <w:r>
              <w:rPr>
                <w:rFonts w:hint="eastAsia" w:ascii="宋体" w:hAnsi="宋体" w:cs="宋体"/>
                <w:szCs w:val="21"/>
                <w:lang w:val="en-US" w:eastAsia="zh-CN"/>
              </w:rPr>
              <w:t>5</w:t>
            </w:r>
            <w:r>
              <w:rPr>
                <w:rFonts w:hint="eastAsia" w:ascii="宋体" w:hAnsi="宋体" w:cs="宋体"/>
                <w:szCs w:val="21"/>
              </w:rPr>
              <w:t>分；文娱活动外出游览策划方案较有特色、突出本项目主题得3分</w:t>
            </w:r>
            <w:r>
              <w:rPr>
                <w:rFonts w:hint="eastAsia" w:ascii="宋体" w:hAnsi="宋体" w:cs="宋体"/>
                <w:szCs w:val="21"/>
                <w:lang w:eastAsia="zh-CN"/>
              </w:rPr>
              <w:t>；</w:t>
            </w:r>
            <w:r>
              <w:rPr>
                <w:rFonts w:hint="eastAsia" w:ascii="宋体" w:hAnsi="宋体" w:cs="宋体"/>
                <w:szCs w:val="21"/>
              </w:rPr>
              <w:t>方案稍有特色、较能突出本项目主题得2分；方案没有特色、未能突出本项目主题得1分；方案不合理或未提供不得分。</w:t>
            </w:r>
          </w:p>
        </w:tc>
        <w:tc>
          <w:tcPr>
            <w:tcW w:w="636" w:type="pct"/>
            <w:vAlign w:val="center"/>
          </w:tcPr>
          <w:p>
            <w:pPr>
              <w:keepNext w:val="0"/>
              <w:keepLines w:val="0"/>
              <w:pageBreakBefore w:val="0"/>
              <w:kinsoku/>
              <w:wordWrap/>
              <w:overflowPunct/>
              <w:topLinePunct w:val="0"/>
              <w:autoSpaceDE/>
              <w:autoSpaceDN/>
              <w:bidi w:val="0"/>
              <w:snapToGrid w:val="0"/>
              <w:spacing w:line="240" w:lineRule="auto"/>
              <w:ind w:left="0" w:leftChars="0" w:right="0" w:rightChars="0"/>
              <w:jc w:val="center"/>
              <w:textAlignment w:val="auto"/>
              <w:rPr>
                <w:rFonts w:hint="eastAsia" w:ascii="仿宋" w:hAnsi="仿宋" w:cs="仿宋"/>
                <w:bCs/>
                <w:color w:val="auto"/>
                <w:kern w:val="0"/>
                <w:sz w:val="24"/>
                <w:szCs w:val="24"/>
                <w:highlight w:val="none"/>
                <w:lang w:val="en-US" w:eastAsia="zh-CN" w:bidi="ar-SA"/>
              </w:rPr>
            </w:pPr>
            <w:r>
              <w:rPr>
                <w:rFonts w:hint="eastAsia" w:ascii="仿宋" w:hAnsi="仿宋" w:cs="仿宋"/>
                <w:bCs/>
                <w:color w:val="auto"/>
                <w:kern w:val="0"/>
                <w:sz w:val="24"/>
                <w:szCs w:val="24"/>
                <w:highlight w:val="none"/>
                <w:lang w:val="en-US" w:eastAsia="zh-CN" w:bidi="ar-SA"/>
              </w:rPr>
              <w:t>5</w:t>
            </w:r>
          </w:p>
          <w:p>
            <w:pPr>
              <w:keepNext w:val="0"/>
              <w:keepLines w:val="0"/>
              <w:pageBreakBefore w:val="0"/>
              <w:kinsoku/>
              <w:wordWrap/>
              <w:overflowPunct/>
              <w:topLinePunct w:val="0"/>
              <w:autoSpaceDE/>
              <w:autoSpaceDN/>
              <w:bidi w:val="0"/>
              <w:snapToGrid w:val="0"/>
              <w:spacing w:line="240" w:lineRule="auto"/>
              <w:ind w:left="0" w:leftChars="0" w:right="0" w:rightChars="0"/>
              <w:jc w:val="center"/>
              <w:textAlignment w:val="auto"/>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（主观）</w:t>
            </w:r>
          </w:p>
        </w:tc>
        <w:tc>
          <w:tcPr>
            <w:tcW w:w="868" w:type="pct"/>
            <w:vMerge w:val="continue"/>
            <w:vAlign w:val="center"/>
          </w:tcPr>
          <w:p>
            <w:pPr>
              <w:keepNext w:val="0"/>
              <w:keepLines w:val="0"/>
              <w:pageBreakBefore w:val="0"/>
              <w:widowControl/>
              <w:kinsoku/>
              <w:wordWrap/>
              <w:overflowPunct/>
              <w:topLinePunct w:val="0"/>
              <w:autoSpaceDN/>
              <w:bidi w:val="0"/>
              <w:spacing w:line="240" w:lineRule="auto"/>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70" w:type="pct"/>
            <w:vMerge w:val="continue"/>
            <w:vAlign w:val="center"/>
          </w:tcPr>
          <w:p>
            <w:pPr>
              <w:keepNext w:val="0"/>
              <w:keepLines w:val="0"/>
              <w:pageBreakBefore w:val="0"/>
              <w:tabs>
                <w:tab w:val="left" w:pos="851"/>
                <w:tab w:val="left" w:pos="993"/>
              </w:tabs>
              <w:kinsoku/>
              <w:wordWrap/>
              <w:overflowPunct/>
              <w:topLinePunct w:val="0"/>
              <w:autoSpaceDE/>
              <w:autoSpaceDN/>
              <w:bidi w:val="0"/>
              <w:snapToGrid w:val="0"/>
              <w:spacing w:line="240" w:lineRule="auto"/>
              <w:ind w:left="0" w:leftChars="0" w:right="0" w:rightChars="0"/>
              <w:jc w:val="center"/>
              <w:textAlignment w:val="auto"/>
              <w:rPr>
                <w:rFonts w:hint="eastAsia" w:ascii="仿宋" w:hAnsi="仿宋" w:eastAsia="仿宋" w:cs="仿宋"/>
                <w:color w:val="auto"/>
                <w:sz w:val="24"/>
                <w:szCs w:val="24"/>
                <w:highlight w:val="none"/>
                <w:lang w:val="en-US" w:eastAsia="zh-CN"/>
              </w:rPr>
            </w:pPr>
          </w:p>
        </w:tc>
        <w:tc>
          <w:tcPr>
            <w:tcW w:w="3124" w:type="pct"/>
            <w:vAlign w:val="center"/>
          </w:tcPr>
          <w:p>
            <w:pPr>
              <w:keepNext w:val="0"/>
              <w:keepLines w:val="0"/>
              <w:pageBreakBefore w:val="0"/>
              <w:widowControl/>
              <w:kinsoku/>
              <w:wordWrap/>
              <w:overflowPunct/>
              <w:topLinePunct w:val="0"/>
              <w:autoSpaceDE/>
              <w:autoSpaceDN/>
              <w:bidi w:val="0"/>
              <w:adjustRightInd w:val="0"/>
              <w:snapToGrid/>
              <w:spacing w:line="320" w:lineRule="exact"/>
              <w:ind w:left="0" w:leftChars="0" w:right="0" w:rightChars="0"/>
              <w:jc w:val="left"/>
              <w:textAlignment w:val="auto"/>
              <w:rPr>
                <w:rFonts w:hint="eastAsia" w:ascii="仿宋" w:hAnsi="仿宋" w:eastAsia="仿宋" w:cs="仿宋"/>
                <w:color w:val="auto"/>
                <w:sz w:val="24"/>
                <w:szCs w:val="24"/>
                <w:highlight w:val="none"/>
                <w:lang w:val="en-US" w:eastAsia="zh-CN"/>
              </w:rPr>
            </w:pPr>
            <w:r>
              <w:rPr>
                <w:rFonts w:hint="eastAsia" w:ascii="宋体" w:hAnsi="宋体" w:cs="仿宋"/>
                <w:szCs w:val="21"/>
                <w:lang w:val="en-US" w:eastAsia="zh-CN"/>
              </w:rPr>
              <w:t>3</w:t>
            </w:r>
            <w:r>
              <w:rPr>
                <w:rFonts w:hint="eastAsia" w:ascii="宋体" w:hAnsi="宋体" w:cs="仿宋"/>
                <w:szCs w:val="21"/>
              </w:rPr>
              <w:t>、</w:t>
            </w:r>
            <w:r>
              <w:rPr>
                <w:rFonts w:hint="eastAsia" w:ascii="宋体" w:hAnsi="宋体" w:cs="仿宋"/>
                <w:szCs w:val="21"/>
                <w:lang w:val="zh-CN"/>
              </w:rPr>
              <w:t>文娱活动外出方案</w:t>
            </w:r>
            <w:r>
              <w:rPr>
                <w:rFonts w:hint="eastAsia" w:ascii="宋体" w:hAnsi="宋体"/>
                <w:szCs w:val="21"/>
              </w:rPr>
              <w:t>对参加各种类型活动的组织安排合理程度</w:t>
            </w:r>
            <w:r>
              <w:rPr>
                <w:rFonts w:hint="eastAsia" w:ascii="宋体" w:hAnsi="宋体" w:cs="宋体"/>
                <w:snapToGrid w:val="0"/>
                <w:kern w:val="0"/>
                <w:szCs w:val="21"/>
              </w:rPr>
              <w:t>：</w:t>
            </w:r>
            <w:r>
              <w:rPr>
                <w:rFonts w:hint="eastAsia" w:ascii="宋体" w:hAnsi="宋体" w:cs="宋体"/>
                <w:kern w:val="0"/>
                <w:szCs w:val="21"/>
              </w:rPr>
              <w:t>活动方案与需求完全吻合，人员安排合理的得5分；活动方案内容与与需求基本吻合，人员安排基本合理的得4分；活动方案内容与需求吻合程度一般，人员安排一般合理的得3分；活动方案内容存在欠缺、考虑有漏洞，人员安排不太合理的得2分；活动方案内容存在欠缺较多、考虑漏洞较多，人员安排考虑欠缺的得1分；活动方案内容缺失严重，人员安排完全不合理的均不得分。</w:t>
            </w:r>
          </w:p>
        </w:tc>
        <w:tc>
          <w:tcPr>
            <w:tcW w:w="636" w:type="pct"/>
            <w:vAlign w:val="center"/>
          </w:tcPr>
          <w:p>
            <w:pPr>
              <w:keepNext w:val="0"/>
              <w:keepLines w:val="0"/>
              <w:pageBreakBefore w:val="0"/>
              <w:kinsoku/>
              <w:wordWrap/>
              <w:overflowPunct/>
              <w:topLinePunct w:val="0"/>
              <w:autoSpaceDE/>
              <w:autoSpaceDN/>
              <w:bidi w:val="0"/>
              <w:snapToGrid w:val="0"/>
              <w:spacing w:line="240" w:lineRule="auto"/>
              <w:ind w:left="0" w:leftChars="0" w:right="0" w:rightChars="0"/>
              <w:jc w:val="center"/>
              <w:textAlignment w:val="auto"/>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5</w:t>
            </w:r>
          </w:p>
          <w:p>
            <w:pPr>
              <w:keepNext w:val="0"/>
              <w:keepLines w:val="0"/>
              <w:pageBreakBefore w:val="0"/>
              <w:kinsoku/>
              <w:wordWrap/>
              <w:overflowPunct/>
              <w:topLinePunct w:val="0"/>
              <w:autoSpaceDE/>
              <w:autoSpaceDN/>
              <w:bidi w:val="0"/>
              <w:snapToGrid w:val="0"/>
              <w:spacing w:line="240" w:lineRule="auto"/>
              <w:ind w:left="0" w:leftChars="0" w:right="0" w:rightChars="0"/>
              <w:jc w:val="center"/>
              <w:textAlignment w:val="auto"/>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（主观）</w:t>
            </w:r>
          </w:p>
        </w:tc>
        <w:tc>
          <w:tcPr>
            <w:tcW w:w="868" w:type="pct"/>
            <w:vMerge w:val="continue"/>
            <w:vAlign w:val="center"/>
          </w:tcPr>
          <w:p>
            <w:pPr>
              <w:keepNext w:val="0"/>
              <w:keepLines w:val="0"/>
              <w:pageBreakBefore w:val="0"/>
              <w:widowControl/>
              <w:kinsoku/>
              <w:wordWrap/>
              <w:overflowPunct/>
              <w:topLinePunct w:val="0"/>
              <w:autoSpaceDN/>
              <w:bidi w:val="0"/>
              <w:spacing w:line="240" w:lineRule="auto"/>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70" w:type="pct"/>
            <w:vMerge w:val="continue"/>
            <w:vAlign w:val="center"/>
          </w:tcPr>
          <w:p>
            <w:pPr>
              <w:keepNext w:val="0"/>
              <w:keepLines w:val="0"/>
              <w:pageBreakBefore w:val="0"/>
              <w:tabs>
                <w:tab w:val="left" w:pos="851"/>
                <w:tab w:val="left" w:pos="993"/>
              </w:tabs>
              <w:kinsoku/>
              <w:wordWrap/>
              <w:overflowPunct/>
              <w:topLinePunct w:val="0"/>
              <w:autoSpaceDE/>
              <w:autoSpaceDN/>
              <w:bidi w:val="0"/>
              <w:snapToGrid w:val="0"/>
              <w:spacing w:line="240" w:lineRule="auto"/>
              <w:ind w:left="0" w:leftChars="0" w:right="0" w:rightChars="0"/>
              <w:jc w:val="center"/>
              <w:textAlignment w:val="auto"/>
              <w:rPr>
                <w:rFonts w:hint="eastAsia" w:ascii="仿宋" w:hAnsi="仿宋" w:eastAsia="仿宋" w:cs="仿宋"/>
                <w:color w:val="auto"/>
                <w:sz w:val="24"/>
                <w:szCs w:val="24"/>
                <w:highlight w:val="none"/>
                <w:lang w:val="en-US" w:eastAsia="zh-CN"/>
              </w:rPr>
            </w:pPr>
          </w:p>
        </w:tc>
        <w:tc>
          <w:tcPr>
            <w:tcW w:w="3124" w:type="pct"/>
            <w:vAlign w:val="center"/>
          </w:tcPr>
          <w:p>
            <w:pPr>
              <w:keepNext w:val="0"/>
              <w:keepLines w:val="0"/>
              <w:pageBreakBefore w:val="0"/>
              <w:kinsoku/>
              <w:wordWrap/>
              <w:overflowPunct/>
              <w:topLinePunct w:val="0"/>
              <w:autoSpaceDE/>
              <w:autoSpaceDN/>
              <w:bidi w:val="0"/>
              <w:adjustRightInd w:val="0"/>
              <w:snapToGrid/>
              <w:spacing w:line="320" w:lineRule="exact"/>
              <w:ind w:left="0" w:leftChars="0" w:right="0" w:rightChars="0"/>
              <w:textAlignment w:val="auto"/>
              <w:rPr>
                <w:rFonts w:hint="eastAsia" w:ascii="仿宋" w:hAnsi="仿宋" w:eastAsia="仿宋" w:cs="仿宋"/>
                <w:sz w:val="24"/>
                <w:szCs w:val="24"/>
                <w:highlight w:val="none"/>
                <w:lang w:val="en-US" w:eastAsia="zh-CN"/>
              </w:rPr>
            </w:pPr>
            <w:r>
              <w:rPr>
                <w:rFonts w:hint="eastAsia" w:ascii="宋体" w:hAnsi="宋体" w:cs="宋体"/>
                <w:szCs w:val="21"/>
                <w:lang w:val="en-US" w:eastAsia="zh-CN"/>
              </w:rPr>
              <w:t>4</w:t>
            </w:r>
            <w:r>
              <w:rPr>
                <w:rFonts w:hint="eastAsia" w:ascii="宋体" w:hAnsi="宋体" w:cs="宋体"/>
                <w:szCs w:val="21"/>
              </w:rPr>
              <w:t>、用餐方案和用餐品质（提供详细用餐标准）：用餐方案合理，品质具有保证得</w:t>
            </w:r>
            <w:r>
              <w:rPr>
                <w:rFonts w:hint="eastAsia" w:ascii="宋体" w:hAnsi="宋体" w:cs="宋体"/>
                <w:szCs w:val="21"/>
                <w:lang w:val="en-US" w:eastAsia="zh-CN"/>
              </w:rPr>
              <w:t>5</w:t>
            </w:r>
            <w:r>
              <w:rPr>
                <w:rFonts w:hint="eastAsia" w:ascii="宋体" w:hAnsi="宋体" w:cs="宋体"/>
                <w:szCs w:val="21"/>
              </w:rPr>
              <w:t>分；用餐方案基本合理，品质良好得</w:t>
            </w:r>
            <w:r>
              <w:rPr>
                <w:rFonts w:hint="eastAsia" w:ascii="宋体" w:hAnsi="宋体" w:cs="宋体"/>
                <w:szCs w:val="21"/>
                <w:lang w:val="en-US" w:eastAsia="zh-CN"/>
              </w:rPr>
              <w:t>3</w:t>
            </w:r>
            <w:r>
              <w:rPr>
                <w:rFonts w:hint="eastAsia" w:ascii="宋体" w:hAnsi="宋体" w:cs="宋体"/>
                <w:szCs w:val="21"/>
              </w:rPr>
              <w:t>分；用餐方案有一定不足需进一步完善，品味一般得1分；用餐方案不合理或未提供方案不得分。</w:t>
            </w:r>
          </w:p>
        </w:tc>
        <w:tc>
          <w:tcPr>
            <w:tcW w:w="636" w:type="pct"/>
            <w:vAlign w:val="center"/>
          </w:tcPr>
          <w:p>
            <w:pPr>
              <w:keepNext w:val="0"/>
              <w:keepLines w:val="0"/>
              <w:pageBreakBefore w:val="0"/>
              <w:kinsoku/>
              <w:wordWrap/>
              <w:overflowPunct/>
              <w:topLinePunct w:val="0"/>
              <w:autoSpaceDE/>
              <w:autoSpaceDN/>
              <w:bidi w:val="0"/>
              <w:snapToGrid w:val="0"/>
              <w:spacing w:line="240" w:lineRule="auto"/>
              <w:ind w:left="0" w:leftChars="0" w:right="0" w:rightChars="0"/>
              <w:jc w:val="center"/>
              <w:textAlignment w:val="auto"/>
              <w:rPr>
                <w:rFonts w:hint="eastAsia" w:ascii="仿宋" w:hAnsi="仿宋" w:cs="仿宋"/>
                <w:bCs/>
                <w:color w:val="auto"/>
                <w:kern w:val="0"/>
                <w:sz w:val="24"/>
                <w:szCs w:val="24"/>
                <w:highlight w:val="none"/>
                <w:lang w:val="en-US" w:eastAsia="zh-CN" w:bidi="ar-SA"/>
              </w:rPr>
            </w:pPr>
            <w:r>
              <w:rPr>
                <w:rFonts w:hint="eastAsia" w:ascii="仿宋" w:hAnsi="仿宋" w:cs="仿宋"/>
                <w:bCs/>
                <w:color w:val="auto"/>
                <w:kern w:val="0"/>
                <w:sz w:val="24"/>
                <w:szCs w:val="24"/>
                <w:highlight w:val="none"/>
                <w:lang w:val="en-US" w:eastAsia="zh-CN" w:bidi="ar-SA"/>
              </w:rPr>
              <w:t>5</w:t>
            </w:r>
          </w:p>
          <w:p>
            <w:pPr>
              <w:keepNext w:val="0"/>
              <w:keepLines w:val="0"/>
              <w:pageBreakBefore w:val="0"/>
              <w:kinsoku/>
              <w:wordWrap/>
              <w:overflowPunct/>
              <w:topLinePunct w:val="0"/>
              <w:autoSpaceDE/>
              <w:autoSpaceDN/>
              <w:bidi w:val="0"/>
              <w:snapToGrid w:val="0"/>
              <w:spacing w:line="240" w:lineRule="auto"/>
              <w:ind w:left="0" w:leftChars="0" w:right="0" w:rightChars="0"/>
              <w:jc w:val="center"/>
              <w:textAlignment w:val="auto"/>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（主观）</w:t>
            </w:r>
          </w:p>
        </w:tc>
        <w:tc>
          <w:tcPr>
            <w:tcW w:w="868" w:type="pct"/>
            <w:vMerge w:val="continue"/>
            <w:vAlign w:val="center"/>
          </w:tcPr>
          <w:p>
            <w:pPr>
              <w:keepNext w:val="0"/>
              <w:keepLines w:val="0"/>
              <w:pageBreakBefore w:val="0"/>
              <w:widowControl/>
              <w:kinsoku/>
              <w:wordWrap/>
              <w:overflowPunct/>
              <w:topLinePunct w:val="0"/>
              <w:autoSpaceDN/>
              <w:bidi w:val="0"/>
              <w:spacing w:line="240" w:lineRule="auto"/>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70" w:type="pct"/>
            <w:vMerge w:val="continue"/>
            <w:vAlign w:val="center"/>
          </w:tcPr>
          <w:p>
            <w:pPr>
              <w:keepNext w:val="0"/>
              <w:keepLines w:val="0"/>
              <w:pageBreakBefore w:val="0"/>
              <w:tabs>
                <w:tab w:val="left" w:pos="851"/>
                <w:tab w:val="left" w:pos="993"/>
              </w:tabs>
              <w:kinsoku/>
              <w:wordWrap/>
              <w:overflowPunct/>
              <w:topLinePunct w:val="0"/>
              <w:autoSpaceDE/>
              <w:autoSpaceDN/>
              <w:bidi w:val="0"/>
              <w:snapToGrid w:val="0"/>
              <w:spacing w:line="240" w:lineRule="auto"/>
              <w:ind w:left="0" w:leftChars="0" w:right="0" w:rightChars="0"/>
              <w:jc w:val="center"/>
              <w:textAlignment w:val="auto"/>
              <w:rPr>
                <w:rFonts w:hint="eastAsia" w:ascii="仿宋" w:hAnsi="仿宋" w:eastAsia="仿宋" w:cs="仿宋"/>
                <w:color w:val="auto"/>
                <w:sz w:val="24"/>
                <w:szCs w:val="24"/>
                <w:highlight w:val="none"/>
                <w:lang w:val="en-US" w:eastAsia="zh-CN"/>
              </w:rPr>
            </w:pPr>
          </w:p>
        </w:tc>
        <w:tc>
          <w:tcPr>
            <w:tcW w:w="3124" w:type="pct"/>
            <w:vAlign w:val="center"/>
          </w:tcPr>
          <w:p>
            <w:pPr>
              <w:keepNext w:val="0"/>
              <w:keepLines w:val="0"/>
              <w:pageBreakBefore w:val="0"/>
              <w:kinsoku/>
              <w:wordWrap/>
              <w:overflowPunct/>
              <w:topLinePunct w:val="0"/>
              <w:autoSpaceDE/>
              <w:autoSpaceDN/>
              <w:bidi w:val="0"/>
              <w:adjustRightInd w:val="0"/>
              <w:snapToGrid/>
              <w:spacing w:line="320" w:lineRule="exact"/>
              <w:ind w:left="0" w:leftChars="0" w:right="0" w:rightChars="0"/>
              <w:textAlignment w:val="auto"/>
              <w:rPr>
                <w:rFonts w:hint="eastAsia" w:ascii="宋体" w:hAnsi="宋体" w:cs="宋体"/>
                <w:snapToGrid w:val="0"/>
                <w:kern w:val="0"/>
                <w:szCs w:val="21"/>
                <w:lang w:val="en-US" w:eastAsia="zh-CN"/>
              </w:rPr>
            </w:pPr>
            <w:r>
              <w:rPr>
                <w:rFonts w:hint="eastAsia" w:ascii="宋体" w:hAnsi="宋体" w:cs="宋体"/>
                <w:snapToGrid w:val="0"/>
                <w:kern w:val="0"/>
                <w:szCs w:val="21"/>
                <w:highlight w:val="none"/>
                <w:lang w:val="en-US" w:eastAsia="zh-CN"/>
              </w:rPr>
              <w:t>5</w:t>
            </w:r>
            <w:r>
              <w:rPr>
                <w:rFonts w:hint="eastAsia" w:ascii="宋体" w:hAnsi="宋体" w:cs="宋体"/>
                <w:snapToGrid w:val="0"/>
                <w:kern w:val="0"/>
                <w:szCs w:val="21"/>
                <w:highlight w:val="none"/>
              </w:rPr>
              <w:t>、针对</w:t>
            </w:r>
            <w:r>
              <w:rPr>
                <w:rFonts w:hint="eastAsia" w:ascii="宋体" w:hAnsi="宋体" w:cs="宋体"/>
                <w:snapToGrid w:val="0"/>
                <w:kern w:val="0"/>
                <w:szCs w:val="21"/>
                <w:highlight w:val="none"/>
                <w:lang w:val="en-US" w:eastAsia="zh-CN"/>
              </w:rPr>
              <w:t>甲流等疾病</w:t>
            </w:r>
            <w:r>
              <w:rPr>
                <w:rFonts w:hint="eastAsia" w:ascii="宋体" w:hAnsi="宋体" w:cs="宋体"/>
                <w:snapToGrid w:val="0"/>
                <w:kern w:val="0"/>
                <w:szCs w:val="21"/>
                <w:highlight w:val="none"/>
              </w:rPr>
              <w:t>的防控管理措施、保障措施及应急方案进行打分：措施及方案完善、针对性强的，得</w:t>
            </w:r>
            <w:r>
              <w:rPr>
                <w:rFonts w:hint="eastAsia" w:ascii="宋体" w:hAnsi="宋体" w:cs="宋体"/>
                <w:snapToGrid w:val="0"/>
                <w:kern w:val="0"/>
                <w:szCs w:val="21"/>
                <w:highlight w:val="none"/>
                <w:lang w:val="en-US" w:eastAsia="zh-CN"/>
              </w:rPr>
              <w:t>5</w:t>
            </w:r>
            <w:r>
              <w:rPr>
                <w:rFonts w:hint="eastAsia" w:ascii="宋体" w:hAnsi="宋体" w:cs="宋体"/>
                <w:snapToGrid w:val="0"/>
                <w:kern w:val="0"/>
                <w:szCs w:val="21"/>
                <w:highlight w:val="none"/>
              </w:rPr>
              <w:t>分；措施及方案基本合理、可行的，得</w:t>
            </w:r>
            <w:r>
              <w:rPr>
                <w:rFonts w:hint="eastAsia" w:ascii="宋体" w:hAnsi="宋体" w:cs="宋体"/>
                <w:snapToGrid w:val="0"/>
                <w:kern w:val="0"/>
                <w:szCs w:val="21"/>
                <w:highlight w:val="none"/>
                <w:lang w:val="en-US" w:eastAsia="zh-CN"/>
              </w:rPr>
              <w:t>3</w:t>
            </w:r>
            <w:r>
              <w:rPr>
                <w:rFonts w:hint="eastAsia" w:ascii="宋体" w:hAnsi="宋体" w:cs="宋体"/>
                <w:snapToGrid w:val="0"/>
                <w:kern w:val="0"/>
                <w:szCs w:val="21"/>
                <w:highlight w:val="none"/>
              </w:rPr>
              <w:t>分；措施及方案有瑕疵的，得1分；方案不合理或未提供方案不得分。</w:t>
            </w:r>
          </w:p>
        </w:tc>
        <w:tc>
          <w:tcPr>
            <w:tcW w:w="636" w:type="pct"/>
            <w:vAlign w:val="center"/>
          </w:tcPr>
          <w:p>
            <w:pPr>
              <w:keepNext w:val="0"/>
              <w:keepLines w:val="0"/>
              <w:pageBreakBefore w:val="0"/>
              <w:kinsoku/>
              <w:wordWrap/>
              <w:overflowPunct/>
              <w:topLinePunct w:val="0"/>
              <w:autoSpaceDE/>
              <w:autoSpaceDN/>
              <w:bidi w:val="0"/>
              <w:snapToGrid w:val="0"/>
              <w:spacing w:line="240" w:lineRule="auto"/>
              <w:ind w:left="0" w:leftChars="0" w:right="0" w:rightChars="0"/>
              <w:jc w:val="center"/>
              <w:textAlignment w:val="auto"/>
              <w:rPr>
                <w:rFonts w:hint="eastAsia" w:ascii="仿宋" w:hAnsi="仿宋" w:eastAsia="仿宋" w:cs="仿宋"/>
                <w:bCs/>
                <w:color w:val="auto"/>
                <w:kern w:val="0"/>
                <w:sz w:val="24"/>
                <w:szCs w:val="24"/>
                <w:highlight w:val="none"/>
                <w:lang w:val="en-US" w:eastAsia="zh-CN" w:bidi="ar-SA"/>
              </w:rPr>
            </w:pPr>
          </w:p>
          <w:p>
            <w:pPr>
              <w:keepNext w:val="0"/>
              <w:keepLines w:val="0"/>
              <w:pageBreakBefore w:val="0"/>
              <w:kinsoku/>
              <w:wordWrap/>
              <w:overflowPunct/>
              <w:topLinePunct w:val="0"/>
              <w:autoSpaceDE/>
              <w:autoSpaceDN/>
              <w:bidi w:val="0"/>
              <w:snapToGrid w:val="0"/>
              <w:spacing w:line="240" w:lineRule="auto"/>
              <w:ind w:left="0" w:leftChars="0" w:right="0" w:rightChars="0"/>
              <w:jc w:val="center"/>
              <w:textAlignment w:val="auto"/>
              <w:rPr>
                <w:rFonts w:hint="eastAsia" w:ascii="仿宋" w:hAnsi="仿宋" w:cs="仿宋"/>
                <w:bCs/>
                <w:color w:val="auto"/>
                <w:kern w:val="0"/>
                <w:sz w:val="24"/>
                <w:szCs w:val="24"/>
                <w:highlight w:val="none"/>
                <w:lang w:val="en-US" w:eastAsia="zh-CN" w:bidi="ar-SA"/>
              </w:rPr>
            </w:pPr>
            <w:r>
              <w:rPr>
                <w:rFonts w:hint="eastAsia" w:ascii="仿宋" w:hAnsi="仿宋" w:cs="仿宋"/>
                <w:bCs/>
                <w:color w:val="auto"/>
                <w:kern w:val="0"/>
                <w:sz w:val="24"/>
                <w:szCs w:val="24"/>
                <w:highlight w:val="none"/>
                <w:lang w:val="en-US" w:eastAsia="zh-CN" w:bidi="ar-SA"/>
              </w:rPr>
              <w:t>5</w:t>
            </w:r>
          </w:p>
          <w:p>
            <w:pPr>
              <w:keepNext w:val="0"/>
              <w:keepLines w:val="0"/>
              <w:pageBreakBefore w:val="0"/>
              <w:kinsoku/>
              <w:wordWrap/>
              <w:overflowPunct/>
              <w:topLinePunct w:val="0"/>
              <w:autoSpaceDE/>
              <w:autoSpaceDN/>
              <w:bidi w:val="0"/>
              <w:snapToGrid w:val="0"/>
              <w:spacing w:line="240" w:lineRule="auto"/>
              <w:ind w:left="0" w:leftChars="0" w:right="0" w:rightChars="0"/>
              <w:jc w:val="center"/>
              <w:textAlignment w:val="auto"/>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（主观）</w:t>
            </w:r>
          </w:p>
        </w:tc>
        <w:tc>
          <w:tcPr>
            <w:tcW w:w="868" w:type="pct"/>
            <w:vMerge w:val="continue"/>
            <w:vAlign w:val="center"/>
          </w:tcPr>
          <w:p>
            <w:pPr>
              <w:keepNext w:val="0"/>
              <w:keepLines w:val="0"/>
              <w:pageBreakBefore w:val="0"/>
              <w:widowControl/>
              <w:kinsoku/>
              <w:wordWrap/>
              <w:overflowPunct/>
              <w:topLinePunct w:val="0"/>
              <w:autoSpaceDN/>
              <w:bidi w:val="0"/>
              <w:spacing w:line="240" w:lineRule="auto"/>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70" w:type="pct"/>
            <w:vMerge w:val="restart"/>
            <w:vAlign w:val="center"/>
          </w:tcPr>
          <w:p>
            <w:pPr>
              <w:keepNext w:val="0"/>
              <w:keepLines w:val="0"/>
              <w:pageBreakBefore w:val="0"/>
              <w:kinsoku/>
              <w:wordWrap/>
              <w:overflowPunct/>
              <w:topLinePunct w:val="0"/>
              <w:autoSpaceDN/>
              <w:bidi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3124" w:type="pct"/>
            <w:vAlign w:val="center"/>
          </w:tcPr>
          <w:p>
            <w:pPr>
              <w:keepNext w:val="0"/>
              <w:keepLines w:val="0"/>
              <w:pageBreakBefore w:val="0"/>
              <w:kinsoku/>
              <w:wordWrap/>
              <w:overflowPunct/>
              <w:topLinePunct w:val="0"/>
              <w:autoSpaceDE/>
              <w:autoSpaceDN/>
              <w:bidi w:val="0"/>
              <w:adjustRightInd w:val="0"/>
              <w:snapToGrid/>
              <w:spacing w:line="320" w:lineRule="exact"/>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rPr>
              <w:t>1、工作程序和步骤、管理和协调方法、关键步骤和要点条理清晰、详细完整：供应商具有完善的相关处理机制，且有效、及时、到位，考虑周全得5分；供应商具有较为完善得相关处理机制、且较为有效、及时、到位得4分；供应商具有基本完善得相关处理机制、且基本有效、及时、到位得3分；供应商相关处理机制内容有所欠缺，有效性、及时性有较为不足，需进一步完善得2分；供应商相关处理机制内容欠缺较多，有效性、及时性有一定不足，需进一步完善得1分；方案不合理或未提供方案不得分。</w:t>
            </w:r>
          </w:p>
        </w:tc>
        <w:tc>
          <w:tcPr>
            <w:tcW w:w="636" w:type="pct"/>
            <w:vAlign w:val="center"/>
          </w:tcPr>
          <w:p>
            <w:pPr>
              <w:keepNext w:val="0"/>
              <w:keepLines w:val="0"/>
              <w:pageBreakBefore w:val="0"/>
              <w:kinsoku/>
              <w:wordWrap/>
              <w:overflowPunct/>
              <w:topLinePunct w:val="0"/>
              <w:autoSpaceDE/>
              <w:autoSpaceDN/>
              <w:bidi w:val="0"/>
              <w:snapToGrid w:val="0"/>
              <w:spacing w:line="240" w:lineRule="auto"/>
              <w:ind w:left="0" w:leftChars="0" w:right="0" w:rightChars="0"/>
              <w:jc w:val="center"/>
              <w:textAlignment w:val="auto"/>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5</w:t>
            </w:r>
          </w:p>
          <w:p>
            <w:pPr>
              <w:keepNext w:val="0"/>
              <w:keepLines w:val="0"/>
              <w:pageBreakBefore w:val="0"/>
              <w:kinsoku/>
              <w:wordWrap/>
              <w:overflowPunct/>
              <w:topLinePunct w:val="0"/>
              <w:autoSpaceDE w:val="0"/>
              <w:autoSpaceDN/>
              <w:bidi w:val="0"/>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lang w:val="en-US" w:eastAsia="zh-CN" w:bidi="ar-SA"/>
              </w:rPr>
              <w:t>（主观）</w:t>
            </w:r>
          </w:p>
        </w:tc>
        <w:tc>
          <w:tcPr>
            <w:tcW w:w="868" w:type="pct"/>
            <w:vMerge w:val="restart"/>
            <w:vAlign w:val="center"/>
          </w:tcPr>
          <w:p>
            <w:pPr>
              <w:keepNext w:val="0"/>
              <w:keepLines w:val="0"/>
              <w:pageBreakBefore w:val="0"/>
              <w:kinsoku/>
              <w:wordWrap/>
              <w:overflowPunct/>
              <w:topLinePunct w:val="0"/>
              <w:bidi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zh-CN"/>
              </w:rPr>
              <w:t>服务实施计划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0" w:type="pct"/>
            <w:vMerge w:val="continue"/>
            <w:vAlign w:val="center"/>
          </w:tcPr>
          <w:p>
            <w:pPr>
              <w:keepNext w:val="0"/>
              <w:keepLines w:val="0"/>
              <w:pageBreakBefore w:val="0"/>
              <w:kinsoku/>
              <w:wordWrap/>
              <w:overflowPunct/>
              <w:topLinePunct w:val="0"/>
              <w:autoSpaceDN/>
              <w:bidi w:val="0"/>
              <w:spacing w:line="240" w:lineRule="auto"/>
              <w:jc w:val="center"/>
              <w:rPr>
                <w:rFonts w:hint="eastAsia" w:ascii="仿宋" w:hAnsi="仿宋" w:eastAsia="仿宋" w:cs="仿宋"/>
                <w:color w:val="auto"/>
                <w:sz w:val="24"/>
                <w:szCs w:val="24"/>
                <w:highlight w:val="none"/>
                <w:lang w:val="en-US" w:eastAsia="zh-CN"/>
              </w:rPr>
            </w:pPr>
          </w:p>
        </w:tc>
        <w:tc>
          <w:tcPr>
            <w:tcW w:w="3124" w:type="pct"/>
            <w:vAlign w:val="center"/>
          </w:tcPr>
          <w:p>
            <w:pPr>
              <w:keepNext w:val="0"/>
              <w:keepLines w:val="0"/>
              <w:pageBreakBefore w:val="0"/>
              <w:kinsoku/>
              <w:wordWrap/>
              <w:overflowPunct/>
              <w:topLinePunct w:val="0"/>
              <w:autoSpaceDE/>
              <w:autoSpaceDN/>
              <w:bidi w:val="0"/>
              <w:adjustRightInd w:val="0"/>
              <w:snapToGrid/>
              <w:spacing w:line="320" w:lineRule="exact"/>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snapToGrid w:val="0"/>
                <w:kern w:val="0"/>
                <w:sz w:val="24"/>
                <w:szCs w:val="24"/>
                <w:lang w:val="en-US" w:eastAsia="zh-CN"/>
              </w:rPr>
              <w:t>2</w:t>
            </w:r>
            <w:r>
              <w:rPr>
                <w:rFonts w:hint="eastAsia" w:ascii="仿宋" w:hAnsi="仿宋" w:eastAsia="仿宋" w:cs="仿宋"/>
                <w:snapToGrid w:val="0"/>
                <w:kern w:val="0"/>
                <w:sz w:val="24"/>
                <w:szCs w:val="24"/>
              </w:rPr>
              <w:t>、</w:t>
            </w:r>
            <w:r>
              <w:rPr>
                <w:rFonts w:hint="eastAsia" w:ascii="仿宋" w:hAnsi="仿宋" w:eastAsia="仿宋" w:cs="仿宋"/>
                <w:sz w:val="24"/>
                <w:szCs w:val="24"/>
              </w:rPr>
              <w:t>根据供应商的安全保障性方案、应急预案，对活动中如出现的突发情况进行分析及提出合理的应对措施方案，进行打分：方案内容完整且、考虑周到与项目匹配度好的得</w:t>
            </w:r>
            <w:r>
              <w:rPr>
                <w:rFonts w:hint="eastAsia" w:ascii="仿宋" w:hAnsi="仿宋" w:cs="仿宋"/>
                <w:sz w:val="24"/>
                <w:szCs w:val="24"/>
                <w:lang w:val="en-US" w:eastAsia="zh-CN"/>
              </w:rPr>
              <w:t>5</w:t>
            </w:r>
            <w:r>
              <w:rPr>
                <w:rFonts w:hint="eastAsia" w:ascii="仿宋" w:hAnsi="仿宋" w:eastAsia="仿宋" w:cs="仿宋"/>
                <w:sz w:val="24"/>
                <w:szCs w:val="24"/>
              </w:rPr>
              <w:t>分；方案内容基本完整、考虑到位与项目匹配度一般的得</w:t>
            </w:r>
            <w:r>
              <w:rPr>
                <w:rFonts w:hint="eastAsia" w:ascii="仿宋" w:hAnsi="仿宋" w:cs="仿宋"/>
                <w:sz w:val="24"/>
                <w:szCs w:val="24"/>
                <w:lang w:val="en-US" w:eastAsia="zh-CN"/>
              </w:rPr>
              <w:t>3</w:t>
            </w:r>
            <w:r>
              <w:rPr>
                <w:rFonts w:hint="eastAsia" w:ascii="仿宋" w:hAnsi="仿宋" w:eastAsia="仿宋" w:cs="仿宋"/>
                <w:sz w:val="24"/>
                <w:szCs w:val="24"/>
              </w:rPr>
              <w:t>分；方案内容略有瑕疵的，得1分.</w:t>
            </w:r>
            <w:r>
              <w:rPr>
                <w:rFonts w:hint="eastAsia" w:ascii="仿宋" w:hAnsi="仿宋" w:eastAsia="仿宋" w:cs="仿宋"/>
                <w:sz w:val="24"/>
                <w:szCs w:val="24"/>
                <w:lang w:val="en-US"/>
              </w:rPr>
              <w:t>方案内容缺失严重、应对失措或与项目不匹配的不得分。</w:t>
            </w:r>
          </w:p>
        </w:tc>
        <w:tc>
          <w:tcPr>
            <w:tcW w:w="636" w:type="pct"/>
            <w:vAlign w:val="center"/>
          </w:tcPr>
          <w:p>
            <w:pPr>
              <w:keepNext w:val="0"/>
              <w:keepLines w:val="0"/>
              <w:pageBreakBefore w:val="0"/>
              <w:kinsoku/>
              <w:wordWrap/>
              <w:overflowPunct/>
              <w:topLinePunct w:val="0"/>
              <w:autoSpaceDE w:val="0"/>
              <w:autoSpaceDN/>
              <w:bidi w:val="0"/>
              <w:adjustRightInd w:val="0"/>
              <w:snapToGrid w:val="0"/>
              <w:spacing w:line="240" w:lineRule="auto"/>
              <w:jc w:val="center"/>
              <w:rPr>
                <w:rFonts w:hint="eastAsia" w:ascii="仿宋" w:hAnsi="仿宋" w:cs="仿宋"/>
                <w:bCs/>
                <w:color w:val="auto"/>
                <w:kern w:val="0"/>
                <w:sz w:val="24"/>
                <w:szCs w:val="24"/>
                <w:highlight w:val="none"/>
                <w:lang w:val="en-US" w:eastAsia="zh-CN" w:bidi="ar-SA"/>
              </w:rPr>
            </w:pPr>
            <w:r>
              <w:rPr>
                <w:rFonts w:hint="eastAsia" w:ascii="仿宋" w:hAnsi="仿宋" w:cs="仿宋"/>
                <w:bCs/>
                <w:color w:val="auto"/>
                <w:kern w:val="0"/>
                <w:sz w:val="24"/>
                <w:szCs w:val="24"/>
                <w:highlight w:val="none"/>
                <w:lang w:val="en-US" w:eastAsia="zh-CN" w:bidi="ar-SA"/>
              </w:rPr>
              <w:t>5</w:t>
            </w:r>
          </w:p>
          <w:p>
            <w:pPr>
              <w:keepNext w:val="0"/>
              <w:keepLines w:val="0"/>
              <w:pageBreakBefore w:val="0"/>
              <w:kinsoku/>
              <w:wordWrap/>
              <w:overflowPunct/>
              <w:topLinePunct w:val="0"/>
              <w:autoSpaceDE w:val="0"/>
              <w:autoSpaceDN/>
              <w:bidi w:val="0"/>
              <w:adjustRightInd w:val="0"/>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lang w:val="en-US" w:eastAsia="zh-CN" w:bidi="ar-SA"/>
              </w:rPr>
              <w:t>（主观）</w:t>
            </w:r>
          </w:p>
        </w:tc>
        <w:tc>
          <w:tcPr>
            <w:tcW w:w="868" w:type="pct"/>
            <w:vMerge w:val="continue"/>
            <w:vAlign w:val="center"/>
          </w:tcPr>
          <w:p>
            <w:pPr>
              <w:keepNext w:val="0"/>
              <w:keepLines w:val="0"/>
              <w:pageBreakBefore w:val="0"/>
              <w:kinsoku/>
              <w:wordWrap/>
              <w:overflowPunct/>
              <w:topLinePunct w:val="0"/>
              <w:bidi w:val="0"/>
              <w:spacing w:line="240" w:lineRule="auto"/>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70" w:type="pct"/>
            <w:vMerge w:val="continue"/>
            <w:vAlign w:val="center"/>
          </w:tcPr>
          <w:p>
            <w:pPr>
              <w:keepNext w:val="0"/>
              <w:keepLines w:val="0"/>
              <w:pageBreakBefore w:val="0"/>
              <w:kinsoku/>
              <w:wordWrap/>
              <w:overflowPunct/>
              <w:topLinePunct w:val="0"/>
              <w:autoSpaceDN/>
              <w:bidi w:val="0"/>
              <w:spacing w:line="240" w:lineRule="auto"/>
              <w:jc w:val="center"/>
              <w:rPr>
                <w:rFonts w:hint="eastAsia" w:ascii="仿宋" w:hAnsi="仿宋" w:eastAsia="仿宋" w:cs="仿宋"/>
                <w:color w:val="auto"/>
                <w:sz w:val="24"/>
                <w:szCs w:val="24"/>
                <w:highlight w:val="none"/>
                <w:lang w:val="en-US" w:eastAsia="zh-CN"/>
              </w:rPr>
            </w:pPr>
          </w:p>
        </w:tc>
        <w:tc>
          <w:tcPr>
            <w:tcW w:w="3124" w:type="pct"/>
            <w:vAlign w:val="center"/>
          </w:tcPr>
          <w:p>
            <w:pPr>
              <w:keepNext w:val="0"/>
              <w:keepLines w:val="0"/>
              <w:pageBreakBefore w:val="0"/>
              <w:kinsoku/>
              <w:wordWrap/>
              <w:overflowPunct/>
              <w:topLinePunct w:val="0"/>
              <w:autoSpaceDE/>
              <w:autoSpaceDN/>
              <w:bidi w:val="0"/>
              <w:adjustRightInd w:val="0"/>
              <w:snapToGrid/>
              <w:spacing w:line="320" w:lineRule="exact"/>
              <w:ind w:left="0" w:leftChars="0" w:right="0" w:rightChars="0"/>
              <w:textAlignment w:val="auto"/>
              <w:rPr>
                <w:rFonts w:hint="eastAsia" w:ascii="仿宋" w:hAnsi="仿宋" w:eastAsia="仿宋" w:cs="仿宋"/>
                <w:snapToGrid w:val="0"/>
                <w:kern w:val="0"/>
                <w:sz w:val="24"/>
                <w:szCs w:val="24"/>
                <w:lang w:val="en-US" w:eastAsia="zh-CN" w:bidi="ar-SA"/>
              </w:rPr>
            </w:pPr>
            <w:r>
              <w:rPr>
                <w:rFonts w:hint="eastAsia" w:ascii="仿宋" w:hAnsi="仿宋" w:cs="仿宋"/>
                <w:snapToGrid w:val="0"/>
                <w:kern w:val="0"/>
                <w:sz w:val="24"/>
                <w:szCs w:val="24"/>
                <w:lang w:val="en-US" w:eastAsia="zh-CN"/>
              </w:rPr>
              <w:t>3</w:t>
            </w:r>
            <w:r>
              <w:rPr>
                <w:rFonts w:hint="eastAsia" w:ascii="仿宋" w:hAnsi="仿宋" w:eastAsia="仿宋" w:cs="仿宋"/>
                <w:snapToGrid w:val="0"/>
                <w:kern w:val="0"/>
                <w:sz w:val="24"/>
                <w:szCs w:val="24"/>
              </w:rPr>
              <w:t>、问题处理：针对在外出活动过程中如遇到人员受伤等问题，投标人具有完善的相关处理机制，且有效、及时、到位，考虑周全：供应商具有完善的相关处理机制，且有效、及时、到位，考虑周全得</w:t>
            </w:r>
            <w:r>
              <w:rPr>
                <w:rFonts w:hint="eastAsia" w:ascii="仿宋" w:hAnsi="仿宋" w:cs="仿宋"/>
                <w:snapToGrid w:val="0"/>
                <w:kern w:val="0"/>
                <w:sz w:val="24"/>
                <w:szCs w:val="24"/>
                <w:lang w:val="en-US" w:eastAsia="zh-CN"/>
              </w:rPr>
              <w:t>5</w:t>
            </w:r>
            <w:r>
              <w:rPr>
                <w:rFonts w:hint="eastAsia" w:ascii="仿宋" w:hAnsi="仿宋" w:eastAsia="仿宋" w:cs="仿宋"/>
                <w:snapToGrid w:val="0"/>
                <w:kern w:val="0"/>
                <w:sz w:val="24"/>
                <w:szCs w:val="24"/>
              </w:rPr>
              <w:t>分；供应商具有较为完善得相关处理机制、且较为有效、及时、到位得</w:t>
            </w:r>
            <w:r>
              <w:rPr>
                <w:rFonts w:hint="eastAsia" w:ascii="仿宋" w:hAnsi="仿宋" w:cs="仿宋"/>
                <w:snapToGrid w:val="0"/>
                <w:kern w:val="0"/>
                <w:sz w:val="24"/>
                <w:szCs w:val="24"/>
                <w:lang w:val="en-US" w:eastAsia="zh-CN"/>
              </w:rPr>
              <w:t>3</w:t>
            </w:r>
            <w:r>
              <w:rPr>
                <w:rFonts w:hint="eastAsia" w:ascii="仿宋" w:hAnsi="仿宋" w:eastAsia="仿宋" w:cs="仿宋"/>
                <w:snapToGrid w:val="0"/>
                <w:kern w:val="0"/>
                <w:sz w:val="24"/>
                <w:szCs w:val="24"/>
              </w:rPr>
              <w:t xml:space="preserve">分；供应商相关处理机制内容有所欠缺，有效性、及时性有一定不足，需进一步完善得1分；方案不合理或未提供方案不得分。 </w:t>
            </w:r>
          </w:p>
        </w:tc>
        <w:tc>
          <w:tcPr>
            <w:tcW w:w="636" w:type="pct"/>
            <w:vAlign w:val="center"/>
          </w:tcPr>
          <w:p>
            <w:pPr>
              <w:keepNext w:val="0"/>
              <w:keepLines w:val="0"/>
              <w:pageBreakBefore w:val="0"/>
              <w:kinsoku/>
              <w:wordWrap/>
              <w:overflowPunct/>
              <w:topLinePunct w:val="0"/>
              <w:autoSpaceDE w:val="0"/>
              <w:autoSpaceDN/>
              <w:bidi w:val="0"/>
              <w:adjustRightInd w:val="0"/>
              <w:snapToGrid w:val="0"/>
              <w:spacing w:line="240" w:lineRule="auto"/>
              <w:jc w:val="center"/>
              <w:rPr>
                <w:rFonts w:hint="eastAsia" w:ascii="仿宋" w:hAnsi="仿宋" w:cs="仿宋"/>
                <w:bCs/>
                <w:color w:val="auto"/>
                <w:kern w:val="0"/>
                <w:sz w:val="24"/>
                <w:szCs w:val="24"/>
                <w:highlight w:val="none"/>
                <w:lang w:val="en-US" w:eastAsia="zh-CN" w:bidi="ar-SA"/>
              </w:rPr>
            </w:pPr>
            <w:r>
              <w:rPr>
                <w:rFonts w:hint="eastAsia" w:ascii="仿宋" w:hAnsi="仿宋" w:cs="仿宋"/>
                <w:bCs/>
                <w:color w:val="auto"/>
                <w:kern w:val="0"/>
                <w:sz w:val="24"/>
                <w:szCs w:val="24"/>
                <w:highlight w:val="none"/>
                <w:lang w:val="en-US" w:eastAsia="zh-CN" w:bidi="ar-SA"/>
              </w:rPr>
              <w:t>5</w:t>
            </w:r>
          </w:p>
          <w:p>
            <w:pPr>
              <w:keepNext w:val="0"/>
              <w:keepLines w:val="0"/>
              <w:pageBreakBefore w:val="0"/>
              <w:kinsoku/>
              <w:wordWrap/>
              <w:overflowPunct/>
              <w:topLinePunct w:val="0"/>
              <w:autoSpaceDE w:val="0"/>
              <w:autoSpaceDN/>
              <w:bidi w:val="0"/>
              <w:adjustRightInd w:val="0"/>
              <w:snapToGrid w:val="0"/>
              <w:spacing w:line="240" w:lineRule="auto"/>
              <w:jc w:val="cente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（主观）</w:t>
            </w:r>
          </w:p>
        </w:tc>
        <w:tc>
          <w:tcPr>
            <w:tcW w:w="868" w:type="pct"/>
            <w:vMerge w:val="continue"/>
            <w:vAlign w:val="center"/>
          </w:tcPr>
          <w:p>
            <w:pPr>
              <w:keepNext w:val="0"/>
              <w:keepLines w:val="0"/>
              <w:pageBreakBefore w:val="0"/>
              <w:kinsoku/>
              <w:wordWrap/>
              <w:overflowPunct/>
              <w:topLinePunct w:val="0"/>
              <w:bidi w:val="0"/>
              <w:spacing w:line="24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70" w:type="pct"/>
            <w:vMerge w:val="continue"/>
            <w:vAlign w:val="center"/>
          </w:tcPr>
          <w:p>
            <w:pPr>
              <w:keepNext w:val="0"/>
              <w:keepLines w:val="0"/>
              <w:pageBreakBefore w:val="0"/>
              <w:kinsoku/>
              <w:wordWrap/>
              <w:overflowPunct/>
              <w:topLinePunct w:val="0"/>
              <w:autoSpaceDN/>
              <w:bidi w:val="0"/>
              <w:spacing w:line="240" w:lineRule="auto"/>
              <w:jc w:val="center"/>
              <w:rPr>
                <w:rFonts w:hint="eastAsia" w:ascii="仿宋" w:hAnsi="仿宋" w:eastAsia="仿宋" w:cs="仿宋"/>
                <w:color w:val="auto"/>
                <w:sz w:val="24"/>
                <w:szCs w:val="24"/>
                <w:highlight w:val="none"/>
                <w:lang w:val="en-US" w:eastAsia="zh-CN"/>
              </w:rPr>
            </w:pPr>
          </w:p>
        </w:tc>
        <w:tc>
          <w:tcPr>
            <w:tcW w:w="3124" w:type="pct"/>
            <w:vAlign w:val="center"/>
          </w:tcPr>
          <w:p>
            <w:pPr>
              <w:keepNext w:val="0"/>
              <w:keepLines w:val="0"/>
              <w:pageBreakBefore w:val="0"/>
              <w:widowControl/>
              <w:kinsoku/>
              <w:wordWrap/>
              <w:overflowPunct/>
              <w:topLinePunct w:val="0"/>
              <w:autoSpaceDE/>
              <w:autoSpaceDN/>
              <w:bidi w:val="0"/>
              <w:adjustRightInd w:val="0"/>
              <w:snapToGrid/>
              <w:spacing w:line="320" w:lineRule="exact"/>
              <w:ind w:left="0" w:leftChars="0" w:right="0" w:rightChars="0"/>
              <w:jc w:val="left"/>
              <w:textAlignment w:val="auto"/>
              <w:rPr>
                <w:rFonts w:hint="eastAsia" w:ascii="仿宋" w:hAnsi="仿宋" w:eastAsia="仿宋" w:cs="仿宋"/>
                <w:snapToGrid w:val="0"/>
                <w:kern w:val="0"/>
                <w:sz w:val="24"/>
                <w:szCs w:val="24"/>
              </w:rPr>
            </w:pPr>
            <w:r>
              <w:rPr>
                <w:rFonts w:hint="eastAsia" w:ascii="仿宋" w:hAnsi="仿宋" w:cs="仿宋"/>
                <w:kern w:val="0"/>
                <w:sz w:val="24"/>
                <w:szCs w:val="24"/>
                <w:lang w:val="en-US" w:eastAsia="zh-CN"/>
              </w:rPr>
              <w:t>4</w:t>
            </w:r>
            <w:r>
              <w:rPr>
                <w:rFonts w:hint="eastAsia" w:ascii="仿宋" w:hAnsi="仿宋" w:eastAsia="仿宋" w:cs="仿宋"/>
                <w:kern w:val="0"/>
                <w:sz w:val="24"/>
                <w:szCs w:val="24"/>
              </w:rPr>
              <w:t>、根据供应商提供的针对活动中可能发生投诉的风险点的分析及应对处理措施进行打分：方案针对性强、措施到位的，得</w:t>
            </w:r>
            <w:r>
              <w:rPr>
                <w:rFonts w:hint="eastAsia" w:ascii="仿宋" w:hAnsi="仿宋" w:cs="仿宋"/>
                <w:kern w:val="0"/>
                <w:sz w:val="24"/>
                <w:szCs w:val="24"/>
                <w:lang w:val="en-US" w:eastAsia="zh-CN"/>
              </w:rPr>
              <w:t>5</w:t>
            </w:r>
            <w:r>
              <w:rPr>
                <w:rFonts w:hint="eastAsia" w:ascii="仿宋" w:hAnsi="仿宋" w:eastAsia="仿宋" w:cs="仿宋"/>
                <w:kern w:val="0"/>
                <w:sz w:val="24"/>
                <w:szCs w:val="24"/>
              </w:rPr>
              <w:t>分；方案针对性较强，措施较合理的，得3分；方案有针对性内容的，措施合理性一般得2分；方案有瑕疵，措施有瑕疵的得1分；</w:t>
            </w:r>
            <w:r>
              <w:rPr>
                <w:rFonts w:hint="eastAsia" w:ascii="仿宋" w:hAnsi="仿宋" w:eastAsia="仿宋" w:cs="仿宋"/>
                <w:snapToGrid w:val="0"/>
                <w:kern w:val="0"/>
                <w:sz w:val="24"/>
                <w:szCs w:val="24"/>
              </w:rPr>
              <w:t>方案不合理或未提供方案不得分。</w:t>
            </w:r>
          </w:p>
        </w:tc>
        <w:tc>
          <w:tcPr>
            <w:tcW w:w="636" w:type="pct"/>
            <w:vAlign w:val="center"/>
          </w:tcPr>
          <w:p>
            <w:pPr>
              <w:keepNext w:val="0"/>
              <w:keepLines w:val="0"/>
              <w:pageBreakBefore w:val="0"/>
              <w:kinsoku/>
              <w:wordWrap/>
              <w:overflowPunct/>
              <w:topLinePunct w:val="0"/>
              <w:autoSpaceDN/>
              <w:bidi w:val="0"/>
              <w:spacing w:line="240" w:lineRule="auto"/>
              <w:jc w:val="center"/>
              <w:rPr>
                <w:rFonts w:hint="eastAsia" w:ascii="仿宋" w:hAnsi="仿宋" w:cs="仿宋"/>
                <w:bCs/>
                <w:color w:val="auto"/>
                <w:kern w:val="0"/>
                <w:sz w:val="24"/>
                <w:szCs w:val="24"/>
                <w:highlight w:val="none"/>
                <w:lang w:val="en-US" w:eastAsia="zh-CN" w:bidi="ar-SA"/>
              </w:rPr>
            </w:pPr>
            <w:r>
              <w:rPr>
                <w:rFonts w:hint="eastAsia" w:ascii="仿宋" w:hAnsi="仿宋" w:cs="仿宋"/>
                <w:bCs/>
                <w:color w:val="auto"/>
                <w:kern w:val="0"/>
                <w:sz w:val="24"/>
                <w:szCs w:val="24"/>
                <w:highlight w:val="none"/>
                <w:lang w:val="en-US" w:eastAsia="zh-CN" w:bidi="ar-SA"/>
              </w:rPr>
              <w:t>5</w:t>
            </w:r>
          </w:p>
          <w:p>
            <w:pPr>
              <w:keepNext w:val="0"/>
              <w:keepLines w:val="0"/>
              <w:pageBreakBefore w:val="0"/>
              <w:kinsoku/>
              <w:wordWrap/>
              <w:overflowPunct/>
              <w:topLinePunct w:val="0"/>
              <w:autoSpaceDN/>
              <w:bidi w:val="0"/>
              <w:spacing w:line="240" w:lineRule="auto"/>
              <w:jc w:val="cente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（主观）</w:t>
            </w:r>
          </w:p>
        </w:tc>
        <w:tc>
          <w:tcPr>
            <w:tcW w:w="868" w:type="pct"/>
            <w:vMerge w:val="continue"/>
            <w:vAlign w:val="center"/>
          </w:tcPr>
          <w:p>
            <w:pPr>
              <w:keepNext w:val="0"/>
              <w:keepLines w:val="0"/>
              <w:pageBreakBefore w:val="0"/>
              <w:kinsoku/>
              <w:wordWrap/>
              <w:overflowPunct/>
              <w:topLinePunct w:val="0"/>
              <w:bidi w:val="0"/>
              <w:spacing w:line="24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70" w:type="pct"/>
            <w:vMerge w:val="continue"/>
            <w:vAlign w:val="center"/>
          </w:tcPr>
          <w:p>
            <w:pPr>
              <w:keepNext w:val="0"/>
              <w:keepLines w:val="0"/>
              <w:pageBreakBefore w:val="0"/>
              <w:kinsoku/>
              <w:wordWrap/>
              <w:overflowPunct/>
              <w:topLinePunct w:val="0"/>
              <w:autoSpaceDN/>
              <w:bidi w:val="0"/>
              <w:spacing w:line="240" w:lineRule="auto"/>
              <w:jc w:val="center"/>
              <w:rPr>
                <w:rFonts w:hint="eastAsia" w:ascii="仿宋" w:hAnsi="仿宋" w:eastAsia="仿宋" w:cs="仿宋"/>
                <w:color w:val="auto"/>
                <w:sz w:val="24"/>
                <w:szCs w:val="24"/>
                <w:highlight w:val="none"/>
                <w:lang w:val="en-US" w:eastAsia="zh-CN"/>
              </w:rPr>
            </w:pPr>
          </w:p>
        </w:tc>
        <w:tc>
          <w:tcPr>
            <w:tcW w:w="3124" w:type="pct"/>
            <w:vAlign w:val="center"/>
          </w:tcPr>
          <w:p>
            <w:pPr>
              <w:keepNext w:val="0"/>
              <w:keepLines w:val="0"/>
              <w:pageBreakBefore w:val="0"/>
              <w:widowControl/>
              <w:kinsoku/>
              <w:wordWrap/>
              <w:overflowPunct/>
              <w:topLinePunct w:val="0"/>
              <w:autoSpaceDE/>
              <w:autoSpaceDN/>
              <w:bidi w:val="0"/>
              <w:adjustRightInd w:val="0"/>
              <w:snapToGrid/>
              <w:spacing w:line="320" w:lineRule="exact"/>
              <w:ind w:left="0" w:leftChars="0" w:right="0" w:rightChars="0"/>
              <w:jc w:val="left"/>
              <w:textAlignment w:val="auto"/>
              <w:rPr>
                <w:rFonts w:hint="eastAsia" w:ascii="仿宋" w:hAnsi="仿宋" w:eastAsia="仿宋" w:cs="仿宋"/>
                <w:snapToGrid w:val="0"/>
                <w:kern w:val="0"/>
                <w:sz w:val="24"/>
                <w:szCs w:val="24"/>
              </w:rPr>
            </w:pPr>
            <w:r>
              <w:rPr>
                <w:rFonts w:hint="eastAsia" w:ascii="仿宋" w:hAnsi="仿宋" w:cs="仿宋"/>
                <w:sz w:val="24"/>
                <w:szCs w:val="24"/>
                <w:lang w:val="en-US" w:eastAsia="zh-CN"/>
              </w:rPr>
              <w:t>5</w:t>
            </w:r>
            <w:r>
              <w:rPr>
                <w:rFonts w:hint="eastAsia" w:ascii="仿宋" w:hAnsi="仿宋" w:eastAsia="仿宋" w:cs="仿宋"/>
                <w:kern w:val="0"/>
                <w:sz w:val="24"/>
                <w:szCs w:val="24"/>
              </w:rPr>
              <w:t>、根据供应商提供的对参加活动人员名单和个人信息的保密措施和方案的针对性、可行性进行打分。措施及方案完善、针对性强的，得</w:t>
            </w:r>
            <w:r>
              <w:rPr>
                <w:rFonts w:hint="eastAsia" w:ascii="仿宋" w:hAnsi="仿宋" w:cs="仿宋"/>
                <w:kern w:val="0"/>
                <w:sz w:val="24"/>
                <w:szCs w:val="24"/>
                <w:lang w:val="en-US" w:eastAsia="zh-CN"/>
              </w:rPr>
              <w:t>5</w:t>
            </w:r>
            <w:r>
              <w:rPr>
                <w:rFonts w:hint="eastAsia" w:ascii="仿宋" w:hAnsi="仿宋" w:eastAsia="仿宋" w:cs="仿宋"/>
                <w:kern w:val="0"/>
                <w:sz w:val="24"/>
                <w:szCs w:val="24"/>
              </w:rPr>
              <w:t>分；措施及方案基本合理、可行的，得</w:t>
            </w:r>
            <w:r>
              <w:rPr>
                <w:rFonts w:hint="eastAsia" w:ascii="仿宋" w:hAnsi="仿宋" w:cs="仿宋"/>
                <w:kern w:val="0"/>
                <w:sz w:val="24"/>
                <w:szCs w:val="24"/>
                <w:lang w:val="en-US" w:eastAsia="zh-CN"/>
              </w:rPr>
              <w:t>3</w:t>
            </w:r>
            <w:r>
              <w:rPr>
                <w:rFonts w:hint="eastAsia" w:ascii="仿宋" w:hAnsi="仿宋" w:eastAsia="仿宋" w:cs="仿宋"/>
                <w:kern w:val="0"/>
                <w:sz w:val="24"/>
                <w:szCs w:val="24"/>
              </w:rPr>
              <w:t>分；措施及方案略有瑕疵的，得1分；无内容不得分。</w:t>
            </w:r>
          </w:p>
        </w:tc>
        <w:tc>
          <w:tcPr>
            <w:tcW w:w="636" w:type="pct"/>
            <w:vAlign w:val="center"/>
          </w:tcPr>
          <w:p>
            <w:pPr>
              <w:keepNext w:val="0"/>
              <w:keepLines w:val="0"/>
              <w:pageBreakBefore w:val="0"/>
              <w:kinsoku/>
              <w:wordWrap/>
              <w:overflowPunct/>
              <w:topLinePunct w:val="0"/>
              <w:autoSpaceDN/>
              <w:bidi w:val="0"/>
              <w:spacing w:line="240" w:lineRule="auto"/>
              <w:jc w:val="center"/>
              <w:rPr>
                <w:rFonts w:hint="eastAsia" w:ascii="仿宋" w:hAnsi="仿宋" w:cs="仿宋"/>
                <w:bCs/>
                <w:color w:val="auto"/>
                <w:kern w:val="0"/>
                <w:sz w:val="24"/>
                <w:szCs w:val="24"/>
                <w:highlight w:val="none"/>
                <w:lang w:val="en-US" w:eastAsia="zh-CN" w:bidi="ar-SA"/>
              </w:rPr>
            </w:pPr>
            <w:r>
              <w:rPr>
                <w:rFonts w:hint="eastAsia" w:ascii="仿宋" w:hAnsi="仿宋" w:cs="仿宋"/>
                <w:bCs/>
                <w:color w:val="auto"/>
                <w:kern w:val="0"/>
                <w:sz w:val="24"/>
                <w:szCs w:val="24"/>
                <w:highlight w:val="none"/>
                <w:lang w:val="en-US" w:eastAsia="zh-CN" w:bidi="ar-SA"/>
              </w:rPr>
              <w:t>5</w:t>
            </w:r>
          </w:p>
          <w:p>
            <w:pPr>
              <w:keepNext w:val="0"/>
              <w:keepLines w:val="0"/>
              <w:pageBreakBefore w:val="0"/>
              <w:kinsoku/>
              <w:wordWrap/>
              <w:overflowPunct/>
              <w:topLinePunct w:val="0"/>
              <w:autoSpaceDN/>
              <w:bidi w:val="0"/>
              <w:spacing w:line="240" w:lineRule="auto"/>
              <w:jc w:val="cente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（主观）</w:t>
            </w:r>
          </w:p>
        </w:tc>
        <w:tc>
          <w:tcPr>
            <w:tcW w:w="868" w:type="pct"/>
            <w:vMerge w:val="continue"/>
            <w:vAlign w:val="center"/>
          </w:tcPr>
          <w:p>
            <w:pPr>
              <w:keepNext w:val="0"/>
              <w:keepLines w:val="0"/>
              <w:pageBreakBefore w:val="0"/>
              <w:kinsoku/>
              <w:wordWrap/>
              <w:overflowPunct/>
              <w:topLinePunct w:val="0"/>
              <w:bidi w:val="0"/>
              <w:spacing w:line="24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70" w:type="pct"/>
            <w:vMerge w:val="continue"/>
            <w:vAlign w:val="center"/>
          </w:tcPr>
          <w:p>
            <w:pPr>
              <w:keepNext w:val="0"/>
              <w:keepLines w:val="0"/>
              <w:pageBreakBefore w:val="0"/>
              <w:kinsoku/>
              <w:wordWrap/>
              <w:overflowPunct/>
              <w:topLinePunct w:val="0"/>
              <w:autoSpaceDN/>
              <w:bidi w:val="0"/>
              <w:spacing w:line="240" w:lineRule="auto"/>
              <w:jc w:val="center"/>
              <w:rPr>
                <w:rFonts w:hint="eastAsia" w:ascii="仿宋" w:hAnsi="仿宋" w:eastAsia="仿宋" w:cs="仿宋"/>
                <w:color w:val="auto"/>
                <w:sz w:val="24"/>
                <w:szCs w:val="24"/>
                <w:highlight w:val="none"/>
                <w:lang w:val="en-US" w:eastAsia="zh-CN"/>
              </w:rPr>
            </w:pPr>
          </w:p>
        </w:tc>
        <w:tc>
          <w:tcPr>
            <w:tcW w:w="3124" w:type="pct"/>
            <w:vAlign w:val="center"/>
          </w:tcPr>
          <w:p>
            <w:pPr>
              <w:keepNext w:val="0"/>
              <w:keepLines w:val="0"/>
              <w:pageBreakBefore w:val="0"/>
              <w:kinsoku/>
              <w:wordWrap/>
              <w:overflowPunct/>
              <w:topLinePunct w:val="0"/>
              <w:autoSpaceDE/>
              <w:autoSpaceDN/>
              <w:bidi w:val="0"/>
              <w:adjustRightInd w:val="0"/>
              <w:snapToGrid/>
              <w:spacing w:line="320" w:lineRule="exact"/>
              <w:ind w:left="0" w:leftChars="0" w:right="0" w:right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cs="仿宋"/>
                <w:snapToGrid w:val="0"/>
                <w:kern w:val="0"/>
                <w:sz w:val="24"/>
                <w:szCs w:val="24"/>
                <w:lang w:val="en-US" w:eastAsia="zh-CN"/>
              </w:rPr>
              <w:t>6</w:t>
            </w:r>
            <w:r>
              <w:rPr>
                <w:rFonts w:hint="eastAsia" w:ascii="仿宋" w:hAnsi="仿宋" w:eastAsia="仿宋" w:cs="仿宋"/>
                <w:snapToGrid w:val="0"/>
                <w:kern w:val="0"/>
                <w:sz w:val="24"/>
                <w:szCs w:val="24"/>
              </w:rPr>
              <w:t>、加强服务保障的相关措施到位、合理：服务保证措施到位的，得</w:t>
            </w:r>
            <w:r>
              <w:rPr>
                <w:rFonts w:hint="eastAsia" w:ascii="仿宋" w:hAnsi="仿宋" w:cs="仿宋"/>
                <w:snapToGrid w:val="0"/>
                <w:kern w:val="0"/>
                <w:sz w:val="24"/>
                <w:szCs w:val="24"/>
                <w:lang w:val="en-US" w:eastAsia="zh-CN"/>
              </w:rPr>
              <w:t>5</w:t>
            </w:r>
            <w:r>
              <w:rPr>
                <w:rFonts w:hint="eastAsia" w:ascii="仿宋" w:hAnsi="仿宋" w:eastAsia="仿宋" w:cs="仿宋"/>
                <w:snapToGrid w:val="0"/>
                <w:kern w:val="0"/>
                <w:sz w:val="24"/>
                <w:szCs w:val="24"/>
              </w:rPr>
              <w:t>分；服务保证措施较合理的，得3分；服务保证措施合理性一般得2分；服务保证措施有瑕疵，措施有瑕疵的得1分；服务保证措施不合理或未提供方案不得分。</w:t>
            </w:r>
          </w:p>
        </w:tc>
        <w:tc>
          <w:tcPr>
            <w:tcW w:w="636" w:type="pct"/>
            <w:vAlign w:val="center"/>
          </w:tcPr>
          <w:p>
            <w:pPr>
              <w:keepNext w:val="0"/>
              <w:keepLines w:val="0"/>
              <w:pageBreakBefore w:val="0"/>
              <w:kinsoku/>
              <w:wordWrap/>
              <w:overflowPunct/>
              <w:topLinePunct w:val="0"/>
              <w:autoSpaceDN/>
              <w:bidi w:val="0"/>
              <w:spacing w:line="240" w:lineRule="auto"/>
              <w:jc w:val="center"/>
              <w:rPr>
                <w:rFonts w:hint="eastAsia" w:ascii="仿宋" w:hAnsi="仿宋" w:cs="仿宋"/>
                <w:bCs/>
                <w:color w:val="auto"/>
                <w:kern w:val="0"/>
                <w:sz w:val="24"/>
                <w:szCs w:val="24"/>
                <w:highlight w:val="none"/>
                <w:lang w:val="en-US" w:eastAsia="zh-CN" w:bidi="ar-SA"/>
              </w:rPr>
            </w:pPr>
            <w:r>
              <w:rPr>
                <w:rFonts w:hint="eastAsia" w:ascii="仿宋" w:hAnsi="仿宋" w:cs="仿宋"/>
                <w:bCs/>
                <w:color w:val="auto"/>
                <w:kern w:val="0"/>
                <w:sz w:val="24"/>
                <w:szCs w:val="24"/>
                <w:highlight w:val="none"/>
                <w:lang w:val="en-US" w:eastAsia="zh-CN" w:bidi="ar-SA"/>
              </w:rPr>
              <w:t>5</w:t>
            </w:r>
          </w:p>
          <w:p>
            <w:pPr>
              <w:keepNext w:val="0"/>
              <w:keepLines w:val="0"/>
              <w:pageBreakBefore w:val="0"/>
              <w:kinsoku/>
              <w:wordWrap/>
              <w:overflowPunct/>
              <w:topLinePunct w:val="0"/>
              <w:autoSpaceDN/>
              <w:bidi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（主观）</w:t>
            </w:r>
          </w:p>
        </w:tc>
        <w:tc>
          <w:tcPr>
            <w:tcW w:w="868" w:type="pct"/>
            <w:vMerge w:val="continue"/>
            <w:vAlign w:val="center"/>
          </w:tcPr>
          <w:p>
            <w:pPr>
              <w:keepNext w:val="0"/>
              <w:keepLines w:val="0"/>
              <w:pageBreakBefore w:val="0"/>
              <w:kinsoku/>
              <w:wordWrap/>
              <w:overflowPunct/>
              <w:topLinePunct w:val="0"/>
              <w:bidi w:val="0"/>
              <w:spacing w:line="24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370" w:type="pct"/>
            <w:vMerge w:val="restart"/>
            <w:vAlign w:val="center"/>
          </w:tcPr>
          <w:p>
            <w:pPr>
              <w:keepNext w:val="0"/>
              <w:keepLines w:val="0"/>
              <w:pageBreakBefore w:val="0"/>
              <w:kinsoku/>
              <w:wordWrap/>
              <w:overflowPunct/>
              <w:topLinePunct w:val="0"/>
              <w:autoSpaceDN/>
              <w:bidi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3124" w:type="pct"/>
            <w:vAlign w:val="center"/>
          </w:tcPr>
          <w:p>
            <w:pPr>
              <w:keepNext w:val="0"/>
              <w:keepLines w:val="0"/>
              <w:pageBreakBefore w:val="0"/>
              <w:numPr>
                <w:ilvl w:val="0"/>
                <w:numId w:val="0"/>
              </w:numPr>
              <w:kinsoku/>
              <w:wordWrap/>
              <w:overflowPunct/>
              <w:topLinePunct w:val="0"/>
              <w:autoSpaceDE/>
              <w:autoSpaceDN/>
              <w:bidi w:val="0"/>
              <w:adjustRightInd w:val="0"/>
              <w:snapToGrid/>
              <w:spacing w:line="320" w:lineRule="exact"/>
              <w:ind w:right="0" w:right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cs="仿宋"/>
                <w:sz w:val="24"/>
                <w:szCs w:val="24"/>
                <w:lang w:val="en-US" w:eastAsia="zh-CN"/>
              </w:rPr>
              <w:t>1、</w:t>
            </w:r>
            <w:r>
              <w:rPr>
                <w:rFonts w:hint="eastAsia" w:ascii="仿宋" w:hAnsi="仿宋" w:eastAsia="仿宋" w:cs="仿宋"/>
                <w:sz w:val="24"/>
                <w:szCs w:val="24"/>
                <w:lang w:val="zh-CN"/>
              </w:rPr>
              <w:t>项目负责人的专业素质、技术能力、经验等情况，具有类似项目经验，具有调动各项资源的能力（提供相关证明资料）：满足的得5分，基本满足得4分，部分满足得3分，有瑕疵的得2分，瑕疵较多的得1分，不满足不得分。</w:t>
            </w:r>
          </w:p>
        </w:tc>
        <w:tc>
          <w:tcPr>
            <w:tcW w:w="636" w:type="pct"/>
            <w:vAlign w:val="center"/>
          </w:tcPr>
          <w:p>
            <w:pPr>
              <w:keepNext w:val="0"/>
              <w:keepLines w:val="0"/>
              <w:pageBreakBefore w:val="0"/>
              <w:kinsoku/>
              <w:wordWrap/>
              <w:overflowPunct/>
              <w:topLinePunct w:val="0"/>
              <w:autoSpaceDE/>
              <w:autoSpaceDN/>
              <w:bidi w:val="0"/>
              <w:snapToGrid w:val="0"/>
              <w:spacing w:line="240" w:lineRule="auto"/>
              <w:ind w:left="0" w:leftChars="0" w:right="0" w:rightChars="0"/>
              <w:jc w:val="center"/>
              <w:textAlignment w:val="auto"/>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5</w:t>
            </w:r>
          </w:p>
          <w:p>
            <w:pPr>
              <w:keepNext w:val="0"/>
              <w:keepLines w:val="0"/>
              <w:pageBreakBefore w:val="0"/>
              <w:kinsoku/>
              <w:wordWrap/>
              <w:overflowPunct/>
              <w:topLinePunct w:val="0"/>
              <w:autoSpaceDN/>
              <w:bidi w:val="0"/>
              <w:adjustRightInd w:val="0"/>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（主观）</w:t>
            </w:r>
          </w:p>
        </w:tc>
        <w:tc>
          <w:tcPr>
            <w:tcW w:w="868" w:type="pct"/>
            <w:vMerge w:val="restart"/>
            <w:vAlign w:val="center"/>
          </w:tcPr>
          <w:p>
            <w:pPr>
              <w:keepNext w:val="0"/>
              <w:keepLines w:val="0"/>
              <w:pageBreakBefore w:val="0"/>
              <w:kinsoku/>
              <w:wordWrap/>
              <w:overflowPunct/>
              <w:topLinePunct w:val="0"/>
              <w:bidi w:val="0"/>
              <w:spacing w:line="24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项目投入人员素质情况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370" w:type="pct"/>
            <w:vMerge w:val="continue"/>
            <w:vAlign w:val="center"/>
          </w:tcPr>
          <w:p>
            <w:pPr>
              <w:keepNext w:val="0"/>
              <w:keepLines w:val="0"/>
              <w:pageBreakBefore w:val="0"/>
              <w:kinsoku/>
              <w:wordWrap/>
              <w:overflowPunct/>
              <w:topLinePunct w:val="0"/>
              <w:autoSpaceDN/>
              <w:bidi w:val="0"/>
              <w:spacing w:line="240" w:lineRule="auto"/>
              <w:jc w:val="center"/>
              <w:rPr>
                <w:rFonts w:hint="eastAsia" w:ascii="仿宋" w:hAnsi="仿宋" w:eastAsia="仿宋" w:cs="仿宋"/>
                <w:color w:val="auto"/>
                <w:sz w:val="24"/>
                <w:szCs w:val="24"/>
                <w:highlight w:val="none"/>
                <w:lang w:val="en-US" w:eastAsia="zh-CN"/>
              </w:rPr>
            </w:pPr>
          </w:p>
        </w:tc>
        <w:tc>
          <w:tcPr>
            <w:tcW w:w="3124"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投标人投入本项目的导游人数，导游</w:t>
            </w:r>
            <w:r>
              <w:rPr>
                <w:rFonts w:hint="eastAsia" w:ascii="仿宋" w:hAnsi="仿宋" w:cs="仿宋"/>
                <w:color w:val="auto"/>
                <w:sz w:val="24"/>
                <w:szCs w:val="24"/>
                <w:highlight w:val="none"/>
                <w:lang w:val="en-US" w:eastAsia="zh-CN"/>
              </w:rPr>
              <w:t>8</w:t>
            </w:r>
            <w:r>
              <w:rPr>
                <w:rFonts w:hint="eastAsia" w:ascii="仿宋" w:hAnsi="仿宋" w:eastAsia="仿宋" w:cs="仿宋"/>
                <w:color w:val="auto"/>
                <w:sz w:val="24"/>
                <w:szCs w:val="24"/>
                <w:highlight w:val="none"/>
                <w:lang w:val="zh-CN" w:eastAsia="zh-CN"/>
              </w:rPr>
              <w:t>人以上得3分，不足3人不得分，有高级导游资质的每多一名加2分，中级导游资质的每多一名加1分，最多得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分。（投标文件中提供证书复印件加盖公章及近</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个月公司花名册社保证明复印件加盖公章）</w:t>
            </w:r>
          </w:p>
        </w:tc>
        <w:tc>
          <w:tcPr>
            <w:tcW w:w="636" w:type="pct"/>
            <w:vAlign w:val="center"/>
          </w:tcPr>
          <w:p>
            <w:pPr>
              <w:keepNext w:val="0"/>
              <w:keepLines w:val="0"/>
              <w:pageBreakBefore w:val="0"/>
              <w:kinsoku/>
              <w:wordWrap/>
              <w:overflowPunct/>
              <w:topLinePunct w:val="0"/>
              <w:autoSpaceDN/>
              <w:bidi w:val="0"/>
              <w:adjustRightInd w:val="0"/>
              <w:snapToGrid w:val="0"/>
              <w:spacing w:line="240" w:lineRule="auto"/>
              <w:jc w:val="cente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6</w:t>
            </w:r>
          </w:p>
          <w:p>
            <w:pPr>
              <w:keepNext w:val="0"/>
              <w:keepLines w:val="0"/>
              <w:pageBreakBefore w:val="0"/>
              <w:kinsoku/>
              <w:wordWrap/>
              <w:overflowPunct/>
              <w:topLinePunct w:val="0"/>
              <w:autoSpaceDN/>
              <w:bidi w:val="0"/>
              <w:adjustRightInd w:val="0"/>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（客观）</w:t>
            </w:r>
          </w:p>
        </w:tc>
        <w:tc>
          <w:tcPr>
            <w:tcW w:w="868" w:type="pct"/>
            <w:vMerge w:val="continue"/>
            <w:vAlign w:val="center"/>
          </w:tcPr>
          <w:p>
            <w:pPr>
              <w:keepNext w:val="0"/>
              <w:keepLines w:val="0"/>
              <w:pageBreakBefore w:val="0"/>
              <w:kinsoku/>
              <w:wordWrap/>
              <w:overflowPunct/>
              <w:topLinePunct w:val="0"/>
              <w:bidi w:val="0"/>
              <w:spacing w:line="240" w:lineRule="auto"/>
              <w:jc w:val="center"/>
              <w:rPr>
                <w:rFonts w:hint="eastAsia" w:ascii="仿宋" w:hAnsi="仿宋" w:eastAsia="仿宋" w:cs="仿宋"/>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70" w:type="pct"/>
            <w:vMerge w:val="restart"/>
            <w:vAlign w:val="center"/>
          </w:tcPr>
          <w:p>
            <w:pPr>
              <w:keepNext w:val="0"/>
              <w:keepLines w:val="0"/>
              <w:pageBreakBefore w:val="0"/>
              <w:kinsoku/>
              <w:wordWrap/>
              <w:overflowPunct/>
              <w:topLinePunct w:val="0"/>
              <w:autoSpaceDN/>
              <w:bidi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3124" w:type="pct"/>
            <w:vAlign w:val="center"/>
          </w:tcPr>
          <w:p>
            <w:pPr>
              <w:keepNext w:val="0"/>
              <w:keepLines w:val="0"/>
              <w:pageBreakBefore w:val="0"/>
              <w:kinsoku/>
              <w:wordWrap/>
              <w:overflowPunct/>
              <w:topLinePunct w:val="0"/>
              <w:autoSpaceDE/>
              <w:autoSpaceDN/>
              <w:bidi w:val="0"/>
              <w:adjustRightInd w:val="0"/>
              <w:snapToGrid/>
              <w:spacing w:line="320" w:lineRule="exact"/>
              <w:ind w:left="0" w:leftChars="0" w:right="0" w:right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rPr>
              <w:t>1、</w:t>
            </w:r>
            <w:r>
              <w:rPr>
                <w:rFonts w:hint="eastAsia" w:ascii="仿宋" w:hAnsi="仿宋" w:eastAsia="仿宋" w:cs="仿宋"/>
                <w:sz w:val="24"/>
                <w:szCs w:val="24"/>
                <w:lang w:val="zh-CN"/>
              </w:rPr>
              <w:t>便捷服务：投标人能够提供方便、快捷、优质服务，响应及时性好：</w:t>
            </w:r>
            <w:r>
              <w:rPr>
                <w:rFonts w:hint="eastAsia" w:ascii="仿宋" w:hAnsi="仿宋" w:eastAsia="仿宋" w:cs="仿宋"/>
                <w:snapToGrid/>
                <w:sz w:val="24"/>
                <w:szCs w:val="24"/>
              </w:rPr>
              <w:t>服务内容及响应时间科学合理的得</w:t>
            </w:r>
            <w:r>
              <w:rPr>
                <w:rFonts w:hint="eastAsia" w:ascii="仿宋" w:hAnsi="仿宋" w:cs="仿宋"/>
                <w:snapToGrid/>
                <w:sz w:val="24"/>
                <w:szCs w:val="24"/>
                <w:lang w:val="en-US" w:eastAsia="zh-CN"/>
              </w:rPr>
              <w:t>5</w:t>
            </w:r>
            <w:r>
              <w:rPr>
                <w:rFonts w:hint="eastAsia" w:ascii="仿宋" w:hAnsi="仿宋" w:eastAsia="仿宋" w:cs="仿宋"/>
                <w:snapToGrid/>
                <w:sz w:val="24"/>
                <w:szCs w:val="24"/>
              </w:rPr>
              <w:t>分；服务内容及响应时间一般合理的得</w:t>
            </w:r>
            <w:r>
              <w:rPr>
                <w:rFonts w:hint="eastAsia" w:ascii="仿宋" w:hAnsi="仿宋" w:cs="仿宋"/>
                <w:snapToGrid/>
                <w:sz w:val="24"/>
                <w:szCs w:val="24"/>
                <w:lang w:val="en-US" w:eastAsia="zh-CN"/>
              </w:rPr>
              <w:t>3</w:t>
            </w:r>
            <w:r>
              <w:rPr>
                <w:rFonts w:hint="eastAsia" w:ascii="仿宋" w:hAnsi="仿宋" w:eastAsia="仿宋" w:cs="仿宋"/>
                <w:snapToGrid/>
                <w:sz w:val="24"/>
                <w:szCs w:val="24"/>
              </w:rPr>
              <w:t>分；服务内容及响应时间基本合理的得1分；未提供本项内容或完全不合理的得0分。</w:t>
            </w:r>
          </w:p>
        </w:tc>
        <w:tc>
          <w:tcPr>
            <w:tcW w:w="636" w:type="pct"/>
            <w:vAlign w:val="center"/>
          </w:tcPr>
          <w:p>
            <w:pPr>
              <w:keepNext w:val="0"/>
              <w:keepLines w:val="0"/>
              <w:pageBreakBefore w:val="0"/>
              <w:kinsoku/>
              <w:wordWrap/>
              <w:overflowPunct/>
              <w:topLinePunct w:val="0"/>
              <w:autoSpaceDN/>
              <w:bidi w:val="0"/>
              <w:adjustRightInd w:val="0"/>
              <w:snapToGrid w:val="0"/>
              <w:spacing w:line="240" w:lineRule="auto"/>
              <w:jc w:val="center"/>
              <w:rPr>
                <w:rFonts w:hint="eastAsia" w:ascii="仿宋" w:hAnsi="仿宋" w:cs="仿宋"/>
                <w:bCs/>
                <w:color w:val="auto"/>
                <w:kern w:val="0"/>
                <w:sz w:val="24"/>
                <w:szCs w:val="24"/>
                <w:highlight w:val="none"/>
                <w:lang w:val="en-US" w:eastAsia="zh-CN" w:bidi="ar-SA"/>
              </w:rPr>
            </w:pPr>
            <w:r>
              <w:rPr>
                <w:rFonts w:hint="eastAsia" w:ascii="仿宋" w:hAnsi="仿宋" w:cs="仿宋"/>
                <w:bCs/>
                <w:color w:val="auto"/>
                <w:kern w:val="0"/>
                <w:sz w:val="24"/>
                <w:szCs w:val="24"/>
                <w:highlight w:val="none"/>
                <w:lang w:val="en-US" w:eastAsia="zh-CN" w:bidi="ar-SA"/>
              </w:rPr>
              <w:t>5</w:t>
            </w:r>
          </w:p>
          <w:p>
            <w:pPr>
              <w:keepNext w:val="0"/>
              <w:keepLines w:val="0"/>
              <w:pageBreakBefore w:val="0"/>
              <w:kinsoku/>
              <w:wordWrap/>
              <w:overflowPunct/>
              <w:topLinePunct w:val="0"/>
              <w:autoSpaceDN/>
              <w:bidi w:val="0"/>
              <w:adjustRightInd w:val="0"/>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（主观）</w:t>
            </w:r>
          </w:p>
        </w:tc>
        <w:tc>
          <w:tcPr>
            <w:tcW w:w="868" w:type="pct"/>
            <w:vMerge w:val="restart"/>
            <w:vAlign w:val="center"/>
          </w:tcPr>
          <w:p>
            <w:pPr>
              <w:keepNext w:val="0"/>
              <w:keepLines w:val="0"/>
              <w:pageBreakBefore w:val="0"/>
              <w:kinsoku/>
              <w:wordWrap/>
              <w:overflowPunct/>
              <w:topLinePunct w:val="0"/>
              <w:bidi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370" w:type="pct"/>
            <w:vMerge w:val="continue"/>
            <w:vAlign w:val="center"/>
          </w:tcPr>
          <w:p>
            <w:pPr>
              <w:keepNext w:val="0"/>
              <w:keepLines w:val="0"/>
              <w:pageBreakBefore w:val="0"/>
              <w:kinsoku/>
              <w:wordWrap/>
              <w:overflowPunct/>
              <w:topLinePunct w:val="0"/>
              <w:autoSpaceDN/>
              <w:bidi w:val="0"/>
              <w:spacing w:line="240" w:lineRule="auto"/>
              <w:jc w:val="center"/>
              <w:rPr>
                <w:rFonts w:hint="eastAsia" w:ascii="仿宋" w:hAnsi="仿宋" w:eastAsia="仿宋" w:cs="仿宋"/>
                <w:color w:val="auto"/>
                <w:sz w:val="24"/>
                <w:szCs w:val="24"/>
                <w:highlight w:val="none"/>
                <w:lang w:val="en-US" w:eastAsia="zh-CN"/>
              </w:rPr>
            </w:pPr>
          </w:p>
        </w:tc>
        <w:tc>
          <w:tcPr>
            <w:tcW w:w="3124" w:type="pct"/>
            <w:vAlign w:val="center"/>
          </w:tcPr>
          <w:p>
            <w:pPr>
              <w:pStyle w:val="23"/>
              <w:keepNext w:val="0"/>
              <w:keepLines w:val="0"/>
              <w:pageBreakBefore w:val="0"/>
              <w:kinsoku/>
              <w:wordWrap/>
              <w:overflowPunct/>
              <w:topLinePunct w:val="0"/>
              <w:autoSpaceDE/>
              <w:autoSpaceDN/>
              <w:bidi w:val="0"/>
              <w:adjustRightInd w:val="0"/>
              <w:snapToGrid/>
              <w:spacing w:line="320" w:lineRule="exact"/>
              <w:ind w:left="0" w:leftChars="0" w:right="0" w:right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napToGrid/>
                <w:sz w:val="24"/>
                <w:szCs w:val="24"/>
              </w:rPr>
              <w:t>2、项目进度安排，合理可行：项目进度安排合理的得</w:t>
            </w:r>
            <w:r>
              <w:rPr>
                <w:rFonts w:hint="eastAsia" w:ascii="仿宋" w:hAnsi="仿宋" w:cs="仿宋"/>
                <w:snapToGrid/>
                <w:sz w:val="24"/>
                <w:szCs w:val="24"/>
                <w:lang w:val="en-US" w:eastAsia="zh-CN"/>
              </w:rPr>
              <w:t>5</w:t>
            </w:r>
            <w:r>
              <w:rPr>
                <w:rFonts w:hint="eastAsia" w:ascii="仿宋" w:hAnsi="仿宋" w:eastAsia="仿宋" w:cs="仿宋"/>
                <w:snapToGrid/>
                <w:sz w:val="24"/>
                <w:szCs w:val="24"/>
              </w:rPr>
              <w:t>分；项目进度安排基本合理的得</w:t>
            </w:r>
            <w:r>
              <w:rPr>
                <w:rFonts w:hint="eastAsia" w:ascii="仿宋" w:hAnsi="仿宋" w:cs="仿宋"/>
                <w:snapToGrid/>
                <w:sz w:val="24"/>
                <w:szCs w:val="24"/>
                <w:lang w:val="en-US" w:eastAsia="zh-CN"/>
              </w:rPr>
              <w:t>3</w:t>
            </w:r>
            <w:r>
              <w:rPr>
                <w:rFonts w:hint="eastAsia" w:ascii="仿宋" w:hAnsi="仿宋" w:eastAsia="仿宋" w:cs="仿宋"/>
                <w:snapToGrid/>
                <w:sz w:val="24"/>
                <w:szCs w:val="24"/>
              </w:rPr>
              <w:t>分；项目进度安排</w:t>
            </w:r>
            <w:r>
              <w:rPr>
                <w:rFonts w:hint="eastAsia" w:ascii="仿宋" w:hAnsi="仿宋" w:cs="仿宋"/>
                <w:snapToGrid/>
                <w:sz w:val="24"/>
                <w:szCs w:val="24"/>
                <w:lang w:eastAsia="zh-CN"/>
              </w:rPr>
              <w:t>一般</w:t>
            </w:r>
            <w:r>
              <w:rPr>
                <w:rFonts w:hint="eastAsia" w:ascii="仿宋" w:hAnsi="仿宋" w:eastAsia="仿宋" w:cs="仿宋"/>
                <w:snapToGrid/>
                <w:sz w:val="24"/>
                <w:szCs w:val="24"/>
              </w:rPr>
              <w:t>的得</w:t>
            </w:r>
            <w:r>
              <w:rPr>
                <w:rFonts w:hint="eastAsia" w:ascii="仿宋" w:hAnsi="仿宋" w:cs="仿宋"/>
                <w:snapToGrid/>
                <w:sz w:val="24"/>
                <w:szCs w:val="24"/>
                <w:lang w:val="en-US" w:eastAsia="zh-CN"/>
              </w:rPr>
              <w:t>1</w:t>
            </w:r>
            <w:r>
              <w:rPr>
                <w:rFonts w:hint="eastAsia" w:ascii="仿宋" w:hAnsi="仿宋" w:eastAsia="仿宋" w:cs="仿宋"/>
                <w:snapToGrid/>
                <w:sz w:val="24"/>
                <w:szCs w:val="24"/>
              </w:rPr>
              <w:t>分</w:t>
            </w:r>
            <w:r>
              <w:rPr>
                <w:rFonts w:hint="eastAsia" w:ascii="仿宋" w:hAnsi="仿宋" w:cs="仿宋"/>
                <w:snapToGrid/>
                <w:sz w:val="24"/>
                <w:szCs w:val="24"/>
                <w:lang w:eastAsia="zh-CN"/>
              </w:rPr>
              <w:t>；</w:t>
            </w:r>
            <w:r>
              <w:rPr>
                <w:rFonts w:hint="eastAsia" w:ascii="仿宋" w:hAnsi="仿宋" w:eastAsia="仿宋" w:cs="仿宋"/>
                <w:snapToGrid/>
                <w:sz w:val="24"/>
                <w:szCs w:val="24"/>
              </w:rPr>
              <w:t>未提供本项内容或完全不合理的得0分。</w:t>
            </w:r>
          </w:p>
        </w:tc>
        <w:tc>
          <w:tcPr>
            <w:tcW w:w="636" w:type="pct"/>
            <w:vAlign w:val="center"/>
          </w:tcPr>
          <w:p>
            <w:pPr>
              <w:keepNext w:val="0"/>
              <w:keepLines w:val="0"/>
              <w:pageBreakBefore w:val="0"/>
              <w:kinsoku/>
              <w:wordWrap/>
              <w:overflowPunct/>
              <w:topLinePunct w:val="0"/>
              <w:autoSpaceDN/>
              <w:bidi w:val="0"/>
              <w:adjustRightInd w:val="0"/>
              <w:snapToGrid w:val="0"/>
              <w:spacing w:line="240" w:lineRule="auto"/>
              <w:jc w:val="center"/>
              <w:rPr>
                <w:rFonts w:hint="eastAsia" w:ascii="仿宋" w:hAnsi="仿宋" w:cs="仿宋"/>
                <w:bCs/>
                <w:color w:val="auto"/>
                <w:kern w:val="0"/>
                <w:sz w:val="24"/>
                <w:szCs w:val="24"/>
                <w:highlight w:val="none"/>
                <w:lang w:val="en-US" w:eastAsia="zh-CN" w:bidi="ar-SA"/>
              </w:rPr>
            </w:pPr>
            <w:r>
              <w:rPr>
                <w:rFonts w:hint="eastAsia" w:ascii="仿宋" w:hAnsi="仿宋" w:cs="仿宋"/>
                <w:bCs/>
                <w:color w:val="auto"/>
                <w:kern w:val="0"/>
                <w:sz w:val="24"/>
                <w:szCs w:val="24"/>
                <w:highlight w:val="none"/>
                <w:lang w:val="en-US" w:eastAsia="zh-CN" w:bidi="ar-SA"/>
              </w:rPr>
              <w:t>5</w:t>
            </w:r>
          </w:p>
          <w:p>
            <w:pPr>
              <w:keepNext w:val="0"/>
              <w:keepLines w:val="0"/>
              <w:pageBreakBefore w:val="0"/>
              <w:kinsoku/>
              <w:wordWrap/>
              <w:overflowPunct/>
              <w:topLinePunct w:val="0"/>
              <w:autoSpaceDN/>
              <w:bidi w:val="0"/>
              <w:adjustRightInd w:val="0"/>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（主观）</w:t>
            </w:r>
          </w:p>
        </w:tc>
        <w:tc>
          <w:tcPr>
            <w:tcW w:w="868" w:type="pct"/>
            <w:vMerge w:val="continue"/>
            <w:vAlign w:val="center"/>
          </w:tcPr>
          <w:p>
            <w:pPr>
              <w:keepNext w:val="0"/>
              <w:keepLines w:val="0"/>
              <w:pageBreakBefore w:val="0"/>
              <w:kinsoku/>
              <w:wordWrap/>
              <w:overflowPunct/>
              <w:topLinePunct w:val="0"/>
              <w:bidi w:val="0"/>
              <w:spacing w:line="240" w:lineRule="auto"/>
              <w:jc w:val="center"/>
              <w:rPr>
                <w:rFonts w:hint="eastAsia" w:ascii="仿宋" w:hAnsi="仿宋" w:eastAsia="仿宋" w:cs="仿宋"/>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370" w:type="pct"/>
            <w:vMerge w:val="continue"/>
            <w:vAlign w:val="center"/>
          </w:tcPr>
          <w:p>
            <w:pPr>
              <w:keepNext w:val="0"/>
              <w:keepLines w:val="0"/>
              <w:pageBreakBefore w:val="0"/>
              <w:kinsoku/>
              <w:wordWrap/>
              <w:overflowPunct/>
              <w:topLinePunct w:val="0"/>
              <w:autoSpaceDN/>
              <w:bidi w:val="0"/>
              <w:spacing w:line="240" w:lineRule="auto"/>
              <w:jc w:val="center"/>
              <w:rPr>
                <w:rFonts w:hint="eastAsia" w:ascii="仿宋" w:hAnsi="仿宋" w:eastAsia="仿宋" w:cs="仿宋"/>
                <w:color w:val="auto"/>
                <w:sz w:val="24"/>
                <w:szCs w:val="24"/>
                <w:highlight w:val="none"/>
                <w:lang w:val="en-US" w:eastAsia="zh-CN"/>
              </w:rPr>
            </w:pPr>
          </w:p>
        </w:tc>
        <w:tc>
          <w:tcPr>
            <w:tcW w:w="3124" w:type="pct"/>
            <w:vAlign w:val="center"/>
          </w:tcPr>
          <w:p>
            <w:pPr>
              <w:pStyle w:val="23"/>
              <w:keepNext w:val="0"/>
              <w:keepLines w:val="0"/>
              <w:pageBreakBefore w:val="0"/>
              <w:kinsoku/>
              <w:wordWrap/>
              <w:overflowPunct/>
              <w:topLinePunct w:val="0"/>
              <w:autoSpaceDE/>
              <w:autoSpaceDN/>
              <w:bidi w:val="0"/>
              <w:adjustRightInd w:val="0"/>
              <w:snapToGrid/>
              <w:spacing w:line="320" w:lineRule="exact"/>
              <w:ind w:left="0" w:leftChars="0" w:right="0" w:right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napToGrid/>
                <w:sz w:val="24"/>
                <w:szCs w:val="24"/>
              </w:rPr>
              <w:t>3、服务质量标准明确，合理可行：服务质量科学合理的得</w:t>
            </w:r>
            <w:r>
              <w:rPr>
                <w:rFonts w:hint="eastAsia" w:ascii="仿宋" w:hAnsi="仿宋" w:cs="仿宋"/>
                <w:snapToGrid/>
                <w:sz w:val="24"/>
                <w:szCs w:val="24"/>
                <w:lang w:val="en-US" w:eastAsia="zh-CN"/>
              </w:rPr>
              <w:t>5</w:t>
            </w:r>
            <w:r>
              <w:rPr>
                <w:rFonts w:hint="eastAsia" w:ascii="仿宋" w:hAnsi="仿宋" w:eastAsia="仿宋" w:cs="仿宋"/>
                <w:snapToGrid/>
                <w:sz w:val="24"/>
                <w:szCs w:val="24"/>
              </w:rPr>
              <w:t>分；服务质量一般合理的得</w:t>
            </w:r>
            <w:r>
              <w:rPr>
                <w:rFonts w:hint="eastAsia" w:ascii="仿宋" w:hAnsi="仿宋" w:cs="仿宋"/>
                <w:snapToGrid/>
                <w:sz w:val="24"/>
                <w:szCs w:val="24"/>
                <w:lang w:val="en-US" w:eastAsia="zh-CN"/>
              </w:rPr>
              <w:t>3</w:t>
            </w:r>
            <w:r>
              <w:rPr>
                <w:rFonts w:hint="eastAsia" w:ascii="仿宋" w:hAnsi="仿宋" w:eastAsia="仿宋" w:cs="仿宋"/>
                <w:snapToGrid/>
                <w:sz w:val="24"/>
                <w:szCs w:val="24"/>
              </w:rPr>
              <w:t>分；服务质量基本合理的得1分；未提供本项内容或完全不合理的得0分。</w:t>
            </w:r>
          </w:p>
        </w:tc>
        <w:tc>
          <w:tcPr>
            <w:tcW w:w="636" w:type="pct"/>
            <w:vAlign w:val="center"/>
          </w:tcPr>
          <w:p>
            <w:pPr>
              <w:keepNext w:val="0"/>
              <w:keepLines w:val="0"/>
              <w:pageBreakBefore w:val="0"/>
              <w:kinsoku/>
              <w:wordWrap/>
              <w:overflowPunct/>
              <w:topLinePunct w:val="0"/>
              <w:autoSpaceDN/>
              <w:bidi w:val="0"/>
              <w:adjustRightInd w:val="0"/>
              <w:snapToGrid w:val="0"/>
              <w:spacing w:line="240" w:lineRule="auto"/>
              <w:jc w:val="center"/>
              <w:rPr>
                <w:rFonts w:hint="eastAsia" w:ascii="仿宋" w:hAnsi="仿宋" w:cs="仿宋"/>
                <w:bCs/>
                <w:color w:val="auto"/>
                <w:kern w:val="0"/>
                <w:sz w:val="24"/>
                <w:szCs w:val="24"/>
                <w:highlight w:val="none"/>
                <w:lang w:val="en-US" w:eastAsia="zh-CN" w:bidi="ar-SA"/>
              </w:rPr>
            </w:pPr>
            <w:r>
              <w:rPr>
                <w:rFonts w:hint="eastAsia" w:ascii="仿宋" w:hAnsi="仿宋" w:cs="仿宋"/>
                <w:bCs/>
                <w:color w:val="auto"/>
                <w:kern w:val="0"/>
                <w:sz w:val="24"/>
                <w:szCs w:val="24"/>
                <w:highlight w:val="none"/>
                <w:lang w:val="en-US" w:eastAsia="zh-CN" w:bidi="ar-SA"/>
              </w:rPr>
              <w:t>5</w:t>
            </w:r>
          </w:p>
          <w:p>
            <w:pPr>
              <w:keepNext w:val="0"/>
              <w:keepLines w:val="0"/>
              <w:pageBreakBefore w:val="0"/>
              <w:kinsoku/>
              <w:wordWrap/>
              <w:overflowPunct/>
              <w:topLinePunct w:val="0"/>
              <w:autoSpaceDN/>
              <w:bidi w:val="0"/>
              <w:adjustRightInd w:val="0"/>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（主观）</w:t>
            </w:r>
          </w:p>
        </w:tc>
        <w:tc>
          <w:tcPr>
            <w:tcW w:w="868" w:type="pct"/>
            <w:vMerge w:val="continue"/>
            <w:vAlign w:val="center"/>
          </w:tcPr>
          <w:p>
            <w:pPr>
              <w:keepNext w:val="0"/>
              <w:keepLines w:val="0"/>
              <w:pageBreakBefore w:val="0"/>
              <w:kinsoku/>
              <w:wordWrap/>
              <w:overflowPunct/>
              <w:topLinePunct w:val="0"/>
              <w:bidi w:val="0"/>
              <w:spacing w:line="240" w:lineRule="auto"/>
              <w:jc w:val="center"/>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0" w:type="pct"/>
            <w:vAlign w:val="center"/>
          </w:tcPr>
          <w:p>
            <w:pPr>
              <w:keepNext w:val="0"/>
              <w:keepLines w:val="0"/>
              <w:pageBreakBefore w:val="0"/>
              <w:kinsoku/>
              <w:wordWrap/>
              <w:overflowPunct/>
              <w:topLinePunct w:val="0"/>
              <w:autoSpaceDN/>
              <w:bidi w:val="0"/>
              <w:spacing w:line="24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3124" w:type="pct"/>
          </w:tcPr>
          <w:p>
            <w:pPr>
              <w:keepNext w:val="0"/>
              <w:keepLines w:val="0"/>
              <w:pageBreakBefore w:val="0"/>
              <w:widowControl/>
              <w:suppressLineNumbers w:val="0"/>
              <w:kinsoku/>
              <w:wordWrap/>
              <w:overflowPunct/>
              <w:topLinePunct w:val="0"/>
              <w:autoSpaceDN/>
              <w:bidi w:val="0"/>
              <w:spacing w:line="240" w:lineRule="auto"/>
              <w:jc w:val="both"/>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有效投标报价的最低价作为评标基准价，其最低报价为满分；按［投标报价得分=（评标基准价/投标报价）*</w:t>
            </w:r>
            <w:r>
              <w:rPr>
                <w:rFonts w:hint="eastAsia" w:ascii="仿宋" w:hAnsi="仿宋" w:cs="仿宋"/>
                <w:sz w:val="24"/>
                <w:szCs w:val="24"/>
                <w:highlight w:val="none"/>
                <w:lang w:val="en-US" w:eastAsia="zh-CN"/>
              </w:rPr>
              <w:t>10</w:t>
            </w:r>
            <w:r>
              <w:rPr>
                <w:rFonts w:hint="eastAsia" w:ascii="仿宋" w:hAnsi="仿宋" w:eastAsia="仿宋" w:cs="仿宋"/>
                <w:sz w:val="24"/>
                <w:szCs w:val="24"/>
                <w:highlight w:val="none"/>
              </w:rPr>
              <w:t>］的计算公式计算。</w:t>
            </w:r>
          </w:p>
          <w:p>
            <w:pPr>
              <w:keepNext w:val="0"/>
              <w:keepLines w:val="0"/>
              <w:pageBreakBefore w:val="0"/>
              <w:widowControl/>
              <w:shd w:val="clear" w:color="auto" w:fill="FFFFFF"/>
              <w:kinsoku/>
              <w:wordWrap/>
              <w:overflowPunct/>
              <w:topLinePunct w:val="0"/>
              <w:autoSpaceDN/>
              <w:bidi w:val="0"/>
              <w:adjustRightInd/>
              <w:spacing w:line="240" w:lineRule="auto"/>
              <w:ind w:firstLine="42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评标过程中，不得去掉报价中的最高报价和最低报价。</w:t>
            </w:r>
          </w:p>
          <w:p>
            <w:pPr>
              <w:keepNext w:val="0"/>
              <w:keepLines w:val="0"/>
              <w:pageBreakBefore w:val="0"/>
              <w:widowControl/>
              <w:shd w:val="clear" w:color="auto" w:fill="FFFFFF"/>
              <w:kinsoku/>
              <w:wordWrap/>
              <w:overflowPunct/>
              <w:topLinePunct w:val="0"/>
              <w:autoSpaceDN/>
              <w:bidi w:val="0"/>
              <w:adjustRightInd/>
              <w:spacing w:line="240" w:lineRule="auto"/>
              <w:ind w:firstLine="42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因落实政府采购政策需要进行价格调整的，以调整后的价格计算评标基准价和投标报价。</w:t>
            </w:r>
          </w:p>
        </w:tc>
        <w:tc>
          <w:tcPr>
            <w:tcW w:w="636" w:type="pct"/>
            <w:vAlign w:val="center"/>
          </w:tcPr>
          <w:p>
            <w:pPr>
              <w:keepNext w:val="0"/>
              <w:keepLines w:val="0"/>
              <w:pageBreakBefore w:val="0"/>
              <w:kinsoku/>
              <w:wordWrap/>
              <w:overflowPunct/>
              <w:topLinePunct w:val="0"/>
              <w:autoSpaceDN/>
              <w:bidi w:val="0"/>
              <w:spacing w:line="240" w:lineRule="auto"/>
              <w:jc w:val="center"/>
              <w:outlineLvl w:val="0"/>
              <w:rPr>
                <w:rFonts w:hint="eastAsia" w:ascii="仿宋" w:hAnsi="仿宋" w:cs="仿宋"/>
                <w:bCs/>
                <w:color w:val="auto"/>
                <w:sz w:val="24"/>
                <w:szCs w:val="24"/>
                <w:highlight w:val="none"/>
                <w:lang w:val="en-US" w:eastAsia="zh-CN"/>
              </w:rPr>
            </w:pPr>
            <w:r>
              <w:rPr>
                <w:rFonts w:hint="eastAsia" w:ascii="仿宋" w:hAnsi="仿宋" w:cs="仿宋"/>
                <w:bCs/>
                <w:color w:val="auto"/>
                <w:sz w:val="24"/>
                <w:szCs w:val="24"/>
                <w:highlight w:val="none"/>
                <w:lang w:val="en-US" w:eastAsia="zh-CN"/>
              </w:rPr>
              <w:t>10</w:t>
            </w:r>
          </w:p>
          <w:p>
            <w:pPr>
              <w:keepNext w:val="0"/>
              <w:keepLines w:val="0"/>
              <w:pageBreakBefore w:val="0"/>
              <w:kinsoku/>
              <w:wordWrap/>
              <w:overflowPunct/>
              <w:topLinePunct w:val="0"/>
              <w:autoSpaceDN/>
              <w:bidi w:val="0"/>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（客观）</w:t>
            </w:r>
          </w:p>
        </w:tc>
        <w:tc>
          <w:tcPr>
            <w:tcW w:w="868" w:type="pct"/>
            <w:vAlign w:val="center"/>
          </w:tcPr>
          <w:p>
            <w:pPr>
              <w:keepNext w:val="0"/>
              <w:keepLines w:val="0"/>
              <w:pageBreakBefore w:val="0"/>
              <w:kinsoku/>
              <w:wordWrap/>
              <w:overflowPunct/>
              <w:topLinePunct w:val="0"/>
              <w:autoSpaceDN/>
              <w:bidi w:val="0"/>
              <w:spacing w:line="24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pPr>
        <w:snapToGrid w:val="0"/>
        <w:spacing w:line="360" w:lineRule="auto"/>
        <w:ind w:firstLine="400" w:firstLineChars="200"/>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b/>
          <w:color w:val="auto"/>
          <w:sz w:val="32"/>
          <w:highlight w:val="none"/>
        </w:rPr>
      </w:pPr>
    </w:p>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b/>
          <w:color w:val="auto"/>
          <w:sz w:val="32"/>
          <w:highlight w:val="none"/>
        </w:rPr>
      </w:pPr>
    </w:p>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b/>
          <w:color w:val="auto"/>
          <w:sz w:val="32"/>
          <w:highlight w:val="none"/>
        </w:rPr>
      </w:pPr>
    </w:p>
    <w:p>
      <w:pPr>
        <w:rPr>
          <w:rFonts w:hint="eastAsia" w:ascii="仿宋" w:hAnsi="仿宋" w:eastAsia="仿宋" w:cs="仿宋"/>
          <w:b/>
          <w:color w:val="auto"/>
          <w:sz w:val="32"/>
          <w:highlight w:val="none"/>
        </w:rPr>
      </w:pPr>
    </w:p>
    <w:p>
      <w:pPr>
        <w:pStyle w:val="23"/>
        <w:rPr>
          <w:rFonts w:hint="eastAsia" w:ascii="仿宋" w:hAnsi="仿宋" w:eastAsia="仿宋" w:cs="仿宋"/>
          <w:b/>
          <w:color w:val="auto"/>
          <w:sz w:val="32"/>
          <w:highlight w:val="none"/>
        </w:rPr>
      </w:pPr>
    </w:p>
    <w:p>
      <w:pPr>
        <w:rPr>
          <w:rFonts w:hint="eastAsia"/>
        </w:rPr>
      </w:pPr>
    </w:p>
    <w:bookmarkEnd w:id="25"/>
    <w:p>
      <w:pPr>
        <w:pageBreakBefore w:val="0"/>
        <w:kinsoku/>
        <w:wordWrap/>
        <w:overflowPunct/>
        <w:topLinePunct w:val="0"/>
        <w:autoSpaceDE/>
        <w:autoSpaceDN/>
        <w:bidi w:val="0"/>
        <w:snapToGrid w:val="0"/>
        <w:spacing w:line="360" w:lineRule="auto"/>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pageBreakBefore w:val="0"/>
        <w:kinsoku/>
        <w:wordWrap/>
        <w:overflowPunct/>
        <w:topLinePunct w:val="0"/>
        <w:autoSpaceDE/>
        <w:autoSpaceDN/>
        <w:bidi w:val="0"/>
        <w:adjustRightInd/>
        <w:spacing w:line="360" w:lineRule="auto"/>
        <w:ind w:left="0" w:lef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pageBreakBefore w:val="0"/>
        <w:kinsoku/>
        <w:wordWrap/>
        <w:overflowPunct/>
        <w:topLinePunct w:val="0"/>
        <w:autoSpaceDE/>
        <w:autoSpaceDN/>
        <w:bidi w:val="0"/>
        <w:spacing w:line="360" w:lineRule="auto"/>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29"/>
        <w:pageBreakBefore w:val="0"/>
        <w:kinsoku/>
        <w:wordWrap/>
        <w:overflowPunct/>
        <w:topLinePunct w:val="0"/>
        <w:autoSpaceDE/>
        <w:autoSpaceDN/>
        <w:bidi w:val="0"/>
        <w:spacing w:before="0" w:line="360" w:lineRule="auto"/>
        <w:ind w:left="0" w:leftChars="0" w:firstLine="480" w:firstLineChars="200"/>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29"/>
        <w:pageBreakBefore w:val="0"/>
        <w:kinsoku/>
        <w:wordWrap/>
        <w:overflowPunct/>
        <w:topLinePunct w:val="0"/>
        <w:autoSpaceDE/>
        <w:autoSpaceDN/>
        <w:bidi w:val="0"/>
        <w:spacing w:before="0" w:line="360" w:lineRule="auto"/>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29"/>
        <w:pageBreakBefore w:val="0"/>
        <w:kinsoku/>
        <w:wordWrap/>
        <w:overflowPunct/>
        <w:topLinePunct w:val="0"/>
        <w:autoSpaceDE/>
        <w:autoSpaceDN/>
        <w:bidi w:val="0"/>
        <w:spacing w:before="0" w:line="360" w:lineRule="auto"/>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29"/>
        <w:pageBreakBefore w:val="0"/>
        <w:kinsoku/>
        <w:wordWrap/>
        <w:overflowPunct/>
        <w:topLinePunct w:val="0"/>
        <w:autoSpaceDE/>
        <w:autoSpaceDN/>
        <w:bidi w:val="0"/>
        <w:spacing w:before="0" w:line="360" w:lineRule="auto"/>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29"/>
        <w:pageBreakBefore w:val="0"/>
        <w:kinsoku/>
        <w:wordWrap/>
        <w:overflowPunct/>
        <w:topLinePunct w:val="0"/>
        <w:autoSpaceDE/>
        <w:autoSpaceDN/>
        <w:bidi w:val="0"/>
        <w:spacing w:before="0" w:line="360" w:lineRule="auto"/>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29"/>
        <w:pageBreakBefore w:val="0"/>
        <w:kinsoku/>
        <w:wordWrap/>
        <w:overflowPunct/>
        <w:topLinePunct w:val="0"/>
        <w:autoSpaceDE/>
        <w:autoSpaceDN/>
        <w:bidi w:val="0"/>
        <w:spacing w:before="0" w:line="360" w:lineRule="auto"/>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29"/>
        <w:pageBreakBefore w:val="0"/>
        <w:kinsoku/>
        <w:wordWrap/>
        <w:overflowPunct/>
        <w:topLinePunct w:val="0"/>
        <w:autoSpaceDE/>
        <w:autoSpaceDN/>
        <w:bidi w:val="0"/>
        <w:spacing w:before="0" w:line="360" w:lineRule="auto"/>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pageBreakBefore w:val="0"/>
        <w:kinsoku/>
        <w:wordWrap/>
        <w:overflowPunct/>
        <w:topLinePunct w:val="0"/>
        <w:autoSpaceDE/>
        <w:autoSpaceDN/>
        <w:bidi w:val="0"/>
        <w:spacing w:before="0" w:line="360" w:lineRule="auto"/>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20</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ageBreakBefore w:val="0"/>
        <w:widowControl/>
        <w:shd w:val="clear" w:color="auto" w:fill="FFFFFF"/>
        <w:kinsoku/>
        <w:wordWrap/>
        <w:overflowPunct/>
        <w:topLinePunct w:val="0"/>
        <w:autoSpaceDE/>
        <w:autoSpaceDN/>
        <w:bidi w:val="0"/>
        <w:adjustRightInd/>
        <w:spacing w:line="360" w:lineRule="auto"/>
        <w:jc w:val="left"/>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29"/>
        <w:pageBreakBefore w:val="0"/>
        <w:kinsoku/>
        <w:wordWrap/>
        <w:overflowPunct/>
        <w:topLinePunct w:val="0"/>
        <w:autoSpaceDE/>
        <w:autoSpaceDN/>
        <w:bidi w:val="0"/>
        <w:spacing w:before="0" w:line="360" w:lineRule="auto"/>
        <w:ind w:left="0" w:leftChars="0" w:firstLine="482" w:firstLineChars="200"/>
        <w:textAlignment w:val="auto"/>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4.2.6投标文件出现不是唯一的、有选择性投标报价的;</w:t>
      </w:r>
    </w:p>
    <w:p>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4.2.11投标人有恶意串通、妨碍其他投标人的竞争行为、损害采购人或者其他投标人的合法权益情形的；</w:t>
      </w:r>
    </w:p>
    <w:p>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pStyle w:val="2"/>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4"/>
        <w:pageBreakBefore w:val="0"/>
        <w:kinsoku/>
        <w:wordWrap/>
        <w:overflowPunct/>
        <w:topLinePunct w:val="0"/>
        <w:autoSpaceDE/>
        <w:autoSpaceDN/>
        <w:bidi w:val="0"/>
        <w:snapToGrid w:val="0"/>
        <w:spacing w:line="360" w:lineRule="auto"/>
        <w:ind w:left="0" w:leftChars="0"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4"/>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4"/>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4"/>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4"/>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4"/>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24"/>
        <w:pageBreakBefore w:val="0"/>
        <w:kinsoku/>
        <w:wordWrap/>
        <w:overflowPunct/>
        <w:topLinePunct w:val="0"/>
        <w:autoSpaceDE/>
        <w:autoSpaceDN/>
        <w:bidi w:val="0"/>
        <w:snapToGrid w:val="0"/>
        <w:spacing w:line="360" w:lineRule="auto"/>
        <w:ind w:left="0" w:leftChars="0"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pageBreakBefore w:val="0"/>
        <w:kinsoku/>
        <w:wordWrap/>
        <w:overflowPunct/>
        <w:topLinePunct w:val="0"/>
        <w:autoSpaceDE/>
        <w:autoSpaceDN/>
        <w:bidi w:val="0"/>
        <w:snapToGrid w:val="0"/>
        <w:spacing w:line="360" w:lineRule="auto"/>
        <w:ind w:left="0" w:leftChars="0"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4"/>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4"/>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4"/>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4"/>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pStyle w:val="24"/>
        <w:snapToGrid w:val="0"/>
        <w:spacing w:line="360" w:lineRule="auto"/>
        <w:ind w:firstLine="0" w:firstLineChars="0"/>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
        <w:rPr>
          <w:rFonts w:hint="eastAsia"/>
        </w:rPr>
      </w:pPr>
    </w:p>
    <w:p>
      <w:pPr>
        <w:spacing w:line="360" w:lineRule="auto"/>
        <w:ind w:left="823" w:leftChars="343" w:firstLine="1084" w:firstLineChars="300"/>
        <w:outlineLvl w:val="0"/>
        <w:rPr>
          <w:rFonts w:hint="eastAsia" w:ascii="仿宋" w:hAnsi="仿宋" w:eastAsia="仿宋" w:cs="仿宋"/>
          <w:b/>
          <w:color w:val="auto"/>
          <w:sz w:val="36"/>
          <w:szCs w:val="36"/>
          <w:highlight w:val="none"/>
        </w:rPr>
      </w:pPr>
      <w:bookmarkStart w:id="394" w:name="_Toc86217003"/>
      <w:bookmarkStart w:id="395" w:name="第五部分"/>
    </w:p>
    <w:p>
      <w:pPr>
        <w:spacing w:line="360" w:lineRule="auto"/>
        <w:ind w:left="823"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pPr>
        <w:spacing w:line="360" w:lineRule="auto"/>
        <w:ind w:left="823"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360" w:lineRule="auto"/>
        <w:ind w:right="-480" w:rightChars="-200"/>
        <w:jc w:val="both"/>
        <w:outlineLvl w:val="0"/>
        <w:rPr>
          <w:rFonts w:hint="eastAsia" w:ascii="仿宋" w:hAnsi="仿宋" w:eastAsia="仿宋" w:cs="仿宋"/>
          <w:color w:val="auto"/>
          <w:sz w:val="24"/>
          <w:highlight w:val="none"/>
        </w:rPr>
      </w:pPr>
    </w:p>
    <w:p>
      <w:pPr>
        <w:spacing w:line="360" w:lineRule="auto"/>
        <w:ind w:left="-480" w:leftChars="-200" w:right="-480" w:rightChars="-200" w:firstLine="480" w:firstLineChars="200"/>
        <w:jc w:val="center"/>
        <w:outlineLvl w:val="0"/>
        <w:rPr>
          <w:rFonts w:hint="eastAsia" w:ascii="仿宋" w:hAnsi="仿宋" w:eastAsia="仿宋" w:cs="仿宋"/>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val="en-US" w:eastAsia="zh-CN"/>
        </w:rPr>
        <w:t>服务类</w:t>
      </w:r>
      <w:r>
        <w:rPr>
          <w:rFonts w:hint="eastAsia" w:ascii="仿宋" w:hAnsi="仿宋" w:eastAsia="仿宋" w:cs="仿宋"/>
          <w:b/>
          <w:color w:val="auto"/>
          <w:sz w:val="36"/>
          <w:szCs w:val="36"/>
          <w:highlight w:val="none"/>
        </w:rPr>
        <w:t>）</w:t>
      </w:r>
    </w:p>
    <w:p>
      <w:pPr>
        <w:pStyle w:val="699"/>
        <w:rPr>
          <w:rFonts w:hint="eastAsia" w:ascii="仿宋" w:hAnsi="仿宋" w:eastAsia="仿宋" w:cs="仿宋"/>
          <w:color w:val="auto"/>
          <w:szCs w:val="24"/>
          <w:highlight w:val="none"/>
        </w:rPr>
      </w:pPr>
    </w:p>
    <w:p>
      <w:pPr>
        <w:pStyle w:val="699"/>
        <w:rPr>
          <w:rFonts w:hint="eastAsia" w:ascii="仿宋" w:hAnsi="仿宋" w:eastAsia="仿宋" w:cs="仿宋"/>
          <w:color w:val="auto"/>
          <w:szCs w:val="24"/>
          <w:highlight w:val="none"/>
        </w:rPr>
      </w:pPr>
    </w:p>
    <w:p>
      <w:pPr>
        <w:pStyle w:val="699"/>
        <w:jc w:val="center"/>
        <w:rPr>
          <w:rFonts w:hint="eastAsia" w:ascii="仿宋" w:hAnsi="仿宋" w:eastAsia="仿宋" w:cs="仿宋"/>
          <w:color w:val="auto"/>
          <w:szCs w:val="24"/>
          <w:highlight w:val="none"/>
        </w:rPr>
      </w:pPr>
    </w:p>
    <w:p>
      <w:pPr>
        <w:pStyle w:val="699"/>
        <w:rPr>
          <w:rFonts w:hint="eastAsia" w:ascii="仿宋" w:hAnsi="仿宋" w:eastAsia="仿宋" w:cs="仿宋"/>
          <w:color w:val="auto"/>
          <w:szCs w:val="24"/>
          <w:highlight w:val="none"/>
        </w:rPr>
      </w:pP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2"/>
        <w:rPr>
          <w:rFonts w:hint="eastAsia"/>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pStyle w:val="2"/>
        <w:rPr>
          <w:rFonts w:hint="eastAsia"/>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pStyle w:val="2"/>
        <w:rPr>
          <w:rFonts w:hint="eastAsia"/>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line="480" w:lineRule="auto"/>
        <w:jc w:val="center"/>
        <w:rPr>
          <w:rFonts w:hint="eastAsia" w:ascii="仿宋" w:hAnsi="仿宋" w:eastAsia="仿宋" w:cs="仿宋"/>
          <w:color w:val="auto"/>
          <w:sz w:val="24"/>
          <w:highlight w:val="none"/>
        </w:rPr>
      </w:pPr>
    </w:p>
    <w:p>
      <w:pPr>
        <w:spacing w:line="480" w:lineRule="auto"/>
        <w:ind w:firstLine="960" w:firstLineChars="4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4"/>
        <w:rPr>
          <w:rFonts w:hint="eastAsia" w:ascii="仿宋" w:hAnsi="仿宋" w:eastAsia="仿宋" w:cs="仿宋"/>
          <w:color w:val="auto"/>
          <w:sz w:val="24"/>
          <w:highlight w:val="none"/>
        </w:rPr>
      </w:pPr>
    </w:p>
    <w:p>
      <w:pPr>
        <w:rPr>
          <w:rFonts w:hint="eastAsia"/>
        </w:rPr>
      </w:pPr>
    </w:p>
    <w:p>
      <w:pPr>
        <w:rPr>
          <w:rFonts w:hint="eastAsia" w:ascii="仿宋" w:hAnsi="仿宋" w:eastAsia="仿宋" w:cs="仿宋"/>
          <w:color w:val="auto"/>
          <w:sz w:val="24"/>
          <w:highlight w:val="none"/>
        </w:rPr>
      </w:pP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合同编号：</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签订地点：                                 签订时间：20* 年  月  日</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项目名称：</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甲方（需方）：                                     </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乙方（供方）：                                     </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供、需双方根据杭州市                             项目（招标编号</w:t>
      </w: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rPr>
        <w:t xml:space="preserve">  -  -   ）招标结果和招标文件的要求，并经双方协调一致，订立本采购合同。</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一、合同文件：</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1、合同条款。</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2、中标通知书。</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3、招标文件。</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4、更正公告。</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5、中标单位投标文件。</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6、其他。</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二、合同金额: 本合同金额为(大写)_________________元（￥　　　　元）人民币附：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《采购项目清单内容》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pStyle w:val="24"/>
              <w:snapToGrid w:val="0"/>
              <w:spacing w:line="360" w:lineRule="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24"/>
              <w:snapToGrid w:val="0"/>
              <w:spacing w:line="360" w:lineRule="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采购项目</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24"/>
              <w:snapToGrid w:val="0"/>
              <w:spacing w:line="360" w:lineRule="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中标内容</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pStyle w:val="24"/>
              <w:snapToGrid w:val="0"/>
              <w:spacing w:line="360" w:lineRule="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中标单价（元）</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24"/>
              <w:snapToGrid w:val="0"/>
              <w:spacing w:line="360" w:lineRule="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pStyle w:val="24"/>
              <w:snapToGrid w:val="0"/>
              <w:spacing w:line="360" w:lineRule="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24"/>
              <w:snapToGrid w:val="0"/>
              <w:spacing w:line="360" w:lineRule="auto"/>
              <w:rPr>
                <w:rFonts w:hint="eastAsia" w:ascii="仿宋" w:hAnsi="仿宋" w:eastAsia="仿宋" w:cs="仿宋"/>
                <w:color w:val="auto"/>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24"/>
              <w:snapToGrid w:val="0"/>
              <w:spacing w:line="360" w:lineRule="auto"/>
              <w:rPr>
                <w:rFonts w:hint="eastAsia" w:ascii="仿宋" w:hAnsi="仿宋" w:eastAsia="仿宋" w:cs="仿宋"/>
                <w:color w:val="auto"/>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pStyle w:val="24"/>
              <w:snapToGrid w:val="0"/>
              <w:spacing w:line="360" w:lineRule="auto"/>
              <w:rPr>
                <w:rFonts w:hint="eastAsia" w:ascii="仿宋" w:hAnsi="仿宋" w:eastAsia="仿宋" w:cs="仿宋"/>
                <w:color w:val="auto"/>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24"/>
              <w:snapToGrid w:val="0"/>
              <w:spacing w:line="360" w:lineRule="auto"/>
              <w:rPr>
                <w:rFonts w:hint="eastAsia" w:ascii="仿宋" w:hAnsi="仿宋" w:eastAsia="仿宋" w:cs="仿宋"/>
                <w:color w:val="auto"/>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pStyle w:val="24"/>
              <w:snapToGrid w:val="0"/>
              <w:spacing w:line="360" w:lineRule="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24"/>
              <w:snapToGrid w:val="0"/>
              <w:spacing w:line="360" w:lineRule="auto"/>
              <w:rPr>
                <w:rFonts w:hint="eastAsia" w:ascii="仿宋" w:hAnsi="仿宋" w:eastAsia="仿宋" w:cs="仿宋"/>
                <w:color w:val="auto"/>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24"/>
              <w:snapToGrid w:val="0"/>
              <w:spacing w:line="360" w:lineRule="auto"/>
              <w:rPr>
                <w:rFonts w:hint="eastAsia" w:ascii="仿宋" w:hAnsi="仿宋" w:eastAsia="仿宋" w:cs="仿宋"/>
                <w:color w:val="auto"/>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pStyle w:val="24"/>
              <w:snapToGrid w:val="0"/>
              <w:spacing w:line="360" w:lineRule="auto"/>
              <w:rPr>
                <w:rFonts w:hint="eastAsia" w:ascii="仿宋" w:hAnsi="仿宋" w:eastAsia="仿宋" w:cs="仿宋"/>
                <w:color w:val="auto"/>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24"/>
              <w:snapToGrid w:val="0"/>
              <w:spacing w:line="360" w:lineRule="auto"/>
              <w:rPr>
                <w:rFonts w:hint="eastAsia" w:ascii="仿宋" w:hAnsi="仿宋" w:eastAsia="仿宋" w:cs="仿宋"/>
                <w:color w:val="auto"/>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pStyle w:val="24"/>
              <w:snapToGrid w:val="0"/>
              <w:spacing w:line="360" w:lineRule="auto"/>
              <w:rPr>
                <w:rFonts w:hint="eastAsia" w:ascii="仿宋" w:hAnsi="仿宋" w:eastAsia="仿宋" w:cs="仿宋"/>
                <w:color w:val="auto"/>
                <w:highlight w:val="none"/>
              </w:rPr>
            </w:pPr>
          </w:p>
        </w:tc>
      </w:tr>
    </w:tbl>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三、技术资料</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1.乙方应按招标文件规定的时间向甲方提供有关技术资料。</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四、知识产权</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乙方应保证提供服务过程中不会侵犯任何第三方的知识产权。</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五、履约保证金</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乙方交纳人民币</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元作为本合同的履约保证金</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合同价的1%</w:t>
      </w:r>
      <w:r>
        <w:rPr>
          <w:rFonts w:hint="eastAsia" w:ascii="仿宋" w:hAnsi="仿宋" w:cs="仿宋"/>
          <w:color w:val="auto"/>
          <w:highlight w:val="none"/>
          <w:lang w:val="en-US" w:eastAsia="zh-CN"/>
        </w:rPr>
        <w:t>，</w:t>
      </w:r>
      <w:r>
        <w:rPr>
          <w:rFonts w:hint="eastAsia" w:ascii="仿宋" w:hAnsi="仿宋" w:eastAsia="仿宋" w:cs="仿宋"/>
          <w:sz w:val="24"/>
          <w:highlight w:val="none"/>
        </w:rPr>
        <w:t>履约保证金形式应以银行、保险公司出具的保函形式提供</w:t>
      </w:r>
      <w:r>
        <w:rPr>
          <w:rFonts w:hint="eastAsia" w:ascii="仿宋" w:hAnsi="仿宋" w:cs="仿宋"/>
          <w:sz w:val="24"/>
          <w:highlight w:val="none"/>
          <w:lang w:eastAsia="zh-CN"/>
        </w:rPr>
        <w:t>）</w:t>
      </w:r>
      <w:r>
        <w:rPr>
          <w:rFonts w:hint="eastAsia" w:ascii="仿宋" w:hAnsi="仿宋" w:eastAsia="仿宋" w:cs="仿宋"/>
          <w:color w:val="auto"/>
          <w:highlight w:val="none"/>
        </w:rPr>
        <w:t>。</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六、转包或分包</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1.本合同范围的服务，应由乙方直接供应，不得转让他人供应；</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2.除非得到甲方的书面同意，乙方不得将本合同范围的服务全部或部分分包给他人供应；</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3.如有转让和未经甲方同意的分包行为，甲方有权解除合同，没收履约保证金并追究乙方的违约责任。</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七、服务质量保证期和服务质量保证金(选用)</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 服务质量保证期</w:t>
      </w:r>
      <w:r>
        <w:rPr>
          <w:rFonts w:hint="eastAsia" w:ascii="仿宋" w:hAnsi="仿宋" w:eastAsia="仿宋" w:cs="仿宋"/>
          <w:color w:val="auto"/>
          <w:highlight w:val="none"/>
          <w:u w:val="single"/>
          <w:lang w:val="en-US" w:eastAsia="zh-CN"/>
        </w:rPr>
        <w:t xml:space="preserve"> / </w:t>
      </w:r>
      <w:r>
        <w:rPr>
          <w:rFonts w:hint="eastAsia" w:ascii="仿宋" w:hAnsi="仿宋" w:eastAsia="仿宋" w:cs="仿宋"/>
          <w:color w:val="auto"/>
          <w:highlight w:val="none"/>
        </w:rPr>
        <w:t>年。（自验收合格之日起计）</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 服务质量保证金</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八、合同履行时间、履行方式及履行地点</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 履行时间：</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 履行方式：</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 履行地点：</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九、款项支付</w:t>
      </w:r>
    </w:p>
    <w:p>
      <w:pPr>
        <w:snapToGrid w:val="0"/>
        <w:spacing w:line="360" w:lineRule="auto"/>
        <w:ind w:firstLine="480" w:firstLineChars="200"/>
        <w:jc w:val="left"/>
        <w:rPr>
          <w:rFonts w:hint="eastAsia" w:ascii="仿宋" w:hAnsi="仿宋" w:eastAsia="仿宋"/>
          <w:b w:val="0"/>
          <w:bCs/>
          <w:color w:val="auto"/>
          <w:sz w:val="24"/>
          <w:highlight w:val="none"/>
          <w:lang w:val="en-US" w:eastAsia="zh-CN"/>
        </w:rPr>
      </w:pPr>
      <w:r>
        <w:rPr>
          <w:rFonts w:hint="eastAsia" w:ascii="仿宋" w:hAnsi="仿宋" w:eastAsia="仿宋" w:cs="仿宋"/>
          <w:b w:val="0"/>
          <w:bCs/>
          <w:color w:val="auto"/>
          <w:sz w:val="24"/>
          <w:szCs w:val="24"/>
          <w:highlight w:val="none"/>
          <w:lang w:val="en-US" w:eastAsia="zh-CN"/>
        </w:rPr>
        <w:t>1.付款方式：合同生效后5个工作日内，乙方支付合同总额的1%作为履约保证金。</w:t>
      </w:r>
      <w:r>
        <w:rPr>
          <w:rFonts w:hint="eastAsia" w:ascii="仿宋" w:hAnsi="仿宋" w:eastAsia="仿宋"/>
          <w:b w:val="0"/>
          <w:bCs/>
          <w:color w:val="auto"/>
          <w:sz w:val="24"/>
          <w:highlight w:val="none"/>
          <w:lang w:val="en-US" w:eastAsia="zh-CN"/>
        </w:rPr>
        <w:t>合同签订并缴纳履约保证金后</w:t>
      </w:r>
      <w:r>
        <w:rPr>
          <w:rFonts w:hint="eastAsia" w:ascii="仿宋" w:hAnsi="仿宋" w:eastAsia="仿宋" w:cs="仿宋"/>
          <w:b w:val="0"/>
          <w:bCs/>
          <w:sz w:val="24"/>
          <w:highlight w:val="none"/>
        </w:rPr>
        <w:t>，中标人先向采购人支付合同40%的预付款保函（应当以支票、汇票、本票或者金融机构、担保机构出具的保函等非现金形式提交。鼓励和支持供应商以银行、保险公司出具的保函形式提供），待采购人收到预付款保函后，采购人向中标人预付合同总价的40%。（签订合同时，乙方提出不要求预付款或降低预付款比例的，可不适用该条款）</w:t>
      </w:r>
      <w:r>
        <w:rPr>
          <w:rFonts w:hint="eastAsia" w:ascii="仿宋" w:hAnsi="仿宋" w:eastAsia="仿宋" w:cs="仿宋"/>
          <w:b w:val="0"/>
          <w:bCs/>
          <w:sz w:val="24"/>
          <w:highlight w:val="none"/>
          <w:lang w:eastAsia="zh-CN"/>
        </w:rPr>
        <w:t>，</w:t>
      </w:r>
      <w:r>
        <w:rPr>
          <w:rFonts w:hint="eastAsia" w:ascii="仿宋" w:hAnsi="仿宋" w:eastAsia="仿宋"/>
          <w:b w:val="0"/>
          <w:bCs/>
          <w:color w:val="auto"/>
          <w:sz w:val="24"/>
          <w:highlight w:val="none"/>
          <w:lang w:val="en-US" w:eastAsia="zh-CN"/>
        </w:rPr>
        <w:t>最终结算价按照各标项实际参加人数*投标单价，全部批次人员返程后</w:t>
      </w:r>
      <w:r>
        <w:rPr>
          <w:rFonts w:hint="eastAsia" w:ascii="仿宋" w:hAnsi="仿宋"/>
          <w:b w:val="0"/>
          <w:bCs/>
          <w:color w:val="auto"/>
          <w:sz w:val="24"/>
          <w:highlight w:val="none"/>
          <w:lang w:val="en-US" w:eastAsia="zh-CN"/>
        </w:rPr>
        <w:t>一</w:t>
      </w:r>
      <w:r>
        <w:rPr>
          <w:rFonts w:hint="eastAsia" w:ascii="仿宋" w:hAnsi="仿宋" w:eastAsia="仿宋"/>
          <w:b w:val="0"/>
          <w:bCs/>
          <w:color w:val="auto"/>
          <w:sz w:val="24"/>
          <w:highlight w:val="none"/>
          <w:lang w:val="en-US" w:eastAsia="zh-CN"/>
        </w:rPr>
        <w:t>个月内付清。</w:t>
      </w:r>
      <w:bookmarkStart w:id="405" w:name="_GoBack"/>
      <w:bookmarkEnd w:id="405"/>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2.合同履行完毕，需方根据合同进行验收，验收合格后供应商按财政结算要求办理货款结算手续。</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十、税费</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本合同执行中相关的一切税费均由乙方负担。</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十一、质量保证及后续服务</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 乙方应按招标文件规定向甲方提供服务。</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 乙方提供的服务成果在服务质量保证期内发生故障，乙方应负责免费提供后续服务。对达不到要求者，根据实际情况，经双方协商，可按以下办法处理：</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⑴重做：由乙方承担所发生的全部费用。</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⑵贬值处理：由甲乙双方合议定价。</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⑶解除合同。</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 如在使用过程中发生问题，乙方在接到甲方通知后在   小时内到达甲方现场。</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4.在服务质量保证期内，乙方应对出现的质量及安全问题负责处理解决并承担一切费用。</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十二、违约责任</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1.甲方无正当理由拒绝接收服务的，甲方向乙方偿付合同款项百分之 五 作为违约金。</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2.甲方无故逾期验收和办理款项支付手续的，甲方应按逾期付款总额每日万分之 五向乙方支付违约金。</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4.供方在服务项目验收合格之日起保修期内违反本合同有关承诺保证的，需方将有权不予退还质量保证金，损失赔偿不足部分，由乙方承担赔偿。</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5.如发现乙方违反招投标文件和合同的有关规定，甲方有权根据约定和《杭州市政府采购供应商合同履行和售后服务考核暂行办法》，对乙方进行处罚，并有权提前终止合同。</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十三、争议的解决</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因本合同引起的或与本合同有关的任何争议，合同双方应首先通过协商解决，达成书面协议，如协商不成，可选择下列第      种方式解决。</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（1）提请杭州仲裁委员会按照该会仲裁规则进行仲裁，仲裁裁决是终局的，对合同双方均有约束力。</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（2）向有管辖权的人民法院提起诉讼。</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十四、合同生效</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1.中标方持中标通知书作为与需方签订合同的凭证。</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2.本合同经需、供双方法定代表人（符合浙财采监【2013】24号第六条规定的为负责人）或其授权委托人签字并加盖单位公章后生效。</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需方（盖章）：                      供方（盖章）：</w:t>
      </w:r>
    </w:p>
    <w:p>
      <w:pPr>
        <w:pStyle w:val="24"/>
        <w:snapToGrid w:val="0"/>
        <w:spacing w:line="360" w:lineRule="auto"/>
        <w:rPr>
          <w:rFonts w:hint="eastAsia" w:ascii="仿宋" w:hAnsi="仿宋" w:eastAsia="仿宋" w:cs="仿宋"/>
          <w:color w:val="auto"/>
          <w:highlight w:val="none"/>
        </w:rPr>
      </w:pP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地址：                             地址：</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法定代表人（或委托代理人）签名：   法定代表人（或委托代理人）签名：</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联系电话：                         联系电话：</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邮政编码：                         邮政编码：</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开户银行：                         开户银行：      </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帐号：                             帐号：</w:t>
      </w:r>
    </w:p>
    <w:p>
      <w:pPr>
        <w:pStyle w:val="4"/>
        <w:ind w:left="0" w:leftChars="0" w:firstLine="0" w:firstLineChars="0"/>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rPr>
      </w:pPr>
    </w:p>
    <w:bookmarkEnd w:id="394"/>
    <w:bookmarkEnd w:id="395"/>
    <w:p>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 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（2）联合协议（如果有）…………………………………………………（页码）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（3）落实政府采购政策需满足的资格要求（如果有）…………………（页码）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（4）本项目的特定资格要求（如果有）…………………………………（页码）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pStyle w:val="60"/>
        <w:rPr>
          <w:rFonts w:hint="eastAsia"/>
        </w:rPr>
      </w:pPr>
    </w:p>
    <w:p>
      <w:pPr>
        <w:pStyle w:val="60"/>
        <w:rPr>
          <w:rFonts w:hint="eastAsia"/>
          <w:b/>
          <w:bCs/>
          <w:highlight w:val="yellow"/>
          <w:u w:val="single"/>
        </w:rPr>
      </w:pPr>
      <w:r>
        <w:rPr>
          <w:rFonts w:hint="eastAsia"/>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w:t>
      </w:r>
      <w:r>
        <w:rPr>
          <w:rFonts w:hint="eastAsia"/>
          <w:highlight w:val="none"/>
        </w:rPr>
        <w:t>续，</w:t>
      </w:r>
      <w:r>
        <w:rPr>
          <w:rFonts w:hint="eastAsia"/>
          <w:b/>
          <w:bCs/>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hint="eastAsia"/>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spacing w:line="360" w:lineRule="auto"/>
        <w:ind w:firstLine="643" w:firstLineChars="200"/>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二、联合协议（如果有）</w:t>
      </w:r>
    </w:p>
    <w:p>
      <w:pPr>
        <w:widowControl/>
        <w:spacing w:line="360" w:lineRule="auto"/>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[以联合体形式投标的，提供联合协议（附件5）；本项目不接受联合体投标或者投标人不以联合体形式投标的，则不需要提供]</w:t>
      </w:r>
    </w:p>
    <w:p>
      <w:pPr>
        <w:pStyle w:val="2"/>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2"/>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ascii="仿宋_GB2312" w:hAnsi="仿宋_GB2312" w:eastAsia="仿宋_GB2312" w:cs="仿宋_GB2312"/>
          <w:sz w:val="24"/>
        </w:rPr>
      </w:pPr>
      <w:r>
        <w:rPr>
          <w:rFonts w:hint="eastAsia" w:ascii="仿宋_GB2312" w:hAnsi="仿宋_GB2312" w:eastAsia="仿宋_GB2312" w:cs="仿宋_GB2312"/>
          <w:b/>
          <w:sz w:val="24"/>
        </w:rPr>
        <w:t>B.</w:t>
      </w:r>
      <w:r>
        <w:rPr>
          <w:rFonts w:hint="eastAsia" w:ascii="仿宋_GB2312" w:hAnsi="仿宋_GB2312" w:eastAsia="仿宋_GB2312" w:cs="仿宋_GB2312"/>
          <w:sz w:val="24"/>
        </w:rPr>
        <w:t>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line="360" w:lineRule="auto"/>
        <w:ind w:firstLine="480" w:firstLineChars="200"/>
        <w:rPr>
          <w:rFonts w:ascii="仿宋_GB2312" w:hAnsi="仿宋_GB2312" w:eastAsia="仿宋_GB2312" w:cs="仿宋_GB2312"/>
          <w:sz w:val="24"/>
        </w:rPr>
      </w:pPr>
    </w:p>
    <w:p>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C.</w:t>
      </w:r>
      <w:r>
        <w:rPr>
          <w:rFonts w:hint="eastAsia" w:ascii="仿宋_GB2312" w:hAnsi="仿宋_GB2312" w:eastAsia="仿宋_GB2312" w:cs="仿宋_GB2312"/>
          <w:sz w:val="24"/>
        </w:rPr>
        <w:t>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left="150"/>
        <w:jc w:val="center"/>
        <w:rPr>
          <w:rFonts w:ascii="仿宋_GB2312" w:hAnsi="仿宋_GB2312" w:eastAsia="仿宋_GB2312" w:cs="仿宋_GB2312"/>
          <w:b/>
          <w:kern w:val="0"/>
          <w:sz w:val="32"/>
          <w:szCs w:val="32"/>
        </w:rPr>
      </w:pPr>
    </w:p>
    <w:p>
      <w:pPr>
        <w:widowControl/>
        <w:spacing w:line="360" w:lineRule="auto"/>
        <w:ind w:left="150"/>
        <w:jc w:val="center"/>
        <w:rPr>
          <w:rFonts w:ascii="仿宋_GB2312" w:hAnsi="仿宋_GB2312" w:eastAsia="仿宋_GB2312" w:cs="仿宋_GB2312"/>
          <w:b/>
          <w:kern w:val="0"/>
          <w:sz w:val="32"/>
          <w:szCs w:val="32"/>
        </w:rPr>
      </w:pPr>
    </w:p>
    <w:p>
      <w:pPr>
        <w:widowControl/>
        <w:spacing w:line="360" w:lineRule="auto"/>
        <w:ind w:left="150"/>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四、本项目的特定资格要求（如果有）</w:t>
      </w:r>
    </w:p>
    <w:p>
      <w:pPr>
        <w:spacing w:line="360" w:lineRule="auto"/>
        <w:jc w:val="center"/>
        <w:rPr>
          <w:rFonts w:ascii="仿宋_GB2312" w:hAnsi="仿宋_GB2312" w:eastAsia="仿宋_GB2312" w:cs="仿宋_GB2312"/>
          <w:b/>
          <w:kern w:val="0"/>
          <w:sz w:val="36"/>
          <w:szCs w:val="36"/>
        </w:rPr>
        <w:sectPr>
          <w:headerReference r:id="rId8" w:type="default"/>
          <w:footerReference r:id="rId9" w:type="default"/>
          <w:pgSz w:w="11906" w:h="16838"/>
          <w:pgMar w:top="680"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_GB2312" w:hAnsi="仿宋_GB2312" w:eastAsia="仿宋_GB2312" w:cs="仿宋_GB2312"/>
          <w:sz w:val="24"/>
        </w:rPr>
        <w:t>（根据招标公告本项目的特定资格要求提供相应的材料；未要求的，无需提供）</w:t>
      </w:r>
    </w:p>
    <w:p>
      <w:pPr>
        <w:snapToGrid w:val="0"/>
        <w:spacing w:before="50" w:after="50"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547" w:leftChars="228"/>
        <w:rPr>
          <w:rFonts w:ascii="仿宋_GB2312" w:hAnsi="仿宋_GB2312" w:eastAsia="仿宋_GB2312" w:cs="仿宋_GB2312"/>
          <w:sz w:val="24"/>
        </w:rPr>
      </w:pPr>
      <w:r>
        <w:rPr>
          <w:rFonts w:hint="eastAsia" w:ascii="仿宋_GB2312" w:hAnsi="仿宋_GB2312" w:eastAsia="仿宋_GB2312" w:cs="仿宋_GB2312"/>
          <w:sz w:val="24"/>
        </w:rPr>
        <w:t>（1）投标函………………………………………………………………………（页码）</w:t>
      </w:r>
    </w:p>
    <w:p>
      <w:pPr>
        <w:snapToGrid w:val="0"/>
        <w:spacing w:line="360" w:lineRule="auto"/>
        <w:ind w:left="547" w:leftChars="228"/>
        <w:rPr>
          <w:rFonts w:ascii="仿宋_GB2312" w:hAnsi="仿宋_GB2312" w:eastAsia="仿宋_GB2312" w:cs="仿宋_GB2312"/>
          <w:sz w:val="24"/>
        </w:rPr>
      </w:pPr>
      <w:r>
        <w:rPr>
          <w:rFonts w:hint="eastAsia" w:ascii="仿宋_GB2312" w:hAnsi="仿宋_GB2312" w:eastAsia="仿宋_GB2312" w:cs="仿宋_GB2312"/>
          <w:sz w:val="24"/>
        </w:rPr>
        <w:t>（2）授权委托书或法定代表人（单位负责人、自然人本人）身份证明……（页码）</w:t>
      </w:r>
    </w:p>
    <w:p>
      <w:pPr>
        <w:snapToGrid w:val="0"/>
        <w:spacing w:line="360" w:lineRule="auto"/>
        <w:ind w:left="547" w:leftChars="228"/>
        <w:rPr>
          <w:rFonts w:ascii="仿宋_GB2312" w:hAnsi="仿宋_GB2312" w:eastAsia="仿宋_GB2312" w:cs="仿宋_GB2312"/>
          <w:sz w:val="24"/>
        </w:rPr>
      </w:pPr>
      <w:r>
        <w:rPr>
          <w:rFonts w:hint="eastAsia" w:ascii="仿宋_GB2312" w:hAnsi="仿宋_GB2312" w:eastAsia="仿宋_GB2312" w:cs="仿宋_GB2312"/>
          <w:sz w:val="24"/>
        </w:rPr>
        <w:t>（3）分包意向协议（如果有）…………………………………………………（页码）</w:t>
      </w:r>
    </w:p>
    <w:p>
      <w:pPr>
        <w:snapToGrid w:val="0"/>
        <w:spacing w:line="360" w:lineRule="auto"/>
        <w:ind w:left="547" w:leftChars="228"/>
        <w:rPr>
          <w:rFonts w:ascii="仿宋_GB2312" w:hAnsi="仿宋_GB2312" w:eastAsia="仿宋_GB2312" w:cs="仿宋_GB2312"/>
          <w:sz w:val="24"/>
        </w:rPr>
      </w:pPr>
      <w:r>
        <w:rPr>
          <w:rFonts w:hint="eastAsia" w:ascii="仿宋_GB2312" w:hAnsi="仿宋_GB2312" w:eastAsia="仿宋_GB2312" w:cs="仿宋_GB2312"/>
          <w:sz w:val="24"/>
        </w:rPr>
        <w:t>（4）符合性审查资料……………………………………………………………（页码）</w:t>
      </w:r>
    </w:p>
    <w:p>
      <w:pPr>
        <w:snapToGrid w:val="0"/>
        <w:spacing w:line="360" w:lineRule="auto"/>
        <w:ind w:left="547" w:leftChars="228"/>
        <w:rPr>
          <w:rFonts w:ascii="仿宋_GB2312" w:hAnsi="仿宋_GB2312" w:eastAsia="仿宋_GB2312" w:cs="仿宋_GB2312"/>
          <w:sz w:val="24"/>
        </w:rPr>
      </w:pPr>
      <w:r>
        <w:rPr>
          <w:rFonts w:hint="eastAsia" w:ascii="仿宋_GB2312" w:hAnsi="仿宋_GB2312" w:eastAsia="仿宋_GB2312" w:cs="仿宋_GB2312"/>
          <w:sz w:val="24"/>
        </w:rPr>
        <w:t>（5）评标标准相应的商务技术资料……………………………………………（页码）</w:t>
      </w:r>
    </w:p>
    <w:p>
      <w:pPr>
        <w:snapToGrid w:val="0"/>
        <w:spacing w:line="360" w:lineRule="auto"/>
        <w:ind w:left="547" w:leftChars="228"/>
        <w:rPr>
          <w:rFonts w:ascii="仿宋_GB2312" w:hAnsi="仿宋_GB2312" w:eastAsia="仿宋_GB2312" w:cs="仿宋_GB2312"/>
          <w:sz w:val="24"/>
        </w:rPr>
      </w:pPr>
      <w:r>
        <w:rPr>
          <w:rFonts w:hint="eastAsia" w:ascii="仿宋_GB2312" w:hAnsi="仿宋_GB2312" w:eastAsia="仿宋_GB2312" w:cs="仿宋_GB2312"/>
          <w:sz w:val="24"/>
        </w:rPr>
        <w:t>（6）投标标的清单………………………………………………………………（页码）</w:t>
      </w:r>
    </w:p>
    <w:p>
      <w:pPr>
        <w:snapToGrid w:val="0"/>
        <w:spacing w:line="360" w:lineRule="auto"/>
        <w:ind w:left="547" w:leftChars="228"/>
        <w:rPr>
          <w:rFonts w:ascii="仿宋_GB2312" w:hAnsi="仿宋_GB2312" w:eastAsia="仿宋_GB2312" w:cs="仿宋_GB2312"/>
          <w:sz w:val="24"/>
        </w:rPr>
      </w:pPr>
      <w:r>
        <w:rPr>
          <w:rFonts w:hint="eastAsia" w:ascii="仿宋_GB2312" w:hAnsi="仿宋_GB2312" w:eastAsia="仿宋_GB2312" w:cs="仿宋_GB2312"/>
          <w:sz w:val="24"/>
        </w:rPr>
        <w:t>（7）商务技术偏离表……………………………………………………………（页码）</w:t>
      </w:r>
    </w:p>
    <w:p>
      <w:pPr>
        <w:snapToGrid w:val="0"/>
        <w:spacing w:line="360" w:lineRule="auto"/>
        <w:ind w:left="547" w:leftChars="228"/>
        <w:rPr>
          <w:rFonts w:ascii="仿宋_GB2312" w:hAnsi="仿宋_GB2312" w:eastAsia="仿宋_GB2312" w:cs="仿宋_GB2312"/>
          <w:b/>
          <w:kern w:val="0"/>
          <w:sz w:val="32"/>
          <w:szCs w:val="32"/>
        </w:rPr>
        <w:sectPr>
          <w:pgSz w:w="11906" w:h="16838"/>
          <w:pgMar w:top="680"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_GB2312" w:hAnsi="仿宋_GB2312" w:eastAsia="仿宋_GB2312" w:cs="仿宋_GB2312"/>
          <w:sz w:val="24"/>
          <w:lang w:val="zh-CN"/>
        </w:rPr>
        <w:t>（</w:t>
      </w:r>
      <w:r>
        <w:rPr>
          <w:rFonts w:hint="eastAsia" w:ascii="仿宋_GB2312" w:hAnsi="仿宋_GB2312" w:eastAsia="仿宋_GB2312" w:cs="仿宋_GB2312"/>
          <w:sz w:val="24"/>
        </w:rPr>
        <w:t>8</w:t>
      </w:r>
      <w:r>
        <w:rPr>
          <w:rFonts w:hint="eastAsia" w:ascii="仿宋_GB2312" w:hAnsi="仿宋_GB2312" w:eastAsia="仿宋_GB2312" w:cs="仿宋_GB2312"/>
          <w:sz w:val="24"/>
          <w:lang w:val="zh-CN"/>
        </w:rPr>
        <w:t>）政府采购供应商廉洁自律承诺书</w:t>
      </w:r>
      <w:r>
        <w:rPr>
          <w:rFonts w:hint="eastAsia" w:ascii="仿宋_GB2312" w:hAnsi="仿宋_GB2312" w:eastAsia="仿宋_GB2312" w:cs="仿宋_GB2312"/>
          <w:sz w:val="24"/>
        </w:rPr>
        <w:t>…………………………………………（页码）</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仿宋" w:hAnsi="仿宋" w:eastAsia="仿宋" w:cs="仿宋"/>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2、我方的投标文件包括以下内容：</w:t>
      </w:r>
    </w:p>
    <w:p>
      <w:pPr>
        <w:snapToGrid w:val="0"/>
        <w:spacing w:line="360" w:lineRule="auto"/>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2.1资格文件：</w:t>
      </w:r>
    </w:p>
    <w:p>
      <w:pPr>
        <w:snapToGrid w:val="0"/>
        <w:spacing w:line="360" w:lineRule="auto"/>
        <w:ind w:left="48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2.1.1承诺函；</w:t>
      </w:r>
    </w:p>
    <w:p>
      <w:pPr>
        <w:snapToGrid w:val="0"/>
        <w:spacing w:line="360" w:lineRule="auto"/>
        <w:ind w:left="480" w:leftChars="200" w:firstLine="480" w:firstLineChars="200"/>
        <w:rPr>
          <w:rFonts w:ascii="仿宋_GB2312" w:hAnsi="仿宋_GB2312" w:eastAsia="仿宋_GB2312" w:cs="仿宋_GB2312"/>
        </w:rPr>
      </w:pPr>
      <w:r>
        <w:rPr>
          <w:rFonts w:hint="eastAsia" w:ascii="仿宋_GB2312" w:hAnsi="仿宋_GB2312" w:eastAsia="仿宋_GB2312" w:cs="仿宋_GB2312"/>
          <w:sz w:val="24"/>
        </w:rPr>
        <w:t>2.1.2联合协议（如果有）；</w:t>
      </w:r>
    </w:p>
    <w:p>
      <w:pPr>
        <w:snapToGrid w:val="0"/>
        <w:spacing w:line="360" w:lineRule="auto"/>
        <w:ind w:left="48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2.1.3落实政府采购政策需满足的资格要求（如果有）；</w:t>
      </w:r>
    </w:p>
    <w:p>
      <w:pPr>
        <w:snapToGrid w:val="0"/>
        <w:spacing w:line="360" w:lineRule="auto"/>
        <w:ind w:left="48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2.1.4本项目的特定资格要求（如果有）。</w:t>
      </w:r>
    </w:p>
    <w:p>
      <w:pPr>
        <w:snapToGrid w:val="0"/>
        <w:spacing w:line="360" w:lineRule="auto"/>
        <w:ind w:firstLine="720" w:firstLineChars="300"/>
        <w:rPr>
          <w:rFonts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商务技术</w:t>
      </w:r>
      <w:r>
        <w:rPr>
          <w:rFonts w:hint="eastAsia" w:ascii="仿宋_GB2312" w:hAnsi="仿宋_GB2312" w:eastAsia="仿宋_GB2312" w:cs="仿宋_GB2312"/>
          <w:sz w:val="24"/>
          <w:lang w:val="zh-CN"/>
        </w:rPr>
        <w:t>文件：</w:t>
      </w:r>
    </w:p>
    <w:p>
      <w:pPr>
        <w:snapToGrid w:val="0"/>
        <w:spacing w:line="360" w:lineRule="auto"/>
        <w:ind w:left="48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2.2.1投标函；</w:t>
      </w:r>
      <w:r>
        <w:rPr>
          <w:rFonts w:hint="eastAsia" w:ascii="仿宋_GB2312" w:hAnsi="仿宋_GB2312" w:eastAsia="仿宋_GB2312" w:cs="仿宋_GB2312"/>
          <w:sz w:val="24"/>
          <w:lang w:val="zh-CN"/>
        </w:rPr>
        <w:t xml:space="preserve"> </w:t>
      </w:r>
    </w:p>
    <w:p>
      <w:pPr>
        <w:snapToGrid w:val="0"/>
        <w:spacing w:line="360" w:lineRule="auto"/>
        <w:ind w:left="48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2.2.2授权委托书或法定代表人（单位负责人）身份证明；</w:t>
      </w:r>
    </w:p>
    <w:p>
      <w:pPr>
        <w:snapToGrid w:val="0"/>
        <w:spacing w:line="360" w:lineRule="auto"/>
        <w:ind w:left="48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2.2.3分包意向协议（如果有）；</w:t>
      </w:r>
    </w:p>
    <w:p>
      <w:pPr>
        <w:snapToGrid w:val="0"/>
        <w:spacing w:line="360" w:lineRule="auto"/>
        <w:ind w:left="48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2.2.4符合性审查资料；</w:t>
      </w:r>
    </w:p>
    <w:p>
      <w:pPr>
        <w:snapToGrid w:val="0"/>
        <w:spacing w:line="360" w:lineRule="auto"/>
        <w:ind w:left="48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2.2.5评标标准相应的商务技术资料；</w:t>
      </w:r>
    </w:p>
    <w:p>
      <w:pPr>
        <w:snapToGrid w:val="0"/>
        <w:spacing w:line="360" w:lineRule="auto"/>
        <w:ind w:left="48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2.2.6投标标的清单；</w:t>
      </w:r>
    </w:p>
    <w:p>
      <w:pPr>
        <w:snapToGrid w:val="0"/>
        <w:spacing w:line="360" w:lineRule="auto"/>
        <w:ind w:left="48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2.2.7商务技术偏离表；</w:t>
      </w:r>
    </w:p>
    <w:p>
      <w:pPr>
        <w:snapToGrid w:val="0"/>
        <w:spacing w:line="360" w:lineRule="auto"/>
        <w:ind w:left="480" w:leftChars="200"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8</w:t>
      </w:r>
      <w:r>
        <w:rPr>
          <w:rFonts w:hint="eastAsia" w:ascii="仿宋_GB2312" w:hAnsi="仿宋_GB2312" w:eastAsia="仿宋_GB2312" w:cs="仿宋_GB2312"/>
          <w:sz w:val="24"/>
          <w:lang w:val="zh-CN"/>
        </w:rPr>
        <w:t>政府采购供应商廉洁自律承诺书；</w:t>
      </w:r>
    </w:p>
    <w:p>
      <w:pPr>
        <w:snapToGrid w:val="0"/>
        <w:spacing w:line="360" w:lineRule="auto"/>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3报价文件</w:t>
      </w:r>
    </w:p>
    <w:p>
      <w:pPr>
        <w:snapToGrid w:val="0"/>
        <w:spacing w:line="360" w:lineRule="auto"/>
        <w:ind w:left="48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2.3.1开标一览表（报价表）；</w:t>
      </w:r>
    </w:p>
    <w:p>
      <w:pPr>
        <w:snapToGrid w:val="0"/>
        <w:spacing w:line="360" w:lineRule="auto"/>
        <w:ind w:left="48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2.3.2中小企业声明函（如果有）。</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4、如我方中标，我方承诺：</w:t>
      </w:r>
    </w:p>
    <w:p>
      <w:pPr>
        <w:snapToGrid w:val="0"/>
        <w:spacing w:line="360" w:lineRule="auto"/>
        <w:ind w:left="24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4.1在收到中标通知书后，在中标通知书规定的期限内与你方签订合同； </w:t>
      </w:r>
    </w:p>
    <w:p>
      <w:pPr>
        <w:snapToGrid w:val="0"/>
        <w:spacing w:line="360" w:lineRule="auto"/>
        <w:ind w:left="24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4.2在签订合同时不向你方提出附加条件； </w:t>
      </w:r>
    </w:p>
    <w:p>
      <w:pPr>
        <w:snapToGrid w:val="0"/>
        <w:spacing w:line="360" w:lineRule="auto"/>
        <w:ind w:left="24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4.3按照招标文件要求提交履约保证金； </w:t>
      </w:r>
    </w:p>
    <w:p>
      <w:pPr>
        <w:snapToGrid w:val="0"/>
        <w:spacing w:line="360" w:lineRule="auto"/>
        <w:ind w:left="24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4.4在合同约定的期限内完成合同规定的全部义务。 </w:t>
      </w:r>
    </w:p>
    <w:p>
      <w:pPr>
        <w:snapToGrid w:val="0"/>
        <w:spacing w:line="360" w:lineRule="auto"/>
        <w:ind w:left="24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5、其他补充说明: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uto"/>
        <w:ind w:firstLine="3600" w:firstLineChars="1500"/>
        <w:rPr>
          <w:rFonts w:ascii="仿宋_GB2312" w:hAnsi="仿宋_GB2312" w:eastAsia="仿宋_GB2312" w:cs="仿宋_GB2312"/>
          <w:sz w:val="24"/>
        </w:rPr>
      </w:pPr>
      <w:r>
        <w:rPr>
          <w:rFonts w:hint="eastAsia" w:ascii="仿宋_GB2312" w:hAnsi="仿宋_GB2312" w:eastAsia="仿宋_GB2312" w:cs="仿宋_GB2312"/>
          <w:sz w:val="24"/>
        </w:rPr>
        <w:t xml:space="preserve">投标人名称（电子签名）：                          </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     日期：  年   月   日</w:t>
      </w:r>
    </w:p>
    <w:p>
      <w:pPr>
        <w:spacing w:line="360" w:lineRule="auto"/>
        <w:ind w:right="420"/>
        <w:rPr>
          <w:rFonts w:ascii="仿宋_GB2312" w:hAnsi="仿宋_GB2312" w:eastAsia="仿宋_GB2312" w:cs="仿宋_GB2312"/>
          <w:sz w:val="24"/>
        </w:rPr>
      </w:pPr>
    </w:p>
    <w:p>
      <w:pPr>
        <w:spacing w:line="360" w:lineRule="auto"/>
        <w:ind w:right="420"/>
        <w:rPr>
          <w:rFonts w:ascii="仿宋_GB2312" w:hAnsi="仿宋_GB2312" w:eastAsia="仿宋_GB2312" w:cs="仿宋_GB2312"/>
          <w:sz w:val="24"/>
        </w:rPr>
      </w:pPr>
      <w:r>
        <w:rPr>
          <w:rFonts w:hint="eastAsia" w:ascii="仿宋_GB2312" w:hAnsi="仿宋_GB2312" w:eastAsia="仿宋_GB2312" w:cs="仿宋_GB2312"/>
          <w:sz w:val="24"/>
        </w:rPr>
        <w:t>注：按本格式和要求提供。</w:t>
      </w:r>
    </w:p>
    <w:p>
      <w:pPr>
        <w:snapToGrid w:val="0"/>
        <w:spacing w:line="360" w:lineRule="auto"/>
        <w:ind w:left="480" w:leftChars="200" w:firstLine="4200" w:firstLineChars="1750"/>
        <w:rPr>
          <w:rFonts w:hint="eastAsia" w:ascii="仿宋" w:hAnsi="仿宋" w:eastAsia="仿宋" w:cs="仿宋"/>
          <w:color w:val="auto"/>
          <w:kern w:val="0"/>
          <w:sz w:val="24"/>
          <w:highlight w:val="none"/>
          <w:u w:val="singl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pStyle w:val="2"/>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pStyle w:val="2"/>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pStyle w:val="2"/>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pStyle w:val="2"/>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pStyle w:val="2"/>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pStyle w:val="2"/>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pStyle w:val="2"/>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pStyle w:val="2"/>
        <w:rPr>
          <w:rFonts w:hint="eastAsia" w:ascii="仿宋" w:hAnsi="仿宋" w:eastAsia="仿宋" w:cs="仿宋"/>
          <w:b/>
          <w:color w:val="auto"/>
          <w:kern w:val="0"/>
          <w:sz w:val="32"/>
          <w:szCs w:val="32"/>
          <w:highlight w:val="none"/>
          <w:lang w:val="zh-CN"/>
        </w:rPr>
      </w:pPr>
    </w:p>
    <w:p>
      <w:pPr>
        <w:pStyle w:val="2"/>
        <w:ind w:left="0" w:leftChars="0" w:firstLine="0" w:firstLineChars="0"/>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pStyle w:val="2"/>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pStyle w:val="2"/>
        <w:rPr>
          <w:rFonts w:hint="eastAsia" w:ascii="仿宋" w:hAnsi="仿宋" w:eastAsia="仿宋" w:cs="仿宋"/>
          <w:b/>
          <w:color w:val="auto"/>
          <w:kern w:val="0"/>
          <w:sz w:val="32"/>
          <w:szCs w:val="32"/>
          <w:highlight w:val="none"/>
          <w:lang w:val="zh-CN"/>
        </w:rPr>
      </w:pPr>
    </w:p>
    <w:p>
      <w:pPr>
        <w:rPr>
          <w:rFonts w:hint="eastAsia"/>
          <w:lang w:val="zh-CN"/>
        </w:rPr>
      </w:pPr>
    </w:p>
    <w:p>
      <w:pPr>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napToGrid w:val="0"/>
        <w:spacing w:line="360" w:lineRule="auto"/>
        <w:ind w:firstLine="2872" w:firstLineChars="894"/>
        <w:rPr>
          <w:rFonts w:ascii="仿宋_GB2312" w:hAnsi="仿宋_GB2312" w:eastAsia="仿宋_GB2312" w:cs="仿宋_GB2312"/>
        </w:rPr>
      </w:pPr>
      <w:r>
        <w:rPr>
          <w:rFonts w:hint="eastAsia" w:ascii="仿宋_GB2312" w:hAnsi="仿宋_GB2312" w:eastAsia="仿宋_GB2312" w:cs="仿宋_GB2312"/>
          <w:b/>
          <w:kern w:val="0"/>
          <w:sz w:val="32"/>
          <w:szCs w:val="32"/>
          <w:lang w:val="zh-CN"/>
        </w:rPr>
        <w:t>授权委托书（适用于非联合体投标）</w:t>
      </w:r>
      <w:r>
        <w:rPr>
          <w:rFonts w:hint="eastAsia" w:ascii="仿宋_GB2312" w:hAnsi="仿宋_GB2312" w:eastAsia="仿宋_GB2312" w:cs="仿宋_GB2312"/>
        </w:rPr>
        <w:t xml:space="preserve">                               </w:t>
      </w:r>
    </w:p>
    <w:p>
      <w:pPr>
        <w:snapToGrid w:val="0"/>
        <w:spacing w:line="360" w:lineRule="auto"/>
        <w:rPr>
          <w:rFonts w:ascii="仿宋_GB2312" w:hAnsi="仿宋_GB2312" w:eastAsia="仿宋_GB2312" w:cs="仿宋_GB2312"/>
          <w:kern w:val="0"/>
          <w:sz w:val="24"/>
        </w:rPr>
      </w:pPr>
      <w:r>
        <w:rPr>
          <w:rFonts w:hint="eastAsia" w:ascii="仿宋" w:hAnsi="仿宋" w:eastAsia="仿宋" w:cs="仿宋"/>
          <w:color w:val="auto"/>
          <w:sz w:val="24"/>
          <w:highlight w:val="none"/>
        </w:rPr>
        <w:t>（采购人）、（采购代理机构）</w:t>
      </w:r>
      <w:r>
        <w:rPr>
          <w:rFonts w:hint="eastAsia" w:ascii="仿宋_GB2312" w:hAnsi="仿宋_GB2312" w:eastAsia="仿宋_GB2312" w:cs="仿宋_GB2312"/>
          <w:kern w:val="0"/>
          <w:sz w:val="24"/>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_GB2312" w:hAnsi="仿宋_GB2312" w:eastAsia="仿宋_GB2312" w:cs="仿宋_GB2312"/>
          <w:kern w:val="0"/>
          <w:sz w:val="24"/>
        </w:rPr>
        <w:t>现</w:t>
      </w:r>
      <w:r>
        <w:rPr>
          <w:rFonts w:hint="eastAsia" w:ascii="仿宋_GB2312" w:hAnsi="仿宋_GB2312" w:eastAsia="仿宋_GB2312" w:cs="仿宋_GB2312"/>
          <w:kern w:val="0"/>
          <w:sz w:val="24"/>
          <w:lang w:val="zh-CN"/>
        </w:rPr>
        <w:t>委托</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（姓名）为我方代理人（身份证号码：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，手机：</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委托期限</w:t>
      </w:r>
      <w:r>
        <w:rPr>
          <w:rFonts w:hint="eastAsia" w:ascii="仿宋_GB2312" w:hAnsi="仿宋_GB2312" w:eastAsia="仿宋_GB2312" w:cs="仿宋_GB2312"/>
          <w:kern w:val="0"/>
          <w:sz w:val="24"/>
          <w:highlight w:val="none"/>
        </w:rPr>
        <w:t>：</w:t>
      </w:r>
      <w:r>
        <w:rPr>
          <w:rFonts w:hint="eastAsia" w:ascii="仿宋_GB2312" w:hAnsi="仿宋_GB2312" w:eastAsia="仿宋_GB2312" w:cs="仿宋_GB2312"/>
          <w:kern w:val="0"/>
          <w:sz w:val="24"/>
          <w:highlight w:val="none"/>
          <w:lang w:val="zh-CN"/>
        </w:rPr>
        <w:t>自</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年</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日起至</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年</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日止。</w:t>
      </w:r>
    </w:p>
    <w:p>
      <w:pPr>
        <w:snapToGrid w:val="0"/>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特此告知。</w:t>
      </w:r>
    </w:p>
    <w:p>
      <w:pPr>
        <w:snapToGrid w:val="0"/>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zh-CN"/>
        </w:rPr>
        <w:t xml:space="preserve">                                                 投标人名称(电子签名)：</w:t>
      </w:r>
    </w:p>
    <w:p>
      <w:pPr>
        <w:snapToGrid w:val="0"/>
        <w:spacing w:line="360" w:lineRule="auto"/>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val="zh-CN"/>
        </w:rPr>
        <w:t xml:space="preserve">                                                 签发日期：  年  月   日</w:t>
      </w:r>
    </w:p>
    <w:p>
      <w:pPr>
        <w:snapToGrid w:val="0"/>
        <w:spacing w:line="360" w:lineRule="auto"/>
        <w:rPr>
          <w:rFonts w:ascii="仿宋_GB2312" w:hAnsi="仿宋_GB2312" w:eastAsia="仿宋_GB2312" w:cs="仿宋_GB2312"/>
          <w:sz w:val="24"/>
          <w:highlight w:val="none"/>
        </w:rPr>
      </w:pPr>
    </w:p>
    <w:p>
      <w:pPr>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lang w:val="zh-CN"/>
        </w:rPr>
        <w:t xml:space="preserve">      </w:t>
      </w:r>
      <w:r>
        <w:rPr>
          <w:rFonts w:hint="eastAsia" w:ascii="仿宋_GB2312" w:hAnsi="仿宋_GB2312" w:eastAsia="仿宋_GB2312" w:cs="仿宋_GB2312"/>
          <w:b/>
          <w:kern w:val="0"/>
          <w:sz w:val="32"/>
          <w:szCs w:val="32"/>
          <w:highlight w:val="none"/>
        </w:rPr>
        <w:t xml:space="preserve"> </w:t>
      </w:r>
      <w:r>
        <w:rPr>
          <w:rFonts w:hint="eastAsia" w:ascii="仿宋_GB2312" w:hAnsi="仿宋_GB2312" w:eastAsia="仿宋_GB2312" w:cs="仿宋_GB2312"/>
          <w:b/>
          <w:kern w:val="0"/>
          <w:sz w:val="32"/>
          <w:szCs w:val="32"/>
          <w:highlight w:val="none"/>
          <w:lang w:val="zh-CN"/>
        </w:rPr>
        <w:t>授权委托书（适用于联合体投标）</w:t>
      </w:r>
    </w:p>
    <w:p>
      <w:pPr>
        <w:snapToGrid w:val="0"/>
        <w:spacing w:line="360" w:lineRule="auto"/>
        <w:rPr>
          <w:rFonts w:ascii="仿宋_GB2312" w:hAnsi="仿宋_GB2312" w:eastAsia="仿宋_GB2312" w:cs="仿宋_GB2312"/>
          <w:kern w:val="0"/>
          <w:sz w:val="24"/>
          <w:highlight w:val="none"/>
        </w:rPr>
      </w:pPr>
      <w:r>
        <w:rPr>
          <w:rFonts w:hint="eastAsia" w:ascii="仿宋" w:hAnsi="仿宋" w:eastAsia="仿宋" w:cs="仿宋"/>
          <w:color w:val="auto"/>
          <w:sz w:val="24"/>
          <w:highlight w:val="none"/>
        </w:rPr>
        <w:t>（采购人）、（采购代理机构）</w:t>
      </w:r>
      <w:r>
        <w:rPr>
          <w:rFonts w:hint="eastAsia" w:ascii="仿宋_GB2312" w:hAnsi="仿宋_GB2312" w:eastAsia="仿宋_GB2312" w:cs="仿宋_GB2312"/>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_GB2312" w:hAnsi="仿宋_GB2312" w:eastAsia="仿宋_GB2312" w:cs="仿宋_GB2312"/>
          <w:kern w:val="0"/>
          <w:sz w:val="24"/>
          <w:highlight w:val="none"/>
        </w:rPr>
        <w:t>现</w:t>
      </w:r>
      <w:r>
        <w:rPr>
          <w:rFonts w:hint="eastAsia" w:ascii="仿宋_GB2312" w:hAnsi="仿宋_GB2312" w:eastAsia="仿宋_GB2312" w:cs="仿宋_GB2312"/>
          <w:kern w:val="0"/>
          <w:sz w:val="24"/>
          <w:highlight w:val="none"/>
          <w:lang w:val="zh-CN"/>
        </w:rPr>
        <w:t>委托</w:t>
      </w:r>
      <w:r>
        <w:rPr>
          <w:rFonts w:hint="eastAsia" w:ascii="仿宋_GB2312" w:hAnsi="仿宋_GB2312" w:eastAsia="仿宋_GB2312" w:cs="仿宋_GB2312"/>
          <w:kern w:val="0"/>
          <w:sz w:val="24"/>
          <w:highlight w:val="none"/>
          <w:u w:val="single"/>
          <w:lang w:val="zh-CN"/>
        </w:rPr>
        <w:t xml:space="preserve">          </w:t>
      </w:r>
      <w:r>
        <w:rPr>
          <w:rFonts w:hint="eastAsia" w:ascii="仿宋_GB2312" w:hAnsi="仿宋_GB2312" w:eastAsia="仿宋_GB2312" w:cs="仿宋_GB2312"/>
          <w:kern w:val="0"/>
          <w:sz w:val="24"/>
          <w:highlight w:val="none"/>
          <w:lang w:val="zh-CN"/>
        </w:rPr>
        <w:t>（姓名）为我方代理人（身份证号码：</w:t>
      </w:r>
      <w:r>
        <w:rPr>
          <w:rFonts w:hint="eastAsia" w:ascii="仿宋_GB2312" w:hAnsi="仿宋_GB2312" w:eastAsia="仿宋_GB2312" w:cs="仿宋_GB2312"/>
          <w:kern w:val="0"/>
          <w:sz w:val="24"/>
          <w:highlight w:val="none"/>
          <w:u w:val="single"/>
          <w:lang w:val="zh-CN"/>
        </w:rPr>
        <w:t xml:space="preserve">          </w:t>
      </w:r>
      <w:r>
        <w:rPr>
          <w:rFonts w:hint="eastAsia" w:ascii="仿宋_GB2312" w:hAnsi="仿宋_GB2312" w:eastAsia="仿宋_GB2312" w:cs="仿宋_GB2312"/>
          <w:kern w:val="0"/>
          <w:sz w:val="24"/>
          <w:highlight w:val="none"/>
          <w:lang w:val="zh-CN"/>
        </w:rPr>
        <w:t>，手机：</w:t>
      </w:r>
      <w:r>
        <w:rPr>
          <w:rFonts w:hint="eastAsia" w:ascii="仿宋_GB2312" w:hAnsi="仿宋_GB2312" w:eastAsia="仿宋_GB2312" w:cs="仿宋_GB2312"/>
          <w:kern w:val="0"/>
          <w:sz w:val="24"/>
          <w:highlight w:val="none"/>
          <w:u w:val="single"/>
          <w:lang w:val="zh-CN"/>
        </w:rPr>
        <w:t xml:space="preserve">          </w:t>
      </w:r>
      <w:r>
        <w:rPr>
          <w:rFonts w:hint="eastAsia" w:ascii="仿宋_GB2312" w:hAnsi="仿宋_GB2312" w:eastAsia="仿宋_GB2312" w:cs="仿宋_GB2312"/>
          <w:kern w:val="0"/>
          <w:sz w:val="24"/>
          <w:highlight w:val="none"/>
          <w:lang w:val="zh-CN"/>
        </w:rPr>
        <w:t>），</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委托期限</w:t>
      </w:r>
      <w:r>
        <w:rPr>
          <w:rFonts w:hint="eastAsia" w:ascii="仿宋_GB2312" w:hAnsi="仿宋_GB2312" w:eastAsia="仿宋_GB2312" w:cs="仿宋_GB2312"/>
          <w:kern w:val="0"/>
          <w:sz w:val="24"/>
          <w:highlight w:val="none"/>
        </w:rPr>
        <w:t>：</w:t>
      </w:r>
      <w:r>
        <w:rPr>
          <w:rFonts w:hint="eastAsia" w:ascii="仿宋_GB2312" w:hAnsi="仿宋_GB2312" w:eastAsia="仿宋_GB2312" w:cs="仿宋_GB2312"/>
          <w:kern w:val="0"/>
          <w:sz w:val="24"/>
          <w:highlight w:val="none"/>
          <w:lang w:val="zh-CN"/>
        </w:rPr>
        <w:t>自</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年</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日起至</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年</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日止。</w:t>
      </w:r>
    </w:p>
    <w:p>
      <w:pPr>
        <w:snapToGrid w:val="0"/>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特此告知。</w:t>
      </w:r>
    </w:p>
    <w:p>
      <w:pPr>
        <w:rPr>
          <w:rFonts w:ascii="仿宋_GB2312" w:hAnsi="仿宋_GB2312" w:eastAsia="仿宋_GB2312" w:cs="仿宋_GB2312"/>
          <w:b/>
          <w:kern w:val="0"/>
          <w:sz w:val="32"/>
          <w:szCs w:val="32"/>
        </w:rPr>
      </w:pPr>
    </w:p>
    <w:p>
      <w:pPr>
        <w:rPr>
          <w:rFonts w:ascii="仿宋_GB2312" w:hAnsi="仿宋_GB2312" w:eastAsia="仿宋_GB2312" w:cs="仿宋_GB2312"/>
        </w:rPr>
      </w:pPr>
    </w:p>
    <w:p>
      <w:pPr>
        <w:snapToGrid w:val="0"/>
        <w:spacing w:line="360" w:lineRule="auto"/>
        <w:ind w:firstLine="5040" w:firstLineChars="21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040" w:firstLineChars="21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760" w:firstLineChars="2400"/>
        <w:rPr>
          <w:rFonts w:ascii="仿宋_GB2312" w:hAnsi="仿宋_GB2312" w:eastAsia="仿宋_GB2312" w:cs="仿宋_GB2312"/>
        </w:rPr>
      </w:pPr>
      <w:r>
        <w:rPr>
          <w:rFonts w:hint="eastAsia" w:ascii="仿宋_GB2312" w:hAnsi="仿宋_GB2312" w:eastAsia="仿宋_GB2312" w:cs="仿宋_GB2312"/>
          <w:kern w:val="0"/>
          <w:sz w:val="24"/>
          <w:lang w:val="zh-CN"/>
        </w:rPr>
        <w:t>……</w:t>
      </w: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spacing w:line="360" w:lineRule="auto"/>
        <w:ind w:firstLine="480" w:firstLineChars="200"/>
        <w:rPr>
          <w:rFonts w:ascii="仿宋_GB2312" w:hAnsi="仿宋_GB2312" w:eastAsia="仿宋_GB2312" w:cs="仿宋_GB2312"/>
          <w:sz w:val="24"/>
          <w:lang w:val="zh-CN"/>
        </w:rPr>
        <w:sectPr>
          <w:pgSz w:w="11906" w:h="16838"/>
          <w:pgMar w:top="680"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_GB2312" w:hAnsi="仿宋_GB2312" w:eastAsia="仿宋_GB2312" w:cs="仿宋_GB2312"/>
          <w:kern w:val="0"/>
          <w:sz w:val="24"/>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7"/>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7"/>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2"/>
        <w:rPr>
          <w:rFonts w:hint="eastAsia"/>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napToGrid w:val="0"/>
        <w:spacing w:line="360" w:lineRule="auto"/>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三、分包意向协议（如果有）</w:t>
      </w:r>
    </w:p>
    <w:p>
      <w:pPr>
        <w:widowControl/>
        <w:spacing w:line="360" w:lineRule="auto"/>
        <w:ind w:firstLine="120" w:firstLineChars="50"/>
        <w:jc w:val="lef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sz w:val="24"/>
        </w:rPr>
        <w:t>中标后以分包方式履行合同的，提供分包意向协议(附件6)；采购人不同意分包或者投标人中标后不以分包方式履行合同的，则不需要提供。</w:t>
      </w:r>
      <w:r>
        <w:rPr>
          <w:rFonts w:hint="eastAsia" w:ascii="仿宋_GB2312" w:hAnsi="仿宋_GB2312" w:eastAsia="仿宋_GB2312" w:cs="仿宋_GB2312"/>
          <w:sz w:val="24"/>
        </w:rPr>
        <w:t>）</w:t>
      </w:r>
    </w:p>
    <w:p>
      <w:pPr>
        <w:pStyle w:val="2"/>
        <w:rPr>
          <w:rFonts w:hAnsi="仿宋_GB2312" w:cs="仿宋_GB2312"/>
        </w:rPr>
      </w:pPr>
    </w:p>
    <w:p>
      <w:pPr>
        <w:rPr>
          <w:rFonts w:ascii="仿宋_GB2312" w:hAnsi="仿宋_GB2312" w:eastAsia="仿宋_GB2312" w:cs="仿宋_GB2312"/>
        </w:rPr>
      </w:pPr>
    </w:p>
    <w:p>
      <w:pPr>
        <w:pStyle w:val="2"/>
        <w:rPr>
          <w:rFonts w:hAnsi="仿宋_GB2312" w:cs="仿宋_GB2312"/>
        </w:rPr>
      </w:pPr>
    </w:p>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四、符合性审查资料</w:t>
      </w:r>
    </w:p>
    <w:p>
      <w:pPr>
        <w:jc w:val="center"/>
        <w:rPr>
          <w:rFonts w:ascii="仿宋_GB2312" w:hAnsi="仿宋_GB2312"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4991" w:type="dxa"/>
            <w:vAlign w:val="center"/>
          </w:tcPr>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实质性要求</w:t>
            </w:r>
          </w:p>
        </w:tc>
        <w:tc>
          <w:tcPr>
            <w:tcW w:w="2551" w:type="dxa"/>
            <w:vAlign w:val="center"/>
          </w:tcPr>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需要提供的符合性审查资料</w:t>
            </w:r>
          </w:p>
        </w:tc>
        <w:tc>
          <w:tcPr>
            <w:tcW w:w="1418" w:type="dxa"/>
            <w:vAlign w:val="center"/>
          </w:tcPr>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投标文件中的</w:t>
            </w:r>
          </w:p>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w:t>
            </w:r>
          </w:p>
        </w:tc>
        <w:tc>
          <w:tcPr>
            <w:tcW w:w="4991"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投标文件按照招标文件要求签署、盖章。</w:t>
            </w:r>
          </w:p>
        </w:tc>
        <w:tc>
          <w:tcPr>
            <w:tcW w:w="255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需要使用电子签名或者签字盖章的投标文件的组成部分</w:t>
            </w:r>
          </w:p>
        </w:tc>
        <w:tc>
          <w:tcPr>
            <w:tcW w:w="1418" w:type="dxa"/>
          </w:tcPr>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见投标文件</w:t>
            </w:r>
          </w:p>
          <w:p>
            <w:pPr>
              <w:rPr>
                <w:rFonts w:ascii="仿宋_GB2312" w:hAnsi="仿宋_GB2312" w:eastAsia="仿宋_GB2312" w:cs="仿宋_GB2312"/>
              </w:rPr>
            </w:pPr>
            <w:r>
              <w:rPr>
                <w:rFonts w:hint="eastAsia" w:ascii="仿宋_GB2312" w:hAnsi="仿宋_GB2312" w:eastAsia="仿宋_GB2312" w:cs="仿宋_GB2312"/>
                <w:sz w:val="24"/>
              </w:rPr>
              <w:t>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w:t>
            </w:r>
          </w:p>
        </w:tc>
        <w:tc>
          <w:tcPr>
            <w:tcW w:w="4991"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投标文件中承诺的投标有效期不少于招标文件中载明的投标有效期。</w:t>
            </w:r>
          </w:p>
        </w:tc>
        <w:tc>
          <w:tcPr>
            <w:tcW w:w="255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投标函</w:t>
            </w:r>
          </w:p>
        </w:tc>
        <w:tc>
          <w:tcPr>
            <w:tcW w:w="1418" w:type="dxa"/>
          </w:tcPr>
          <w:p>
            <w:pPr>
              <w:rPr>
                <w:rFonts w:ascii="仿宋_GB2312" w:hAnsi="仿宋_GB2312" w:eastAsia="仿宋_GB2312" w:cs="仿宋_GB2312"/>
              </w:rPr>
            </w:pPr>
            <w:r>
              <w:rPr>
                <w:rFonts w:hint="eastAsia" w:ascii="仿宋_GB2312" w:hAnsi="仿宋_GB2312" w:eastAsia="仿宋_GB2312" w:cs="仿宋_GB2312"/>
                <w:sz w:val="24"/>
              </w:rPr>
              <w:t>见投标文件第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3</w:t>
            </w:r>
          </w:p>
        </w:tc>
        <w:tc>
          <w:tcPr>
            <w:tcW w:w="4991"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投标文件满足招标文件的其它实质性要求。</w:t>
            </w:r>
          </w:p>
        </w:tc>
        <w:tc>
          <w:tcPr>
            <w:tcW w:w="2551" w:type="dxa"/>
            <w:vAlign w:val="center"/>
          </w:tcPr>
          <w:p>
            <w:pPr>
              <w:rPr>
                <w:rFonts w:ascii="仿宋_GB2312" w:hAnsi="仿宋_GB2312" w:eastAsia="仿宋_GB2312" w:cs="仿宋_GB2312"/>
                <w:sz w:val="24"/>
              </w:rPr>
            </w:pPr>
            <w:r>
              <w:rPr>
                <w:rFonts w:hint="eastAsia" w:ascii="仿宋_GB2312" w:hAnsi="仿宋_GB2312" w:eastAsia="仿宋_GB2312" w:cs="仿宋_GB2312"/>
                <w:kern w:val="0"/>
                <w:sz w:val="24"/>
              </w:rPr>
              <w:t>招标文件其它实质性要求相应的材料（“▲” 系指实质性要求条款，招标文件无其它实质性要求的，无需提供）</w:t>
            </w:r>
          </w:p>
        </w:tc>
        <w:tc>
          <w:tcPr>
            <w:tcW w:w="1418" w:type="dxa"/>
          </w:tcPr>
          <w:p>
            <w:pPr>
              <w:rPr>
                <w:rFonts w:ascii="仿宋_GB2312" w:hAnsi="仿宋_GB2312" w:eastAsia="仿宋_GB2312" w:cs="仿宋_GB2312"/>
              </w:rPr>
            </w:pPr>
            <w:r>
              <w:rPr>
                <w:rFonts w:hint="eastAsia" w:ascii="仿宋_GB2312" w:hAnsi="仿宋_GB2312" w:eastAsia="仿宋_GB2312" w:cs="仿宋_GB2312"/>
                <w:sz w:val="24"/>
              </w:rPr>
              <w:t>见投标文件第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页</w:t>
            </w:r>
          </w:p>
        </w:tc>
      </w:tr>
    </w:tbl>
    <w:p>
      <w:pPr>
        <w:spacing w:line="360" w:lineRule="auto"/>
        <w:ind w:right="420"/>
        <w:rPr>
          <w:rFonts w:ascii="仿宋_GB2312" w:hAnsi="仿宋_GB2312" w:eastAsia="仿宋_GB2312" w:cs="仿宋_GB2312"/>
          <w:sz w:val="24"/>
        </w:rPr>
      </w:pPr>
      <w:r>
        <w:rPr>
          <w:rFonts w:hint="eastAsia" w:ascii="仿宋_GB2312" w:hAnsi="仿宋_GB2312" w:eastAsia="仿宋_GB2312" w:cs="仿宋_GB2312"/>
          <w:sz w:val="24"/>
        </w:rPr>
        <w:t>注：按本格式和要求提供。</w:t>
      </w:r>
    </w:p>
    <w:p>
      <w:pPr>
        <w:jc w:val="center"/>
        <w:rPr>
          <w:rFonts w:ascii="仿宋_GB2312" w:hAnsi="仿宋_GB2312" w:eastAsia="仿宋_GB2312" w:cs="仿宋_GB2312"/>
          <w:b/>
          <w:kern w:val="0"/>
          <w:sz w:val="32"/>
          <w:szCs w:val="32"/>
        </w:rPr>
      </w:pPr>
    </w:p>
    <w:p>
      <w:pPr>
        <w:snapToGrid w:val="0"/>
        <w:spacing w:line="360" w:lineRule="auto"/>
        <w:ind w:firstLine="576"/>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 xml:space="preserve">投标人名称(电子签名)：                              </w:t>
      </w:r>
    </w:p>
    <w:p>
      <w:pPr>
        <w:pStyle w:val="24"/>
        <w:rPr>
          <w:rFonts w:ascii="仿宋_GB2312" w:hAnsi="仿宋_GB2312" w:eastAsia="仿宋_GB2312" w:cs="仿宋_GB2312"/>
        </w:rPr>
        <w:sectPr>
          <w:pgSz w:w="11906" w:h="16838"/>
          <w:pgMar w:top="680"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_GB2312" w:hAnsi="仿宋_GB2312" w:eastAsia="仿宋_GB2312" w:cs="仿宋_GB2312"/>
          <w:kern w:val="0"/>
          <w:lang w:val="zh-CN"/>
        </w:rPr>
        <w:t xml:space="preserve">                   </w:t>
      </w:r>
      <w:r>
        <w:rPr>
          <w:rFonts w:hint="eastAsia" w:ascii="仿宋_GB2312" w:hAnsi="仿宋_GB2312" w:eastAsia="仿宋_GB2312" w:cs="仿宋_GB2312"/>
          <w:kern w:val="0"/>
        </w:rPr>
        <w:t xml:space="preserve">       </w:t>
      </w:r>
      <w:r>
        <w:rPr>
          <w:rFonts w:hint="eastAsia" w:ascii="仿宋_GB2312" w:hAnsi="仿宋_GB2312" w:eastAsia="仿宋_GB2312" w:cs="仿宋_GB2312"/>
          <w:kern w:val="0"/>
          <w:lang w:val="zh-CN"/>
        </w:rPr>
        <w:t>日期：  年  月  日</w:t>
      </w:r>
    </w:p>
    <w:p>
      <w:pPr>
        <w:jc w:val="center"/>
        <w:rPr>
          <w:rFonts w:ascii="仿宋_GB2312" w:hAnsi="仿宋_GB2312" w:eastAsia="仿宋_GB2312" w:cs="仿宋_GB2312"/>
        </w:rPr>
      </w:pPr>
      <w:r>
        <w:rPr>
          <w:rFonts w:hint="eastAsia" w:ascii="仿宋_GB2312" w:hAnsi="仿宋_GB2312" w:eastAsia="仿宋_GB2312" w:cs="仿宋_GB2312"/>
          <w:b/>
          <w:kern w:val="0"/>
          <w:sz w:val="32"/>
          <w:szCs w:val="32"/>
        </w:rPr>
        <w:t>五、评标标准相应的商务技术资料</w:t>
      </w:r>
    </w:p>
    <w:p>
      <w:pPr>
        <w:snapToGrid w:val="0"/>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（按招标文件第四部分评标办法前附表中“投标文件中评标标准相应的商务技术资料目录”提供资料）</w:t>
      </w:r>
    </w:p>
    <w:p>
      <w:pPr>
        <w:pStyle w:val="2"/>
      </w:pPr>
    </w:p>
    <w:p>
      <w:pPr>
        <w:snapToGrid w:val="0"/>
        <w:spacing w:line="360" w:lineRule="auto"/>
        <w:ind w:firstLine="576"/>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 xml:space="preserve">投标人名称(电子签名)：                              </w:t>
      </w:r>
    </w:p>
    <w:p>
      <w:pPr>
        <w:jc w:val="center"/>
        <w:rPr>
          <w:rFonts w:ascii="仿宋_GB2312" w:hAnsi="仿宋_GB2312" w:eastAsia="仿宋_GB2312" w:cs="仿宋_GB2312"/>
          <w:b/>
          <w:kern w:val="0"/>
          <w:sz w:val="32"/>
          <w:szCs w:val="32"/>
        </w:rPr>
      </w:pPr>
      <w:r>
        <w:rPr>
          <w:rFonts w:hint="eastAsia" w:ascii="仿宋_GB2312" w:hAnsi="仿宋_GB2312" w:eastAsia="仿宋_GB2312" w:cs="仿宋_GB2312"/>
          <w:kern w:val="0"/>
          <w:sz w:val="24"/>
          <w:lang w:val="zh-CN"/>
        </w:rPr>
        <w:t xml:space="preserve">                   日期：  年  月  日</w:t>
      </w:r>
    </w:p>
    <w:p>
      <w:pPr>
        <w:jc w:val="center"/>
        <w:rPr>
          <w:rFonts w:ascii="仿宋_GB2312" w:hAnsi="仿宋_GB2312" w:eastAsia="仿宋_GB2312" w:cs="仿宋_GB2312"/>
          <w:b/>
          <w:kern w:val="0"/>
          <w:sz w:val="32"/>
          <w:szCs w:val="32"/>
        </w:rPr>
      </w:pPr>
    </w:p>
    <w:p>
      <w:pPr>
        <w:ind w:firstLine="2891" w:firstLineChars="900"/>
        <w:rPr>
          <w:rFonts w:hint="eastAsia" w:ascii="仿宋_GB2312" w:hAnsi="仿宋_GB2312" w:eastAsia="仿宋_GB2312" w:cs="仿宋_GB2312"/>
          <w:b/>
          <w:kern w:val="0"/>
          <w:sz w:val="32"/>
          <w:szCs w:val="32"/>
        </w:rPr>
      </w:pPr>
    </w:p>
    <w:p>
      <w:pPr>
        <w:ind w:firstLine="2891" w:firstLineChars="9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六、投标标的清单</w:t>
      </w:r>
    </w:p>
    <w:tbl>
      <w:tblPr>
        <w:tblStyle w:val="62"/>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76"/>
        <w:gridCol w:w="1308"/>
        <w:gridCol w:w="1625"/>
        <w:gridCol w:w="1875"/>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名称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服务范围</w:t>
            </w:r>
          </w:p>
        </w:tc>
        <w:tc>
          <w:tcPr>
            <w:tcW w:w="13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服务要求</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服务时间</w:t>
            </w: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服务标准</w:t>
            </w: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r>
    </w:tbl>
    <w:p>
      <w:pPr>
        <w:spacing w:line="360" w:lineRule="auto"/>
        <w:ind w:right="420"/>
        <w:rPr>
          <w:rFonts w:ascii="仿宋_GB2312" w:hAnsi="仿宋_GB2312" w:eastAsia="仿宋_GB2312" w:cs="仿宋_GB2312"/>
          <w:sz w:val="24"/>
        </w:rPr>
      </w:pPr>
      <w:r>
        <w:rPr>
          <w:rFonts w:hint="eastAsia" w:ascii="仿宋_GB2312" w:hAnsi="仿宋_GB2312" w:eastAsia="仿宋_GB2312" w:cs="仿宋_GB2312"/>
          <w:sz w:val="24"/>
        </w:rPr>
        <w:t>注：按本格式和要求提供。</w:t>
      </w:r>
    </w:p>
    <w:p>
      <w:pPr>
        <w:snapToGrid w:val="0"/>
        <w:spacing w:line="360" w:lineRule="auto"/>
        <w:ind w:firstLine="576"/>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 xml:space="preserve">投标人名称(电子签名)：                              </w:t>
      </w:r>
    </w:p>
    <w:p>
      <w:pPr>
        <w:jc w:val="center"/>
        <w:rPr>
          <w:rFonts w:ascii="仿宋_GB2312" w:hAnsi="仿宋_GB2312" w:eastAsia="仿宋_GB2312" w:cs="仿宋_GB2312"/>
          <w:b/>
          <w:kern w:val="0"/>
          <w:sz w:val="32"/>
          <w:szCs w:val="32"/>
        </w:rPr>
      </w:pPr>
      <w:r>
        <w:rPr>
          <w:rFonts w:hint="eastAsia" w:ascii="仿宋_GB2312" w:hAnsi="仿宋_GB2312" w:eastAsia="仿宋_GB2312" w:cs="仿宋_GB2312"/>
          <w:kern w:val="0"/>
          <w:sz w:val="24"/>
          <w:lang w:val="zh-CN"/>
        </w:rPr>
        <w:t xml:space="preserve">                   日期：  年  月  日</w:t>
      </w:r>
    </w:p>
    <w:p>
      <w:pPr>
        <w:jc w:val="center"/>
        <w:rPr>
          <w:rFonts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3683" w:type="dxa"/>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招标文件章节及具体内容</w:t>
            </w:r>
          </w:p>
        </w:tc>
        <w:tc>
          <w:tcPr>
            <w:tcW w:w="3546" w:type="dxa"/>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投标文件章节及具体内容</w:t>
            </w:r>
          </w:p>
        </w:tc>
        <w:tc>
          <w:tcPr>
            <w:tcW w:w="1276" w:type="dxa"/>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3683" w:type="dxa"/>
          </w:tcPr>
          <w:p>
            <w:pPr>
              <w:jc w:val="center"/>
              <w:rPr>
                <w:rFonts w:ascii="仿宋_GB2312" w:hAnsi="仿宋_GB2312" w:eastAsia="仿宋_GB2312" w:cs="仿宋_GB2312"/>
                <w:b/>
                <w:kern w:val="0"/>
                <w:sz w:val="32"/>
                <w:szCs w:val="32"/>
              </w:rPr>
            </w:pPr>
          </w:p>
        </w:tc>
        <w:tc>
          <w:tcPr>
            <w:tcW w:w="3546" w:type="dxa"/>
          </w:tcPr>
          <w:p>
            <w:pPr>
              <w:jc w:val="center"/>
              <w:rPr>
                <w:rFonts w:ascii="仿宋_GB2312" w:hAnsi="仿宋_GB2312" w:eastAsia="仿宋_GB2312" w:cs="仿宋_GB2312"/>
                <w:b/>
                <w:kern w:val="0"/>
                <w:sz w:val="32"/>
                <w:szCs w:val="32"/>
              </w:rPr>
            </w:pPr>
          </w:p>
        </w:tc>
        <w:tc>
          <w:tcPr>
            <w:tcW w:w="1276" w:type="dxa"/>
          </w:tcPr>
          <w:p>
            <w:pPr>
              <w:jc w:val="center"/>
              <w:rPr>
                <w:rFonts w:ascii="仿宋_GB2312" w:hAnsi="仿宋_GB2312"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3683" w:type="dxa"/>
          </w:tcPr>
          <w:p>
            <w:pPr>
              <w:jc w:val="center"/>
              <w:rPr>
                <w:rFonts w:ascii="仿宋_GB2312" w:hAnsi="仿宋_GB2312" w:eastAsia="仿宋_GB2312" w:cs="仿宋_GB2312"/>
                <w:b/>
                <w:kern w:val="0"/>
                <w:sz w:val="32"/>
                <w:szCs w:val="32"/>
              </w:rPr>
            </w:pPr>
          </w:p>
        </w:tc>
        <w:tc>
          <w:tcPr>
            <w:tcW w:w="3546" w:type="dxa"/>
          </w:tcPr>
          <w:p>
            <w:pPr>
              <w:jc w:val="center"/>
              <w:rPr>
                <w:rFonts w:ascii="仿宋_GB2312" w:hAnsi="仿宋_GB2312" w:eastAsia="仿宋_GB2312" w:cs="仿宋_GB2312"/>
                <w:b/>
                <w:kern w:val="0"/>
                <w:sz w:val="32"/>
                <w:szCs w:val="32"/>
              </w:rPr>
            </w:pPr>
          </w:p>
        </w:tc>
        <w:tc>
          <w:tcPr>
            <w:tcW w:w="1276" w:type="dxa"/>
          </w:tcPr>
          <w:p>
            <w:pPr>
              <w:jc w:val="center"/>
              <w:rPr>
                <w:rFonts w:ascii="仿宋_GB2312" w:hAnsi="仿宋_GB2312"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3683" w:type="dxa"/>
          </w:tcPr>
          <w:p>
            <w:pPr>
              <w:jc w:val="center"/>
              <w:rPr>
                <w:rFonts w:ascii="仿宋_GB2312" w:hAnsi="仿宋_GB2312" w:eastAsia="仿宋_GB2312" w:cs="仿宋_GB2312"/>
                <w:b/>
                <w:kern w:val="0"/>
                <w:sz w:val="32"/>
                <w:szCs w:val="32"/>
              </w:rPr>
            </w:pPr>
          </w:p>
        </w:tc>
        <w:tc>
          <w:tcPr>
            <w:tcW w:w="3546" w:type="dxa"/>
          </w:tcPr>
          <w:p>
            <w:pPr>
              <w:jc w:val="center"/>
              <w:rPr>
                <w:rFonts w:ascii="仿宋_GB2312" w:hAnsi="仿宋_GB2312" w:eastAsia="仿宋_GB2312" w:cs="仿宋_GB2312"/>
                <w:b/>
                <w:kern w:val="0"/>
                <w:sz w:val="32"/>
                <w:szCs w:val="32"/>
              </w:rPr>
            </w:pPr>
          </w:p>
        </w:tc>
        <w:tc>
          <w:tcPr>
            <w:tcW w:w="1276" w:type="dxa"/>
          </w:tcPr>
          <w:p>
            <w:pPr>
              <w:jc w:val="center"/>
              <w:rPr>
                <w:rFonts w:ascii="仿宋_GB2312" w:hAnsi="仿宋_GB2312" w:eastAsia="仿宋_GB2312" w:cs="仿宋_GB2312"/>
                <w:b/>
                <w:kern w:val="0"/>
                <w:sz w:val="32"/>
                <w:szCs w:val="32"/>
              </w:rPr>
            </w:pPr>
          </w:p>
        </w:tc>
      </w:tr>
    </w:tbl>
    <w:p>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投标人保证：除商务技术偏离表列出的偏离外，投标人响应招标文件的全部要求</w:t>
      </w:r>
    </w:p>
    <w:p>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注：按本格式和要求提供。</w:t>
      </w:r>
    </w:p>
    <w:p>
      <w:pPr>
        <w:ind w:firstLine="1911" w:firstLineChars="595"/>
        <w:rPr>
          <w:rFonts w:ascii="仿宋_GB2312" w:hAnsi="仿宋_GB2312" w:eastAsia="仿宋_GB2312" w:cs="仿宋_GB2312"/>
          <w:b/>
          <w:kern w:val="0"/>
          <w:sz w:val="32"/>
          <w:szCs w:val="32"/>
        </w:rPr>
      </w:pPr>
    </w:p>
    <w:p>
      <w:pPr>
        <w:snapToGrid w:val="0"/>
        <w:spacing w:line="360" w:lineRule="auto"/>
        <w:ind w:firstLine="576"/>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 xml:space="preserve">投标人名称(电子签名)：                              </w:t>
      </w:r>
    </w:p>
    <w:p>
      <w:pPr>
        <w:jc w:val="center"/>
        <w:rPr>
          <w:rFonts w:ascii="仿宋_GB2312" w:hAnsi="仿宋_GB2312" w:eastAsia="仿宋_GB2312" w:cs="仿宋_GB2312"/>
        </w:rPr>
        <w:sectPr>
          <w:pgSz w:w="11906" w:h="16838"/>
          <w:pgMar w:top="680"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_GB2312" w:hAnsi="仿宋_GB2312" w:eastAsia="仿宋_GB2312" w:cs="仿宋_GB2312"/>
          <w:kern w:val="0"/>
          <w:sz w:val="24"/>
          <w:lang w:val="zh-CN"/>
        </w:rPr>
        <w:t xml:space="preserve">                   日期：  年  月  日</w:t>
      </w:r>
    </w:p>
    <w:p>
      <w:pPr>
        <w:rPr>
          <w:rFonts w:hint="eastAsia" w:ascii="仿宋" w:hAnsi="仿宋" w:eastAsia="仿宋" w:cs="仿宋"/>
          <w:b/>
          <w:color w:val="auto"/>
          <w:kern w:val="0"/>
          <w:sz w:val="32"/>
          <w:szCs w:val="32"/>
          <w:highlight w:val="none"/>
        </w:rPr>
      </w:pP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550"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550"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5280" w:leftChars="2200"/>
        <w:rPr>
          <w:rFonts w:hint="eastAsia" w:ascii="仿宋" w:hAnsi="仿宋" w:eastAsia="仿宋" w:cs="仿宋"/>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一、开标一览表（报价表）</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lang w:eastAsia="zh-CN"/>
        </w:rPr>
        <w:t>杭州市钱塘区人民政府</w:t>
      </w:r>
      <w:r>
        <w:rPr>
          <w:rFonts w:hint="eastAsia" w:ascii="仿宋" w:hAnsi="仿宋" w:cs="仿宋"/>
          <w:sz w:val="24"/>
          <w:highlight w:val="none"/>
          <w:u w:val="single"/>
          <w:lang w:val="en-US" w:eastAsia="zh-CN"/>
        </w:rPr>
        <w:t>义蓬</w:t>
      </w:r>
      <w:r>
        <w:rPr>
          <w:rFonts w:hint="eastAsia" w:ascii="仿宋" w:hAnsi="仿宋" w:eastAsia="仿宋" w:cs="仿宋"/>
          <w:sz w:val="24"/>
          <w:highlight w:val="none"/>
          <w:u w:val="single"/>
          <w:lang w:eastAsia="zh-CN"/>
        </w:rPr>
        <w:t>街道办事处、浙江中合工程管理有限公司</w:t>
      </w:r>
      <w:r>
        <w:rPr>
          <w:rFonts w:hint="eastAsia" w:ascii="仿宋" w:hAnsi="仿宋" w:eastAsia="仿宋" w:cs="仿宋"/>
          <w:kern w:val="0"/>
          <w:sz w:val="24"/>
          <w:highlight w:val="none"/>
          <w:lang w:val="zh-CN"/>
        </w:rPr>
        <w:t>：</w:t>
      </w:r>
    </w:p>
    <w:p>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cs="仿宋"/>
          <w:sz w:val="24"/>
          <w:highlight w:val="none"/>
          <w:u w:val="single"/>
          <w:lang w:eastAsia="zh-CN"/>
        </w:rPr>
        <w:t>义蓬街道职工2024年疗休养服务采购项目</w:t>
      </w:r>
      <w:r>
        <w:rPr>
          <w:rFonts w:hint="eastAsia" w:ascii="仿宋" w:hAnsi="仿宋" w:eastAsia="仿宋" w:cs="仿宋"/>
          <w:kern w:val="0"/>
          <w:sz w:val="24"/>
          <w:highlight w:val="none"/>
          <w:lang w:val="zh-CN"/>
        </w:rPr>
        <w:t>【项目编号：QTCG-GK-2024-035</w:t>
      </w:r>
      <w:r>
        <w:rPr>
          <w:rFonts w:hint="eastAsia" w:ascii="仿宋" w:hAnsi="仿宋" w:eastAsia="仿宋" w:cs="仿宋"/>
          <w:sz w:val="24"/>
          <w:highlight w:val="none"/>
        </w:rPr>
        <w:t>】的实施</w:t>
      </w:r>
      <w:r>
        <w:rPr>
          <w:rFonts w:hint="eastAsia" w:ascii="仿宋" w:hAnsi="仿宋" w:eastAsia="仿宋" w:cs="仿宋"/>
          <w:kern w:val="0"/>
          <w:sz w:val="24"/>
          <w:highlight w:val="none"/>
          <w:lang w:val="zh-CN"/>
        </w:rPr>
        <w:t>。</w:t>
      </w:r>
    </w:p>
    <w:p>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序号</w:t>
            </w:r>
          </w:p>
        </w:tc>
        <w:tc>
          <w:tcPr>
            <w:tcW w:w="1417"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名称</w:t>
            </w:r>
          </w:p>
        </w:tc>
        <w:tc>
          <w:tcPr>
            <w:tcW w:w="1843" w:type="dxa"/>
          </w:tcPr>
          <w:p>
            <w:pPr>
              <w:spacing w:line="360" w:lineRule="auto"/>
              <w:jc w:val="center"/>
              <w:rPr>
                <w:rFonts w:ascii="仿宋_GB2312" w:hAnsi="仿宋" w:eastAsia="仿宋_GB2312"/>
                <w:b/>
                <w:sz w:val="24"/>
                <w:highlight w:val="none"/>
              </w:rPr>
            </w:pPr>
          </w:p>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品牌（如果有）</w:t>
            </w:r>
          </w:p>
        </w:tc>
        <w:tc>
          <w:tcPr>
            <w:tcW w:w="3118"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规格型号（或具体服务）</w:t>
            </w:r>
          </w:p>
        </w:tc>
        <w:tc>
          <w:tcPr>
            <w:tcW w:w="993"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数量</w:t>
            </w:r>
          </w:p>
        </w:tc>
        <w:tc>
          <w:tcPr>
            <w:tcW w:w="1559"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单价</w:t>
            </w:r>
          </w:p>
        </w:tc>
        <w:tc>
          <w:tcPr>
            <w:tcW w:w="1984"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总价</w:t>
            </w:r>
          </w:p>
        </w:tc>
        <w:tc>
          <w:tcPr>
            <w:tcW w:w="3119" w:type="dxa"/>
            <w:vAlign w:val="center"/>
          </w:tcPr>
          <w:p>
            <w:pPr>
              <w:spacing w:line="360" w:lineRule="auto"/>
              <w:jc w:val="center"/>
              <w:rPr>
                <w:rFonts w:ascii="仿宋_GB2312" w:hAnsi="仿宋" w:eastAsia="仿宋_GB2312"/>
                <w:b/>
                <w:sz w:val="24"/>
                <w:highlight w:val="none"/>
              </w:rPr>
            </w:pPr>
          </w:p>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服务要求（年限）</w:t>
            </w:r>
          </w:p>
          <w:p>
            <w:pPr>
              <w:spacing w:line="360" w:lineRule="auto"/>
              <w:jc w:val="center"/>
              <w:rPr>
                <w:rFonts w:ascii="仿宋_GB2312" w:hAnsi="仿宋"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2</w:t>
            </w: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w:t>
            </w: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投标报价（小写）</w:t>
            </w:r>
          </w:p>
        </w:tc>
        <w:tc>
          <w:tcPr>
            <w:tcW w:w="7655" w:type="dxa"/>
            <w:gridSpan w:val="4"/>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投标报价（大写）</w:t>
            </w:r>
          </w:p>
        </w:tc>
        <w:tc>
          <w:tcPr>
            <w:tcW w:w="7655" w:type="dxa"/>
            <w:gridSpan w:val="4"/>
            <w:vAlign w:val="center"/>
          </w:tcPr>
          <w:p>
            <w:pPr>
              <w:spacing w:line="360" w:lineRule="auto"/>
              <w:jc w:val="center"/>
              <w:rPr>
                <w:rFonts w:ascii="仿宋_GB2312" w:hAnsi="仿宋" w:eastAsia="仿宋_GB2312" w:cs="仿宋_GB2312"/>
                <w:sz w:val="24"/>
                <w:highlight w:val="none"/>
              </w:rPr>
            </w:pPr>
          </w:p>
        </w:tc>
      </w:tr>
    </w:tbl>
    <w:p>
      <w:pPr>
        <w:snapToGrid w:val="0"/>
        <w:spacing w:line="360" w:lineRule="auto"/>
        <w:ind w:firstLine="482" w:firstLineChars="200"/>
        <w:rPr>
          <w:rFonts w:ascii="仿宋_GB2312" w:hAnsi="仿宋_GB2312" w:eastAsia="仿宋_GB2312" w:cs="仿宋_GB2312"/>
          <w:b/>
          <w:kern w:val="0"/>
          <w:sz w:val="24"/>
          <w:highlight w:val="none"/>
          <w:lang w:val="zh-CN"/>
        </w:rPr>
      </w:pPr>
      <w:r>
        <w:rPr>
          <w:rFonts w:hint="eastAsia" w:ascii="仿宋_GB2312" w:hAnsi="仿宋_GB2312" w:eastAsia="仿宋_GB2312" w:cs="仿宋_GB2312"/>
          <w:b/>
          <w:kern w:val="0"/>
          <w:sz w:val="24"/>
          <w:highlight w:val="none"/>
          <w:lang w:val="zh-CN"/>
        </w:rPr>
        <w:t>注：</w:t>
      </w:r>
    </w:p>
    <w:p>
      <w:pPr>
        <w:spacing w:line="360" w:lineRule="auto"/>
        <w:ind w:left="-2" w:leftChars="-1" w:firstLine="480" w:firstLineChars="2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1、投标人需按本表格式填写</w:t>
      </w:r>
      <w:r>
        <w:rPr>
          <w:rFonts w:hint="eastAsia" w:ascii="仿宋_GB2312" w:hAnsi="仿宋_GB2312" w:eastAsia="仿宋_GB2312" w:cs="仿宋_GB2312"/>
          <w:b/>
          <w:kern w:val="0"/>
          <w:sz w:val="24"/>
          <w:highlight w:val="none"/>
          <w:lang w:val="zh-CN"/>
        </w:rPr>
        <w:t>，</w:t>
      </w:r>
      <w:r>
        <w:rPr>
          <w:rFonts w:hint="eastAsia" w:ascii="仿宋_GB2312" w:hAnsi="仿宋_GB2312" w:eastAsia="仿宋_GB2312" w:cs="仿宋_GB2312"/>
          <w:b/>
          <w:kern w:val="0"/>
          <w:sz w:val="24"/>
          <w:highlight w:val="none"/>
        </w:rPr>
        <w:t>否则视为</w:t>
      </w:r>
      <w:r>
        <w:rPr>
          <w:rFonts w:hint="eastAsia" w:ascii="仿宋_GB2312" w:hAnsi="仿宋_GB2312" w:eastAsia="仿宋_GB2312" w:cs="仿宋_GB2312"/>
          <w:b/>
          <w:sz w:val="24"/>
          <w:highlight w:val="none"/>
        </w:rPr>
        <w:t>投标文件含有采购人不能接受的附加条件，投标无效</w:t>
      </w:r>
      <w:r>
        <w:rPr>
          <w:rFonts w:hint="eastAsia" w:ascii="仿宋_GB2312" w:hAnsi="仿宋_GB2312" w:eastAsia="仿宋_GB2312" w:cs="仿宋_GB2312"/>
          <w:kern w:val="0"/>
          <w:sz w:val="24"/>
          <w:highlight w:val="none"/>
          <w:lang w:val="zh-CN"/>
        </w:rPr>
        <w:t>。</w:t>
      </w:r>
    </w:p>
    <w:p>
      <w:pPr>
        <w:pStyle w:val="690"/>
        <w:keepNext w:val="0"/>
        <w:pageBreakBefore w:val="0"/>
        <w:tabs>
          <w:tab w:val="clear" w:pos="720"/>
        </w:tabs>
        <w:snapToGrid w:val="0"/>
        <w:spacing w:before="120" w:after="120"/>
        <w:ind w:firstLine="482" w:firstLineChars="200"/>
        <w:jc w:val="both"/>
        <w:outlineLvl w:val="9"/>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zh-CN"/>
        </w:rPr>
        <w:t>2、有关本项目实施所涉及的一切费用均计入报价。总价不为零，开标一览表（报价表）中部分产品、服务单价为零的，视作已包含在总价中。采购人将以合同形式有偿取得货物或服务，不接受投标人给予的赠品、回扣或者与采购无关的其他商品、服务；采购内容未包含在《开标一览表（报价表）》名称栏中</w:t>
      </w:r>
      <w:r>
        <w:rPr>
          <w:rFonts w:hint="eastAsia" w:ascii="仿宋_GB2312" w:hAnsi="仿宋_GB2312" w:eastAsia="仿宋_GB2312" w:cs="仿宋_GB2312"/>
          <w:kern w:val="0"/>
          <w:sz w:val="24"/>
          <w:highlight w:val="none"/>
        </w:rPr>
        <w:t>或数量少于采购需求的</w:t>
      </w:r>
      <w:r>
        <w:rPr>
          <w:rFonts w:hint="eastAsia" w:ascii="仿宋_GB2312" w:hAnsi="仿宋_GB2312" w:eastAsia="仿宋_GB2312" w:cs="仿宋_GB2312"/>
          <w:kern w:val="0"/>
          <w:sz w:val="24"/>
          <w:highlight w:val="none"/>
          <w:lang w:val="zh-CN"/>
        </w:rPr>
        <w:t>，投标人不能作出合理解释的，</w:t>
      </w:r>
      <w:r>
        <w:rPr>
          <w:rFonts w:hint="eastAsia" w:ascii="仿宋_GB2312" w:hAnsi="仿宋_GB2312" w:eastAsia="仿宋_GB2312" w:cs="仿宋_GB2312"/>
          <w:kern w:val="0"/>
          <w:sz w:val="24"/>
          <w:highlight w:val="none"/>
        </w:rPr>
        <w:t>视为</w:t>
      </w:r>
      <w:r>
        <w:rPr>
          <w:rFonts w:hint="eastAsia" w:ascii="仿宋_GB2312" w:hAnsi="仿宋_GB2312" w:eastAsia="仿宋_GB2312" w:cs="仿宋_GB2312"/>
          <w:sz w:val="24"/>
          <w:highlight w:val="none"/>
        </w:rPr>
        <w:t>投标文件含有采购人不能接受的附加条件的，投标无效。</w:t>
      </w:r>
    </w:p>
    <w:p>
      <w:pPr>
        <w:snapToGrid w:val="0"/>
        <w:spacing w:line="360" w:lineRule="auto"/>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szCs w:val="22"/>
          <w:highlight w:val="none"/>
          <w:lang w:val="zh-CN"/>
        </w:rPr>
        <w:t>4、</w:t>
      </w:r>
      <w:r>
        <w:rPr>
          <w:rFonts w:hint="eastAsia" w:ascii="仿宋_GB2312" w:hAnsi="仿宋_GB2312" w:eastAsia="仿宋_GB2312" w:cs="仿宋_GB2312"/>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val="0"/>
        <w:snapToGrid w:val="0"/>
        <w:spacing w:line="360" w:lineRule="auto"/>
        <w:ind w:left="480"/>
        <w:textAlignment w:val="auto"/>
        <w:rPr>
          <w:rFonts w:hint="eastAsia" w:ascii="仿宋" w:hAnsi="仿宋" w:eastAsia="仿宋" w:cs="仿宋"/>
          <w:b w:val="0"/>
          <w:bCs/>
          <w:kern w:val="0"/>
          <w:sz w:val="24"/>
          <w:highlight w:val="none"/>
          <w:lang w:val="zh-CN"/>
        </w:rPr>
      </w:pPr>
      <w:r>
        <w:rPr>
          <w:rFonts w:hint="eastAsia" w:ascii="仿宋_GB2312" w:hAnsi="仿宋_GB2312" w:eastAsia="仿宋_GB2312" w:cs="仿宋_GB2312"/>
          <w:snapToGrid/>
          <w:kern w:val="2"/>
          <w:sz w:val="24"/>
          <w:szCs w:val="20"/>
          <w:highlight w:val="none"/>
          <w:lang w:val="zh-CN" w:eastAsia="zh-CN" w:bidi="ar-SA"/>
        </w:rPr>
        <w:t>5、特别说明：▲供应商报价低于项目预算50%的，应当在报价文件中详细阐述不影响产品质量或者诚信履约的具体原因。</w:t>
      </w:r>
    </w:p>
    <w:p>
      <w:pPr>
        <w:autoSpaceDE w:val="0"/>
        <w:autoSpaceDN w:val="0"/>
        <w:spacing w:line="360" w:lineRule="auto"/>
        <w:ind w:left="2" w:leftChars="1" w:right="1120" w:firstLine="8880" w:firstLineChars="3700"/>
        <w:jc w:val="left"/>
        <w:rPr>
          <w:rFonts w:hint="eastAsia" w:ascii="仿宋" w:hAnsi="仿宋" w:eastAsia="仿宋" w:cs="仿宋"/>
          <w:color w:val="auto"/>
          <w:kern w:val="2"/>
          <w:sz w:val="32"/>
          <w:szCs w:val="32"/>
          <w:highlight w:val="none"/>
        </w:rPr>
        <w:sectPr>
          <w:headerReference r:id="rId19" w:type="first"/>
          <w:footerReference r:id="rId21" w:type="first"/>
          <w:headerReference r:id="rId18" w:type="default"/>
          <w:footerReference r:id="rId20" w:type="default"/>
          <w:pgSz w:w="16838" w:h="11906" w:orient="landscape"/>
          <w:pgMar w:top="1417" w:right="1276" w:bottom="539" w:left="1247" w:header="851" w:footer="992" w:gutter="0"/>
          <w:cols w:space="0" w:num="1"/>
          <w:titlePg/>
          <w:rtlGutter w:val="0"/>
          <w:docGrid w:linePitch="312" w:charSpace="0"/>
        </w:sect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lang w:val="zh-CN"/>
        </w:rPr>
        <w:t xml:space="preserve">                                                                                                                                                                    </w:t>
      </w:r>
    </w:p>
    <w:p>
      <w:pPr>
        <w:pStyle w:val="690"/>
        <w:keepNext w:val="0"/>
        <w:pageBreakBefore w:val="0"/>
        <w:tabs>
          <w:tab w:val="clear" w:pos="720"/>
        </w:tabs>
        <w:snapToGrid w:val="0"/>
        <w:spacing w:before="120" w:after="120"/>
        <w:ind w:firstLine="643"/>
        <w:outlineLvl w:val="9"/>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二、</w:t>
      </w:r>
      <w:r>
        <w:rPr>
          <w:rFonts w:hint="eastAsia" w:ascii="仿宋_GB2312" w:hAnsi="仿宋_GB2312" w:eastAsia="仿宋_GB2312" w:cs="仿宋_GB2312"/>
          <w:sz w:val="32"/>
          <w:szCs w:val="32"/>
        </w:rPr>
        <w:t>中小企业声明函（如果有）</w:t>
      </w:r>
    </w:p>
    <w:p>
      <w:pPr>
        <w:widowControl/>
        <w:spacing w:line="360" w:lineRule="auto"/>
        <w:ind w:firstLine="120" w:firstLineChars="50"/>
        <w:jc w:val="left"/>
        <w:rPr>
          <w:rFonts w:ascii="仿宋_GB2312" w:hAnsi="仿宋_GB2312" w:eastAsia="仿宋_GB2312" w:cs="仿宋_GB2312"/>
          <w:b/>
          <w:sz w:val="24"/>
        </w:rPr>
      </w:pPr>
      <w:r>
        <w:rPr>
          <w:rFonts w:hint="eastAsia" w:ascii="仿宋_GB2312" w:hAnsi="仿宋_GB2312"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0"/>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关于钱塘区政府采购支持中小企业信用融资相关事项通知</w:t>
      </w:r>
    </w:p>
    <w:p>
      <w:pPr>
        <w:spacing w:line="360" w:lineRule="auto"/>
        <w:jc w:val="center"/>
        <w:rPr>
          <w:rFonts w:hint="eastAsia" w:ascii="仿宋" w:hAnsi="仿宋" w:eastAsia="仿宋" w:cs="仿宋"/>
          <w:b/>
          <w:color w:val="auto"/>
          <w:szCs w:val="21"/>
          <w:highlight w:val="none"/>
        </w:rPr>
      </w:pP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一、适用对象</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在浙江“政采云”平台注册入库，并取得钱塘区政府采购合同的中小企业供应商。</w:t>
      </w:r>
    </w:p>
    <w:p>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二、相关信息获取方式</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三、申请方式和步骤</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1、供应商若有融资意向，需先与钱塘区财政局合作的银行对接，办理相关融资前期手续；</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2、中标后，供应商应与采购单位或者采购代理机构及时联系，告知融资需求；</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3、相关合作银行联系并审核供应商及相关中标信息，办理相关融资事宜；</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、采购单位应及时将信用融资合同提交备案。</w:t>
      </w:r>
    </w:p>
    <w:p>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四、注意事项</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五、合作银行及联系方式</w:t>
      </w:r>
    </w:p>
    <w:tbl>
      <w:tblPr>
        <w:tblStyle w:val="62"/>
        <w:tblW w:w="0" w:type="auto"/>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费莎</w:t>
            </w:r>
          </w:p>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严培蓓</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13388617781</w:t>
            </w:r>
          </w:p>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6</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中国银行钱塘支行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沈振华</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13957168926</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李燕珍</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13735710338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王安东</w:t>
            </w:r>
          </w:p>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方若愚</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15158025713</w:t>
            </w:r>
          </w:p>
          <w:p>
            <w:pPr>
              <w:widowControl/>
              <w:jc w:val="center"/>
              <w:rPr>
                <w:rFonts w:hint="eastAsia" w:ascii="仿宋" w:hAnsi="仿宋" w:eastAsia="仿宋" w:cs="仿宋"/>
                <w:color w:val="auto"/>
                <w:highlight w:val="none"/>
              </w:rPr>
            </w:pPr>
            <w:r>
              <w:rPr>
                <w:rFonts w:hint="eastAsia" w:ascii="仿宋" w:hAnsi="仿宋" w:eastAsia="仿宋" w:cs="仿宋"/>
                <w:color w:val="auto"/>
                <w:kern w:val="0"/>
                <w:sz w:val="24"/>
                <w:highlight w:val="none"/>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18805812679</w:t>
            </w:r>
          </w:p>
        </w:tc>
      </w:tr>
    </w:tbl>
    <w:p>
      <w:pPr>
        <w:spacing w:line="360" w:lineRule="auto"/>
        <w:ind w:left="5060" w:hanging="5060" w:hangingChars="2100"/>
        <w:rPr>
          <w:rFonts w:hint="eastAsia" w:ascii="仿宋" w:hAnsi="仿宋" w:eastAsia="仿宋" w:cs="仿宋"/>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396" w:name="_Toc465665161"/>
      <w:r>
        <w:rPr>
          <w:rFonts w:hint="eastAsia" w:ascii="仿宋" w:hAnsi="仿宋" w:eastAsia="仿宋" w:cs="仿宋"/>
          <w:color w:val="auto"/>
          <w:highlight w:val="none"/>
        </w:rPr>
        <w:t>附件</w:t>
      </w:r>
      <w:bookmarkEnd w:id="396"/>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397" w:name="OLE_LINK14"/>
      <w:bookmarkStart w:id="398" w:name="OLE_LINK13"/>
      <w:r>
        <w:rPr>
          <w:rFonts w:hint="eastAsia" w:ascii="仿宋" w:hAnsi="仿宋" w:eastAsia="仿宋" w:cs="仿宋"/>
          <w:b/>
          <w:color w:val="auto"/>
          <w:spacing w:val="6"/>
          <w:sz w:val="32"/>
          <w:szCs w:val="32"/>
          <w:highlight w:val="none"/>
        </w:rPr>
        <w:t>残疾人福利性单位声明函</w:t>
      </w:r>
    </w:p>
    <w:bookmarkEnd w:id="397"/>
    <w:bookmarkEnd w:id="398"/>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pStyle w:val="2"/>
        <w:rPr>
          <w:rFonts w:hint="eastAsia"/>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both"/>
        <w:rPr>
          <w:rFonts w:hint="eastAsia" w:ascii="仿宋" w:hAnsi="仿宋" w:eastAsia="仿宋" w:cs="仿宋"/>
          <w:b/>
          <w:color w:val="auto"/>
          <w:spacing w:val="6"/>
          <w:sz w:val="32"/>
          <w:szCs w:val="32"/>
          <w:highlight w:val="none"/>
        </w:rPr>
      </w:pPr>
    </w:p>
    <w:p>
      <w:pPr>
        <w:pStyle w:val="2"/>
        <w:rPr>
          <w:rFonts w:hint="eastAsia"/>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both"/>
        <w:rPr>
          <w:rFonts w:hint="eastAsia" w:ascii="仿宋" w:hAnsi="仿宋" w:eastAsia="仿宋" w:cs="仿宋"/>
          <w:b/>
          <w:color w:val="auto"/>
          <w:spacing w:val="6"/>
          <w:sz w:val="32"/>
          <w:szCs w:val="32"/>
          <w:highlight w:val="none"/>
        </w:rPr>
      </w:pPr>
    </w:p>
    <w:p>
      <w:pPr>
        <w:autoSpaceDE w:val="0"/>
        <w:autoSpaceDN w:val="0"/>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spacing w:val="6"/>
          <w:sz w:val="32"/>
          <w:szCs w:val="32"/>
        </w:rPr>
        <w:t>附件5：</w:t>
      </w:r>
      <w:r>
        <w:rPr>
          <w:rFonts w:hint="eastAsia" w:ascii="仿宋_GB2312" w:hAnsi="仿宋_GB2312" w:eastAsia="仿宋_GB2312" w:cs="仿宋_GB2312"/>
          <w:b/>
          <w:kern w:val="0"/>
          <w:sz w:val="32"/>
          <w:szCs w:val="32"/>
          <w:lang w:val="zh-CN"/>
        </w:rPr>
        <w:t>联合协议</w:t>
      </w:r>
    </w:p>
    <w:p>
      <w:pPr>
        <w:widowControl/>
        <w:spacing w:line="360" w:lineRule="auto"/>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（联合体所有成员名称）</w:t>
      </w:r>
      <w:r>
        <w:rPr>
          <w:rFonts w:hint="eastAsia" w:ascii="仿宋_GB2312" w:hAnsi="仿宋_GB2312" w:eastAsia="仿宋_GB2312" w:cs="仿宋_GB2312"/>
          <w:kern w:val="0"/>
          <w:sz w:val="24"/>
        </w:rPr>
        <w:t>自愿</w:t>
      </w:r>
      <w:r>
        <w:rPr>
          <w:rFonts w:hint="eastAsia" w:ascii="仿宋_GB2312" w:hAnsi="仿宋_GB2312" w:eastAsia="仿宋_GB2312" w:cs="仿宋_GB2312"/>
          <w:kern w:val="0"/>
          <w:sz w:val="24"/>
          <w:lang w:val="zh-CN"/>
        </w:rPr>
        <w:t>组成一个联合体，以一个投</w:t>
      </w:r>
      <w:r>
        <w:rPr>
          <w:rFonts w:hint="eastAsia" w:ascii="仿宋_GB2312" w:hAnsi="仿宋_GB2312" w:eastAsia="仿宋_GB2312" w:cs="仿宋_GB2312"/>
          <w:kern w:val="0"/>
          <w:sz w:val="24"/>
          <w:highlight w:val="none"/>
          <w:lang w:val="zh-CN"/>
        </w:rPr>
        <w:t>标人的身份</w:t>
      </w:r>
      <w:r>
        <w:rPr>
          <w:rFonts w:hint="eastAsia" w:ascii="仿宋_GB2312" w:hAnsi="仿宋_GB2312" w:eastAsia="仿宋_GB2312" w:cs="仿宋_GB2312"/>
          <w:kern w:val="0"/>
          <w:sz w:val="24"/>
          <w:highlight w:val="none"/>
          <w:u w:val="none"/>
        </w:rPr>
        <w:t>参加</w:t>
      </w:r>
      <w:r>
        <w:rPr>
          <w:rFonts w:hint="eastAsia" w:ascii="仿宋" w:hAnsi="仿宋" w:eastAsia="仿宋" w:cs="仿宋"/>
          <w:color w:val="auto"/>
          <w:sz w:val="24"/>
          <w:highlight w:val="none"/>
        </w:rPr>
        <w:t>（项目名称）【招标编号：（采购编号）】</w:t>
      </w:r>
      <w:r>
        <w:rPr>
          <w:rFonts w:hint="eastAsia" w:ascii="仿宋_GB2312" w:hAnsi="仿宋_GB2312" w:eastAsia="仿宋_GB2312" w:cs="仿宋_GB2312"/>
          <w:kern w:val="0"/>
          <w:sz w:val="24"/>
          <w:highlight w:val="none"/>
          <w:lang w:val="zh-CN"/>
        </w:rPr>
        <w:t>投</w:t>
      </w:r>
      <w:r>
        <w:rPr>
          <w:rFonts w:hint="eastAsia" w:ascii="仿宋_GB2312" w:hAnsi="仿宋_GB2312" w:eastAsia="仿宋_GB2312" w:cs="仿宋_GB2312"/>
          <w:kern w:val="0"/>
          <w:sz w:val="24"/>
          <w:lang w:val="zh-CN"/>
        </w:rPr>
        <w:t xml:space="preserve">标。 </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一、各方一致决定，</w:t>
      </w:r>
      <w:r>
        <w:rPr>
          <w:rFonts w:hint="eastAsia" w:ascii="仿宋_GB2312" w:hAnsi="仿宋_GB2312" w:eastAsia="仿宋_GB2312" w:cs="仿宋_GB2312"/>
          <w:kern w:val="0"/>
          <w:sz w:val="24"/>
          <w:u w:val="single"/>
        </w:rPr>
        <w:t>（某联合体成员名称）</w:t>
      </w:r>
      <w:r>
        <w:rPr>
          <w:rFonts w:hint="eastAsia" w:ascii="仿宋_GB2312" w:hAnsi="仿宋_GB2312" w:eastAsia="仿宋_GB2312" w:cs="仿宋_GB2312"/>
          <w:kern w:val="0"/>
          <w:sz w:val="24"/>
        </w:rPr>
        <w:t>为联合体</w:t>
      </w:r>
      <w:r>
        <w:rPr>
          <w:rFonts w:hint="eastAsia" w:ascii="仿宋_GB2312" w:hAnsi="仿宋_GB2312" w:eastAsia="仿宋_GB2312" w:cs="仿宋_GB2312"/>
          <w:kern w:val="0"/>
          <w:sz w:val="24"/>
          <w:lang w:val="zh-CN"/>
        </w:rPr>
        <w:t>牵头人</w:t>
      </w:r>
      <w:r>
        <w:rPr>
          <w:rFonts w:hint="eastAsia" w:ascii="仿宋_GB2312" w:hAnsi="仿宋_GB2312" w:eastAsia="仿宋_GB2312" w:cs="仿宋_GB2312"/>
          <w:sz w:val="24"/>
        </w:rPr>
        <w:t>，代表所有联合体成员负责投标和合同实施阶段的主办、协调工作</w:t>
      </w:r>
      <w:r>
        <w:rPr>
          <w:rFonts w:hint="eastAsia" w:ascii="仿宋_GB2312" w:hAnsi="仿宋_GB2312" w:eastAsia="仿宋_GB2312" w:cs="仿宋_GB2312"/>
          <w:kern w:val="0"/>
          <w:sz w:val="24"/>
          <w:lang w:val="zh-CN"/>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w:t>
      </w:r>
      <w:r>
        <w:rPr>
          <w:rFonts w:hint="eastAsia" w:ascii="仿宋_GB2312" w:hAnsi="仿宋_GB2312" w:eastAsia="仿宋_GB2312" w:cs="仿宋_GB2312"/>
          <w:sz w:val="24"/>
        </w:rPr>
        <w:t>所有联合体成员各方签署授权书，授权书载明的</w:t>
      </w:r>
      <w:r>
        <w:rPr>
          <w:rFonts w:hint="eastAsia" w:ascii="仿宋_GB2312" w:hAnsi="仿宋_GB2312"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三、本次联合投标中，分工如下：</w:t>
      </w:r>
    </w:p>
    <w:p>
      <w:pPr>
        <w:snapToGrid w:val="0"/>
        <w:spacing w:line="360" w:lineRule="auto"/>
        <w:ind w:firstLine="576"/>
        <w:rPr>
          <w:rFonts w:ascii="仿宋_GB2312" w:hAnsi="仿宋_GB2312" w:eastAsia="仿宋_GB2312" w:cs="仿宋_GB2312"/>
          <w:kern w:val="0"/>
          <w:sz w:val="24"/>
          <w:lang w:val="zh-CN"/>
        </w:rPr>
      </w:pPr>
      <w:bookmarkStart w:id="399" w:name="_Hlk101134295"/>
      <w:r>
        <w:rPr>
          <w:rFonts w:hint="eastAsia" w:ascii="仿宋_GB2312" w:hAnsi="仿宋_GB2312" w:eastAsia="仿宋_GB2312" w:cs="仿宋_GB2312"/>
          <w:kern w:val="0"/>
          <w:sz w:val="24"/>
          <w:u w:val="single"/>
        </w:rPr>
        <w:t>（联合体成员1）</w:t>
      </w:r>
      <w:r>
        <w:rPr>
          <w:rFonts w:hint="eastAsia" w:ascii="仿宋_GB2312" w:hAnsi="仿宋_GB2312" w:eastAsia="仿宋_GB2312" w:cs="仿宋_GB2312"/>
          <w:kern w:val="0"/>
          <w:sz w:val="24"/>
          <w:lang w:val="zh-CN"/>
        </w:rPr>
        <w:t>承担的工作和义务为：</w:t>
      </w:r>
      <w:r>
        <w:rPr>
          <w:rFonts w:hint="eastAsia" w:ascii="仿宋_GB2312" w:hAnsi="仿宋_GB2312" w:eastAsia="仿宋_GB2312" w:cs="仿宋_GB2312"/>
          <w:u w:val="single"/>
        </w:rPr>
        <w:t xml:space="preserve">             </w:t>
      </w:r>
      <w:r>
        <w:rPr>
          <w:rFonts w:hint="eastAsia" w:ascii="仿宋_GB2312" w:hAnsi="仿宋_GB2312" w:eastAsia="仿宋_GB2312" w:cs="仿宋_GB2312"/>
          <w:kern w:val="0"/>
          <w:sz w:val="24"/>
          <w:lang w:val="zh-CN"/>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（联合体成员2）</w:t>
      </w:r>
      <w:r>
        <w:rPr>
          <w:rFonts w:hint="eastAsia" w:ascii="仿宋_GB2312" w:hAnsi="仿宋_GB2312" w:eastAsia="仿宋_GB2312" w:cs="仿宋_GB2312"/>
          <w:kern w:val="0"/>
          <w:sz w:val="24"/>
          <w:lang w:val="zh-CN"/>
        </w:rPr>
        <w:t>承担的工作和义务为：</w:t>
      </w:r>
      <w:r>
        <w:rPr>
          <w:rFonts w:hint="eastAsia" w:ascii="仿宋_GB2312" w:hAnsi="仿宋_GB2312" w:eastAsia="仿宋_GB2312" w:cs="仿宋_GB2312"/>
          <w:u w:val="single"/>
        </w:rPr>
        <w:t xml:space="preserve">             </w:t>
      </w:r>
      <w:r>
        <w:rPr>
          <w:rFonts w:hint="eastAsia" w:ascii="仿宋_GB2312" w:hAnsi="仿宋_GB2312" w:eastAsia="仿宋_GB2312" w:cs="仿宋_GB2312"/>
          <w:kern w:val="0"/>
          <w:sz w:val="24"/>
          <w:lang w:val="zh-CN"/>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w:t>
      </w:r>
    </w:p>
    <w:bookmarkEnd w:id="399"/>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四、联合体成员中小企业合同份额。</w:t>
      </w:r>
    </w:p>
    <w:p>
      <w:pPr>
        <w:snapToGrid w:val="0"/>
        <w:spacing w:line="360" w:lineRule="auto"/>
        <w:ind w:firstLine="576"/>
        <w:rPr>
          <w:rFonts w:ascii="仿宋_GB2312" w:hAnsi="仿宋_GB2312" w:eastAsia="仿宋_GB2312" w:cs="仿宋_GB2312"/>
          <w:b/>
          <w:kern w:val="0"/>
          <w:sz w:val="24"/>
          <w:lang w:val="zh-CN"/>
        </w:rPr>
      </w:pPr>
      <w:r>
        <w:rPr>
          <w:rFonts w:hint="eastAsia" w:ascii="仿宋_GB2312" w:hAnsi="仿宋_GB2312" w:eastAsia="仿宋_GB2312" w:cs="仿宋_GB2312"/>
          <w:kern w:val="0"/>
          <w:sz w:val="24"/>
          <w:lang w:val="zh-CN"/>
        </w:rPr>
        <w:t>1、</w:t>
      </w:r>
      <w:r>
        <w:rPr>
          <w:rFonts w:hint="eastAsia" w:ascii="仿宋_GB2312" w:hAnsi="仿宋_GB2312" w:eastAsia="仿宋_GB2312" w:cs="仿宋_GB2312"/>
          <w:kern w:val="0"/>
          <w:sz w:val="24"/>
          <w:u w:val="single"/>
        </w:rPr>
        <w:t>（联合体成员X,……）</w:t>
      </w:r>
      <w:r>
        <w:rPr>
          <w:rFonts w:hint="eastAsia" w:ascii="仿宋_GB2312" w:hAnsi="仿宋_GB2312" w:eastAsia="仿宋_GB2312" w:cs="仿宋_GB2312"/>
          <w:kern w:val="0"/>
          <w:sz w:val="24"/>
        </w:rPr>
        <w:t>提供的</w:t>
      </w:r>
      <w:r>
        <w:rPr>
          <w:rFonts w:hint="eastAsia" w:ascii="仿宋_GB2312" w:hAnsi="仿宋_GB2312" w:eastAsia="仿宋_GB2312" w:cs="仿宋_GB2312"/>
          <w:kern w:val="0"/>
          <w:sz w:val="24"/>
          <w:lang w:eastAsia="zh-CN"/>
        </w:rPr>
        <w:t>服务</w:t>
      </w:r>
      <w:r>
        <w:rPr>
          <w:rFonts w:hint="eastAsia" w:ascii="仿宋_GB2312" w:hAnsi="仿宋_GB2312" w:eastAsia="仿宋_GB2312" w:cs="仿宋_GB2312"/>
          <w:kern w:val="0"/>
          <w:sz w:val="24"/>
        </w:rPr>
        <w:t>由小微企业</w:t>
      </w:r>
      <w:r>
        <w:rPr>
          <w:rFonts w:hint="eastAsia" w:ascii="仿宋_GB2312" w:hAnsi="仿宋_GB2312" w:eastAsia="仿宋_GB2312" w:cs="仿宋_GB2312"/>
          <w:kern w:val="0"/>
          <w:sz w:val="24"/>
          <w:lang w:eastAsia="zh-CN"/>
        </w:rPr>
        <w:t>承接</w:t>
      </w:r>
      <w:r>
        <w:rPr>
          <w:rFonts w:hint="eastAsia" w:ascii="仿宋_GB2312" w:hAnsi="仿宋_GB2312" w:eastAsia="仿宋_GB2312" w:cs="仿宋_GB2312"/>
          <w:kern w:val="0"/>
          <w:sz w:val="24"/>
        </w:rPr>
        <w:t>，其合同份额占到合同总金额</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%以上；</w:t>
      </w:r>
      <w:r>
        <w:rPr>
          <w:rFonts w:hint="eastAsia" w:ascii="仿宋_GB2312" w:hAnsi="仿宋_GB2312" w:eastAsia="仿宋_GB2312" w:cs="仿宋_GB2312"/>
          <w:kern w:val="0"/>
          <w:sz w:val="24"/>
          <w:lang w:val="zh-CN"/>
        </w:rPr>
        <w:t>……。</w:t>
      </w:r>
      <w:r>
        <w:rPr>
          <w:rFonts w:hint="eastAsia" w:ascii="仿宋_GB2312" w:hAnsi="仿宋_GB2312" w:eastAsia="仿宋_GB2312" w:cs="仿宋_GB2312"/>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_GB2312" w:hAnsi="仿宋_GB2312" w:eastAsia="仿宋_GB2312" w:cs="仿宋_GB2312"/>
          <w:b/>
          <w:sz w:val="24"/>
        </w:rPr>
        <w:t>拟享受以上价格扣除政策的，填写有关内容。</w:t>
      </w:r>
      <w:r>
        <w:rPr>
          <w:rFonts w:hint="eastAsia" w:ascii="仿宋_GB2312" w:hAnsi="仿宋_GB2312" w:eastAsia="仿宋_GB2312" w:cs="仿宋_GB2312"/>
          <w:b/>
          <w:kern w:val="0"/>
          <w:sz w:val="24"/>
          <w:lang w:val="zh-CN"/>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sz w:val="24"/>
        </w:rPr>
        <w:t>2、中小企业合同金额达到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%，其中小微企业合同金额达到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w:t>
      </w:r>
      <w:r>
        <w:rPr>
          <w:rFonts w:hint="eastAsia" w:ascii="仿宋_GB2312" w:hAnsi="仿宋_GB2312" w:eastAsia="仿宋_GB2312" w:cs="仿宋_GB2312"/>
          <w:b/>
          <w:bCs/>
          <w:kern w:val="0"/>
          <w:sz w:val="24"/>
          <w:lang w:val="zh-CN"/>
        </w:rPr>
        <w:t>（</w:t>
      </w:r>
      <w:r>
        <w:rPr>
          <w:rFonts w:hint="eastAsia" w:ascii="仿宋_GB2312" w:hAnsi="仿宋_GB2312" w:eastAsia="仿宋_GB2312" w:cs="仿宋_GB2312"/>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仿宋_GB2312" w:eastAsia="仿宋_GB2312" w:cs="仿宋_GB2312"/>
          <w:b/>
          <w:bCs/>
          <w:kern w:val="0"/>
          <w:sz w:val="24"/>
          <w:lang w:val="zh-CN"/>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五、如果中标，</w:t>
      </w:r>
      <w:r>
        <w:rPr>
          <w:rFonts w:hint="eastAsia" w:ascii="仿宋_GB2312" w:hAnsi="仿宋_GB2312" w:eastAsia="仿宋_GB2312" w:cs="仿宋_GB2312"/>
          <w:sz w:val="24"/>
        </w:rPr>
        <w:t>联合体各成员方共同与采购人签订合同，并就采购合同约定的事项对采购人承担连带责任。</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六、有关本次联合投标的其他事宜：</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040" w:firstLineChars="21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right="960"/>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w:t>
      </w:r>
    </w:p>
    <w:p>
      <w:pPr>
        <w:snapToGrid w:val="0"/>
        <w:spacing w:line="360" w:lineRule="auto"/>
        <w:ind w:firstLine="5040" w:firstLineChars="2100"/>
        <w:rPr>
          <w:rFonts w:ascii="仿宋_GB2312" w:hAnsi="仿宋_GB2312" w:eastAsia="仿宋_GB2312" w:cs="仿宋_GB2312"/>
          <w:kern w:val="0"/>
          <w:sz w:val="24"/>
          <w:lang w:val="zh-CN"/>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spacing w:line="360" w:lineRule="auto"/>
        <w:ind w:right="420"/>
        <w:rPr>
          <w:rFonts w:ascii="仿宋_GB2312" w:hAnsi="仿宋_GB2312" w:eastAsia="仿宋_GB2312" w:cs="仿宋_GB2312"/>
          <w:sz w:val="24"/>
        </w:rPr>
      </w:pPr>
      <w:r>
        <w:rPr>
          <w:rFonts w:hint="eastAsia" w:ascii="仿宋_GB2312" w:hAnsi="仿宋_GB2312" w:eastAsia="仿宋_GB2312" w:cs="仿宋_GB2312"/>
          <w:sz w:val="24"/>
        </w:rPr>
        <w:t>注：按本格式和要求提供。</w:t>
      </w:r>
    </w:p>
    <w:p>
      <w:pPr>
        <w:snapToGrid w:val="0"/>
        <w:spacing w:line="360" w:lineRule="auto"/>
        <w:ind w:firstLine="3666" w:firstLineChars="1100"/>
        <w:rPr>
          <w:rFonts w:ascii="仿宋_GB2312" w:hAnsi="仿宋_GB2312" w:eastAsia="仿宋_GB2312" w:cs="仿宋_GB2312"/>
          <w:b/>
          <w:spacing w:val="6"/>
          <w:sz w:val="32"/>
          <w:szCs w:val="32"/>
        </w:rPr>
        <w:sectPr>
          <w:pgSz w:w="11906" w:h="16838"/>
          <w:pgMar w:top="680" w:right="1417" w:bottom="471"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666" w:firstLineChars="1100"/>
        <w:rPr>
          <w:rFonts w:ascii="仿宋_GB2312" w:hAnsi="仿宋_GB2312" w:eastAsia="仿宋_GB2312" w:cs="仿宋_GB2312"/>
          <w:b/>
          <w:kern w:val="0"/>
          <w:sz w:val="32"/>
          <w:szCs w:val="32"/>
        </w:rPr>
      </w:pPr>
      <w:r>
        <w:rPr>
          <w:rFonts w:hint="eastAsia" w:ascii="仿宋_GB2312" w:hAnsi="仿宋_GB2312" w:eastAsia="仿宋_GB2312" w:cs="仿宋_GB2312"/>
          <w:b/>
          <w:spacing w:val="6"/>
          <w:sz w:val="32"/>
          <w:szCs w:val="32"/>
        </w:rPr>
        <w:t>附件6：</w:t>
      </w:r>
      <w:r>
        <w:rPr>
          <w:rFonts w:hint="eastAsia" w:ascii="仿宋_GB2312" w:hAnsi="仿宋_GB2312" w:eastAsia="仿宋_GB2312" w:cs="仿宋_GB2312"/>
          <w:b/>
          <w:kern w:val="0"/>
          <w:sz w:val="32"/>
          <w:szCs w:val="32"/>
        </w:rPr>
        <w:t>分包意向协议</w:t>
      </w:r>
    </w:p>
    <w:p>
      <w:pPr>
        <w:widowControl/>
        <w:spacing w:line="360" w:lineRule="auto"/>
        <w:ind w:firstLine="120" w:firstLineChars="50"/>
        <w:jc w:val="lef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sz w:val="24"/>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若成为</w:t>
      </w:r>
      <w:r>
        <w:rPr>
          <w:rFonts w:hint="eastAsia" w:ascii="仿宋" w:hAnsi="仿宋" w:eastAsia="仿宋" w:cs="仿宋"/>
          <w:color w:val="auto"/>
          <w:sz w:val="24"/>
          <w:highlight w:val="none"/>
        </w:rPr>
        <w:t>（项目名称）【招标编号：（采购编号）】</w:t>
      </w:r>
      <w:r>
        <w:rPr>
          <w:rFonts w:hint="eastAsia" w:ascii="仿宋_GB2312" w:hAnsi="仿宋_GB2312" w:eastAsia="仿宋_GB2312" w:cs="仿宋_GB2312"/>
          <w:kern w:val="0"/>
          <w:sz w:val="24"/>
          <w:lang w:val="zh-CN"/>
        </w:rPr>
        <w:t>的中标供应商，将依法采取分包方式履行合同。</w:t>
      </w: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rPr>
        <w:t>与</w:t>
      </w:r>
      <w:r>
        <w:rPr>
          <w:rFonts w:hint="eastAsia" w:ascii="仿宋_GB2312" w:hAnsi="仿宋_GB2312" w:eastAsia="仿宋_GB2312" w:cs="仿宋_GB2312"/>
          <w:kern w:val="0"/>
          <w:sz w:val="24"/>
          <w:u w:val="single"/>
        </w:rPr>
        <w:t>（所有分包供应商名称）</w:t>
      </w:r>
      <w:r>
        <w:rPr>
          <w:rFonts w:hint="eastAsia" w:ascii="仿宋_GB2312" w:hAnsi="仿宋_GB2312" w:eastAsia="仿宋_GB2312" w:cs="仿宋_GB2312"/>
          <w:kern w:val="0"/>
          <w:sz w:val="24"/>
        </w:rPr>
        <w:t>达成分包意向协议</w:t>
      </w:r>
      <w:r>
        <w:rPr>
          <w:rFonts w:hint="eastAsia" w:ascii="仿宋_GB2312" w:hAnsi="仿宋_GB2312" w:eastAsia="仿宋_GB2312" w:cs="仿宋_GB2312"/>
          <w:kern w:val="0"/>
          <w:sz w:val="24"/>
          <w:lang w:val="zh-CN"/>
        </w:rPr>
        <w:t xml:space="preserve">。 </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一、分包标的及数量</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将</w:t>
      </w:r>
      <w:r>
        <w:rPr>
          <w:rFonts w:hint="eastAsia" w:ascii="仿宋_GB2312" w:hAnsi="仿宋_GB2312" w:eastAsia="仿宋_GB2312" w:cs="仿宋_GB2312"/>
          <w:u w:val="single"/>
        </w:rPr>
        <w:t xml:space="preserve"> </w:t>
      </w:r>
      <w:r>
        <w:rPr>
          <w:rFonts w:hint="eastAsia" w:ascii="仿宋_GB2312" w:hAnsi="仿宋_GB2312" w:eastAsia="仿宋_GB2312" w:cs="仿宋_GB2312"/>
          <w:kern w:val="0"/>
          <w:sz w:val="24"/>
          <w:u w:val="single"/>
        </w:rPr>
        <w:t xml:space="preserve">  XX工作内容   </w:t>
      </w:r>
      <w:r>
        <w:rPr>
          <w:rFonts w:hint="eastAsia" w:ascii="仿宋_GB2312" w:hAnsi="仿宋_GB2312" w:eastAsia="仿宋_GB2312" w:cs="仿宋_GB2312"/>
          <w:sz w:val="24"/>
        </w:rPr>
        <w:t>分包给</w:t>
      </w:r>
      <w:r>
        <w:rPr>
          <w:rFonts w:hint="eastAsia" w:ascii="仿宋_GB2312" w:hAnsi="仿宋_GB2312" w:eastAsia="仿宋_GB2312" w:cs="仿宋_GB2312"/>
          <w:kern w:val="0"/>
          <w:sz w:val="24"/>
          <w:u w:val="single"/>
        </w:rPr>
        <w:t>（分包供应商1名称）</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u w:val="single"/>
        </w:rPr>
        <w:t>（分包供应商1名称），</w:t>
      </w:r>
      <w:r>
        <w:rPr>
          <w:rFonts w:hint="eastAsia" w:ascii="仿宋_GB2312" w:hAnsi="仿宋_GB2312" w:eastAsia="仿宋_GB2312" w:cs="仿宋_GB2312"/>
          <w:kern w:val="0"/>
          <w:sz w:val="24"/>
          <w:lang w:val="zh-CN"/>
        </w:rPr>
        <w:t>具备承</w:t>
      </w:r>
      <w:r>
        <w:rPr>
          <w:rFonts w:hint="eastAsia" w:ascii="仿宋_GB2312" w:hAnsi="仿宋_GB2312" w:eastAsia="仿宋_GB2312" w:cs="仿宋_GB2312"/>
          <w:kern w:val="0"/>
          <w:sz w:val="24"/>
        </w:rPr>
        <w:t>担</w:t>
      </w:r>
      <w:r>
        <w:rPr>
          <w:rFonts w:hint="eastAsia" w:ascii="仿宋_GB2312" w:hAnsi="仿宋_GB2312" w:eastAsia="仿宋_GB2312" w:cs="仿宋_GB2312"/>
          <w:kern w:val="0"/>
          <w:sz w:val="24"/>
          <w:u w:val="single"/>
          <w:lang w:val="zh-CN"/>
        </w:rPr>
        <w:t>XX工作内容</w:t>
      </w:r>
      <w:r>
        <w:rPr>
          <w:rFonts w:hint="eastAsia" w:ascii="仿宋_GB2312" w:hAnsi="仿宋_GB2312" w:eastAsia="仿宋_GB2312" w:cs="仿宋_GB2312"/>
          <w:kern w:val="0"/>
          <w:sz w:val="24"/>
          <w:lang w:val="zh-CN"/>
        </w:rPr>
        <w:t>相应资质条件且不得再次分包；</w:t>
      </w:r>
    </w:p>
    <w:p>
      <w:pPr>
        <w:pStyle w:val="2"/>
        <w:ind w:left="758" w:leftChars="316" w:firstLine="229" w:firstLineChars="95"/>
        <w:rPr>
          <w:rFonts w:hAnsi="仿宋_GB2312" w:cs="仿宋_GB2312"/>
          <w:kern w:val="0"/>
          <w:sz w:val="24"/>
          <w:szCs w:val="24"/>
        </w:rPr>
      </w:pPr>
      <w:r>
        <w:rPr>
          <w:rFonts w:hint="eastAsia" w:hAnsi="仿宋_GB2312" w:cs="仿宋_GB2312"/>
          <w:kern w:val="0"/>
          <w:sz w:val="24"/>
          <w:szCs w:val="24"/>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二、分包供应商中小企业合同份额</w:t>
      </w:r>
    </w:p>
    <w:p>
      <w:pPr>
        <w:snapToGrid w:val="0"/>
        <w:spacing w:line="360" w:lineRule="auto"/>
        <w:ind w:firstLine="576"/>
        <w:rPr>
          <w:rFonts w:ascii="仿宋_GB2312" w:hAnsi="仿宋_GB2312" w:eastAsia="仿宋_GB2312" w:cs="仿宋_GB2312"/>
          <w:b/>
          <w:kern w:val="0"/>
          <w:sz w:val="24"/>
          <w:lang w:val="zh-CN"/>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u w:val="single"/>
        </w:rPr>
        <w:t>（分包供应商X,……）提供的</w:t>
      </w:r>
      <w:r>
        <w:rPr>
          <w:rFonts w:hint="eastAsia" w:ascii="仿宋_GB2312" w:hAnsi="仿宋_GB2312" w:eastAsia="仿宋_GB2312" w:cs="仿宋_GB2312"/>
          <w:kern w:val="0"/>
          <w:sz w:val="24"/>
          <w:u w:val="single"/>
          <w:lang w:eastAsia="zh-CN"/>
        </w:rPr>
        <w:t>服务</w:t>
      </w:r>
      <w:r>
        <w:rPr>
          <w:rFonts w:hint="eastAsia" w:ascii="仿宋_GB2312" w:hAnsi="仿宋_GB2312" w:eastAsia="仿宋_GB2312" w:cs="仿宋_GB2312"/>
          <w:kern w:val="0"/>
          <w:sz w:val="24"/>
          <w:u w:val="single"/>
        </w:rPr>
        <w:t>全部</w:t>
      </w:r>
      <w:r>
        <w:rPr>
          <w:rFonts w:hint="eastAsia" w:ascii="仿宋_GB2312" w:hAnsi="仿宋_GB2312" w:eastAsia="仿宋_GB2312" w:cs="仿宋_GB2312"/>
          <w:kern w:val="0"/>
          <w:sz w:val="24"/>
          <w:highlight w:val="none"/>
          <w:u w:val="single"/>
        </w:rPr>
        <w:t>由（中型或小型或微型），</w:t>
      </w:r>
      <w:r>
        <w:rPr>
          <w:rFonts w:hint="eastAsia" w:ascii="仿宋_GB2312" w:hAnsi="仿宋_GB2312" w:eastAsia="仿宋_GB2312" w:cs="仿宋_GB2312"/>
          <w:kern w:val="0"/>
          <w:sz w:val="24"/>
          <w:highlight w:val="none"/>
        </w:rPr>
        <w:t>其</w:t>
      </w:r>
      <w:r>
        <w:rPr>
          <w:rFonts w:hint="eastAsia" w:ascii="仿宋_GB2312" w:hAnsi="仿宋_GB2312" w:eastAsia="仿宋_GB2312" w:cs="仿宋_GB2312"/>
          <w:kern w:val="0"/>
          <w:sz w:val="24"/>
        </w:rPr>
        <w:t>合同份额占到合同总金额</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%以上</w:t>
      </w:r>
      <w:r>
        <w:rPr>
          <w:rFonts w:hint="eastAsia" w:ascii="仿宋_GB2312" w:hAnsi="仿宋_GB2312" w:eastAsia="仿宋_GB2312" w:cs="仿宋_GB2312"/>
        </w:rPr>
        <w:t>。</w:t>
      </w:r>
      <w:r>
        <w:rPr>
          <w:rFonts w:hint="eastAsia" w:ascii="仿宋_GB2312" w:hAnsi="仿宋_GB2312" w:eastAsia="仿宋_GB2312" w:cs="仿宋_GB2312"/>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仿宋_GB2312" w:eastAsia="仿宋_GB2312" w:cs="仿宋_GB2312"/>
          <w:b/>
          <w:sz w:val="24"/>
        </w:rPr>
        <w:t>拟享受以上价格扣除政策的，填写有关内容。</w:t>
      </w:r>
      <w:r>
        <w:rPr>
          <w:rFonts w:hint="eastAsia" w:ascii="仿宋_GB2312" w:hAnsi="仿宋_GB2312" w:eastAsia="仿宋_GB2312" w:cs="仿宋_GB2312"/>
          <w:b/>
          <w:kern w:val="0"/>
          <w:sz w:val="24"/>
          <w:lang w:val="zh-CN"/>
        </w:rPr>
        <w:t>）</w:t>
      </w:r>
    </w:p>
    <w:p>
      <w:pPr>
        <w:spacing w:line="360" w:lineRule="auto"/>
        <w:ind w:firstLine="480" w:firstLineChars="200"/>
        <w:rPr>
          <w:rFonts w:ascii="仿宋_GB2312" w:hAnsi="仿宋_GB2312" w:eastAsia="仿宋_GB2312" w:cs="仿宋_GB2312"/>
          <w:b/>
          <w:bCs/>
          <w:kern w:val="0"/>
          <w:sz w:val="24"/>
          <w:lang w:val="zh-CN"/>
        </w:rPr>
      </w:pPr>
      <w:r>
        <w:rPr>
          <w:rFonts w:hint="eastAsia" w:ascii="仿宋_GB2312" w:hAnsi="仿宋_GB2312" w:eastAsia="仿宋_GB2312" w:cs="仿宋_GB2312"/>
          <w:sz w:val="24"/>
        </w:rPr>
        <w:t>2、</w:t>
      </w:r>
      <w:bookmarkStart w:id="400" w:name="_Hlk101133173"/>
      <w:r>
        <w:rPr>
          <w:rFonts w:hint="eastAsia" w:ascii="仿宋_GB2312" w:hAnsi="仿宋_GB2312" w:eastAsia="仿宋_GB2312" w:cs="仿宋_GB2312"/>
          <w:sz w:val="24"/>
        </w:rPr>
        <w:t>中小企业合同金额达到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%，其中小微企业合同金额达到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w:t>
      </w:r>
      <w:r>
        <w:rPr>
          <w:rFonts w:hint="eastAsia" w:ascii="仿宋_GB2312" w:hAnsi="仿宋_GB2312" w:eastAsia="仿宋_GB2312" w:cs="仿宋_GB2312"/>
          <w:b/>
          <w:bCs/>
          <w:kern w:val="0"/>
          <w:sz w:val="24"/>
          <w:lang w:val="zh-CN"/>
        </w:rPr>
        <w:t>（</w:t>
      </w:r>
      <w:r>
        <w:rPr>
          <w:rFonts w:hint="eastAsia" w:ascii="仿宋_GB2312" w:hAnsi="仿宋_GB2312" w:eastAsia="仿宋_GB2312" w:cs="仿宋_GB2312"/>
          <w:b/>
          <w:bCs/>
          <w:sz w:val="24"/>
        </w:rPr>
        <w:t>要求合同分包形式参加的项目或采购包，供应商按招标文件第一部分招标公告申请人的资格要求中规定的</w:t>
      </w:r>
      <w:r>
        <w:rPr>
          <w:rFonts w:hint="eastAsia" w:ascii="仿宋_GB2312" w:hAnsi="仿宋_GB2312" w:eastAsia="仿宋_GB2312" w:cs="仿宋_GB2312"/>
          <w:b/>
          <w:kern w:val="0"/>
          <w:sz w:val="24"/>
          <w:lang w:val="zh-CN"/>
        </w:rPr>
        <w:t>分包意向协议</w:t>
      </w:r>
      <w:r>
        <w:rPr>
          <w:rFonts w:hint="eastAsia" w:ascii="仿宋_GB2312" w:hAnsi="仿宋_GB2312" w:eastAsia="仿宋_GB2312" w:cs="仿宋_GB2312"/>
          <w:b/>
          <w:bCs/>
          <w:sz w:val="24"/>
        </w:rPr>
        <w:t>中中小企业、小微企业合同金额应当达到的比例要求填写。</w:t>
      </w:r>
      <w:r>
        <w:rPr>
          <w:rFonts w:hint="eastAsia" w:ascii="仿宋_GB2312" w:hAnsi="仿宋_GB2312" w:eastAsia="仿宋_GB2312" w:cs="仿宋_GB2312"/>
          <w:b/>
          <w:bCs/>
          <w:kern w:val="0"/>
          <w:sz w:val="24"/>
          <w:lang w:val="zh-CN"/>
        </w:rPr>
        <w:t>）</w:t>
      </w:r>
      <w:bookmarkEnd w:id="400"/>
    </w:p>
    <w:p>
      <w:pPr>
        <w:snapToGrid w:val="0"/>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三、分包工作履行期限、地点、方式</w:t>
      </w:r>
    </w:p>
    <w:p>
      <w:pPr>
        <w:snapToGrid w:val="0"/>
        <w:ind w:firstLine="576"/>
        <w:rPr>
          <w:rFonts w:ascii="仿宋_GB2312" w:hAnsi="仿宋_GB2312" w:eastAsia="仿宋_GB2312" w:cs="仿宋_GB2312"/>
          <w:u w:val="single"/>
        </w:rPr>
      </w:pPr>
      <w:r>
        <w:rPr>
          <w:rFonts w:hint="eastAsia" w:ascii="仿宋_GB2312" w:hAnsi="仿宋_GB2312" w:eastAsia="仿宋_GB2312" w:cs="仿宋_GB2312"/>
          <w:u w:val="single"/>
        </w:rPr>
        <w:t xml:space="preserve">                                                                                  </w:t>
      </w:r>
    </w:p>
    <w:p>
      <w:pPr>
        <w:snapToGrid w:val="0"/>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四、质量</w:t>
      </w:r>
    </w:p>
    <w:p>
      <w:pPr>
        <w:snapToGrid w:val="0"/>
        <w:ind w:firstLine="576"/>
        <w:rPr>
          <w:rFonts w:ascii="仿宋_GB2312" w:hAnsi="仿宋_GB2312" w:eastAsia="仿宋_GB2312" w:cs="仿宋_GB2312"/>
          <w:kern w:val="0"/>
          <w:sz w:val="24"/>
          <w:lang w:val="zh-CN"/>
        </w:rPr>
      </w:pPr>
      <w:r>
        <w:rPr>
          <w:rFonts w:hint="eastAsia" w:ascii="仿宋_GB2312" w:hAnsi="仿宋_GB2312" w:eastAsia="仿宋_GB2312" w:cs="仿宋_GB2312"/>
          <w:u w:val="single"/>
        </w:rPr>
        <w:t xml:space="preserve">                                                                                       </w:t>
      </w:r>
    </w:p>
    <w:p>
      <w:pPr>
        <w:snapToGrid w:val="0"/>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五、价款或者报酬</w:t>
      </w:r>
    </w:p>
    <w:p>
      <w:pPr>
        <w:snapToGrid w:val="0"/>
        <w:ind w:left="655" w:leftChars="273"/>
        <w:rPr>
          <w:rFonts w:ascii="仿宋_GB2312" w:hAnsi="仿宋_GB2312" w:eastAsia="仿宋_GB2312" w:cs="仿宋_GB2312"/>
          <w:kern w:val="0"/>
          <w:sz w:val="24"/>
          <w:lang w:val="zh-CN"/>
        </w:rPr>
      </w:pPr>
      <w:r>
        <w:rPr>
          <w:rFonts w:hint="eastAsia" w:ascii="仿宋_GB2312" w:hAnsi="仿宋_GB2312" w:eastAsia="仿宋_GB2312" w:cs="仿宋_GB2312"/>
          <w:u w:val="single"/>
        </w:rPr>
        <w:t xml:space="preserve">                                                                                     </w:t>
      </w:r>
    </w:p>
    <w:p>
      <w:pPr>
        <w:snapToGrid w:val="0"/>
        <w:ind w:left="655" w:leftChars="273"/>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六、违约责任</w:t>
      </w:r>
    </w:p>
    <w:p>
      <w:pPr>
        <w:snapToGrid w:val="0"/>
        <w:ind w:firstLine="576"/>
        <w:rPr>
          <w:rFonts w:ascii="仿宋_GB2312" w:hAnsi="仿宋_GB2312" w:eastAsia="仿宋_GB2312" w:cs="仿宋_GB2312"/>
          <w:kern w:val="0"/>
          <w:sz w:val="24"/>
          <w:lang w:val="zh-CN"/>
        </w:rPr>
      </w:pPr>
      <w:r>
        <w:rPr>
          <w:rFonts w:hint="eastAsia" w:ascii="仿宋_GB2312" w:hAnsi="仿宋_GB2312" w:eastAsia="仿宋_GB2312" w:cs="仿宋_GB2312"/>
          <w:u w:val="single"/>
        </w:rPr>
        <w:t xml:space="preserve">                                                                                     </w:t>
      </w:r>
    </w:p>
    <w:p>
      <w:pPr>
        <w:snapToGrid w:val="0"/>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七、争议解决的办法</w:t>
      </w:r>
    </w:p>
    <w:p>
      <w:pPr>
        <w:snapToGrid w:val="0"/>
        <w:ind w:firstLine="576"/>
        <w:rPr>
          <w:rFonts w:ascii="仿宋_GB2312" w:hAnsi="仿宋_GB2312" w:eastAsia="仿宋_GB2312" w:cs="仿宋_GB2312"/>
          <w:kern w:val="0"/>
          <w:sz w:val="24"/>
          <w:lang w:val="zh-CN"/>
        </w:rPr>
      </w:pPr>
      <w:r>
        <w:rPr>
          <w:rFonts w:hint="eastAsia" w:ascii="仿宋_GB2312" w:hAnsi="仿宋_GB2312" w:eastAsia="仿宋_GB2312" w:cs="仿宋_GB2312"/>
          <w:u w:val="single"/>
        </w:rPr>
        <w:t xml:space="preserve">                                                                                  </w:t>
      </w:r>
    </w:p>
    <w:p>
      <w:pPr>
        <w:snapToGrid w:val="0"/>
        <w:spacing w:line="360" w:lineRule="auto"/>
        <w:ind w:left="5861" w:leftChars="342" w:hanging="5040" w:hangingChars="21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投标人名称(电子签名)：</w:t>
      </w:r>
    </w:p>
    <w:p>
      <w:pPr>
        <w:snapToGrid w:val="0"/>
        <w:spacing w:line="360" w:lineRule="auto"/>
        <w:ind w:firstLine="4800" w:firstLineChars="20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分包供应商名称(电子签名/公章)：</w:t>
      </w:r>
    </w:p>
    <w:p>
      <w:pPr>
        <w:snapToGrid w:val="0"/>
        <w:spacing w:line="360" w:lineRule="auto"/>
        <w:ind w:firstLine="5760" w:firstLineChars="2400"/>
        <w:rPr>
          <w:rFonts w:ascii="仿宋_GB2312" w:hAnsi="仿宋_GB2312" w:eastAsia="仿宋_GB2312" w:cs="仿宋_GB2312"/>
        </w:rPr>
      </w:pPr>
      <w:r>
        <w:rPr>
          <w:rFonts w:hint="eastAsia" w:ascii="仿宋_GB2312" w:hAnsi="仿宋_GB2312" w:eastAsia="仿宋_GB2312" w:cs="仿宋_GB2312"/>
          <w:kern w:val="0"/>
          <w:sz w:val="24"/>
          <w:lang w:val="zh-CN"/>
        </w:rPr>
        <w:t>……</w:t>
      </w:r>
    </w:p>
    <w:p>
      <w:pPr>
        <w:autoSpaceDE w:val="0"/>
        <w:autoSpaceDN w:val="0"/>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autoSpaceDE w:val="0"/>
        <w:autoSpaceDN w:val="0"/>
        <w:rPr>
          <w:rFonts w:ascii="仿宋_GB2312" w:hAnsi="仿宋_GB2312" w:eastAsia="仿宋_GB2312" w:cs="仿宋_GB2312"/>
          <w:b/>
          <w:spacing w:val="6"/>
          <w:sz w:val="32"/>
          <w:szCs w:val="32"/>
        </w:rPr>
      </w:pPr>
      <w:r>
        <w:rPr>
          <w:rFonts w:hint="eastAsia" w:ascii="仿宋_GB2312" w:hAnsi="仿宋_GB2312" w:eastAsia="仿宋_GB2312" w:cs="仿宋_GB2312"/>
          <w:sz w:val="24"/>
        </w:rPr>
        <w:t>注：按本格式和要求提供。</w:t>
      </w:r>
    </w:p>
    <w:p>
      <w:pPr>
        <w:pStyle w:val="2"/>
        <w:rPr>
          <w:rFonts w:hAnsi="仿宋_GB2312" w:cs="仿宋_GB2312"/>
        </w:rPr>
        <w:sectPr>
          <w:pgSz w:w="11906" w:h="16838"/>
          <w:pgMar w:top="680" w:right="1417" w:bottom="471" w:left="1418" w:header="851" w:footer="992" w:gutter="0"/>
          <w:pgBorders>
            <w:top w:val="none" w:sz="0" w:space="0"/>
            <w:left w:val="none" w:sz="0" w:space="0"/>
            <w:bottom w:val="none" w:sz="0" w:space="0"/>
            <w:right w:val="none" w:sz="0" w:space="0"/>
          </w:pgBorders>
          <w:cols w:space="720" w:num="1"/>
          <w:titlePg/>
          <w:docGrid w:linePitch="312" w:charSpace="0"/>
        </w:sectPr>
      </w:pPr>
    </w:p>
    <w:p>
      <w:pPr>
        <w:autoSpaceDE w:val="0"/>
        <w:autoSpaceDN w:val="0"/>
        <w:jc w:val="center"/>
        <w:rPr>
          <w:rFonts w:ascii="仿宋_GB2312" w:hAnsi="仿宋_GB2312" w:eastAsia="仿宋_GB2312" w:cs="仿宋_GB2312"/>
          <w:b/>
          <w:bCs/>
          <w:sz w:val="32"/>
          <w:szCs w:val="32"/>
        </w:rPr>
      </w:pPr>
      <w:r>
        <w:rPr>
          <w:rFonts w:hint="eastAsia" w:ascii="仿宋_GB2312" w:hAnsi="仿宋_GB2312" w:eastAsia="仿宋_GB2312" w:cs="仿宋_GB2312"/>
          <w:b/>
          <w:spacing w:val="6"/>
          <w:sz w:val="32"/>
          <w:szCs w:val="32"/>
        </w:rPr>
        <w:t>附件7：</w:t>
      </w:r>
      <w:r>
        <w:rPr>
          <w:rFonts w:hint="eastAsia" w:ascii="仿宋_GB2312" w:hAnsi="仿宋_GB2312" w:eastAsia="仿宋_GB2312" w:cs="仿宋_GB2312"/>
          <w:b/>
          <w:sz w:val="32"/>
          <w:szCs w:val="32"/>
        </w:rPr>
        <w:t>中小企业声明函</w:t>
      </w:r>
    </w:p>
    <w:p>
      <w:pPr>
        <w:spacing w:line="360" w:lineRule="auto"/>
        <w:jc w:val="center"/>
        <w:rPr>
          <w:rFonts w:ascii="仿宋_GB2312" w:hAnsi="仿宋_GB2312" w:eastAsia="仿宋_GB2312" w:cs="仿宋_GB2312"/>
          <w:b/>
          <w:sz w:val="32"/>
          <w:szCs w:val="32"/>
        </w:rPr>
      </w:pPr>
    </w:p>
    <w:p>
      <w:pPr>
        <w:spacing w:line="360" w:lineRule="auto"/>
        <w:jc w:val="left"/>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中小企业声明函</w:t>
      </w:r>
      <w:r>
        <w:rPr>
          <w:rFonts w:hint="eastAsia" w:ascii="仿宋_GB2312" w:hAnsi="仿宋_GB2312" w:eastAsia="仿宋_GB2312" w:cs="仿宋_GB2312"/>
          <w:b/>
          <w:sz w:val="32"/>
          <w:szCs w:val="32"/>
          <w:lang w:eastAsia="zh-CN"/>
        </w:rPr>
        <w:t>（服务）</w:t>
      </w:r>
    </w:p>
    <w:p>
      <w:pPr>
        <w:numPr>
          <w:ilvl w:val="0"/>
          <w:numId w:val="0"/>
        </w:numPr>
        <w:spacing w:line="360" w:lineRule="auto"/>
        <w:ind w:left="400" w:leftChars="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本公司（联合体）郑重声明，根据《政府采购促进中小企业发展管理办法》（财库﹝2020﹞46 号）的规定，本公司（联合体）参加 </w:t>
      </w:r>
      <w:r>
        <w:rPr>
          <w:rFonts w:hint="eastAsia" w:ascii="仿宋_GB2312" w:hAnsi="仿宋_GB2312" w:eastAsia="仿宋_GB2312" w:cs="仿宋_GB2312"/>
          <w:sz w:val="24"/>
          <w:u w:val="single"/>
          <w:lang w:val="en" w:eastAsia="zh-CN"/>
        </w:rPr>
        <w:t>杭州市钱塘区人民政府义蓬街道办事处</w:t>
      </w:r>
      <w:r>
        <w:rPr>
          <w:rFonts w:hint="eastAsia" w:ascii="仿宋_GB2312" w:hAnsi="仿宋_GB2312" w:eastAsia="仿宋_GB2312" w:cs="仿宋_GB2312"/>
          <w:sz w:val="24"/>
        </w:rPr>
        <w:t xml:space="preserve">的 </w:t>
      </w:r>
      <w:r>
        <w:rPr>
          <w:rFonts w:hint="eastAsia" w:ascii="仿宋_GB2312" w:hAnsi="仿宋_GB2312" w:eastAsia="仿宋_GB2312" w:cs="仿宋_GB2312"/>
          <w:sz w:val="24"/>
          <w:u w:val="single"/>
          <w:lang w:eastAsia="zh-CN"/>
        </w:rPr>
        <w:t>义蓬街道职工2024年疗休养服务采购项目</w:t>
      </w:r>
      <w:r>
        <w:rPr>
          <w:rFonts w:hint="eastAsia" w:ascii="仿宋_GB2312" w:hAnsi="仿宋_GB2312" w:eastAsia="仿宋_GB2312" w:cs="仿宋_GB2312"/>
          <w:sz w:val="24"/>
        </w:rPr>
        <w:t xml:space="preserve"> 采购活动，服务全部由符合政策要求的中小企业承接</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相关企业（含联合体中的中小企业、签订分包意向协议的中小企业）的具体情况如下：</w:t>
      </w:r>
    </w:p>
    <w:p>
      <w:pPr>
        <w:numPr>
          <w:ilvl w:val="0"/>
          <w:numId w:val="3"/>
        </w:numPr>
        <w:spacing w:line="360" w:lineRule="auto"/>
        <w:ind w:left="0" w:leftChars="0" w:firstLine="400" w:firstLineChars="0"/>
        <w:jc w:val="left"/>
        <w:rPr>
          <w:rFonts w:hint="eastAsia" w:ascii="仿宋_GB2312" w:hAnsi="仿宋_GB2312" w:eastAsia="仿宋_GB2312" w:cs="仿宋_GB2312"/>
          <w:sz w:val="24"/>
          <w:u w:val="single"/>
          <w:lang w:eastAsia="zh-CN"/>
        </w:rPr>
      </w:pPr>
      <w:r>
        <w:rPr>
          <w:rFonts w:hint="eastAsia" w:ascii="仿宋_GB2312" w:hAnsi="仿宋_GB2312" w:eastAsia="仿宋_GB2312" w:cs="仿宋_GB2312"/>
          <w:sz w:val="24"/>
          <w:u w:val="single"/>
          <w:lang w:eastAsia="zh-CN"/>
        </w:rPr>
        <w:t>义蓬街道职工2024年疗休养服务采购项目</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属于</w:t>
      </w:r>
      <w:r>
        <w:rPr>
          <w:rFonts w:hint="eastAsia" w:ascii="仿宋_GB2312" w:hAnsi="仿宋_GB2312" w:eastAsia="仿宋_GB2312" w:cs="仿宋_GB2312"/>
          <w:sz w:val="24"/>
          <w:highlight w:val="none"/>
        </w:rPr>
        <w:t xml:space="preserve"> </w:t>
      </w:r>
      <w:r>
        <w:rPr>
          <w:rFonts w:hint="eastAsia" w:ascii="仿宋_GB2312" w:hAnsi="仿宋_GB2312" w:eastAsia="仿宋_GB2312" w:cs="仿宋_GB2312"/>
          <w:kern w:val="0"/>
          <w:sz w:val="24"/>
          <w:highlight w:val="none"/>
          <w:u w:val="single"/>
          <w:lang w:eastAsia="zh-CN"/>
        </w:rPr>
        <w:t>其他未列明行业</w:t>
      </w:r>
      <w:r>
        <w:rPr>
          <w:rFonts w:hint="eastAsia" w:ascii="仿宋_GB2312" w:hAnsi="仿宋_GB2312" w:eastAsia="仿宋_GB2312" w:cs="仿宋_GB2312"/>
          <w:sz w:val="24"/>
          <w:highlight w:val="none"/>
        </w:rPr>
        <w:t xml:space="preserve"> 行业 ；</w:t>
      </w:r>
      <w:r>
        <w:rPr>
          <w:rFonts w:hint="eastAsia" w:ascii="仿宋_GB2312" w:hAnsi="仿宋_GB2312" w:eastAsia="仿宋_GB2312" w:cs="仿宋_GB2312"/>
          <w:sz w:val="24"/>
          <w:highlight w:val="none"/>
          <w:lang w:eastAsia="zh-CN"/>
        </w:rPr>
        <w:t>承接企业</w:t>
      </w:r>
      <w:r>
        <w:rPr>
          <w:rFonts w:hint="eastAsia" w:ascii="仿宋_GB2312" w:hAnsi="仿宋_GB2312" w:eastAsia="仿宋_GB2312" w:cs="仿宋_GB2312"/>
          <w:sz w:val="24"/>
          <w:highlight w:val="none"/>
        </w:rPr>
        <w:t>为</w:t>
      </w:r>
      <w:r>
        <w:rPr>
          <w:rFonts w:hint="eastAsia" w:ascii="仿宋_GB2312" w:hAnsi="仿宋_GB2312" w:eastAsia="仿宋_GB2312" w:cs="仿宋_GB2312"/>
          <w:sz w:val="24"/>
          <w:highlight w:val="none"/>
          <w:u w:val="single"/>
        </w:rPr>
        <w:t xml:space="preserve"> （企业名称）</w:t>
      </w:r>
      <w:r>
        <w:rPr>
          <w:rFonts w:hint="eastAsia" w:ascii="仿宋_GB2312" w:hAnsi="仿宋_GB2312" w:eastAsia="仿宋_GB2312" w:cs="仿宋_GB2312"/>
          <w:sz w:val="24"/>
          <w:highlight w:val="none"/>
        </w:rPr>
        <w:t xml:space="preserve"> ，从业人员</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人，营业收入为</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万元，资产总额</w:t>
      </w:r>
      <w:r>
        <w:rPr>
          <w:rFonts w:hint="eastAsia" w:ascii="仿宋_GB2312" w:hAnsi="仿宋_GB2312" w:eastAsia="仿宋_GB2312" w:cs="仿宋_GB2312"/>
          <w:sz w:val="24"/>
        </w:rPr>
        <w:t>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snapToGrid w:val="0"/>
        <w:spacing w:line="360" w:lineRule="auto"/>
        <w:ind w:firstLine="5160" w:firstLineChars="2150"/>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投标人名称(电子签名)：</w:t>
      </w:r>
    </w:p>
    <w:p>
      <w:pPr>
        <w:snapToGrid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w:t>
      </w:r>
    </w:p>
    <w:p>
      <w:pPr>
        <w:spacing w:line="360" w:lineRule="auto"/>
        <w:jc w:val="left"/>
        <w:rPr>
          <w:rFonts w:ascii="仿宋_GB2312" w:hAnsi="仿宋_GB2312" w:eastAsia="仿宋_GB2312" w:cs="仿宋_GB2312"/>
          <w:sz w:val="18"/>
          <w:szCs w:val="18"/>
        </w:rPr>
      </w:pPr>
      <w:r>
        <w:rPr>
          <w:rFonts w:hint="eastAsia" w:ascii="仿宋_GB2312" w:hAnsi="仿宋_GB2312" w:eastAsia="仿宋_GB2312" w:cs="仿宋_GB2312"/>
          <w:szCs w:val="21"/>
        </w:rPr>
        <w:t>从业人员、营业收入、资产总额填报上一年度数据，无上一年度数据的新成立企业可不填报。</w:t>
      </w:r>
    </w:p>
    <w:p>
      <w:pPr>
        <w:spacing w:line="360" w:lineRule="auto"/>
        <w:ind w:right="42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注：</w:t>
      </w:r>
    </w:p>
    <w:p>
      <w:pPr>
        <w:spacing w:line="360" w:lineRule="auto"/>
        <w:ind w:right="42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http://www.ccgp.gov.cn/zcfg/mof/201310/t20131029_3587674.htm）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jc w:val="left"/>
        <w:rPr>
          <w:rFonts w:hint="eastAsia" w:ascii="仿宋" w:hAnsi="仿宋" w:eastAsia="仿宋" w:cs="仿宋"/>
          <w:bCs/>
          <w:color w:val="auto"/>
          <w:sz w:val="24"/>
          <w:highlight w:val="none"/>
        </w:rPr>
      </w:pPr>
      <w:r>
        <w:rPr>
          <w:rFonts w:hint="eastAsia" w:ascii="仿宋_GB2312" w:hAnsi="仿宋_GB2312" w:eastAsia="仿宋_GB2312" w:cs="仿宋_GB2312"/>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jc w:val="left"/>
        <w:rPr>
          <w:rFonts w:hint="eastAsia" w:ascii="仿宋" w:hAnsi="仿宋" w:eastAsia="仿宋" w:cs="仿宋"/>
          <w:color w:val="auto"/>
          <w:highlight w:val="none"/>
          <w:lang w:val="en-US"/>
        </w:rPr>
      </w:pPr>
    </w:p>
    <w:p>
      <w:pPr>
        <w:spacing w:line="360" w:lineRule="auto"/>
        <w:ind w:right="420"/>
        <w:rPr>
          <w:rFonts w:hint="eastAsia" w:ascii="仿宋" w:hAnsi="仿宋" w:eastAsia="仿宋" w:cs="仿宋"/>
          <w:color w:val="auto"/>
          <w:highlight w:val="none"/>
        </w:rPr>
      </w:pPr>
    </w:p>
    <w:p>
      <w:pPr>
        <w:spacing w:line="360" w:lineRule="auto"/>
        <w:rPr>
          <w:rFonts w:hint="eastAsia" w:ascii="仿宋" w:hAnsi="仿宋" w:eastAsia="仿宋" w:cs="仿宋"/>
          <w:bCs/>
          <w:color w:val="auto"/>
          <w:sz w:val="24"/>
          <w:highlight w:val="none"/>
        </w:rPr>
      </w:pPr>
    </w:p>
    <w:p>
      <w:pPr>
        <w:rPr>
          <w:highlight w:val="none"/>
        </w:rPr>
      </w:pPr>
    </w:p>
    <w:p>
      <w:pPr>
        <w:spacing w:line="360" w:lineRule="auto"/>
        <w:rPr>
          <w:rFonts w:hint="eastAsia" w:ascii="仿宋" w:hAnsi="仿宋" w:eastAsia="仿宋" w:cs="仿宋"/>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536"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1" w:name="_Toc164085800"/>
    <w:bookmarkStart w:id="402" w:name="_Toc91899912"/>
    <w:bookmarkStart w:id="403" w:name="_Toc36110187"/>
    <w:bookmarkStart w:id="404" w:name="_Toc131845147"/>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tabs>
        <w:tab w:val="right" w:pos="9040"/>
        <w:tab w:val="clear" w:pos="8306"/>
      </w:tabs>
      <w:ind w:right="-617" w:rightChars="-257"/>
      <w:jc w:val="right"/>
    </w:pPr>
    <w:r>
      <w:t></w:t>
    </w:r>
    <w:r>
      <w:rPr>
        <w:rFonts w:hint="eastAsia"/>
      </w:rPr>
      <w:t xml:space="preserve">       </w:t>
    </w:r>
    <w:r>
      <w:t>杭州市</w:t>
    </w:r>
    <w:r>
      <w:rPr>
        <w:rFonts w:hint="eastAsia"/>
        <w:lang w:val="en-US" w:eastAsia="zh-CN"/>
      </w:rPr>
      <w:t>钱塘区</w:t>
    </w:r>
    <w:r>
      <w:t>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w:t>
    </w:r>
    <w:r>
      <w:rPr>
        <w:rFonts w:hint="eastAsia"/>
        <w:lang w:val="en-US" w:eastAsia="zh-CN"/>
      </w:rPr>
      <w:t>钱塘区</w:t>
    </w: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en-US" w:eastAsia="zh-CN"/>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tabs>
        <w:tab w:val="right" w:pos="9040"/>
        <w:tab w:val="clear" w:pos="8306"/>
      </w:tabs>
      <w:ind w:right="-617" w:rightChars="-257"/>
      <w:jc w:val="right"/>
    </w:pPr>
    <w:r>
      <w:t></w:t>
    </w:r>
    <w:r>
      <w:rPr>
        <w:rFonts w:hint="eastAsia"/>
      </w:rPr>
      <w:t xml:space="preserve">       </w:t>
    </w:r>
    <w:r>
      <w:t>杭州市</w:t>
    </w:r>
    <w:r>
      <w:rPr>
        <w:rFonts w:hint="eastAsia"/>
        <w:lang w:val="en-US" w:eastAsia="zh-CN"/>
      </w:rPr>
      <w:t>钱塘区</w:t>
    </w:r>
    <w:r>
      <w:t>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w:t>
    </w:r>
    <w:r>
      <w:rPr>
        <w:rFonts w:hint="eastAsia"/>
      </w:rPr>
      <w:t>钱塘区</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w:t>
    </w:r>
    <w:r>
      <w:rPr>
        <w:rFonts w:hint="eastAsia"/>
      </w:rPr>
      <w:t>钱塘区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w:t>
    </w:r>
    <w:r>
      <w:rPr>
        <w:rFonts w:hint="eastAsia"/>
        <w:lang w:val="en-US" w:eastAsia="zh-CN"/>
      </w:rPr>
      <w:t>钱塘区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CF58BF"/>
    <w:multiLevelType w:val="singleLevel"/>
    <w:tmpl w:val="F4CF58BF"/>
    <w:lvl w:ilvl="0" w:tentative="0">
      <w:start w:val="5"/>
      <w:numFmt w:val="chineseCounting"/>
      <w:suff w:val="nothing"/>
      <w:lvlText w:val="%1、"/>
      <w:lvlJc w:val="left"/>
      <w:rPr>
        <w:rFonts w:hint="eastAsia"/>
      </w:rPr>
    </w:lvl>
  </w:abstractNum>
  <w:abstractNum w:abstractNumId="1">
    <w:nsid w:val="FECE1E8E"/>
    <w:multiLevelType w:val="singleLevel"/>
    <w:tmpl w:val="FECE1E8E"/>
    <w:lvl w:ilvl="0" w:tentative="0">
      <w:start w:val="1"/>
      <w:numFmt w:val="decimal"/>
      <w:suff w:val="nothing"/>
      <w:lvlText w:val="%1．"/>
      <w:lvlJc w:val="left"/>
      <w:pPr>
        <w:ind w:left="0" w:firstLine="400"/>
      </w:pPr>
      <w:rPr>
        <w:rFonts w:hint="default"/>
      </w:rPr>
    </w:lvl>
  </w:abstractNum>
  <w:abstractNum w:abstractNumId="2">
    <w:nsid w:val="1920329B"/>
    <w:multiLevelType w:val="singleLevel"/>
    <w:tmpl w:val="1920329B"/>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1NzQ0M2RiN2Y4NWRiZDYxZDU3MWZiNWJjZThmMm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020"/>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DEE"/>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ED2"/>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4C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67FFD"/>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8FF"/>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13F"/>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F283F"/>
    <w:rsid w:val="017C039A"/>
    <w:rsid w:val="01995B0E"/>
    <w:rsid w:val="019F7441"/>
    <w:rsid w:val="01B37585"/>
    <w:rsid w:val="01CE6B8C"/>
    <w:rsid w:val="01D55165"/>
    <w:rsid w:val="01DF6BF8"/>
    <w:rsid w:val="01EC2C57"/>
    <w:rsid w:val="01F06917"/>
    <w:rsid w:val="023A32B8"/>
    <w:rsid w:val="023B6CB2"/>
    <w:rsid w:val="025129DE"/>
    <w:rsid w:val="026B2E25"/>
    <w:rsid w:val="02824D4D"/>
    <w:rsid w:val="02DA018C"/>
    <w:rsid w:val="02DC4B10"/>
    <w:rsid w:val="02DD76CE"/>
    <w:rsid w:val="02F36323"/>
    <w:rsid w:val="02F5619C"/>
    <w:rsid w:val="0326446A"/>
    <w:rsid w:val="032D5555"/>
    <w:rsid w:val="036634D2"/>
    <w:rsid w:val="03DD35E4"/>
    <w:rsid w:val="04076900"/>
    <w:rsid w:val="041A5A3B"/>
    <w:rsid w:val="042311BA"/>
    <w:rsid w:val="042B157A"/>
    <w:rsid w:val="044A0B40"/>
    <w:rsid w:val="047C51B5"/>
    <w:rsid w:val="048F763B"/>
    <w:rsid w:val="049F330E"/>
    <w:rsid w:val="04AA775C"/>
    <w:rsid w:val="04AF1889"/>
    <w:rsid w:val="04D75109"/>
    <w:rsid w:val="04F66F48"/>
    <w:rsid w:val="05251E14"/>
    <w:rsid w:val="05A16594"/>
    <w:rsid w:val="05A7762D"/>
    <w:rsid w:val="05DE0936"/>
    <w:rsid w:val="060E5941"/>
    <w:rsid w:val="06110FAF"/>
    <w:rsid w:val="06493CA7"/>
    <w:rsid w:val="065A3ABE"/>
    <w:rsid w:val="065A6178"/>
    <w:rsid w:val="066F1CF3"/>
    <w:rsid w:val="06802705"/>
    <w:rsid w:val="06930BB8"/>
    <w:rsid w:val="069B5E85"/>
    <w:rsid w:val="06D939D5"/>
    <w:rsid w:val="07245D42"/>
    <w:rsid w:val="07264C62"/>
    <w:rsid w:val="0779354C"/>
    <w:rsid w:val="07E94B80"/>
    <w:rsid w:val="08061376"/>
    <w:rsid w:val="084127BF"/>
    <w:rsid w:val="08452D77"/>
    <w:rsid w:val="086401F8"/>
    <w:rsid w:val="08751CAA"/>
    <w:rsid w:val="087E4C40"/>
    <w:rsid w:val="089748FF"/>
    <w:rsid w:val="08A435E9"/>
    <w:rsid w:val="08D66AD6"/>
    <w:rsid w:val="08DA33A3"/>
    <w:rsid w:val="08E31652"/>
    <w:rsid w:val="08E80F13"/>
    <w:rsid w:val="09134260"/>
    <w:rsid w:val="09335624"/>
    <w:rsid w:val="0944690F"/>
    <w:rsid w:val="09535675"/>
    <w:rsid w:val="095900C1"/>
    <w:rsid w:val="095F057D"/>
    <w:rsid w:val="09642282"/>
    <w:rsid w:val="09733572"/>
    <w:rsid w:val="09772C16"/>
    <w:rsid w:val="098353B5"/>
    <w:rsid w:val="09A92330"/>
    <w:rsid w:val="09B06B87"/>
    <w:rsid w:val="09C13146"/>
    <w:rsid w:val="09CB4CD3"/>
    <w:rsid w:val="09E04166"/>
    <w:rsid w:val="09F14739"/>
    <w:rsid w:val="0A142DE9"/>
    <w:rsid w:val="0A1C0718"/>
    <w:rsid w:val="0A3E7710"/>
    <w:rsid w:val="0A5B7E63"/>
    <w:rsid w:val="0AA374A5"/>
    <w:rsid w:val="0AAB7649"/>
    <w:rsid w:val="0ABC5606"/>
    <w:rsid w:val="0B15276E"/>
    <w:rsid w:val="0B185CF6"/>
    <w:rsid w:val="0B30404E"/>
    <w:rsid w:val="0B48482D"/>
    <w:rsid w:val="0B4C6C14"/>
    <w:rsid w:val="0B631A88"/>
    <w:rsid w:val="0B683D45"/>
    <w:rsid w:val="0B7F3F11"/>
    <w:rsid w:val="0B884417"/>
    <w:rsid w:val="0BF6188C"/>
    <w:rsid w:val="0BF73C91"/>
    <w:rsid w:val="0C170175"/>
    <w:rsid w:val="0C353956"/>
    <w:rsid w:val="0C4A74E7"/>
    <w:rsid w:val="0C571A41"/>
    <w:rsid w:val="0C5C1171"/>
    <w:rsid w:val="0C5E1CBC"/>
    <w:rsid w:val="0C5E49E9"/>
    <w:rsid w:val="0C615B50"/>
    <w:rsid w:val="0C662B30"/>
    <w:rsid w:val="0C827929"/>
    <w:rsid w:val="0C8445DA"/>
    <w:rsid w:val="0C87121B"/>
    <w:rsid w:val="0C9E222B"/>
    <w:rsid w:val="0CC007F7"/>
    <w:rsid w:val="0CD8573D"/>
    <w:rsid w:val="0CFE707A"/>
    <w:rsid w:val="0D063BDA"/>
    <w:rsid w:val="0D08375F"/>
    <w:rsid w:val="0D184CFB"/>
    <w:rsid w:val="0D232EDB"/>
    <w:rsid w:val="0D4508F8"/>
    <w:rsid w:val="0D4A7419"/>
    <w:rsid w:val="0D580CD3"/>
    <w:rsid w:val="0D827401"/>
    <w:rsid w:val="0D84094E"/>
    <w:rsid w:val="0D8A00E9"/>
    <w:rsid w:val="0D8D589E"/>
    <w:rsid w:val="0D9A312C"/>
    <w:rsid w:val="0DA01C73"/>
    <w:rsid w:val="0DD63300"/>
    <w:rsid w:val="0DDA54E4"/>
    <w:rsid w:val="0DF50604"/>
    <w:rsid w:val="0DF702FE"/>
    <w:rsid w:val="0E060E51"/>
    <w:rsid w:val="0E5604B2"/>
    <w:rsid w:val="0E6D5D79"/>
    <w:rsid w:val="0E9D0089"/>
    <w:rsid w:val="0EB803EE"/>
    <w:rsid w:val="0EF94D4B"/>
    <w:rsid w:val="0F073156"/>
    <w:rsid w:val="0F4958DC"/>
    <w:rsid w:val="0F515DF7"/>
    <w:rsid w:val="0F596BA8"/>
    <w:rsid w:val="0F6248D2"/>
    <w:rsid w:val="0F693536"/>
    <w:rsid w:val="0F704352"/>
    <w:rsid w:val="0F7B0511"/>
    <w:rsid w:val="0F7B76D9"/>
    <w:rsid w:val="0F816ACD"/>
    <w:rsid w:val="0F87344A"/>
    <w:rsid w:val="0F9832DB"/>
    <w:rsid w:val="0FBF3FD2"/>
    <w:rsid w:val="0FBF7FF3"/>
    <w:rsid w:val="10001163"/>
    <w:rsid w:val="10646583"/>
    <w:rsid w:val="1072498F"/>
    <w:rsid w:val="107D43E9"/>
    <w:rsid w:val="107D4B15"/>
    <w:rsid w:val="108A3C80"/>
    <w:rsid w:val="10A049F6"/>
    <w:rsid w:val="10C26171"/>
    <w:rsid w:val="10F33360"/>
    <w:rsid w:val="10FC16EA"/>
    <w:rsid w:val="110F1D40"/>
    <w:rsid w:val="11266F33"/>
    <w:rsid w:val="117E6A3C"/>
    <w:rsid w:val="118963A1"/>
    <w:rsid w:val="11B147AE"/>
    <w:rsid w:val="11B76268"/>
    <w:rsid w:val="11C646FD"/>
    <w:rsid w:val="11C6522A"/>
    <w:rsid w:val="11E104CC"/>
    <w:rsid w:val="11E20309"/>
    <w:rsid w:val="12255233"/>
    <w:rsid w:val="12503FC7"/>
    <w:rsid w:val="12530213"/>
    <w:rsid w:val="125D4C68"/>
    <w:rsid w:val="127723A9"/>
    <w:rsid w:val="12862074"/>
    <w:rsid w:val="12883966"/>
    <w:rsid w:val="129E45B4"/>
    <w:rsid w:val="12CE33FD"/>
    <w:rsid w:val="12D81596"/>
    <w:rsid w:val="12DC3AAD"/>
    <w:rsid w:val="13072A44"/>
    <w:rsid w:val="135F4BE2"/>
    <w:rsid w:val="139B1A0A"/>
    <w:rsid w:val="139D25C7"/>
    <w:rsid w:val="13BF3CE4"/>
    <w:rsid w:val="13C24A51"/>
    <w:rsid w:val="13C81455"/>
    <w:rsid w:val="141008D8"/>
    <w:rsid w:val="14125FE6"/>
    <w:rsid w:val="14353475"/>
    <w:rsid w:val="146D271E"/>
    <w:rsid w:val="147C2CE6"/>
    <w:rsid w:val="14982588"/>
    <w:rsid w:val="149A5AD9"/>
    <w:rsid w:val="149A6173"/>
    <w:rsid w:val="14A7619D"/>
    <w:rsid w:val="14E82BDD"/>
    <w:rsid w:val="150536C3"/>
    <w:rsid w:val="150C1963"/>
    <w:rsid w:val="151447A0"/>
    <w:rsid w:val="153576D5"/>
    <w:rsid w:val="154A6454"/>
    <w:rsid w:val="15762120"/>
    <w:rsid w:val="15F20C1E"/>
    <w:rsid w:val="16132BDA"/>
    <w:rsid w:val="16A8729C"/>
    <w:rsid w:val="16B33777"/>
    <w:rsid w:val="16BC70A7"/>
    <w:rsid w:val="16C6339E"/>
    <w:rsid w:val="172F2D79"/>
    <w:rsid w:val="17557BEF"/>
    <w:rsid w:val="17D349C1"/>
    <w:rsid w:val="17D86F39"/>
    <w:rsid w:val="1830729E"/>
    <w:rsid w:val="183811AC"/>
    <w:rsid w:val="183D4FEE"/>
    <w:rsid w:val="183F0D66"/>
    <w:rsid w:val="185F0FC1"/>
    <w:rsid w:val="1870062C"/>
    <w:rsid w:val="18817102"/>
    <w:rsid w:val="18830A15"/>
    <w:rsid w:val="18852B28"/>
    <w:rsid w:val="188B5321"/>
    <w:rsid w:val="188C5EAB"/>
    <w:rsid w:val="18AD2173"/>
    <w:rsid w:val="18B1529D"/>
    <w:rsid w:val="194E0F99"/>
    <w:rsid w:val="195C774C"/>
    <w:rsid w:val="19932372"/>
    <w:rsid w:val="19A20DD5"/>
    <w:rsid w:val="19AB6C74"/>
    <w:rsid w:val="19AE03F1"/>
    <w:rsid w:val="19BC4967"/>
    <w:rsid w:val="1A071A03"/>
    <w:rsid w:val="1A1F16AE"/>
    <w:rsid w:val="1A3B5C77"/>
    <w:rsid w:val="1A407C9B"/>
    <w:rsid w:val="1A8213DE"/>
    <w:rsid w:val="1A984BAD"/>
    <w:rsid w:val="1AA7450E"/>
    <w:rsid w:val="1AB8220E"/>
    <w:rsid w:val="1ADF5392"/>
    <w:rsid w:val="1AE4166C"/>
    <w:rsid w:val="1AF06CFB"/>
    <w:rsid w:val="1AF11B8D"/>
    <w:rsid w:val="1B11359C"/>
    <w:rsid w:val="1B2A271F"/>
    <w:rsid w:val="1B530544"/>
    <w:rsid w:val="1B713184"/>
    <w:rsid w:val="1B7F6F38"/>
    <w:rsid w:val="1B894423"/>
    <w:rsid w:val="1BA209CF"/>
    <w:rsid w:val="1BB4777D"/>
    <w:rsid w:val="1BD75AB8"/>
    <w:rsid w:val="1C0459C2"/>
    <w:rsid w:val="1C0E2F29"/>
    <w:rsid w:val="1C13053F"/>
    <w:rsid w:val="1C1B3B4A"/>
    <w:rsid w:val="1C3D6766"/>
    <w:rsid w:val="1C6201FC"/>
    <w:rsid w:val="1C88086E"/>
    <w:rsid w:val="1C92024C"/>
    <w:rsid w:val="1CB25FAA"/>
    <w:rsid w:val="1CBA27B2"/>
    <w:rsid w:val="1CC31703"/>
    <w:rsid w:val="1CC96B83"/>
    <w:rsid w:val="1CDF7469"/>
    <w:rsid w:val="1D266CE1"/>
    <w:rsid w:val="1D3963AF"/>
    <w:rsid w:val="1D6A673C"/>
    <w:rsid w:val="1D9247AE"/>
    <w:rsid w:val="1D944134"/>
    <w:rsid w:val="1DB567EC"/>
    <w:rsid w:val="1DF51A98"/>
    <w:rsid w:val="1E193E07"/>
    <w:rsid w:val="1E3D060F"/>
    <w:rsid w:val="1E3F7D2E"/>
    <w:rsid w:val="1E4134E4"/>
    <w:rsid w:val="1E5062B3"/>
    <w:rsid w:val="1E523514"/>
    <w:rsid w:val="1E560BB7"/>
    <w:rsid w:val="1E714A66"/>
    <w:rsid w:val="1E802593"/>
    <w:rsid w:val="1E964DB6"/>
    <w:rsid w:val="1EA703CC"/>
    <w:rsid w:val="1EB7330C"/>
    <w:rsid w:val="1ED007AB"/>
    <w:rsid w:val="1F081756"/>
    <w:rsid w:val="1F0A0FF3"/>
    <w:rsid w:val="1F5771FF"/>
    <w:rsid w:val="1FC05C69"/>
    <w:rsid w:val="1FE868A9"/>
    <w:rsid w:val="20034907"/>
    <w:rsid w:val="200F3851"/>
    <w:rsid w:val="20173E4B"/>
    <w:rsid w:val="2027280B"/>
    <w:rsid w:val="203F3E64"/>
    <w:rsid w:val="204E48BC"/>
    <w:rsid w:val="208921B3"/>
    <w:rsid w:val="20973DEB"/>
    <w:rsid w:val="209C5078"/>
    <w:rsid w:val="20B26522"/>
    <w:rsid w:val="20B44310"/>
    <w:rsid w:val="211116EB"/>
    <w:rsid w:val="216133FC"/>
    <w:rsid w:val="21B93937"/>
    <w:rsid w:val="21D56769"/>
    <w:rsid w:val="21DF2ED8"/>
    <w:rsid w:val="21E14C3C"/>
    <w:rsid w:val="21E52EF3"/>
    <w:rsid w:val="21FB5D7B"/>
    <w:rsid w:val="220B1C3D"/>
    <w:rsid w:val="221D1D20"/>
    <w:rsid w:val="22334A87"/>
    <w:rsid w:val="224401B8"/>
    <w:rsid w:val="229949F1"/>
    <w:rsid w:val="22BE6801"/>
    <w:rsid w:val="233500BF"/>
    <w:rsid w:val="23377FF7"/>
    <w:rsid w:val="236A4208"/>
    <w:rsid w:val="236B425F"/>
    <w:rsid w:val="237572DD"/>
    <w:rsid w:val="23836192"/>
    <w:rsid w:val="23901F29"/>
    <w:rsid w:val="239962AA"/>
    <w:rsid w:val="239C0061"/>
    <w:rsid w:val="23B908A4"/>
    <w:rsid w:val="23E95BEF"/>
    <w:rsid w:val="23F8607F"/>
    <w:rsid w:val="23FA00FA"/>
    <w:rsid w:val="23FD0064"/>
    <w:rsid w:val="245375B0"/>
    <w:rsid w:val="24642C0A"/>
    <w:rsid w:val="24853FA4"/>
    <w:rsid w:val="249E7A14"/>
    <w:rsid w:val="24B22173"/>
    <w:rsid w:val="24B95AD9"/>
    <w:rsid w:val="24BE24DA"/>
    <w:rsid w:val="24CF5825"/>
    <w:rsid w:val="24D663E6"/>
    <w:rsid w:val="24D77F2B"/>
    <w:rsid w:val="24D804D4"/>
    <w:rsid w:val="258B00E2"/>
    <w:rsid w:val="25A917A6"/>
    <w:rsid w:val="25B3069D"/>
    <w:rsid w:val="25BE27CC"/>
    <w:rsid w:val="25F54D01"/>
    <w:rsid w:val="25F74A5C"/>
    <w:rsid w:val="2628662C"/>
    <w:rsid w:val="262D45DE"/>
    <w:rsid w:val="26891855"/>
    <w:rsid w:val="26A53EF9"/>
    <w:rsid w:val="26A94201"/>
    <w:rsid w:val="26AC274F"/>
    <w:rsid w:val="26C012C4"/>
    <w:rsid w:val="26C304D5"/>
    <w:rsid w:val="27044A29"/>
    <w:rsid w:val="271D34C8"/>
    <w:rsid w:val="273E043A"/>
    <w:rsid w:val="2758695C"/>
    <w:rsid w:val="27595274"/>
    <w:rsid w:val="276142BF"/>
    <w:rsid w:val="276854B7"/>
    <w:rsid w:val="27783712"/>
    <w:rsid w:val="27907362"/>
    <w:rsid w:val="27930616"/>
    <w:rsid w:val="27B24123"/>
    <w:rsid w:val="28044029"/>
    <w:rsid w:val="28333E1D"/>
    <w:rsid w:val="283F090E"/>
    <w:rsid w:val="28454BD6"/>
    <w:rsid w:val="28455253"/>
    <w:rsid w:val="28551971"/>
    <w:rsid w:val="285B1C53"/>
    <w:rsid w:val="2879797C"/>
    <w:rsid w:val="289F7086"/>
    <w:rsid w:val="28A8588B"/>
    <w:rsid w:val="28C32028"/>
    <w:rsid w:val="28CC490F"/>
    <w:rsid w:val="28DA0759"/>
    <w:rsid w:val="28DE40AA"/>
    <w:rsid w:val="29345E77"/>
    <w:rsid w:val="294C65AD"/>
    <w:rsid w:val="2963612E"/>
    <w:rsid w:val="29806583"/>
    <w:rsid w:val="298B3C4C"/>
    <w:rsid w:val="29B91B25"/>
    <w:rsid w:val="29D84B76"/>
    <w:rsid w:val="29F26D24"/>
    <w:rsid w:val="29F82F90"/>
    <w:rsid w:val="2A15033F"/>
    <w:rsid w:val="2A1662C1"/>
    <w:rsid w:val="2A1C7367"/>
    <w:rsid w:val="2A2258B2"/>
    <w:rsid w:val="2A2815FA"/>
    <w:rsid w:val="2A325A8B"/>
    <w:rsid w:val="2A524929"/>
    <w:rsid w:val="2A587A65"/>
    <w:rsid w:val="2A6D6092"/>
    <w:rsid w:val="2A7D76B4"/>
    <w:rsid w:val="2B1020EE"/>
    <w:rsid w:val="2B437463"/>
    <w:rsid w:val="2B5260DB"/>
    <w:rsid w:val="2B5B5A5F"/>
    <w:rsid w:val="2B606BD1"/>
    <w:rsid w:val="2B67536E"/>
    <w:rsid w:val="2B7807EE"/>
    <w:rsid w:val="2B7B2D90"/>
    <w:rsid w:val="2BA03472"/>
    <w:rsid w:val="2BBF00EC"/>
    <w:rsid w:val="2BC36A66"/>
    <w:rsid w:val="2BC37CFD"/>
    <w:rsid w:val="2BD5237F"/>
    <w:rsid w:val="2BE536CE"/>
    <w:rsid w:val="2BE758D9"/>
    <w:rsid w:val="2C09049E"/>
    <w:rsid w:val="2C0A4D8F"/>
    <w:rsid w:val="2C0A653C"/>
    <w:rsid w:val="2C191F85"/>
    <w:rsid w:val="2C587C1E"/>
    <w:rsid w:val="2C923DA9"/>
    <w:rsid w:val="2CE82D6F"/>
    <w:rsid w:val="2CEE71EF"/>
    <w:rsid w:val="2D343236"/>
    <w:rsid w:val="2DBD0A88"/>
    <w:rsid w:val="2DC93154"/>
    <w:rsid w:val="2DD15014"/>
    <w:rsid w:val="2DF72DE4"/>
    <w:rsid w:val="2E0220AF"/>
    <w:rsid w:val="2E4B082A"/>
    <w:rsid w:val="2E563BF7"/>
    <w:rsid w:val="2E5D4E86"/>
    <w:rsid w:val="2E5D790B"/>
    <w:rsid w:val="2E9279E9"/>
    <w:rsid w:val="2E9A3C18"/>
    <w:rsid w:val="2EBB0FEE"/>
    <w:rsid w:val="2EC63002"/>
    <w:rsid w:val="2EE30245"/>
    <w:rsid w:val="2F0A6B38"/>
    <w:rsid w:val="2F1750AC"/>
    <w:rsid w:val="2F787B90"/>
    <w:rsid w:val="2F946CCB"/>
    <w:rsid w:val="2FD25781"/>
    <w:rsid w:val="2FFD7934"/>
    <w:rsid w:val="305B1897"/>
    <w:rsid w:val="30733ACD"/>
    <w:rsid w:val="308C3862"/>
    <w:rsid w:val="309379D8"/>
    <w:rsid w:val="30A270F7"/>
    <w:rsid w:val="30B8125D"/>
    <w:rsid w:val="30BF439A"/>
    <w:rsid w:val="30CD2C66"/>
    <w:rsid w:val="30DF1478"/>
    <w:rsid w:val="30EC586F"/>
    <w:rsid w:val="31554CFE"/>
    <w:rsid w:val="319375DC"/>
    <w:rsid w:val="319C6071"/>
    <w:rsid w:val="31AC537E"/>
    <w:rsid w:val="31DC7DE2"/>
    <w:rsid w:val="31E3230A"/>
    <w:rsid w:val="31E3679B"/>
    <w:rsid w:val="31E732FD"/>
    <w:rsid w:val="32517576"/>
    <w:rsid w:val="32545E86"/>
    <w:rsid w:val="328D5B94"/>
    <w:rsid w:val="32BE5C2C"/>
    <w:rsid w:val="32FB6478"/>
    <w:rsid w:val="33263B3F"/>
    <w:rsid w:val="334E24B3"/>
    <w:rsid w:val="33590AD6"/>
    <w:rsid w:val="336963EB"/>
    <w:rsid w:val="33816EEB"/>
    <w:rsid w:val="33846123"/>
    <w:rsid w:val="33EB55CD"/>
    <w:rsid w:val="33EC4C02"/>
    <w:rsid w:val="340D2360"/>
    <w:rsid w:val="3410665D"/>
    <w:rsid w:val="34124E23"/>
    <w:rsid w:val="34211214"/>
    <w:rsid w:val="342E63AB"/>
    <w:rsid w:val="34950E68"/>
    <w:rsid w:val="34986E94"/>
    <w:rsid w:val="34AF62C9"/>
    <w:rsid w:val="34CB4388"/>
    <w:rsid w:val="34D64257"/>
    <w:rsid w:val="34FA6E12"/>
    <w:rsid w:val="351B7034"/>
    <w:rsid w:val="353428FA"/>
    <w:rsid w:val="356E638F"/>
    <w:rsid w:val="358D5588"/>
    <w:rsid w:val="359F3953"/>
    <w:rsid w:val="360D1549"/>
    <w:rsid w:val="360F7B72"/>
    <w:rsid w:val="36383C2B"/>
    <w:rsid w:val="363A3B40"/>
    <w:rsid w:val="364D069A"/>
    <w:rsid w:val="365302AE"/>
    <w:rsid w:val="36607A0A"/>
    <w:rsid w:val="366A4187"/>
    <w:rsid w:val="366E227C"/>
    <w:rsid w:val="366F2E0D"/>
    <w:rsid w:val="367B6A5C"/>
    <w:rsid w:val="367E6AA5"/>
    <w:rsid w:val="368F553E"/>
    <w:rsid w:val="36A74ADA"/>
    <w:rsid w:val="36AD60D5"/>
    <w:rsid w:val="36B224F9"/>
    <w:rsid w:val="36CD06D8"/>
    <w:rsid w:val="36E91AB8"/>
    <w:rsid w:val="36E94294"/>
    <w:rsid w:val="36EC0CC9"/>
    <w:rsid w:val="370C12F5"/>
    <w:rsid w:val="37153EE7"/>
    <w:rsid w:val="371D36CD"/>
    <w:rsid w:val="373F410B"/>
    <w:rsid w:val="37EE7094"/>
    <w:rsid w:val="38262F33"/>
    <w:rsid w:val="38296C89"/>
    <w:rsid w:val="383002EB"/>
    <w:rsid w:val="38586797"/>
    <w:rsid w:val="38BC0149"/>
    <w:rsid w:val="38D87D1C"/>
    <w:rsid w:val="38EA6674"/>
    <w:rsid w:val="39292CF8"/>
    <w:rsid w:val="39636459"/>
    <w:rsid w:val="396B7F6C"/>
    <w:rsid w:val="39B417A9"/>
    <w:rsid w:val="39B966BF"/>
    <w:rsid w:val="39FC5695"/>
    <w:rsid w:val="3A006D8E"/>
    <w:rsid w:val="3A3651E5"/>
    <w:rsid w:val="3A6F0BDF"/>
    <w:rsid w:val="3A744481"/>
    <w:rsid w:val="3A8C7BEF"/>
    <w:rsid w:val="3A906246"/>
    <w:rsid w:val="3AE90439"/>
    <w:rsid w:val="3B221D3B"/>
    <w:rsid w:val="3B2349B7"/>
    <w:rsid w:val="3B3A743F"/>
    <w:rsid w:val="3B616CFF"/>
    <w:rsid w:val="3B6259F6"/>
    <w:rsid w:val="3B660234"/>
    <w:rsid w:val="3B7017EA"/>
    <w:rsid w:val="3B976654"/>
    <w:rsid w:val="3BC01EFC"/>
    <w:rsid w:val="3BCA786A"/>
    <w:rsid w:val="3BD31E2F"/>
    <w:rsid w:val="3BD625E2"/>
    <w:rsid w:val="3BF15831"/>
    <w:rsid w:val="3BF36F22"/>
    <w:rsid w:val="3C105946"/>
    <w:rsid w:val="3C471448"/>
    <w:rsid w:val="3C5067EE"/>
    <w:rsid w:val="3C5F759A"/>
    <w:rsid w:val="3C6C525A"/>
    <w:rsid w:val="3C9963E7"/>
    <w:rsid w:val="3CC571DC"/>
    <w:rsid w:val="3CCE23CB"/>
    <w:rsid w:val="3CD17D17"/>
    <w:rsid w:val="3CD411CD"/>
    <w:rsid w:val="3CE56CCD"/>
    <w:rsid w:val="3D092ABE"/>
    <w:rsid w:val="3D3C7F39"/>
    <w:rsid w:val="3D440F09"/>
    <w:rsid w:val="3D4504A0"/>
    <w:rsid w:val="3D600CB3"/>
    <w:rsid w:val="3D662991"/>
    <w:rsid w:val="3D8734BB"/>
    <w:rsid w:val="3D9A11D4"/>
    <w:rsid w:val="3DA16D89"/>
    <w:rsid w:val="3DA364BE"/>
    <w:rsid w:val="3DE041CB"/>
    <w:rsid w:val="3E0D48F6"/>
    <w:rsid w:val="3E1868B4"/>
    <w:rsid w:val="3E377251"/>
    <w:rsid w:val="3E42664B"/>
    <w:rsid w:val="3E5A7334"/>
    <w:rsid w:val="3E6F7297"/>
    <w:rsid w:val="3E7B5D6B"/>
    <w:rsid w:val="3E843E66"/>
    <w:rsid w:val="3E8F51FE"/>
    <w:rsid w:val="3E926F87"/>
    <w:rsid w:val="3E9A59DE"/>
    <w:rsid w:val="3EAF4836"/>
    <w:rsid w:val="3EC33DFA"/>
    <w:rsid w:val="3EFB5137"/>
    <w:rsid w:val="3F060E16"/>
    <w:rsid w:val="3F1D1096"/>
    <w:rsid w:val="3F2F0234"/>
    <w:rsid w:val="3F401855"/>
    <w:rsid w:val="3F6363FE"/>
    <w:rsid w:val="3F756B8F"/>
    <w:rsid w:val="3F81250C"/>
    <w:rsid w:val="3F854A01"/>
    <w:rsid w:val="3F95482B"/>
    <w:rsid w:val="3FB3156E"/>
    <w:rsid w:val="4019356B"/>
    <w:rsid w:val="40592157"/>
    <w:rsid w:val="406E1CAE"/>
    <w:rsid w:val="40A0133A"/>
    <w:rsid w:val="40C31A53"/>
    <w:rsid w:val="40FF545D"/>
    <w:rsid w:val="410067C8"/>
    <w:rsid w:val="4135050E"/>
    <w:rsid w:val="41806702"/>
    <w:rsid w:val="418F0D2A"/>
    <w:rsid w:val="418F5C15"/>
    <w:rsid w:val="41D01505"/>
    <w:rsid w:val="41FF4F3E"/>
    <w:rsid w:val="42474939"/>
    <w:rsid w:val="424C3C57"/>
    <w:rsid w:val="42613FF3"/>
    <w:rsid w:val="42660D96"/>
    <w:rsid w:val="42857F51"/>
    <w:rsid w:val="428667D2"/>
    <w:rsid w:val="42A917D6"/>
    <w:rsid w:val="42C102E6"/>
    <w:rsid w:val="42CD1CE0"/>
    <w:rsid w:val="42E1381E"/>
    <w:rsid w:val="42ED6459"/>
    <w:rsid w:val="42FE58DD"/>
    <w:rsid w:val="43174B3D"/>
    <w:rsid w:val="43415CBD"/>
    <w:rsid w:val="434B790E"/>
    <w:rsid w:val="4360274F"/>
    <w:rsid w:val="4369300C"/>
    <w:rsid w:val="437A2EFB"/>
    <w:rsid w:val="43977AB6"/>
    <w:rsid w:val="439C056B"/>
    <w:rsid w:val="43A3342B"/>
    <w:rsid w:val="43C77C27"/>
    <w:rsid w:val="43DE09EE"/>
    <w:rsid w:val="44002FAD"/>
    <w:rsid w:val="4488419C"/>
    <w:rsid w:val="449101DD"/>
    <w:rsid w:val="44DE1391"/>
    <w:rsid w:val="451B225C"/>
    <w:rsid w:val="452410C9"/>
    <w:rsid w:val="45317DFB"/>
    <w:rsid w:val="456D3CE4"/>
    <w:rsid w:val="4579042C"/>
    <w:rsid w:val="457F0571"/>
    <w:rsid w:val="457F108D"/>
    <w:rsid w:val="458043A8"/>
    <w:rsid w:val="45851176"/>
    <w:rsid w:val="45C63B94"/>
    <w:rsid w:val="45E87A96"/>
    <w:rsid w:val="46004DE1"/>
    <w:rsid w:val="460A1F68"/>
    <w:rsid w:val="460E7DA5"/>
    <w:rsid w:val="46402DFD"/>
    <w:rsid w:val="46422483"/>
    <w:rsid w:val="4659254A"/>
    <w:rsid w:val="465B0637"/>
    <w:rsid w:val="465E3F0D"/>
    <w:rsid w:val="466A16E6"/>
    <w:rsid w:val="46893F2B"/>
    <w:rsid w:val="46B14790"/>
    <w:rsid w:val="46B575C9"/>
    <w:rsid w:val="46C4686E"/>
    <w:rsid w:val="471F398D"/>
    <w:rsid w:val="47282841"/>
    <w:rsid w:val="47785793"/>
    <w:rsid w:val="477B778F"/>
    <w:rsid w:val="478203EC"/>
    <w:rsid w:val="47A13F1B"/>
    <w:rsid w:val="47A73327"/>
    <w:rsid w:val="47B025FA"/>
    <w:rsid w:val="4809698F"/>
    <w:rsid w:val="4811697D"/>
    <w:rsid w:val="484C4889"/>
    <w:rsid w:val="487A3E25"/>
    <w:rsid w:val="488B5503"/>
    <w:rsid w:val="48937E21"/>
    <w:rsid w:val="489A0361"/>
    <w:rsid w:val="48B94FF3"/>
    <w:rsid w:val="48E37AAB"/>
    <w:rsid w:val="48FD4B4C"/>
    <w:rsid w:val="4908230F"/>
    <w:rsid w:val="490A68E0"/>
    <w:rsid w:val="491055FE"/>
    <w:rsid w:val="495F5B3E"/>
    <w:rsid w:val="496F77D7"/>
    <w:rsid w:val="497654FD"/>
    <w:rsid w:val="49B64211"/>
    <w:rsid w:val="49CF3474"/>
    <w:rsid w:val="49F6167F"/>
    <w:rsid w:val="4A064FA0"/>
    <w:rsid w:val="4A16615C"/>
    <w:rsid w:val="4A1A388C"/>
    <w:rsid w:val="4A4424D7"/>
    <w:rsid w:val="4AB82D0F"/>
    <w:rsid w:val="4AC62A9D"/>
    <w:rsid w:val="4AEB7664"/>
    <w:rsid w:val="4AFD7C19"/>
    <w:rsid w:val="4B0567D1"/>
    <w:rsid w:val="4B0A368B"/>
    <w:rsid w:val="4B236AAE"/>
    <w:rsid w:val="4B2E4C36"/>
    <w:rsid w:val="4B707271"/>
    <w:rsid w:val="4B9739F7"/>
    <w:rsid w:val="4BEE2503"/>
    <w:rsid w:val="4C245A30"/>
    <w:rsid w:val="4C364B08"/>
    <w:rsid w:val="4CB4635D"/>
    <w:rsid w:val="4CB6685F"/>
    <w:rsid w:val="4CC367FE"/>
    <w:rsid w:val="4CC72A3A"/>
    <w:rsid w:val="4D077F3C"/>
    <w:rsid w:val="4D123355"/>
    <w:rsid w:val="4D2A3B31"/>
    <w:rsid w:val="4D312C52"/>
    <w:rsid w:val="4D7F5185"/>
    <w:rsid w:val="4D905305"/>
    <w:rsid w:val="4D964A72"/>
    <w:rsid w:val="4D9C1254"/>
    <w:rsid w:val="4E351802"/>
    <w:rsid w:val="4E395334"/>
    <w:rsid w:val="4E793892"/>
    <w:rsid w:val="4E800872"/>
    <w:rsid w:val="4EC569ED"/>
    <w:rsid w:val="4ED50EA1"/>
    <w:rsid w:val="4EEC050C"/>
    <w:rsid w:val="4F104EC3"/>
    <w:rsid w:val="4F47354A"/>
    <w:rsid w:val="4F701B08"/>
    <w:rsid w:val="4F74239C"/>
    <w:rsid w:val="4F911C54"/>
    <w:rsid w:val="4F9F6A34"/>
    <w:rsid w:val="4FE625E0"/>
    <w:rsid w:val="5021480F"/>
    <w:rsid w:val="502A36BD"/>
    <w:rsid w:val="507E7976"/>
    <w:rsid w:val="50962ECB"/>
    <w:rsid w:val="50A42E38"/>
    <w:rsid w:val="50A4577F"/>
    <w:rsid w:val="50B53FBE"/>
    <w:rsid w:val="50B73D1F"/>
    <w:rsid w:val="50BD5BC9"/>
    <w:rsid w:val="50C11EEE"/>
    <w:rsid w:val="50CE1332"/>
    <w:rsid w:val="50E40117"/>
    <w:rsid w:val="50E97CFC"/>
    <w:rsid w:val="50FA4028"/>
    <w:rsid w:val="5105097F"/>
    <w:rsid w:val="510D65B7"/>
    <w:rsid w:val="511157AB"/>
    <w:rsid w:val="5142540C"/>
    <w:rsid w:val="51497F84"/>
    <w:rsid w:val="518832C8"/>
    <w:rsid w:val="51A0432A"/>
    <w:rsid w:val="51A86090"/>
    <w:rsid w:val="51B7396D"/>
    <w:rsid w:val="51BA11A2"/>
    <w:rsid w:val="51DB38BF"/>
    <w:rsid w:val="522E4CC3"/>
    <w:rsid w:val="5244713B"/>
    <w:rsid w:val="525A7F6F"/>
    <w:rsid w:val="52615633"/>
    <w:rsid w:val="52977FD4"/>
    <w:rsid w:val="52A25790"/>
    <w:rsid w:val="52A96B6F"/>
    <w:rsid w:val="52B45975"/>
    <w:rsid w:val="52C378C2"/>
    <w:rsid w:val="52D94AA4"/>
    <w:rsid w:val="52EA3A62"/>
    <w:rsid w:val="52F50BB8"/>
    <w:rsid w:val="5302663C"/>
    <w:rsid w:val="53097272"/>
    <w:rsid w:val="53544462"/>
    <w:rsid w:val="5397158E"/>
    <w:rsid w:val="54013861"/>
    <w:rsid w:val="54487265"/>
    <w:rsid w:val="544D6070"/>
    <w:rsid w:val="54605E1E"/>
    <w:rsid w:val="54656D67"/>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468CA"/>
    <w:rsid w:val="563E1B99"/>
    <w:rsid w:val="564502F7"/>
    <w:rsid w:val="566B6D1E"/>
    <w:rsid w:val="566F1F48"/>
    <w:rsid w:val="56F42740"/>
    <w:rsid w:val="57032A2C"/>
    <w:rsid w:val="570F5219"/>
    <w:rsid w:val="57527466"/>
    <w:rsid w:val="575D12B5"/>
    <w:rsid w:val="57610A87"/>
    <w:rsid w:val="577B1140"/>
    <w:rsid w:val="577B7F21"/>
    <w:rsid w:val="577F181B"/>
    <w:rsid w:val="57921984"/>
    <w:rsid w:val="579737F0"/>
    <w:rsid w:val="57AB7B30"/>
    <w:rsid w:val="57AF5251"/>
    <w:rsid w:val="57B26373"/>
    <w:rsid w:val="57B63F04"/>
    <w:rsid w:val="57CB64E6"/>
    <w:rsid w:val="57CD20C2"/>
    <w:rsid w:val="57D675AB"/>
    <w:rsid w:val="57D95FDD"/>
    <w:rsid w:val="581C3DE8"/>
    <w:rsid w:val="588A050B"/>
    <w:rsid w:val="58917D2F"/>
    <w:rsid w:val="5894085C"/>
    <w:rsid w:val="58A957AC"/>
    <w:rsid w:val="58AE4F0C"/>
    <w:rsid w:val="58B85899"/>
    <w:rsid w:val="58B9727E"/>
    <w:rsid w:val="58C61EBA"/>
    <w:rsid w:val="58D173B3"/>
    <w:rsid w:val="58E363A9"/>
    <w:rsid w:val="591C5F7E"/>
    <w:rsid w:val="595E1678"/>
    <w:rsid w:val="596D5BD4"/>
    <w:rsid w:val="597E3DD8"/>
    <w:rsid w:val="59A04E1D"/>
    <w:rsid w:val="59EE6F2C"/>
    <w:rsid w:val="59F80043"/>
    <w:rsid w:val="5A0621E6"/>
    <w:rsid w:val="5A09252F"/>
    <w:rsid w:val="5A0B2778"/>
    <w:rsid w:val="5A2A7C7B"/>
    <w:rsid w:val="5A3E2560"/>
    <w:rsid w:val="5A5D3B6E"/>
    <w:rsid w:val="5A637A76"/>
    <w:rsid w:val="5A6D33BA"/>
    <w:rsid w:val="5A792B1F"/>
    <w:rsid w:val="5A874767"/>
    <w:rsid w:val="5AAD6F28"/>
    <w:rsid w:val="5AD63A24"/>
    <w:rsid w:val="5AF92C36"/>
    <w:rsid w:val="5B2E1A1D"/>
    <w:rsid w:val="5B843A1C"/>
    <w:rsid w:val="5B873E3F"/>
    <w:rsid w:val="5C02690E"/>
    <w:rsid w:val="5C196DA7"/>
    <w:rsid w:val="5C205C9B"/>
    <w:rsid w:val="5C2A048C"/>
    <w:rsid w:val="5C367984"/>
    <w:rsid w:val="5C3D2493"/>
    <w:rsid w:val="5C80234E"/>
    <w:rsid w:val="5C8A680C"/>
    <w:rsid w:val="5C8F0D4E"/>
    <w:rsid w:val="5CC337CD"/>
    <w:rsid w:val="5D0C4701"/>
    <w:rsid w:val="5D0F0395"/>
    <w:rsid w:val="5D221076"/>
    <w:rsid w:val="5D397964"/>
    <w:rsid w:val="5D5A391C"/>
    <w:rsid w:val="5D5F10C0"/>
    <w:rsid w:val="5D891B7B"/>
    <w:rsid w:val="5DAD38EE"/>
    <w:rsid w:val="5E006862"/>
    <w:rsid w:val="5E0207B9"/>
    <w:rsid w:val="5E1834A1"/>
    <w:rsid w:val="5E1B2CA8"/>
    <w:rsid w:val="5E261785"/>
    <w:rsid w:val="5E2C5875"/>
    <w:rsid w:val="5E335564"/>
    <w:rsid w:val="5E3A1D34"/>
    <w:rsid w:val="5E4A7017"/>
    <w:rsid w:val="5E552BBA"/>
    <w:rsid w:val="5E611C10"/>
    <w:rsid w:val="5E7924E3"/>
    <w:rsid w:val="5EFC7377"/>
    <w:rsid w:val="5F06174D"/>
    <w:rsid w:val="5F205F8A"/>
    <w:rsid w:val="5F2C38F8"/>
    <w:rsid w:val="5F3A3602"/>
    <w:rsid w:val="5F6277C6"/>
    <w:rsid w:val="5F6D0B1D"/>
    <w:rsid w:val="5F816A14"/>
    <w:rsid w:val="5F8D0B82"/>
    <w:rsid w:val="5FA6729D"/>
    <w:rsid w:val="5FCC5339"/>
    <w:rsid w:val="5FD70E51"/>
    <w:rsid w:val="5FE34A5B"/>
    <w:rsid w:val="5FE4307B"/>
    <w:rsid w:val="5FFE1E36"/>
    <w:rsid w:val="600E3E9F"/>
    <w:rsid w:val="60232584"/>
    <w:rsid w:val="604D4D4A"/>
    <w:rsid w:val="607330CE"/>
    <w:rsid w:val="60825176"/>
    <w:rsid w:val="609F2AC4"/>
    <w:rsid w:val="60D32E64"/>
    <w:rsid w:val="60DC5CFB"/>
    <w:rsid w:val="60FA2EE8"/>
    <w:rsid w:val="61054A27"/>
    <w:rsid w:val="610A52BC"/>
    <w:rsid w:val="611D2366"/>
    <w:rsid w:val="61421856"/>
    <w:rsid w:val="615227C4"/>
    <w:rsid w:val="615A3AE7"/>
    <w:rsid w:val="61654E3F"/>
    <w:rsid w:val="61767EFC"/>
    <w:rsid w:val="6182292A"/>
    <w:rsid w:val="619F7F92"/>
    <w:rsid w:val="61A30182"/>
    <w:rsid w:val="61A83401"/>
    <w:rsid w:val="61DC44FC"/>
    <w:rsid w:val="61F94C26"/>
    <w:rsid w:val="62000E56"/>
    <w:rsid w:val="624F3E49"/>
    <w:rsid w:val="62632286"/>
    <w:rsid w:val="626544F2"/>
    <w:rsid w:val="627E3805"/>
    <w:rsid w:val="62885958"/>
    <w:rsid w:val="62CA79B8"/>
    <w:rsid w:val="62F40B65"/>
    <w:rsid w:val="62FC2CFE"/>
    <w:rsid w:val="63024505"/>
    <w:rsid w:val="635B1DB5"/>
    <w:rsid w:val="63711FED"/>
    <w:rsid w:val="63846BFA"/>
    <w:rsid w:val="63880DDC"/>
    <w:rsid w:val="638D750D"/>
    <w:rsid w:val="63974B7F"/>
    <w:rsid w:val="63AC6CC0"/>
    <w:rsid w:val="63EC71C5"/>
    <w:rsid w:val="63F303BE"/>
    <w:rsid w:val="64055776"/>
    <w:rsid w:val="64240056"/>
    <w:rsid w:val="643B782A"/>
    <w:rsid w:val="643E143A"/>
    <w:rsid w:val="648B6EEF"/>
    <w:rsid w:val="64A77044"/>
    <w:rsid w:val="64C158BF"/>
    <w:rsid w:val="64CE2EAA"/>
    <w:rsid w:val="64F25582"/>
    <w:rsid w:val="650054DB"/>
    <w:rsid w:val="65385EEE"/>
    <w:rsid w:val="653C3090"/>
    <w:rsid w:val="65457BCE"/>
    <w:rsid w:val="65854376"/>
    <w:rsid w:val="658767BE"/>
    <w:rsid w:val="65892531"/>
    <w:rsid w:val="66195831"/>
    <w:rsid w:val="662A4220"/>
    <w:rsid w:val="662E75B1"/>
    <w:rsid w:val="66342C2E"/>
    <w:rsid w:val="663568D1"/>
    <w:rsid w:val="663E784C"/>
    <w:rsid w:val="668B6A45"/>
    <w:rsid w:val="669929BC"/>
    <w:rsid w:val="66CD36E6"/>
    <w:rsid w:val="67136C12"/>
    <w:rsid w:val="672F3F24"/>
    <w:rsid w:val="673E055F"/>
    <w:rsid w:val="67551CE3"/>
    <w:rsid w:val="67A22552"/>
    <w:rsid w:val="67B22DCC"/>
    <w:rsid w:val="67BE71AA"/>
    <w:rsid w:val="67D90273"/>
    <w:rsid w:val="67DE5875"/>
    <w:rsid w:val="67E55852"/>
    <w:rsid w:val="67EB1AB4"/>
    <w:rsid w:val="67FA1285"/>
    <w:rsid w:val="680B4BB0"/>
    <w:rsid w:val="681B0060"/>
    <w:rsid w:val="683D1B58"/>
    <w:rsid w:val="68551F4F"/>
    <w:rsid w:val="68613E1C"/>
    <w:rsid w:val="68774B26"/>
    <w:rsid w:val="687C10C9"/>
    <w:rsid w:val="68840C16"/>
    <w:rsid w:val="68876EFB"/>
    <w:rsid w:val="68884654"/>
    <w:rsid w:val="689F444F"/>
    <w:rsid w:val="68B96DBB"/>
    <w:rsid w:val="68BB5E0A"/>
    <w:rsid w:val="68CA2805"/>
    <w:rsid w:val="68E937A3"/>
    <w:rsid w:val="69111FC0"/>
    <w:rsid w:val="693E15D3"/>
    <w:rsid w:val="69561038"/>
    <w:rsid w:val="69627681"/>
    <w:rsid w:val="6977531D"/>
    <w:rsid w:val="69A300BA"/>
    <w:rsid w:val="69CC2BFF"/>
    <w:rsid w:val="69FD55B8"/>
    <w:rsid w:val="6A0B1C62"/>
    <w:rsid w:val="6A2406C8"/>
    <w:rsid w:val="6A37493D"/>
    <w:rsid w:val="6A5A184D"/>
    <w:rsid w:val="6A667CB9"/>
    <w:rsid w:val="6A8120E5"/>
    <w:rsid w:val="6A82511C"/>
    <w:rsid w:val="6ADE0BD1"/>
    <w:rsid w:val="6AE96859"/>
    <w:rsid w:val="6B147746"/>
    <w:rsid w:val="6B24787C"/>
    <w:rsid w:val="6B364C7D"/>
    <w:rsid w:val="6B573233"/>
    <w:rsid w:val="6B574999"/>
    <w:rsid w:val="6B5B6274"/>
    <w:rsid w:val="6B6A1F85"/>
    <w:rsid w:val="6B935D53"/>
    <w:rsid w:val="6B9A16B0"/>
    <w:rsid w:val="6BFF7E7B"/>
    <w:rsid w:val="6C097901"/>
    <w:rsid w:val="6C196F71"/>
    <w:rsid w:val="6C226FCB"/>
    <w:rsid w:val="6C31226F"/>
    <w:rsid w:val="6C552F0B"/>
    <w:rsid w:val="6C5A07E8"/>
    <w:rsid w:val="6C8C67B7"/>
    <w:rsid w:val="6C9D744C"/>
    <w:rsid w:val="6C9F0987"/>
    <w:rsid w:val="6CF3094C"/>
    <w:rsid w:val="6D167928"/>
    <w:rsid w:val="6D26299B"/>
    <w:rsid w:val="6D4772EC"/>
    <w:rsid w:val="6D8819DC"/>
    <w:rsid w:val="6D8D7153"/>
    <w:rsid w:val="6D9078AF"/>
    <w:rsid w:val="6DAA3FEF"/>
    <w:rsid w:val="6DC0172B"/>
    <w:rsid w:val="6DCB690C"/>
    <w:rsid w:val="6DD41A5B"/>
    <w:rsid w:val="6DF43C2E"/>
    <w:rsid w:val="6DF51CA3"/>
    <w:rsid w:val="6E4A39F8"/>
    <w:rsid w:val="6E5A6DD8"/>
    <w:rsid w:val="6E8335BD"/>
    <w:rsid w:val="6E8E12EF"/>
    <w:rsid w:val="6E972936"/>
    <w:rsid w:val="6ED446C5"/>
    <w:rsid w:val="6F2A2D4B"/>
    <w:rsid w:val="6F2A7D94"/>
    <w:rsid w:val="6F8331F1"/>
    <w:rsid w:val="6F9A118C"/>
    <w:rsid w:val="6FAE1A09"/>
    <w:rsid w:val="6FCC5197"/>
    <w:rsid w:val="6FD75BF8"/>
    <w:rsid w:val="706B28D9"/>
    <w:rsid w:val="707723D0"/>
    <w:rsid w:val="709F6AD5"/>
    <w:rsid w:val="70CC4DD8"/>
    <w:rsid w:val="70D06A63"/>
    <w:rsid w:val="70F5661B"/>
    <w:rsid w:val="71233EF6"/>
    <w:rsid w:val="71360107"/>
    <w:rsid w:val="713B688E"/>
    <w:rsid w:val="71867A4F"/>
    <w:rsid w:val="71B5658F"/>
    <w:rsid w:val="71D43752"/>
    <w:rsid w:val="71F1796A"/>
    <w:rsid w:val="72154626"/>
    <w:rsid w:val="72262B5D"/>
    <w:rsid w:val="72283FF7"/>
    <w:rsid w:val="722D0A37"/>
    <w:rsid w:val="722E7212"/>
    <w:rsid w:val="723A0474"/>
    <w:rsid w:val="724C67D0"/>
    <w:rsid w:val="725923E4"/>
    <w:rsid w:val="72864BF7"/>
    <w:rsid w:val="729023FC"/>
    <w:rsid w:val="735C36EF"/>
    <w:rsid w:val="73C0646E"/>
    <w:rsid w:val="742222F5"/>
    <w:rsid w:val="74476126"/>
    <w:rsid w:val="74511C71"/>
    <w:rsid w:val="74706664"/>
    <w:rsid w:val="747F3682"/>
    <w:rsid w:val="74956EB9"/>
    <w:rsid w:val="749C4185"/>
    <w:rsid w:val="74A215D5"/>
    <w:rsid w:val="74AB3134"/>
    <w:rsid w:val="74B15375"/>
    <w:rsid w:val="74D676F2"/>
    <w:rsid w:val="75067759"/>
    <w:rsid w:val="752E6DCD"/>
    <w:rsid w:val="7551380D"/>
    <w:rsid w:val="75600BE5"/>
    <w:rsid w:val="7564475C"/>
    <w:rsid w:val="7583797F"/>
    <w:rsid w:val="75A86778"/>
    <w:rsid w:val="75D20F1D"/>
    <w:rsid w:val="75DA2C18"/>
    <w:rsid w:val="75F54412"/>
    <w:rsid w:val="761D08E0"/>
    <w:rsid w:val="765D347C"/>
    <w:rsid w:val="766B05BB"/>
    <w:rsid w:val="76826699"/>
    <w:rsid w:val="76C87133"/>
    <w:rsid w:val="76CD08D5"/>
    <w:rsid w:val="76DB4B92"/>
    <w:rsid w:val="77052AA4"/>
    <w:rsid w:val="77136511"/>
    <w:rsid w:val="77340A39"/>
    <w:rsid w:val="77351FD0"/>
    <w:rsid w:val="7747223C"/>
    <w:rsid w:val="77472422"/>
    <w:rsid w:val="777F31F2"/>
    <w:rsid w:val="77D1700D"/>
    <w:rsid w:val="77E45A61"/>
    <w:rsid w:val="77EC04CC"/>
    <w:rsid w:val="78014865"/>
    <w:rsid w:val="786460E7"/>
    <w:rsid w:val="78775729"/>
    <w:rsid w:val="78A42DB0"/>
    <w:rsid w:val="78A656AB"/>
    <w:rsid w:val="78B2245C"/>
    <w:rsid w:val="78E172CC"/>
    <w:rsid w:val="78EA1D1F"/>
    <w:rsid w:val="78F148D9"/>
    <w:rsid w:val="7904172F"/>
    <w:rsid w:val="790F7E27"/>
    <w:rsid w:val="792A231A"/>
    <w:rsid w:val="79316829"/>
    <w:rsid w:val="7967694A"/>
    <w:rsid w:val="797E66A9"/>
    <w:rsid w:val="79A97383"/>
    <w:rsid w:val="79D41D23"/>
    <w:rsid w:val="79E27E8B"/>
    <w:rsid w:val="79F850CE"/>
    <w:rsid w:val="79FD443C"/>
    <w:rsid w:val="7A1D1975"/>
    <w:rsid w:val="7A252A8D"/>
    <w:rsid w:val="7A3E5150"/>
    <w:rsid w:val="7A41472A"/>
    <w:rsid w:val="7A4670D6"/>
    <w:rsid w:val="7A534B63"/>
    <w:rsid w:val="7A615382"/>
    <w:rsid w:val="7A635363"/>
    <w:rsid w:val="7A67303B"/>
    <w:rsid w:val="7A6F3A87"/>
    <w:rsid w:val="7A850E5E"/>
    <w:rsid w:val="7AAB1D04"/>
    <w:rsid w:val="7AAF67FA"/>
    <w:rsid w:val="7ABA4368"/>
    <w:rsid w:val="7AD05746"/>
    <w:rsid w:val="7B220D7A"/>
    <w:rsid w:val="7B257FFD"/>
    <w:rsid w:val="7B343476"/>
    <w:rsid w:val="7B5A2978"/>
    <w:rsid w:val="7B5A7E4C"/>
    <w:rsid w:val="7B667AF9"/>
    <w:rsid w:val="7B7468F8"/>
    <w:rsid w:val="7BDF4DAF"/>
    <w:rsid w:val="7BEE0103"/>
    <w:rsid w:val="7C0A0FE4"/>
    <w:rsid w:val="7C254906"/>
    <w:rsid w:val="7C590818"/>
    <w:rsid w:val="7C7272B1"/>
    <w:rsid w:val="7C7C10F6"/>
    <w:rsid w:val="7C853BEA"/>
    <w:rsid w:val="7C881368"/>
    <w:rsid w:val="7CD40756"/>
    <w:rsid w:val="7CE27788"/>
    <w:rsid w:val="7D0C32F1"/>
    <w:rsid w:val="7D0F3580"/>
    <w:rsid w:val="7D0F408D"/>
    <w:rsid w:val="7D491C6C"/>
    <w:rsid w:val="7D5429C0"/>
    <w:rsid w:val="7D6E6D43"/>
    <w:rsid w:val="7DB57A34"/>
    <w:rsid w:val="7DE60973"/>
    <w:rsid w:val="7DEF0916"/>
    <w:rsid w:val="7DFB432E"/>
    <w:rsid w:val="7E1E5218"/>
    <w:rsid w:val="7E4C02D3"/>
    <w:rsid w:val="7E6E42D6"/>
    <w:rsid w:val="7E9A4E1F"/>
    <w:rsid w:val="7EA7723A"/>
    <w:rsid w:val="7ED22AB7"/>
    <w:rsid w:val="7EE60311"/>
    <w:rsid w:val="7EF56FBB"/>
    <w:rsid w:val="7EFF551E"/>
    <w:rsid w:val="7F0768EB"/>
    <w:rsid w:val="7F143BEC"/>
    <w:rsid w:val="7F1E5CFC"/>
    <w:rsid w:val="7F22175F"/>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autoRedefine/>
    <w:qFormat/>
    <w:uiPriority w:val="0"/>
    <w:rPr>
      <w:rFonts w:ascii="宋体" w:hAnsi="宋体" w:eastAsia="仿宋" w:cs="Arial"/>
      <w:snapToGrid w:val="0"/>
      <w:sz w:val="24"/>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9"/>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6"/>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next w:val="1"/>
    <w:link w:val="318"/>
    <w:autoRedefine/>
    <w:qFormat/>
    <w:uiPriority w:val="0"/>
    <w:pPr>
      <w:ind w:firstLine="420"/>
    </w:pPr>
    <w:rPr>
      <w:rFonts w:hAnsi="Calibri" w:cs="Times New Roman"/>
      <w:snapToGrid/>
      <w:szCs w:val="20"/>
    </w:rPr>
  </w:style>
  <w:style w:type="paragraph" w:styleId="61">
    <w:name w:val="Body Text First Indent 2"/>
    <w:basedOn w:val="24"/>
    <w:link w:val="119"/>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标题 2 Char"/>
    <w:autoRedefine/>
    <w:qFormat/>
    <w:uiPriority w:val="0"/>
    <w:rPr>
      <w:rFonts w:ascii="Arial" w:hAnsi="Arial" w:eastAsia="黑体"/>
      <w:b/>
      <w:kern w:val="2"/>
      <w:sz w:val="32"/>
      <w:lang w:val="en-US" w:eastAsia="zh-CN"/>
    </w:rPr>
  </w:style>
  <w:style w:type="character" w:customStyle="1" w:styleId="80">
    <w:name w:val="标题 3 字符"/>
    <w:autoRedefine/>
    <w:qFormat/>
    <w:uiPriority w:val="9"/>
    <w:rPr>
      <w:b/>
      <w:bCs/>
      <w:kern w:val="2"/>
      <w:sz w:val="32"/>
      <w:szCs w:val="32"/>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1"/>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Char"/>
    <w:link w:val="32"/>
    <w:autoRedefine/>
    <w:qFormat/>
    <w:uiPriority w:val="0"/>
    <w:rPr>
      <w:rFonts w:ascii="宋体" w:hAnsi="宋体" w:eastAsia="仿宋" w:cs="Arial"/>
      <w:snapToGrid w:val="0"/>
      <w:kern w:val="2"/>
      <w:sz w:val="24"/>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6"/>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7"/>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2"/>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5"/>
    <w:autoRedefine/>
    <w:qFormat/>
    <w:uiPriority w:val="0"/>
    <w:rPr>
      <w:rFonts w:ascii="宋体"/>
      <w:kern w:val="2"/>
      <w:sz w:val="24"/>
      <w:szCs w:val="21"/>
      <w:lang w:val="zh-CN"/>
    </w:rPr>
  </w:style>
  <w:style w:type="character" w:customStyle="1" w:styleId="180">
    <w:name w:val="标题 9 Char"/>
    <w:link w:val="10"/>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8"/>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7"/>
    <w:autoRedefine/>
    <w:qFormat/>
    <w:uiPriority w:val="0"/>
    <w:rPr>
      <w:rFonts w:ascii="仿宋_GB2312" w:hAnsi="仿宋" w:eastAsia="仿宋_GB2312" w:cs="仿宋_GB2312"/>
      <w:sz w:val="32"/>
      <w:szCs w:val="30"/>
      <w:lang w:val="zh-CN"/>
    </w:rPr>
  </w:style>
  <w:style w:type="character" w:customStyle="1" w:styleId="216">
    <w:name w:val="HTML 地址 Char"/>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5"/>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4"/>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3"/>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6"/>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6"/>
    <w:autoRedefine/>
    <w:qFormat/>
    <w:uiPriority w:val="0"/>
    <w:rPr>
      <w:rFonts w:ascii="黑体" w:hAnsi="Courier New" w:eastAsia="黑体"/>
    </w:rPr>
  </w:style>
  <w:style w:type="character" w:customStyle="1" w:styleId="299">
    <w:name w:val="正文文本 2 Char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5"/>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8"/>
    <w:autoRedefine/>
    <w:qFormat/>
    <w:uiPriority w:val="0"/>
    <w:rPr>
      <w:b/>
      <w:bCs/>
      <w:kern w:val="2"/>
      <w:sz w:val="24"/>
      <w:szCs w:val="24"/>
    </w:rPr>
  </w:style>
  <w:style w:type="character" w:customStyle="1" w:styleId="305">
    <w:name w:val="正文文本缩进 2 Char"/>
    <w:link w:val="36"/>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49"/>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5"/>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autoRedefine/>
    <w:qFormat/>
    <w:uiPriority w:val="0"/>
    <w:rPr>
      <w:kern w:val="2"/>
      <w:sz w:val="21"/>
      <w:szCs w:val="24"/>
    </w:rPr>
  </w:style>
  <w:style w:type="character" w:customStyle="1" w:styleId="342">
    <w:name w:val="签名 Char"/>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1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6"/>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3"/>
    <w:autoRedefine/>
    <w:qFormat/>
    <w:uiPriority w:val="0"/>
    <w:pPr>
      <w:tabs>
        <w:tab w:val="left" w:pos="840"/>
      </w:tabs>
      <w:adjustRightInd/>
      <w:ind w:left="840" w:hanging="420"/>
    </w:pPr>
  </w:style>
  <w:style w:type="paragraph" w:customStyle="1" w:styleId="623">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7"/>
    <w:autoRedefine/>
    <w:qFormat/>
    <w:uiPriority w:val="0"/>
    <w:rPr>
      <w:kern w:val="2"/>
      <w:sz w:val="21"/>
      <w:szCs w:val="24"/>
      <w:lang w:val="zh-CN"/>
    </w:rPr>
  </w:style>
  <w:style w:type="character" w:customStyle="1" w:styleId="930">
    <w:name w:val="无间隔 Char"/>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_Style 468"/>
    <w:basedOn w:val="1"/>
    <w:next w:val="255"/>
    <w:autoRedefine/>
    <w:qFormat/>
    <w:uiPriority w:val="99"/>
    <w:pPr>
      <w:adjustRightInd w:val="0"/>
      <w:spacing w:line="360" w:lineRule="auto"/>
      <w:ind w:firstLine="200" w:firstLineChars="200"/>
    </w:pPr>
    <w:rPr>
      <w:rFonts w:ascii="宋体" w:hAnsi="宋体" w:eastAsia="宋体" w:cs="Times New Roman"/>
      <w:kern w:val="0"/>
      <w:sz w:val="20"/>
    </w:rPr>
  </w:style>
  <w:style w:type="character" w:customStyle="1" w:styleId="962">
    <w:name w:val="ca-1"/>
    <w:autoRedefine/>
    <w:qFormat/>
    <w:uiPriority w:val="0"/>
  </w:style>
  <w:style w:type="paragraph" w:customStyle="1" w:styleId="963">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84</Pages>
  <Words>39689</Words>
  <Characters>41958</Characters>
  <Lines>287</Lines>
  <Paragraphs>81</Paragraphs>
  <TotalTime>1</TotalTime>
  <ScaleCrop>false</ScaleCrop>
  <LinksUpToDate>false</LinksUpToDate>
  <CharactersWithSpaces>48412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cp:lastModifiedBy>
  <cp:lastPrinted>2023-05-15T06:24:00Z</cp:lastPrinted>
  <dcterms:modified xsi:type="dcterms:W3CDTF">2024-03-19T06:20:07Z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A1726A302C654811884CF4247FEA66BE</vt:lpwstr>
  </property>
</Properties>
</file>