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义蓬街道向涛社区未来社区场景空调项目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hint="eastAsia" w:ascii="仿宋" w:hAnsi="仿宋" w:eastAsia="仿宋" w:cs="仿宋"/>
          <w:sz w:val="30"/>
          <w:szCs w:val="30"/>
        </w:rPr>
      </w:pPr>
    </w:p>
    <w:p>
      <w:pPr>
        <w:pStyle w:val="27"/>
        <w:rPr>
          <w:rFonts w:hint="eastAsia" w:ascii="仿宋" w:hAnsi="仿宋" w:eastAsia="仿宋" w:cs="仿宋"/>
        </w:rPr>
      </w:pPr>
    </w:p>
    <w:p>
      <w:pPr>
        <w:snapToGrid w:val="0"/>
        <w:spacing w:line="360" w:lineRule="auto"/>
        <w:jc w:val="center"/>
        <w:rPr>
          <w:rFonts w:hint="default" w:ascii="仿宋" w:hAnsi="仿宋" w:eastAsia="仿宋" w:cs="仿宋"/>
          <w:color w:val="FF0000"/>
          <w:sz w:val="30"/>
          <w:szCs w:val="30"/>
          <w:lang w:val="en-US" w:eastAsia="zh-CN"/>
        </w:rPr>
      </w:pPr>
      <w:r>
        <w:rPr>
          <w:rFonts w:hint="eastAsia" w:ascii="仿宋" w:hAnsi="仿宋" w:eastAsia="仿宋" w:cs="仿宋"/>
          <w:sz w:val="30"/>
          <w:szCs w:val="30"/>
        </w:rPr>
        <w:t>编号:</w:t>
      </w:r>
      <w:r>
        <w:rPr>
          <w:rFonts w:hint="eastAsia" w:ascii="仿宋" w:hAnsi="仿宋" w:eastAsia="仿宋" w:cs="仿宋"/>
          <w:color w:val="auto"/>
          <w:sz w:val="30"/>
          <w:szCs w:val="30"/>
        </w:rPr>
        <w:t>QTCG</w:t>
      </w:r>
      <w:r>
        <w:rPr>
          <w:rFonts w:hint="eastAsia" w:ascii="仿宋" w:hAnsi="仿宋" w:eastAsia="仿宋" w:cs="仿宋"/>
          <w:color w:val="auto"/>
          <w:sz w:val="30"/>
          <w:szCs w:val="30"/>
          <w:highlight w:val="none"/>
        </w:rPr>
        <w:t>-GK-2023-</w:t>
      </w:r>
      <w:r>
        <w:rPr>
          <w:rFonts w:hint="eastAsia" w:ascii="仿宋" w:hAnsi="仿宋" w:eastAsia="仿宋" w:cs="仿宋"/>
          <w:color w:val="auto"/>
          <w:sz w:val="30"/>
          <w:szCs w:val="30"/>
          <w:highlight w:val="none"/>
          <w:lang w:val="en-US" w:eastAsia="zh-CN"/>
        </w:rPr>
        <w:t>298</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hint="eastAsia" w:ascii="仿宋" w:hAnsi="仿宋" w:eastAsia="仿宋" w:cs="仿宋"/>
          <w:sz w:val="32"/>
          <w:szCs w:val="32"/>
          <w:highlight w:val="none"/>
        </w:rPr>
      </w:pPr>
    </w:p>
    <w:p>
      <w:pPr>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 w:eastAsia="zh-CN"/>
        </w:rPr>
        <w:t>杭州市钱塘区</w:t>
      </w:r>
      <w:r>
        <w:rPr>
          <w:rFonts w:hint="eastAsia" w:ascii="仿宋" w:hAnsi="仿宋" w:eastAsia="仿宋" w:cs="仿宋"/>
          <w:sz w:val="32"/>
          <w:szCs w:val="32"/>
          <w:highlight w:val="none"/>
          <w:lang w:val="en-US" w:eastAsia="zh-CN"/>
        </w:rPr>
        <w:t>人民政府义蓬街道办事处</w:t>
      </w:r>
    </w:p>
    <w:p>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浙江中合工程管理有限公司</w:t>
      </w:r>
    </w:p>
    <w:p>
      <w:pPr>
        <w:spacing w:line="360" w:lineRule="auto"/>
        <w:jc w:val="center"/>
        <w:rPr>
          <w:rFonts w:hint="eastAsia" w:ascii="仿宋" w:hAnsi="仿宋" w:eastAsia="仿宋" w:cs="仿宋"/>
          <w:color w:val="FF0000"/>
          <w:sz w:val="24"/>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日</w:t>
      </w:r>
      <w:r>
        <w:rPr>
          <w:rFonts w:hint="eastAsia" w:ascii="仿宋" w:hAnsi="仿宋" w:eastAsia="仿宋" w:cs="仿宋"/>
          <w:color w:val="FF0000"/>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sz w:val="24"/>
          <w:highlight w:val="none"/>
          <w:u w:val="single"/>
          <w:lang w:eastAsia="zh-CN"/>
        </w:rPr>
        <w:t>义蓬街道向涛社区未来社区场景空调项目</w:t>
      </w:r>
      <w:r>
        <w:rPr>
          <w:rFonts w:hint="eastAsia" w:ascii="仿宋" w:hAnsi="仿宋" w:eastAsia="仿宋" w:cs="仿宋"/>
          <w:sz w:val="24"/>
          <w:highlight w:val="none"/>
        </w:rPr>
        <w:t>招标项目的潜在投标人</w:t>
      </w:r>
      <w:r>
        <w:rPr>
          <w:rFonts w:hint="eastAsia" w:ascii="仿宋" w:hAnsi="仿宋" w:eastAsia="仿宋" w:cs="仿宋"/>
          <w:color w:val="auto"/>
          <w:sz w:val="24"/>
          <w:highlight w:val="none"/>
        </w:rPr>
        <w:t>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rPr>
        <w:t>项目编号：QTCG-GK</w:t>
      </w:r>
      <w:r>
        <w:rPr>
          <w:rFonts w:hint="eastAsia" w:ascii="仿宋" w:hAnsi="仿宋" w:eastAsia="仿宋" w:cs="仿宋"/>
          <w:color w:val="auto"/>
          <w:sz w:val="24"/>
          <w:highlight w:val="none"/>
        </w:rPr>
        <w:t>-2023-</w:t>
      </w:r>
      <w:r>
        <w:rPr>
          <w:rFonts w:hint="eastAsia" w:ascii="仿宋" w:hAnsi="仿宋" w:eastAsia="仿宋" w:cs="仿宋"/>
          <w:color w:val="auto"/>
          <w:sz w:val="24"/>
          <w:highlight w:val="none"/>
          <w:lang w:val="en-US" w:eastAsia="zh-CN"/>
        </w:rPr>
        <w:t>298</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义蓬街道向涛社区未来社区场景空调项目</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513900</w:t>
      </w:r>
    </w:p>
    <w:p>
      <w:pPr>
        <w:spacing w:line="360" w:lineRule="auto"/>
        <w:ind w:firstLine="480"/>
        <w:rPr>
          <w:rFonts w:hint="eastAsia" w:ascii="仿宋" w:hAnsi="仿宋" w:eastAsia="仿宋" w:cs="仿宋"/>
          <w:sz w:val="24"/>
          <w:highlight w:val="none"/>
          <w:lang w:val="en-US"/>
        </w:rPr>
      </w:pPr>
      <w:r>
        <w:rPr>
          <w:rFonts w:hint="eastAsia" w:ascii="仿宋" w:hAnsi="仿宋" w:eastAsia="仿宋" w:cs="仿宋"/>
          <w:sz w:val="24"/>
          <w:highlight w:val="none"/>
        </w:rPr>
        <w:t>最高限价（元）：</w:t>
      </w:r>
      <w:r>
        <w:rPr>
          <w:rFonts w:hint="eastAsia" w:ascii="仿宋" w:hAnsi="仿宋" w:eastAsia="仿宋" w:cs="仿宋"/>
          <w:sz w:val="24"/>
          <w:highlight w:val="none"/>
          <w:lang w:val="en-US" w:eastAsia="zh-CN"/>
        </w:rPr>
        <w:t>513900</w:t>
      </w:r>
    </w:p>
    <w:p>
      <w:pPr>
        <w:pStyle w:val="15"/>
        <w:spacing w:line="360" w:lineRule="auto"/>
        <w:ind w:firstLine="480"/>
        <w:rPr>
          <w:rFonts w:hint="eastAsia" w:ascii="仿宋" w:hAnsi="仿宋" w:eastAsia="仿宋" w:cs="仿宋"/>
          <w:bCs/>
          <w:color w:val="auto"/>
          <w:sz w:val="24"/>
          <w:highlight w:val="none"/>
        </w:rPr>
      </w:pPr>
      <w:r>
        <w:rPr>
          <w:rFonts w:hint="eastAsia" w:ascii="仿宋" w:hAnsi="仿宋" w:eastAsia="仿宋" w:cs="仿宋"/>
          <w:color w:val="auto"/>
          <w:sz w:val="24"/>
          <w:highlight w:val="none"/>
        </w:rPr>
        <w:t>采购需求：</w:t>
      </w:r>
    </w:p>
    <w:p>
      <w:pPr>
        <w:pStyle w:val="15"/>
        <w:spacing w:line="360" w:lineRule="auto"/>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sz w:val="24"/>
          <w:highlight w:val="none"/>
          <w:lang w:eastAsia="zh-CN"/>
        </w:rPr>
        <w:t>义蓬街道向涛社区未来社区场景空调项目</w:t>
      </w:r>
    </w:p>
    <w:p>
      <w:pPr>
        <w:pStyle w:val="15"/>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Cs/>
          <w:snapToGrid/>
          <w:color w:val="auto"/>
          <w:kern w:val="2"/>
          <w:sz w:val="24"/>
          <w:szCs w:val="24"/>
          <w:highlight w:val="none"/>
        </w:rPr>
        <w:t>数量:</w:t>
      </w:r>
      <w:r>
        <w:rPr>
          <w:rFonts w:hint="eastAsia" w:ascii="仿宋" w:hAnsi="仿宋" w:eastAsia="仿宋" w:cs="仿宋"/>
          <w:bCs/>
          <w:snapToGrid/>
          <w:color w:val="auto"/>
          <w:kern w:val="2"/>
          <w:sz w:val="24"/>
          <w:szCs w:val="24"/>
          <w:highlight w:val="none"/>
          <w:lang w:val="en-US" w:eastAsia="zh-CN"/>
        </w:rPr>
        <w:t>1</w:t>
      </w:r>
    </w:p>
    <w:p>
      <w:pPr>
        <w:pStyle w:val="15"/>
        <w:spacing w:line="360" w:lineRule="auto"/>
        <w:ind w:firstLine="480"/>
        <w:rPr>
          <w:rFonts w:hint="eastAsia" w:ascii="仿宋" w:hAnsi="仿宋" w:eastAsia="仿宋" w:cs="仿宋"/>
          <w:bCs/>
          <w:snapToGrid/>
          <w:color w:val="auto"/>
          <w:kern w:val="2"/>
          <w:sz w:val="24"/>
          <w:szCs w:val="24"/>
          <w:highlight w:val="none"/>
          <w:lang w:val="en-US"/>
        </w:rPr>
      </w:pPr>
      <w:r>
        <w:rPr>
          <w:rFonts w:hint="eastAsia" w:ascii="仿宋" w:hAnsi="仿宋" w:eastAsia="仿宋" w:cs="仿宋"/>
          <w:bCs/>
          <w:snapToGrid/>
          <w:color w:val="auto"/>
          <w:kern w:val="2"/>
          <w:sz w:val="24"/>
          <w:szCs w:val="24"/>
          <w:highlight w:val="none"/>
        </w:rPr>
        <w:t>预算金额（元）</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513900</w:t>
      </w:r>
    </w:p>
    <w:p>
      <w:pPr>
        <w:spacing w:line="360" w:lineRule="auto"/>
        <w:ind w:firstLine="480" w:firstLineChars="200"/>
        <w:rPr>
          <w:rFonts w:hint="eastAsia"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w:t>
      </w:r>
      <w:r>
        <w:rPr>
          <w:rFonts w:hint="eastAsia" w:ascii="仿宋" w:hAnsi="仿宋" w:eastAsia="仿宋" w:cs="仿宋"/>
          <w:bCs/>
          <w:snapToGrid/>
          <w:color w:val="auto"/>
          <w:kern w:val="2"/>
          <w:sz w:val="24"/>
          <w:szCs w:val="24"/>
        </w:rPr>
        <w:t>详见招标文件第三部分采购需求。</w:t>
      </w:r>
    </w:p>
    <w:p>
      <w:pPr>
        <w:pStyle w:val="1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备注：无</w:t>
      </w:r>
    </w:p>
    <w:p>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合同履约期限：接采购人通知之日起入场，</w:t>
      </w:r>
      <w:r>
        <w:rPr>
          <w:rFonts w:hint="eastAsia" w:ascii="仿宋" w:hAnsi="仿宋" w:eastAsia="仿宋" w:cs="仿宋"/>
          <w:sz w:val="24"/>
          <w:lang w:val="en-US" w:eastAsia="zh-CN"/>
        </w:rPr>
        <w:t>30</w:t>
      </w:r>
      <w:r>
        <w:rPr>
          <w:rFonts w:hint="eastAsia" w:ascii="仿宋" w:hAnsi="仿宋" w:eastAsia="仿宋" w:cs="仿宋"/>
          <w:sz w:val="24"/>
        </w:rPr>
        <w:t>日历天之内完成安装、调试、</w:t>
      </w:r>
      <w:r>
        <w:rPr>
          <w:rFonts w:hint="eastAsia" w:ascii="仿宋" w:hAnsi="仿宋" w:eastAsia="仿宋" w:cs="仿宋"/>
          <w:sz w:val="24"/>
          <w:lang w:val="en-US" w:eastAsia="zh-CN"/>
        </w:rPr>
        <w:t>培训、</w:t>
      </w:r>
      <w:r>
        <w:rPr>
          <w:rFonts w:hint="eastAsia" w:ascii="仿宋" w:hAnsi="仿宋" w:eastAsia="仿宋" w:cs="仿宋"/>
          <w:sz w:val="24"/>
        </w:rPr>
        <w:t>验收。</w:t>
      </w:r>
    </w:p>
    <w:p>
      <w:pPr>
        <w:pStyle w:val="60"/>
        <w:autoSpaceDE w:val="0"/>
        <w:snapToGrid w:val="0"/>
        <w:spacing w:before="0" w:beforeAutospacing="0" w:after="0" w:afterAutospacing="0" w:line="360" w:lineRule="auto"/>
        <w:ind w:firstLine="480" w:firstLineChars="200"/>
        <w:jc w:val="both"/>
        <w:rPr>
          <w:rFonts w:hint="eastAsia"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是，</w:t>
      </w:r>
      <w:sdt>
        <w:sdtPr>
          <w:rPr>
            <w:rFonts w:hint="eastAsia" w:ascii="仿宋" w:hAnsi="仿宋" w:eastAsia="仿宋" w:cs="仿宋"/>
          </w:rPr>
          <w:id w:val="2"/>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否。</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highlight w:val="yellow"/>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kern w:val="0"/>
          <w:sz w:val="24"/>
          <w:highlight w:val="none"/>
        </w:rPr>
      </w:pPr>
      <w:r>
        <w:rPr>
          <w:rFonts w:hint="eastAsia" w:ascii="仿宋" w:hAnsi="仿宋" w:eastAsia="仿宋" w:cs="仿宋"/>
          <w:snapToGrid w:val="0"/>
          <w:kern w:val="28"/>
          <w:sz w:val="24"/>
          <w:szCs w:val="20"/>
          <w:highlight w:val="none"/>
          <w:lang w:val="en-US" w:eastAsia="zh-CN"/>
        </w:rPr>
        <w:t>2</w:t>
      </w:r>
      <w:r>
        <w:rPr>
          <w:rFonts w:hint="eastAsia" w:ascii="仿宋" w:hAnsi="仿宋" w:eastAsia="仿宋" w:cs="仿宋"/>
          <w:snapToGrid w:val="0"/>
          <w:kern w:val="28"/>
          <w:sz w:val="24"/>
          <w:szCs w:val="20"/>
          <w:highlight w:val="none"/>
        </w:rPr>
        <w:t>.落实政府采购政策需满足的资格要求：</w:t>
      </w:r>
    </w:p>
    <w:p>
      <w:pPr>
        <w:spacing w:line="360" w:lineRule="auto"/>
        <w:ind w:firstLine="48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无；</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0898254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sdt>
        <w:sdtPr>
          <w:rPr>
            <w:rFonts w:hint="eastAsia" w:ascii="仿宋" w:hAnsi="仿宋" w:eastAsia="仿宋" w:cs="仿宋"/>
            <w:color w:val="auto"/>
            <w:kern w:val="0"/>
            <w:sz w:val="24"/>
            <w:szCs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w:t>
      </w:r>
      <w:r>
        <w:rPr>
          <w:rFonts w:hint="eastAsia" w:ascii="仿宋" w:hAnsi="仿宋" w:eastAsia="仿宋" w:cs="仿宋"/>
          <w:color w:val="auto"/>
          <w:sz w:val="24"/>
          <w:szCs w:val="24"/>
          <w:highlight w:val="none"/>
          <w:lang w:eastAsia="zh-CN"/>
        </w:rPr>
        <w:t>依据：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rPr>
        <w:t>三、获取招标</w:t>
      </w:r>
      <w:r>
        <w:rPr>
          <w:rFonts w:hint="eastAsia" w:ascii="仿宋" w:hAnsi="仿宋" w:eastAsia="仿宋" w:cs="仿宋"/>
          <w:b/>
          <w:color w:val="auto"/>
          <w:sz w:val="24"/>
          <w:highlight w:val="none"/>
        </w:rPr>
        <w:t xml:space="preserve">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w:t>
      </w:r>
      <w:r>
        <w:rPr>
          <w:rFonts w:hint="eastAsia" w:ascii="仿宋" w:hAnsi="仿宋" w:eastAsia="仿宋" w:cs="仿宋"/>
          <w:color w:val="auto"/>
          <w:sz w:val="24"/>
          <w:highlight w:val="none"/>
          <w:lang w:eastAsia="zh-CN"/>
        </w:rPr>
        <w:t>线上</w:t>
      </w:r>
      <w:r>
        <w:rPr>
          <w:rFonts w:hint="eastAsia" w:ascii="仿宋" w:hAnsi="仿宋" w:eastAsia="仿宋" w:cs="仿宋"/>
          <w:color w:val="auto"/>
          <w:sz w:val="24"/>
          <w:lang w:eastAsia="zh-CN"/>
        </w:rPr>
        <w:t>获取</w:t>
      </w:r>
      <w:r>
        <w:rPr>
          <w:rFonts w:hint="eastAsia" w:ascii="仿宋" w:hAnsi="仿宋" w:eastAsia="仿宋" w:cs="仿宋"/>
          <w:color w:val="auto"/>
          <w:sz w:val="24"/>
        </w:rPr>
        <w:t xml:space="preserve">（https://www.zcygov.cn/）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w:t>
      </w:r>
      <w:bookmarkStart w:id="561" w:name="_GoBack"/>
      <w:bookmarkEnd w:id="561"/>
      <w:r>
        <w:rPr>
          <w:rFonts w:hint="eastAsia" w:ascii="仿宋" w:hAnsi="仿宋" w:eastAsia="仿宋" w:cs="仿宋"/>
          <w:color w:val="auto"/>
          <w:sz w:val="24"/>
        </w:rPr>
        <w:t xml:space="preserve">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 请登录政采云投标客户端投标</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https://zfcg.czt.zj.gov.cn/luban/detail?parentId=600007&amp;articleId=N8fuMJXlSb0KZGEG20HABQ%3D%3D&amp;utm=luban.luban-PC-37000.979-pc-websitegroup-zhejiang-secondPage-front.1.bd4aaaa03a3c11ee92b689b0cd1439dc</w:t>
      </w:r>
    </w:p>
    <w:p>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w:t>
      </w:r>
      <w:r>
        <w:rPr>
          <w:rFonts w:hint="eastAsia" w:ascii="仿宋" w:hAnsi="仿宋" w:eastAsia="仿宋" w:cs="仿宋"/>
          <w:sz w:val="24"/>
          <w:lang w:eastAsia="zh-CN"/>
        </w:rPr>
        <w:t>、</w:t>
      </w:r>
      <w:r>
        <w:rPr>
          <w:rFonts w:hint="eastAsia" w:ascii="仿宋" w:hAnsi="仿宋" w:eastAsia="仿宋" w:cs="仿宋"/>
          <w:sz w:val="24"/>
        </w:rPr>
        <w:t>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1.采购人信息</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杭州市钱塘区人民政府义蓬街道办事处</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杭州市钱塘区义府大街668号</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高先生</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cs="仿宋"/>
          <w:color w:val="auto"/>
          <w:sz w:val="24"/>
          <w:szCs w:val="28"/>
          <w:highlight w:val="none"/>
          <w:lang w:val="en-US" w:eastAsia="zh-CN"/>
        </w:rPr>
        <w:t>0571-86927678</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王先生</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cs="仿宋"/>
          <w:color w:val="auto"/>
          <w:sz w:val="24"/>
          <w:szCs w:val="28"/>
          <w:highlight w:val="none"/>
          <w:lang w:val="en-US" w:eastAsia="zh-CN"/>
        </w:rPr>
        <w:t>0571-88179307</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2.采购代理机构信息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称：浙江中合工程管理有限公司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址：萧山区盈丰街道浙江民营企业发展大厦B座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诸女士</w:t>
      </w:r>
      <w:r>
        <w:rPr>
          <w:rFonts w:hint="eastAsia" w:ascii="仿宋" w:hAnsi="仿宋" w:eastAsia="仿宋" w:cs="仿宋"/>
          <w:sz w:val="24"/>
        </w:rPr>
        <w:t>    　　　　　　　　　　</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15381712570</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val="en-US" w:eastAsia="zh-CN"/>
        </w:rPr>
        <w:t>翁先生</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18106537718</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真：0571-89535550</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联系人：任女士</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监督投诉电话：0571-89535530</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rPr>
      </w:pPr>
      <w:r>
        <w:rPr>
          <w:rFonts w:hint="eastAsia" w:ascii="仿宋" w:hAnsi="仿宋" w:eastAsia="仿宋" w:cs="仿宋"/>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rPr>
              <w:t>项目属性</w:t>
            </w:r>
            <w:r>
              <w:rPr>
                <w:rFonts w:hint="eastAsia" w:ascii="仿宋" w:hAnsi="仿宋" w:eastAsia="仿宋" w:cs="仿宋"/>
                <w:b/>
                <w:sz w:val="24"/>
                <w:szCs w:val="24"/>
                <w:lang w:eastAsia="zh-CN"/>
              </w:rPr>
              <w:t>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w:t>
            </w:r>
            <w:r>
              <w:rPr>
                <w:rFonts w:hint="eastAsia" w:ascii="仿宋" w:hAnsi="仿宋" w:eastAsia="仿宋" w:cs="仿宋"/>
                <w:color w:val="auto"/>
                <w:kern w:val="0"/>
                <w:sz w:val="24"/>
                <w:szCs w:val="24"/>
              </w:rPr>
              <w:t>为</w:t>
            </w:r>
            <w:r>
              <w:rPr>
                <w:rFonts w:hint="eastAsia" w:ascii="仿宋" w:hAnsi="仿宋" w:eastAsia="仿宋" w:cs="仿宋"/>
                <w:color w:val="auto"/>
                <w:kern w:val="0"/>
                <w:sz w:val="24"/>
                <w:szCs w:val="24"/>
                <w:highlight w:val="none"/>
              </w:rPr>
              <w:t>：</w:t>
            </w:r>
            <w:r>
              <w:rPr>
                <w:rFonts w:hint="eastAsia" w:ascii="仿宋" w:hAnsi="仿宋" w:eastAsia="仿宋" w:cs="仿宋"/>
                <w:snapToGrid w:val="0"/>
                <w:kern w:val="0"/>
                <w:sz w:val="24"/>
                <w:szCs w:val="24"/>
                <w:highlight w:val="none"/>
                <w:u w:val="single"/>
              </w:rPr>
              <w:t>多联内机及</w:t>
            </w:r>
            <w:r>
              <w:rPr>
                <w:rFonts w:hint="eastAsia" w:ascii="仿宋" w:hAnsi="仿宋" w:eastAsia="仿宋" w:cs="仿宋"/>
                <w:snapToGrid w:val="0"/>
                <w:kern w:val="0"/>
                <w:sz w:val="24"/>
                <w:szCs w:val="24"/>
                <w:highlight w:val="none"/>
                <w:u w:val="single"/>
                <w:lang w:val="en-US" w:eastAsia="zh-CN"/>
              </w:rPr>
              <w:t>多联</w:t>
            </w:r>
            <w:r>
              <w:rPr>
                <w:rFonts w:hint="eastAsia" w:ascii="仿宋" w:hAnsi="仿宋" w:eastAsia="仿宋" w:cs="仿宋"/>
                <w:snapToGrid w:val="0"/>
                <w:kern w:val="0"/>
                <w:sz w:val="24"/>
                <w:szCs w:val="24"/>
                <w:highlight w:val="none"/>
                <w:u w:val="single"/>
              </w:rPr>
              <w:t>室外机</w:t>
            </w:r>
            <w:r>
              <w:rPr>
                <w:rFonts w:hint="eastAsia" w:ascii="仿宋" w:hAnsi="仿宋" w:eastAsia="仿宋" w:cs="仿宋"/>
                <w:snapToGrid w:val="0"/>
                <w:color w:val="auto"/>
                <w:kern w:val="0"/>
                <w:sz w:val="24"/>
                <w:szCs w:val="24"/>
                <w:highlight w:val="none"/>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kinsoku/>
              <w:wordWrap/>
              <w:overflowPunct/>
              <w:topLinePunct w:val="0"/>
              <w:autoSpaceDE/>
              <w:autoSpaceDN/>
              <w:bidi w:val="0"/>
              <w:adjustRightInd w:val="0"/>
              <w:spacing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kern w:val="0"/>
                <w:sz w:val="24"/>
                <w:szCs w:val="24"/>
              </w:rPr>
              <w:t>（1）标的</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rPr>
              <w:t>中央空调及新风系统</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工业</w:t>
            </w:r>
            <w:r>
              <w:rPr>
                <w:rFonts w:hint="eastAsia" w:ascii="仿宋" w:hAnsi="仿宋" w:eastAsia="仿宋" w:cs="仿宋"/>
                <w:color w:val="auto"/>
                <w:kern w:val="0"/>
                <w:sz w:val="24"/>
                <w:szCs w:val="24"/>
              </w:rPr>
              <w:t>行业；</w:t>
            </w:r>
          </w:p>
          <w:p>
            <w:pPr>
              <w:pStyle w:val="15"/>
              <w:keepNext w:val="0"/>
              <w:keepLines w:val="0"/>
              <w:pageBreakBefore w:val="0"/>
              <w:kinsoku/>
              <w:wordWrap/>
              <w:overflowPunct/>
              <w:topLinePunct w:val="0"/>
              <w:autoSpaceDE/>
              <w:autoSpaceDN/>
              <w:bidi w:val="0"/>
              <w:adjustRightInd w:val="0"/>
              <w:spacing w:line="240" w:lineRule="auto"/>
              <w:ind w:firstLine="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备注：《关于印发中小企业划型标准规定的通知》（工信部联企业〔2011〕300号）中关于工业划型标准如下：</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napToGrid w:val="0"/>
                <w:sz w:val="24"/>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rPr>
            </w:pPr>
            <w:sdt>
              <w:sdtPr>
                <w:rPr>
                  <w:rFonts w:hint="eastAsia" w:ascii="仿宋" w:hAnsi="仿宋" w:eastAsia="仿宋" w:cs="仿宋"/>
                  <w:kern w:val="0"/>
                  <w:sz w:val="24"/>
                  <w:szCs w:val="24"/>
                </w:rPr>
                <w:id w:val="13"/>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szCs w:val="24"/>
              </w:rPr>
              <w:t>本项目不允许采购进口产品。</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sdt>
              <w:sdtPr>
                <w:rPr>
                  <w:rFonts w:hint="eastAsia" w:ascii="仿宋" w:hAnsi="仿宋" w:eastAsia="仿宋" w:cs="仿宋"/>
                  <w:kern w:val="0"/>
                  <w:sz w:val="24"/>
                  <w:szCs w:val="24"/>
                </w:rPr>
                <w:id w:val="14"/>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rPr>
              <w:t>可以</w:t>
            </w:r>
            <w:r>
              <w:rPr>
                <w:rFonts w:hint="eastAsia" w:ascii="仿宋" w:hAnsi="仿宋" w:eastAsia="仿宋" w:cs="仿宋"/>
                <w:kern w:val="0"/>
                <w:sz w:val="24"/>
                <w:szCs w:val="24"/>
                <w:lang w:eastAsia="zh-CN"/>
              </w:rPr>
              <w:t>就</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采购进口产品，优先采购向我国企业转让技术、与我国企业签订消化吸收再创新方案的供应商的进口产品</w:t>
            </w:r>
            <w:r>
              <w:rPr>
                <w:rFonts w:hint="eastAsia" w:ascii="仿宋" w:hAnsi="仿宋" w:eastAsia="仿宋" w:cs="仿宋"/>
                <w:kern w:val="0"/>
                <w:sz w:val="24"/>
                <w:szCs w:val="24"/>
                <w:lang w:eastAsia="zh-CN"/>
              </w:rPr>
              <w:t>，详见评分标准</w:t>
            </w:r>
            <w:r>
              <w:rPr>
                <w:rFonts w:hint="eastAsia" w:ascii="仿宋" w:hAnsi="仿宋" w:eastAsia="仿宋" w:cs="仿宋"/>
                <w:kern w:val="0"/>
                <w:sz w:val="24"/>
                <w:szCs w:val="24"/>
              </w:rPr>
              <w:t>；但如果因信息不对称等原因，仍有满足需求的国内产品要求参与采购竞争的，采购人及其委托的采购代理机构不对其加以限制，将按照公平竞争原则实施采购。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rPr>
            </w:pPr>
            <w:sdt>
              <w:sdtPr>
                <w:rPr>
                  <w:rFonts w:hint="eastAsia" w:ascii="仿宋" w:hAnsi="仿宋" w:eastAsia="仿宋" w:cs="仿宋"/>
                  <w:kern w:val="0"/>
                  <w:sz w:val="24"/>
                  <w:szCs w:val="24"/>
                </w:rPr>
                <w:id w:val="15"/>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rPr>
              <w:t xml:space="preserve"> A同意将非主体、非关键性的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工作分包。</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sdt>
              <w:sdtPr>
                <w:rPr>
                  <w:rFonts w:hint="eastAsia" w:ascii="仿宋" w:hAnsi="仿宋" w:eastAsia="仿宋" w:cs="仿宋"/>
                  <w:kern w:val="0"/>
                  <w:sz w:val="24"/>
                  <w:szCs w:val="24"/>
                </w:rPr>
                <w:id w:val="-265620813"/>
              </w:sdtPr>
              <w:sdtEndPr>
                <w:rPr>
                  <w:rFonts w:hint="eastAsia" w:ascii="仿宋" w:hAnsi="仿宋" w:eastAsia="仿宋" w:cs="仿宋"/>
                  <w:kern w:val="0"/>
                  <w:sz w:val="24"/>
                  <w:szCs w:val="24"/>
                </w:rPr>
              </w:sdtEndPr>
              <w:sdtContent>
                <w:sdt>
                  <w:sdtPr>
                    <w:rPr>
                      <w:rFonts w:hint="eastAsia" w:ascii="仿宋" w:hAnsi="仿宋" w:eastAsia="仿宋" w:cs="仿宋"/>
                      <w:kern w:val="0"/>
                      <w:sz w:val="24"/>
                      <w:szCs w:val="24"/>
                    </w:rPr>
                    <w:id w:val="-1191139705"/>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szCs w:val="24"/>
                  </w:rPr>
                  <w:t xml:space="preserve"> </w:t>
                </w:r>
              </w:sdtContent>
            </w:sdt>
            <w:r>
              <w:rPr>
                <w:rFonts w:hint="eastAsia" w:ascii="仿宋" w:hAnsi="仿宋" w:eastAsia="仿宋" w:cs="仿宋"/>
                <w:kern w:val="0"/>
                <w:sz w:val="24"/>
                <w:szCs w:val="24"/>
              </w:rPr>
              <w:t>B同意大型企业向小微企业、中型企业向小微企业、小微企业向小微企业合理分包。</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sdt>
              <w:sdtPr>
                <w:rPr>
                  <w:rFonts w:hint="eastAsia" w:ascii="仿宋" w:hAnsi="仿宋" w:eastAsia="仿宋" w:cs="仿宋"/>
                  <w:kern w:val="0"/>
                  <w:sz w:val="24"/>
                  <w:szCs w:val="24"/>
                </w:rPr>
                <w:id w:val="16"/>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rPr>
              <w:t xml:space="preserve"> C</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sdt>
              <w:sdtPr>
                <w:rPr>
                  <w:rFonts w:hint="eastAsia" w:ascii="仿宋" w:hAnsi="仿宋" w:eastAsia="仿宋" w:cs="仿宋"/>
                  <w:kern w:val="0"/>
                  <w:sz w:val="24"/>
                  <w:szCs w:val="24"/>
                </w:rPr>
                <w:id w:val="17"/>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szCs w:val="24"/>
              </w:rPr>
              <w:t>A</w:t>
            </w:r>
            <w:r>
              <w:rPr>
                <w:rFonts w:hint="eastAsia" w:ascii="仿宋" w:hAnsi="仿宋" w:eastAsia="仿宋" w:cs="仿宋"/>
                <w:sz w:val="24"/>
                <w:szCs w:val="24"/>
              </w:rPr>
              <w:t>不组织。</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sdt>
              <w:sdtPr>
                <w:rPr>
                  <w:rFonts w:hint="eastAsia" w:ascii="仿宋" w:hAnsi="仿宋" w:eastAsia="仿宋" w:cs="仿宋"/>
                  <w:kern w:val="0"/>
                  <w:sz w:val="24"/>
                  <w:szCs w:val="24"/>
                </w:rPr>
                <w:id w:val="18"/>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rPr>
              <w:t>B组织，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sdt>
              <w:sdtPr>
                <w:rPr>
                  <w:rFonts w:hint="eastAsia" w:ascii="仿宋" w:hAnsi="仿宋" w:eastAsia="仿宋" w:cs="仿宋"/>
                  <w:kern w:val="0"/>
                  <w:sz w:val="24"/>
                  <w:szCs w:val="24"/>
                </w:rPr>
                <w:id w:val="19"/>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szCs w:val="24"/>
              </w:rPr>
              <w:t>A</w:t>
            </w:r>
            <w:r>
              <w:rPr>
                <w:rFonts w:hint="eastAsia" w:ascii="仿宋" w:hAnsi="仿宋" w:eastAsia="仿宋" w:cs="仿宋"/>
                <w:sz w:val="24"/>
                <w:szCs w:val="24"/>
              </w:rPr>
              <w:t>不要求提供。</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u w:val="single"/>
              </w:rPr>
            </w:pPr>
            <w:sdt>
              <w:sdtPr>
                <w:rPr>
                  <w:rFonts w:hint="eastAsia" w:ascii="仿宋" w:hAnsi="仿宋" w:eastAsia="仿宋" w:cs="仿宋"/>
                  <w:kern w:val="0"/>
                  <w:sz w:val="24"/>
                  <w:szCs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szCs w:val="24"/>
              </w:rPr>
              <w:t>B要求提供（未提供样品或提供样品不满足采购需求实质性条件的供应商，投标无效）。</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（1）样品：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napToGrid w:val="0"/>
                <w:kern w:val="28"/>
                <w:sz w:val="24"/>
                <w:szCs w:val="24"/>
              </w:rPr>
              <w:t>样品制作的标准和要求：</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28"/>
                <w:sz w:val="24"/>
                <w:szCs w:val="24"/>
              </w:rPr>
            </w:pPr>
            <w:r>
              <w:rPr>
                <w:rFonts w:hint="eastAsia" w:ascii="仿宋" w:hAnsi="仿宋" w:eastAsia="仿宋" w:cs="仿宋"/>
                <w:kern w:val="0"/>
                <w:sz w:val="24"/>
                <w:szCs w:val="24"/>
              </w:rPr>
              <w:t>（3）样品的评审方法以及评审标准</w:t>
            </w:r>
            <w:r>
              <w:rPr>
                <w:rFonts w:hint="eastAsia" w:ascii="仿宋" w:hAnsi="仿宋" w:eastAsia="仿宋" w:cs="仿宋"/>
                <w:snapToGrid w:val="0"/>
                <w:kern w:val="28"/>
                <w:sz w:val="24"/>
                <w:szCs w:val="24"/>
              </w:rPr>
              <w:t>：</w:t>
            </w:r>
          </w:p>
          <w:p>
            <w:pPr>
              <w:keepNext w:val="0"/>
              <w:keepLines w:val="0"/>
              <w:pageBreakBefore w:val="0"/>
              <w:kinsoku/>
              <w:wordWrap/>
              <w:overflowPunct/>
              <w:topLinePunct w:val="0"/>
              <w:autoSpaceDE/>
              <w:autoSpaceDN/>
              <w:bidi w:val="0"/>
              <w:adjustRightInd w:val="0"/>
              <w:spacing w:line="240" w:lineRule="auto"/>
              <w:ind w:firstLine="240" w:firstLineChars="100"/>
              <w:textAlignment w:val="auto"/>
              <w:rPr>
                <w:rFonts w:hint="eastAsia" w:ascii="仿宋" w:hAnsi="仿宋" w:eastAsia="仿宋" w:cs="仿宋"/>
                <w:sz w:val="24"/>
                <w:szCs w:val="24"/>
              </w:rPr>
            </w:pPr>
            <w:sdt>
              <w:sdtPr>
                <w:rPr>
                  <w:rFonts w:hint="eastAsia" w:ascii="仿宋" w:hAnsi="仿宋" w:eastAsia="仿宋" w:cs="仿宋"/>
                  <w:sz w:val="24"/>
                  <w:szCs w:val="24"/>
                </w:rPr>
                <w:id w:val="-1350092240"/>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kern w:val="2"/>
                    <w:sz w:val="24"/>
                    <w:szCs w:val="24"/>
                    <w:lang w:val="en-US" w:eastAsia="zh-CN" w:bidi="ar-SA"/>
                  </w:rPr>
                  <w:t>☐</w:t>
                </w:r>
              </w:sdtContent>
            </w:sdt>
            <w:r>
              <w:rPr>
                <w:rFonts w:hint="eastAsia" w:ascii="仿宋" w:hAnsi="仿宋" w:eastAsia="仿宋" w:cs="仿宋"/>
                <w:sz w:val="24"/>
                <w:szCs w:val="24"/>
              </w:rPr>
              <w:t>样品分未超过价格分的50%；</w:t>
            </w:r>
          </w:p>
          <w:p>
            <w:pPr>
              <w:keepNext w:val="0"/>
              <w:keepLines w:val="0"/>
              <w:pageBreakBefore w:val="0"/>
              <w:kinsoku/>
              <w:wordWrap/>
              <w:overflowPunct/>
              <w:topLinePunct w:val="0"/>
              <w:autoSpaceDE/>
              <w:autoSpaceDN/>
              <w:bidi w:val="0"/>
              <w:adjustRightInd w:val="0"/>
              <w:spacing w:line="240" w:lineRule="auto"/>
              <w:ind w:firstLine="240" w:firstLineChars="100"/>
              <w:textAlignment w:val="auto"/>
              <w:rPr>
                <w:rFonts w:hint="eastAsia" w:ascii="仿宋" w:hAnsi="仿宋" w:eastAsia="仿宋" w:cs="仿宋"/>
                <w:sz w:val="24"/>
                <w:szCs w:val="24"/>
              </w:rPr>
            </w:pPr>
            <w:sdt>
              <w:sdtPr>
                <w:rPr>
                  <w:rFonts w:hint="eastAsia" w:ascii="仿宋" w:hAnsi="仿宋" w:eastAsia="仿宋" w:cs="仿宋"/>
                  <w:sz w:val="24"/>
                  <w:szCs w:val="24"/>
                </w:rPr>
                <w:id w:val="-1485540415"/>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kern w:val="2"/>
                    <w:sz w:val="24"/>
                    <w:szCs w:val="24"/>
                    <w:lang w:val="en-US" w:eastAsia="zh-CN" w:bidi="ar-SA"/>
                  </w:rPr>
                  <w:t>☐</w:t>
                </w:r>
              </w:sdtContent>
            </w:sdt>
            <w:r>
              <w:rPr>
                <w:rFonts w:hint="eastAsia" w:ascii="仿宋" w:hAnsi="仿宋" w:eastAsia="仿宋" w:cs="仿宋"/>
                <w:sz w:val="24"/>
                <w:szCs w:val="24"/>
              </w:rPr>
              <w:t>样品分超过价格分的50%，理由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28"/>
                <w:sz w:val="24"/>
                <w:szCs w:val="24"/>
                <w:lang w:eastAsia="zh-CN"/>
              </w:rPr>
            </w:pPr>
            <w:r>
              <w:rPr>
                <w:rFonts w:hint="eastAsia" w:ascii="仿宋" w:hAnsi="仿宋" w:eastAsia="仿宋" w:cs="仿宋"/>
                <w:snapToGrid w:val="0"/>
                <w:kern w:val="28"/>
                <w:sz w:val="24"/>
                <w:szCs w:val="24"/>
              </w:rPr>
              <w:t>详见招标文件第四部分评标办法</w:t>
            </w:r>
            <w:r>
              <w:rPr>
                <w:rFonts w:hint="eastAsia" w:ascii="仿宋" w:hAnsi="仿宋" w:eastAsia="仿宋" w:cs="仿宋"/>
                <w:snapToGrid w:val="0"/>
                <w:kern w:val="28"/>
                <w:sz w:val="24"/>
                <w:szCs w:val="24"/>
                <w:lang w:eastAsia="zh-CN"/>
              </w:rPr>
              <w:t>。</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（4）是否需要随样品提交检测报告：</w:t>
            </w:r>
            <w:sdt>
              <w:sdtPr>
                <w:rPr>
                  <w:rFonts w:hint="eastAsia" w:ascii="仿宋" w:hAnsi="仿宋" w:eastAsia="仿宋" w:cs="仿宋"/>
                  <w:kern w:val="0"/>
                  <w:sz w:val="24"/>
                  <w:szCs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szCs w:val="24"/>
              </w:rPr>
              <w:t>否；</w:t>
            </w:r>
            <w:sdt>
              <w:sdtPr>
                <w:rPr>
                  <w:rFonts w:hint="eastAsia" w:ascii="仿宋" w:hAnsi="仿宋" w:eastAsia="仿宋" w:cs="仿宋"/>
                  <w:kern w:val="0"/>
                  <w:sz w:val="24"/>
                  <w:szCs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hint="eastAsia" w:ascii="仿宋" w:hAnsi="仿宋" w:eastAsia="仿宋" w:cs="仿宋"/>
                <w:sz w:val="24"/>
                <w:szCs w:val="24"/>
                <w:u w:val="single"/>
              </w:rPr>
              <w:t xml:space="preserve"> 无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hint="eastAsia" w:ascii="仿宋" w:hAnsi="仿宋" w:eastAsia="仿宋" w:cs="仿宋"/>
                <w:sz w:val="24"/>
                <w:szCs w:val="24"/>
                <w:u w:val="single"/>
              </w:rPr>
              <w:t xml:space="preserve">  无  </w:t>
            </w:r>
            <w:r>
              <w:rPr>
                <w:rFonts w:hint="eastAsia" w:ascii="仿宋" w:hAnsi="仿宋" w:eastAsia="仿宋" w:cs="仿宋"/>
                <w:kern w:val="0"/>
                <w:sz w:val="24"/>
                <w:szCs w:val="24"/>
              </w:rPr>
              <w:t>。</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（5）提供样品的时间</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kern w:val="0"/>
                <w:sz w:val="24"/>
                <w:szCs w:val="24"/>
              </w:rPr>
              <w:t>；地点：</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highlight w:val="none"/>
              </w:rPr>
              <w:t>联系人</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（6）采购活动结束后，对于未中标人提供的样品，采购人、</w:t>
            </w:r>
            <w:r>
              <w:rPr>
                <w:rFonts w:hint="eastAsia" w:ascii="仿宋" w:hAnsi="仿宋" w:eastAsia="仿宋" w:cs="仿宋"/>
                <w:sz w:val="24"/>
                <w:szCs w:val="24"/>
                <w:lang w:eastAsia="zh-CN"/>
              </w:rPr>
              <w:t>采购代理机构</w:t>
            </w:r>
            <w:r>
              <w:rPr>
                <w:rFonts w:hint="eastAsia" w:ascii="仿宋" w:hAnsi="仿宋" w:eastAsia="仿宋" w:cs="仿宋"/>
                <w:sz w:val="24"/>
                <w:szCs w:val="24"/>
              </w:rPr>
              <w:t>将通知未中标人在规定的时间内取回，逾期未取回的，采购人、</w:t>
            </w:r>
            <w:r>
              <w:rPr>
                <w:rFonts w:hint="eastAsia" w:ascii="仿宋" w:hAnsi="仿宋" w:eastAsia="仿宋" w:cs="仿宋"/>
                <w:sz w:val="24"/>
                <w:szCs w:val="24"/>
                <w:lang w:eastAsia="zh-CN"/>
              </w:rPr>
              <w:t>采购代理机构</w:t>
            </w:r>
            <w:r>
              <w:rPr>
                <w:rFonts w:hint="eastAsia" w:ascii="仿宋" w:hAnsi="仿宋" w:eastAsia="仿宋" w:cs="仿宋"/>
                <w:sz w:val="24"/>
                <w:szCs w:val="24"/>
              </w:rPr>
              <w:t>不负保管义务；对于中标人提供的样品，采购人将进行保管、封存，并作为履约验收的参考。</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（7）制作、运输、安装和保管样品所发生的一切费用由投标人自理。</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color w:val="auto"/>
                <w:sz w:val="24"/>
                <w:szCs w:val="24"/>
                <w:highlight w:val="none"/>
              </w:rPr>
              <w:t>为保证评标公正性，样品及样本上不得标注任何有关投标单位的信息，否则，做无效标处理。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rPr>
            </w:pPr>
            <w:r>
              <w:rPr>
                <w:rFonts w:hint="eastAsia" w:ascii="仿宋" w:hAnsi="仿宋" w:eastAsia="仿宋" w:cs="仿宋"/>
                <w:b/>
                <w:sz w:val="24"/>
                <w:szCs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sdt>
              <w:sdtPr>
                <w:rPr>
                  <w:rFonts w:hint="eastAsia" w:ascii="仿宋" w:hAnsi="仿宋" w:eastAsia="仿宋" w:cs="仿宋"/>
                  <w:kern w:val="0"/>
                  <w:sz w:val="24"/>
                  <w:szCs w:val="24"/>
                </w:rPr>
                <w:id w:val="23"/>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szCs w:val="24"/>
              </w:rPr>
              <w:t>A</w:t>
            </w:r>
            <w:r>
              <w:rPr>
                <w:rFonts w:hint="eastAsia" w:ascii="仿宋" w:hAnsi="仿宋" w:eastAsia="仿宋" w:cs="仿宋"/>
                <w:sz w:val="24"/>
                <w:szCs w:val="24"/>
              </w:rPr>
              <w:t>不组织。</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rPr>
            </w:pPr>
            <w:sdt>
              <w:sdtPr>
                <w:rPr>
                  <w:rFonts w:hint="eastAsia" w:ascii="仿宋" w:hAnsi="仿宋" w:eastAsia="仿宋" w:cs="仿宋"/>
                  <w:kern w:val="0"/>
                  <w:sz w:val="24"/>
                  <w:szCs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szCs w:val="24"/>
              </w:rPr>
              <w:t>B组织。</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（2）方案讲解演示：</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交易中心现场讲解演示。现场讲解地点为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，讲解演示所用电脑等设备由投标人自备。</w:t>
            </w:r>
            <w:r>
              <w:rPr>
                <w:rFonts w:hint="eastAsia" w:ascii="仿宋" w:hAnsi="仿宋" w:eastAsia="仿宋" w:cs="仿宋"/>
                <w:kern w:val="0"/>
                <w:sz w:val="24"/>
                <w:szCs w:val="24"/>
                <w:highlight w:val="none"/>
              </w:rPr>
              <w:t>现场讲解演示人员进场时须提供在投标单位参加社保的凭证、讲解人员名单（加盖公章或授权代表签名）及身份证明，否则不得讲解演示。</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
                <w:kern w:val="0"/>
                <w:sz w:val="24"/>
                <w:szCs w:val="24"/>
                <w:lang w:val="zh-CN"/>
              </w:rPr>
            </w:pPr>
            <w:r>
              <w:rPr>
                <w:rFonts w:hint="eastAsia" w:ascii="仿宋" w:hAnsi="仿宋" w:eastAsia="仿宋" w:cs="仿宋"/>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7" w:hRule="atLeast"/>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777" w:type="dxa"/>
            <w:vMerge w:val="restart"/>
            <w:tcBorders>
              <w:top w:val="single" w:color="000000" w:sz="8" w:space="0"/>
              <w:left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（1）资格证明文件：见招标文件第二部分11.1。</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0"/>
                <w:sz w:val="24"/>
                <w:szCs w:val="24"/>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jc w:val="cent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tc>
        <w:tc>
          <w:tcPr>
            <w:tcW w:w="1777" w:type="dxa"/>
            <w:vMerge w:val="continue"/>
            <w:tcBorders>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zh-CN"/>
              </w:rPr>
            </w:pPr>
            <w:sdt>
              <w:sdtPr>
                <w:rPr>
                  <w:rFonts w:hint="eastAsia" w:ascii="仿宋" w:hAnsi="仿宋" w:eastAsia="仿宋" w:cs="仿宋"/>
                  <w:sz w:val="24"/>
                  <w:szCs w:val="24"/>
                </w:rPr>
                <w:id w:val="386232013"/>
                <w14:checkbox>
                  <w14:checked w14:val="1"/>
                  <w14:checkedState w14:val="00FE" w14:font="Wingdings"/>
                  <w14:uncheckedState w14:val="2610" w14:font="MS Gothic"/>
                </w14:checkbox>
              </w:sdtPr>
              <w:sdtEndPr>
                <w:rPr>
                  <w:rFonts w:hint="eastAsia" w:ascii="仿宋" w:hAnsi="仿宋" w:eastAsia="仿宋" w:cs="仿宋"/>
                  <w:sz w:val="24"/>
                  <w:szCs w:val="24"/>
                  <w:lang w:val="zh-CN"/>
                </w:rPr>
              </w:sdtEndPr>
              <w:sdtContent>
                <w:r>
                  <w:rPr>
                    <w:rFonts w:hint="eastAsia" w:ascii="Wingdings" w:hAnsi="Wingdings" w:eastAsia="仿宋" w:cs="仿宋"/>
                    <w:kern w:val="2"/>
                    <w:sz w:val="24"/>
                    <w:szCs w:val="24"/>
                    <w:lang w:val="zh-CN" w:eastAsia="zh-CN" w:bidi="ar-SA"/>
                  </w:rPr>
                  <w:t>þ</w:t>
                </w:r>
              </w:sdtContent>
            </w:sdt>
            <w:r>
              <w:rPr>
                <w:rFonts w:hint="eastAsia" w:ascii="仿宋" w:hAnsi="仿宋" w:eastAsia="仿宋" w:cs="仿宋"/>
                <w:sz w:val="24"/>
                <w:szCs w:val="24"/>
                <w:lang w:val="zh-CN"/>
              </w:rPr>
              <w:t>依据国家确定的认证机构出具的、处于有效期之内的节能产品认证证书，对获得证书的产品实施政府优先采购或强制采购；其中，</w:t>
            </w:r>
            <w:r>
              <w:rPr>
                <w:rFonts w:hint="eastAsia" w:ascii="仿宋" w:hAnsi="仿宋" w:eastAsia="仿宋" w:cs="仿宋"/>
                <w:color w:val="auto"/>
                <w:kern w:val="0"/>
                <w:sz w:val="24"/>
                <w:szCs w:val="24"/>
                <w:lang w:val="zh-CN"/>
              </w:rPr>
              <w:t>对产品名称</w:t>
            </w:r>
            <w:r>
              <w:rPr>
                <w:rFonts w:hint="eastAsia" w:ascii="仿宋" w:hAnsi="仿宋" w:eastAsia="仿宋" w:cs="仿宋"/>
                <w:color w:val="auto"/>
                <w:kern w:val="0"/>
                <w:sz w:val="24"/>
                <w:szCs w:val="24"/>
                <w:u w:val="single"/>
                <w:lang w:val="en-US" w:eastAsia="zh-CN"/>
              </w:rPr>
              <w:t xml:space="preserve"> / </w:t>
            </w:r>
            <w:r>
              <w:rPr>
                <w:rFonts w:hint="eastAsia" w:ascii="仿宋" w:hAnsi="仿宋" w:eastAsia="仿宋" w:cs="仿宋"/>
                <w:color w:val="auto"/>
                <w:kern w:val="0"/>
                <w:sz w:val="24"/>
                <w:szCs w:val="24"/>
                <w:lang w:val="zh-CN"/>
              </w:rPr>
              <w:t>实施政府优先采购，</w:t>
            </w:r>
            <w:r>
              <w:rPr>
                <w:rFonts w:hint="eastAsia" w:ascii="仿宋" w:hAnsi="仿宋" w:eastAsia="仿宋" w:cs="仿宋"/>
                <w:color w:val="auto"/>
                <w:sz w:val="24"/>
                <w:szCs w:val="24"/>
              </w:rPr>
              <w:t>详</w:t>
            </w:r>
            <w:r>
              <w:rPr>
                <w:rFonts w:hint="eastAsia" w:ascii="仿宋" w:hAnsi="仿宋" w:eastAsia="仿宋" w:cs="仿宋"/>
                <w:color w:val="auto"/>
                <w:sz w:val="24"/>
                <w:szCs w:val="24"/>
                <w:lang w:val="zh-CN"/>
              </w:rPr>
              <w:t>见评分标准；</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zh-CN"/>
              </w:rPr>
              <w:t>对产品名称</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snapToGrid w:val="0"/>
                <w:kern w:val="0"/>
                <w:sz w:val="24"/>
                <w:szCs w:val="24"/>
                <w:highlight w:val="none"/>
                <w:u w:val="single"/>
              </w:rPr>
              <w:t>多联内机及</w:t>
            </w:r>
            <w:r>
              <w:rPr>
                <w:rFonts w:hint="eastAsia" w:ascii="仿宋" w:hAnsi="仿宋" w:eastAsia="仿宋" w:cs="仿宋"/>
                <w:snapToGrid w:val="0"/>
                <w:kern w:val="0"/>
                <w:sz w:val="24"/>
                <w:szCs w:val="24"/>
                <w:highlight w:val="none"/>
                <w:u w:val="single"/>
                <w:lang w:val="en-US" w:eastAsia="zh-CN"/>
              </w:rPr>
              <w:t>多联</w:t>
            </w:r>
            <w:r>
              <w:rPr>
                <w:rFonts w:hint="eastAsia" w:ascii="仿宋" w:hAnsi="仿宋" w:eastAsia="仿宋" w:cs="仿宋"/>
                <w:snapToGrid w:val="0"/>
                <w:kern w:val="0"/>
                <w:sz w:val="24"/>
                <w:szCs w:val="24"/>
                <w:highlight w:val="none"/>
                <w:u w:val="single"/>
              </w:rPr>
              <w:t>室外机</w:t>
            </w:r>
            <w:r>
              <w:rPr>
                <w:rFonts w:hint="eastAsia" w:ascii="仿宋" w:hAnsi="仿宋" w:eastAsia="仿宋" w:cs="仿宋"/>
                <w:color w:val="auto"/>
                <w:kern w:val="0"/>
                <w:sz w:val="24"/>
                <w:szCs w:val="24"/>
                <w:lang w:val="zh-CN"/>
              </w:rPr>
              <w:t>实施政府强制采购，</w:t>
            </w:r>
            <w:r>
              <w:rPr>
                <w:rFonts w:hint="eastAsia" w:ascii="仿宋" w:hAnsi="仿宋" w:eastAsia="仿宋" w:cs="仿宋"/>
                <w:sz w:val="24"/>
                <w:szCs w:val="24"/>
                <w:lang w:val="zh-CN"/>
              </w:rPr>
              <w:t>投标人</w:t>
            </w:r>
            <w:r>
              <w:rPr>
                <w:rFonts w:hint="eastAsia" w:ascii="仿宋" w:hAnsi="仿宋" w:eastAsia="仿宋" w:cs="仿宋"/>
                <w:sz w:val="24"/>
                <w:szCs w:val="24"/>
              </w:rPr>
              <w:t>就</w:t>
            </w:r>
            <w:r>
              <w:rPr>
                <w:rFonts w:hint="eastAsia" w:ascii="仿宋" w:hAnsi="仿宋" w:eastAsia="仿宋" w:cs="仿宋"/>
                <w:sz w:val="24"/>
                <w:szCs w:val="24"/>
                <w:lang w:val="zh-CN"/>
              </w:rPr>
              <w:t>相应的投标产品未</w:t>
            </w:r>
            <w:r>
              <w:rPr>
                <w:rFonts w:hint="eastAsia" w:ascii="仿宋" w:hAnsi="仿宋" w:eastAsia="仿宋" w:cs="仿宋"/>
                <w:sz w:val="24"/>
                <w:szCs w:val="24"/>
              </w:rPr>
              <w:t>提供</w:t>
            </w:r>
            <w:r>
              <w:rPr>
                <w:rFonts w:hint="eastAsia" w:ascii="仿宋" w:hAnsi="仿宋" w:eastAsia="仿宋" w:cs="仿宋"/>
                <w:sz w:val="24"/>
                <w:szCs w:val="24"/>
                <w:lang w:val="zh-CN"/>
              </w:rPr>
              <w:t>国家确定的认证机构出具的、处于有效期之内的节能产品认证证书的，投标无效。</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FF"/>
                <w:kern w:val="0"/>
                <w:sz w:val="24"/>
                <w:szCs w:val="24"/>
                <w:lang w:val="zh-CN"/>
              </w:rPr>
            </w:pPr>
            <w:sdt>
              <w:sdtPr>
                <w:rPr>
                  <w:rFonts w:hint="eastAsia" w:ascii="仿宋" w:hAnsi="仿宋" w:eastAsia="仿宋" w:cs="仿宋"/>
                  <w:sz w:val="24"/>
                  <w:szCs w:val="24"/>
                  <w:lang w:val="zh-CN"/>
                </w:rPr>
                <w:id w:val="93515011"/>
                <w14:checkbox>
                  <w14:checked w14:val="1"/>
                  <w14:checkedState w14:val="00FE" w14:font="Wingdings"/>
                  <w14:uncheckedState w14:val="2610" w14:font="MS Gothic"/>
                </w14:checkbox>
              </w:sdtPr>
              <w:sdtEndPr>
                <w:rPr>
                  <w:rFonts w:hint="eastAsia" w:ascii="仿宋" w:hAnsi="仿宋" w:eastAsia="仿宋" w:cs="仿宋"/>
                  <w:sz w:val="24"/>
                  <w:szCs w:val="24"/>
                  <w:lang w:val="zh-CN"/>
                </w:rPr>
              </w:sdtEndPr>
              <w:sdtContent>
                <w:r>
                  <w:rPr>
                    <w:rFonts w:hint="eastAsia" w:ascii="Wingdings" w:hAnsi="Wingdings" w:eastAsia="仿宋" w:cs="仿宋"/>
                    <w:kern w:val="2"/>
                    <w:sz w:val="24"/>
                    <w:szCs w:val="24"/>
                    <w:lang w:val="zh-CN" w:eastAsia="zh-CN" w:bidi="ar-SA"/>
                  </w:rPr>
                  <w:t>þ</w:t>
                </w:r>
              </w:sdtContent>
            </w:sdt>
            <w:r>
              <w:rPr>
                <w:rFonts w:hint="eastAsia" w:ascii="仿宋" w:hAnsi="仿宋" w:eastAsia="仿宋" w:cs="仿宋"/>
                <w:sz w:val="24"/>
                <w:szCs w:val="24"/>
                <w:lang w:val="zh-CN"/>
              </w:rPr>
              <w:t>依据国家确定的认证机构出具的、处于有效期之内的环境标志产品认证证书，</w:t>
            </w:r>
            <w:r>
              <w:rPr>
                <w:rFonts w:hint="eastAsia" w:ascii="仿宋" w:hAnsi="仿宋" w:eastAsia="仿宋" w:cs="仿宋"/>
                <w:color w:val="auto"/>
                <w:kern w:val="0"/>
                <w:sz w:val="24"/>
                <w:szCs w:val="24"/>
                <w:lang w:val="zh-CN"/>
              </w:rPr>
              <w:t>对获得证书的产品名称</w:t>
            </w:r>
            <w:r>
              <w:rPr>
                <w:rFonts w:hint="eastAsia" w:ascii="仿宋" w:hAnsi="仿宋" w:eastAsia="仿宋" w:cs="仿宋"/>
                <w:snapToGrid w:val="0"/>
                <w:kern w:val="0"/>
                <w:sz w:val="24"/>
                <w:szCs w:val="24"/>
                <w:highlight w:val="none"/>
                <w:u w:val="single"/>
              </w:rPr>
              <w:t>多联内机及</w:t>
            </w:r>
            <w:r>
              <w:rPr>
                <w:rFonts w:hint="eastAsia" w:ascii="仿宋" w:hAnsi="仿宋" w:eastAsia="仿宋" w:cs="仿宋"/>
                <w:snapToGrid w:val="0"/>
                <w:kern w:val="0"/>
                <w:sz w:val="24"/>
                <w:szCs w:val="24"/>
                <w:highlight w:val="none"/>
                <w:u w:val="single"/>
                <w:lang w:val="en-US" w:eastAsia="zh-CN"/>
              </w:rPr>
              <w:t>多联</w:t>
            </w:r>
            <w:r>
              <w:rPr>
                <w:rFonts w:hint="eastAsia" w:ascii="仿宋" w:hAnsi="仿宋" w:eastAsia="仿宋" w:cs="仿宋"/>
                <w:snapToGrid w:val="0"/>
                <w:kern w:val="0"/>
                <w:sz w:val="24"/>
                <w:szCs w:val="24"/>
                <w:highlight w:val="none"/>
                <w:u w:val="single"/>
              </w:rPr>
              <w:t>室外机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lang w:val="zh-CN"/>
              </w:rPr>
              <w:t>实施政府优先采购，详见评分标准。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sdt>
              <w:sdtPr>
                <w:rPr>
                  <w:rFonts w:hint="eastAsia" w:ascii="仿宋" w:hAnsi="仿宋" w:eastAsia="仿宋" w:cs="仿宋"/>
                  <w:sz w:val="24"/>
                  <w:szCs w:val="24"/>
                </w:rPr>
                <w:id w:val="-378003639"/>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kern w:val="0"/>
                <w:sz w:val="24"/>
                <w:szCs w:val="24"/>
                <w:lang w:val="zh-CN"/>
              </w:rPr>
              <w:t>有关本项目实施所需的所有费用（含税费）均计入报价。投标文件开标一览表（报价表）</w:t>
            </w:r>
            <w:r>
              <w:rPr>
                <w:rFonts w:hint="eastAsia" w:ascii="仿宋" w:hAnsi="仿宋" w:eastAsia="仿宋" w:cs="仿宋"/>
                <w:sz w:val="24"/>
                <w:szCs w:val="24"/>
              </w:rPr>
              <w:t>是报价的唯一载体</w:t>
            </w:r>
            <w:r>
              <w:rPr>
                <w:rFonts w:hint="eastAsia" w:ascii="仿宋" w:hAnsi="仿宋" w:eastAsia="仿宋" w:cs="仿宋"/>
                <w:sz w:val="24"/>
                <w:szCs w:val="24"/>
                <w:lang w:eastAsia="zh-CN"/>
              </w:rPr>
              <w:t>，如投标人在政府采购云平台填写的投标报价与投标文件报价文件中开标一览表（报价表）不一致的，以报价文件中开标一览表（报价表）为准。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kern w:val="0"/>
                <w:sz w:val="24"/>
                <w:szCs w:val="24"/>
                <w:lang w:val="zh-CN"/>
              </w:rPr>
              <w:t>提醒：</w:t>
            </w:r>
            <w:r>
              <w:rPr>
                <w:rFonts w:hint="eastAsia" w:ascii="仿宋" w:hAnsi="仿宋" w:eastAsia="仿宋" w:cs="仿宋"/>
                <w:b/>
                <w:color w:val="auto"/>
                <w:kern w:val="0"/>
                <w:sz w:val="24"/>
                <w:szCs w:val="24"/>
                <w:highlight w:val="none"/>
                <w:lang w:val="zh-CN"/>
              </w:rPr>
              <w:t>验收时检测费用由</w:t>
            </w:r>
            <w:r>
              <w:rPr>
                <w:rFonts w:hint="eastAsia" w:ascii="仿宋" w:hAnsi="仿宋" w:eastAsia="仿宋" w:cs="仿宋"/>
                <w:b/>
                <w:color w:val="auto"/>
                <w:kern w:val="0"/>
                <w:sz w:val="24"/>
                <w:szCs w:val="24"/>
                <w:highlight w:val="none"/>
                <w:lang w:val="en-US" w:eastAsia="zh-CN"/>
              </w:rPr>
              <w:t>采购人</w:t>
            </w:r>
            <w:r>
              <w:rPr>
                <w:rFonts w:hint="eastAsia" w:ascii="仿宋" w:hAnsi="仿宋" w:eastAsia="仿宋" w:cs="仿宋"/>
                <w:b/>
                <w:color w:val="auto"/>
                <w:kern w:val="0"/>
                <w:sz w:val="24"/>
                <w:szCs w:val="24"/>
                <w:highlight w:val="none"/>
                <w:lang w:val="zh-CN"/>
              </w:rPr>
              <w:t>承担，不包含在投标总价中。</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投标报价出现下列情形的，投标无效：</w:t>
            </w:r>
          </w:p>
          <w:p>
            <w:pPr>
              <w:keepNext w:val="0"/>
              <w:keepLines w:val="0"/>
              <w:pageBreakBefore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投标文件出现不是唯一的、有选择性投标报价的；</w:t>
            </w:r>
          </w:p>
          <w:p>
            <w:pPr>
              <w:keepNext w:val="0"/>
              <w:keepLines w:val="0"/>
              <w:pageBreakBefore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b/>
                <w:bCs w:val="0"/>
                <w:kern w:val="0"/>
                <w:sz w:val="24"/>
                <w:szCs w:val="24"/>
                <w:lang w:val="zh-CN" w:eastAsia="zh-CN" w:bidi="ar-SA"/>
              </w:rPr>
            </w:pPr>
            <w:r>
              <w:rPr>
                <w:rFonts w:hint="eastAsia" w:ascii="仿宋" w:hAnsi="仿宋" w:eastAsia="仿宋" w:cs="仿宋"/>
                <w:b/>
                <w:kern w:val="0"/>
                <w:sz w:val="24"/>
                <w:szCs w:val="24"/>
                <w:lang w:val="zh-CN"/>
              </w:rPr>
              <w:t>投标报价超过招标文件中规定的预算金额或者最高限价的;</w:t>
            </w:r>
          </w:p>
          <w:p>
            <w:pPr>
              <w:keepNext w:val="0"/>
              <w:keepLines w:val="0"/>
              <w:pageBreakBefore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b/>
                <w:sz w:val="24"/>
                <w:szCs w:val="24"/>
              </w:rPr>
            </w:pPr>
            <w:r>
              <w:rPr>
                <w:rFonts w:hint="eastAsia" w:ascii="仿宋" w:hAnsi="仿宋" w:eastAsia="仿宋" w:cs="仿宋"/>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4"/>
              </w:rPr>
              <w:t>;</w:t>
            </w:r>
          </w:p>
          <w:p>
            <w:pPr>
              <w:keepNext w:val="0"/>
              <w:keepLines w:val="0"/>
              <w:pageBreakBefore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sz w:val="24"/>
                <w:szCs w:val="24"/>
              </w:rPr>
            </w:pPr>
            <w:r>
              <w:rPr>
                <w:rFonts w:hint="eastAsia" w:ascii="仿宋" w:hAnsi="仿宋" w:eastAsia="仿宋" w:cs="仿宋"/>
                <w:b/>
                <w:kern w:val="0"/>
                <w:sz w:val="24"/>
                <w:szCs w:val="24"/>
              </w:rPr>
              <w:t>投标人对根据修正原则修正后的报价不确认的</w:t>
            </w: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777" w:type="dxa"/>
            <w:vMerge w:val="restar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bottom w:val="single" w:color="000000" w:sz="8" w:space="0"/>
              <w:right w:val="single" w:color="000000" w:sz="2" w:space="0"/>
            </w:tcBorders>
            <w:vAlign w:val="center"/>
          </w:tcPr>
          <w:p>
            <w:pPr>
              <w:keepNext w:val="0"/>
              <w:keepLines w:val="0"/>
              <w:pageBreakBefore w:val="0"/>
              <w:kinsoku/>
              <w:wordWrap/>
              <w:overflowPunct/>
              <w:topLinePunct w:val="0"/>
              <w:autoSpaceDE/>
              <w:autoSpaceDN/>
              <w:bidi w:val="0"/>
              <w:adjustRightInd w:val="0"/>
              <w:spacing w:line="240" w:lineRule="auto"/>
              <w:ind w:firstLine="480" w:firstLineChars="200"/>
              <w:jc w:val="center"/>
              <w:textAlignment w:val="auto"/>
              <w:rPr>
                <w:rFonts w:hint="eastAsia" w:ascii="仿宋" w:hAnsi="仿宋" w:eastAsia="仿宋" w:cs="仿宋"/>
                <w:sz w:val="24"/>
                <w:szCs w:val="24"/>
              </w:rPr>
            </w:pPr>
          </w:p>
        </w:tc>
        <w:tc>
          <w:tcPr>
            <w:tcW w:w="1777" w:type="dxa"/>
            <w:vMerge w:val="continue"/>
            <w:tcBorders>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z w:val="24"/>
                <w:szCs w:val="24"/>
              </w:rPr>
            </w:pP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77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联合体投标的，联合体各方分别提供与联合体协议中规定的分工内容相应的业绩证明材料，业绩数量以提供材料较少的一方为准</w:t>
            </w:r>
            <w:r>
              <w:rPr>
                <w:rFonts w:hint="eastAsia" w:ascii="仿宋" w:hAnsi="仿宋" w:eastAsia="仿宋" w:cs="仿宋"/>
                <w:b/>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jc w:val="cent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p>
        </w:tc>
        <w:tc>
          <w:tcPr>
            <w:tcW w:w="177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28"/>
                <w:sz w:val="24"/>
                <w:szCs w:val="24"/>
              </w:rPr>
            </w:pPr>
            <w:sdt>
              <w:sdtPr>
                <w:rPr>
                  <w:rFonts w:hint="eastAsia" w:ascii="仿宋" w:hAnsi="仿宋" w:eastAsia="仿宋" w:cs="仿宋"/>
                  <w:kern w:val="0"/>
                  <w:sz w:val="24"/>
                  <w:szCs w:val="24"/>
                </w:rPr>
                <w:id w:val="1187950727"/>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snapToGrid w:val="0"/>
                <w:kern w:val="28"/>
                <w:sz w:val="24"/>
                <w:szCs w:val="24"/>
              </w:rPr>
              <w:t>联合体投标的，联合体各方均需按招标文件第四部分评标标准要求提供资信证明文件，否则视为不符合相关要求。</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28"/>
                <w:sz w:val="24"/>
                <w:szCs w:val="24"/>
              </w:rPr>
            </w:pPr>
            <w:sdt>
              <w:sdtPr>
                <w:rPr>
                  <w:rFonts w:hint="eastAsia" w:ascii="仿宋" w:hAnsi="仿宋" w:eastAsia="仿宋" w:cs="仿宋"/>
                  <w:kern w:val="0"/>
                  <w:sz w:val="24"/>
                  <w:szCs w:val="24"/>
                </w:rPr>
                <w:id w:val="1504401428"/>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sym w:font="Wingdings" w:char="F0FE"/>
                </w:r>
              </w:sdtContent>
            </w:sdt>
            <w:r>
              <w:rPr>
                <w:rFonts w:hint="eastAsia" w:ascii="仿宋" w:hAnsi="仿宋" w:eastAsia="仿宋" w:cs="仿宋"/>
                <w:snapToGrid w:val="0"/>
                <w:kern w:val="28"/>
                <w:sz w:val="24"/>
                <w:szCs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jc w:val="cent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p>
        </w:tc>
        <w:tc>
          <w:tcPr>
            <w:tcW w:w="177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rPr>
            </w:pP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17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sz w:val="24"/>
                <w:szCs w:val="24"/>
                <w:lang w:eastAsia="zh-CN"/>
              </w:rPr>
              <w:t>钱塘区公共资源交易领域突出问题专项整治线索征集公告</w:t>
            </w:r>
          </w:p>
        </w:tc>
        <w:tc>
          <w:tcPr>
            <w:tcW w:w="616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为进一步贯彻落实省市区“招投标领域专项整治与提升”工作要求，维护公平竞争的市场环境，现开设公共资源交易领域违法线索征集渠道，线索反馈联系方式如下：</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钱塘区</w:t>
            </w:r>
            <w:r>
              <w:rPr>
                <w:rFonts w:hint="eastAsia" w:ascii="仿宋" w:hAnsi="仿宋" w:eastAsia="仿宋" w:cs="仿宋"/>
                <w:kern w:val="0"/>
                <w:sz w:val="24"/>
                <w:szCs w:val="24"/>
                <w:lang w:eastAsia="zh-CN"/>
              </w:rPr>
              <w:t>财政局</w:t>
            </w:r>
            <w:r>
              <w:rPr>
                <w:rFonts w:hint="eastAsia" w:ascii="仿宋" w:hAnsi="仿宋" w:eastAsia="仿宋" w:cs="仿宋"/>
                <w:kern w:val="0"/>
                <w:sz w:val="24"/>
                <w:szCs w:val="24"/>
              </w:rPr>
              <w:t>：ryp2001@</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"http://163.com/" \t "/tmp/22591/wps-root/x/_blank"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163.com</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 xml:space="preserve"> </w:t>
            </w:r>
          </w:p>
          <w:p>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钱塘区公共资源交易管理办公室:qtqgzb@163.com</w:t>
            </w:r>
          </w:p>
        </w:tc>
      </w:tr>
      <w:bookmarkEnd w:id="10"/>
    </w:tbl>
    <w:p>
      <w:pPr>
        <w:snapToGrid w:val="0"/>
        <w:spacing w:line="360" w:lineRule="auto"/>
        <w:jc w:val="center"/>
        <w:rPr>
          <w:rFonts w:hint="eastAsia"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color w:val="000000"/>
          <w:kern w:val="0"/>
          <w:szCs w:val="21"/>
          <w:lang w:bidi="ar"/>
        </w:rPr>
        <w:t>■</w:t>
      </w:r>
      <w:r>
        <w:rPr>
          <w:rFonts w:hint="eastAsia" w:ascii="仿宋" w:hAnsi="仿宋" w:eastAsia="仿宋" w:cs="仿宋"/>
          <w:sz w:val="24"/>
        </w:rPr>
        <w:t>”系指重要技术指标。</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sz w:val="24"/>
          <w:lang w:eastAsia="zh-CN"/>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sz w:val="24"/>
          <w:lang w:val="en-US" w:eastAsia="zh-CN"/>
        </w:rPr>
        <w:t>10%-</w:t>
      </w:r>
      <w:r>
        <w:rPr>
          <w:rFonts w:hint="eastAsia" w:ascii="仿宋" w:hAnsi="仿宋" w:eastAsia="仿宋" w:cs="仿宋"/>
          <w:sz w:val="24"/>
        </w:rPr>
        <w:t>20%的扣除</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w:t>
      </w:r>
      <w:r>
        <w:rPr>
          <w:rFonts w:hint="eastAsia" w:ascii="仿宋" w:hAnsi="仿宋" w:eastAsia="仿宋" w:cs="仿宋"/>
          <w:sz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w:t>
      </w:r>
      <w:r>
        <w:rPr>
          <w:rFonts w:hint="eastAsia" w:ascii="仿宋" w:hAnsi="仿宋" w:eastAsia="仿宋" w:cs="仿宋"/>
          <w:sz w:val="24"/>
          <w:highlight w:val="none"/>
        </w:rPr>
        <w:t>予</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6%（</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评标办分法明确具体的扣除比例，未明确的，</w:t>
      </w:r>
      <w:r>
        <w:rPr>
          <w:rFonts w:hint="eastAsia" w:ascii="仿宋" w:hAnsi="仿宋" w:eastAsia="仿宋" w:cs="仿宋"/>
          <w:sz w:val="24"/>
          <w:highlight w:val="none"/>
        </w:rPr>
        <w:t>给予6%的扣除）的扣除，用扣除后的价格参加评审。组成联合体或者接受分包的小微企业与联合体</w:t>
      </w:r>
      <w:r>
        <w:rPr>
          <w:rFonts w:hint="eastAsia" w:ascii="仿宋" w:hAnsi="仿宋" w:eastAsia="仿宋" w:cs="仿宋"/>
          <w:sz w:val="24"/>
        </w:rPr>
        <w:t>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highlight w:val="yellow"/>
        </w:rPr>
        <w:cr/>
      </w:r>
      <w:r>
        <w:rPr>
          <w:rFonts w:hint="eastAsia" w:ascii="仿宋" w:hAnsi="仿宋" w:eastAsia="仿宋" w:cs="仿宋"/>
          <w:b/>
          <w:sz w:val="24"/>
        </w:rPr>
        <w:t>4. 询问、质疑、投诉</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1</w:t>
      </w:r>
      <w:r>
        <w:rPr>
          <w:rFonts w:hint="eastAsia" w:ascii="仿宋" w:hAnsi="仿宋" w:eastAsia="仿宋" w:cs="仿宋"/>
        </w:rPr>
        <w:t>在线</w:t>
      </w:r>
      <w:r>
        <w:rPr>
          <w:rFonts w:hint="eastAsia" w:ascii="仿宋" w:hAnsi="仿宋" w:eastAsia="仿宋" w:cs="仿宋"/>
          <w:lang w:eastAsia="zh-CN"/>
        </w:rPr>
        <w:t>询问、</w:t>
      </w:r>
      <w:r>
        <w:rPr>
          <w:rFonts w:hint="eastAsia" w:ascii="仿宋" w:hAnsi="仿宋" w:eastAsia="仿宋" w:cs="仿宋"/>
        </w:rPr>
        <w:t>质疑、投诉</w:t>
      </w:r>
    </w:p>
    <w:p>
      <w:pPr>
        <w:pStyle w:val="893"/>
        <w:shd w:val="clear" w:color="auto" w:fill="FFFFFF"/>
        <w:snapToGrid w:val="0"/>
        <w:spacing w:after="240" w:line="360" w:lineRule="auto"/>
        <w:ind w:firstLine="480" w:firstLineChars="200"/>
        <w:contextualSpacing/>
        <w:rPr>
          <w:rFonts w:hint="eastAsia" w:ascii="仿宋" w:hAnsi="仿宋" w:eastAsia="仿宋" w:cs="仿宋"/>
          <w:kern w:val="2"/>
        </w:rPr>
      </w:pPr>
      <w:r>
        <w:rPr>
          <w:rFonts w:hint="eastAsia" w:ascii="仿宋" w:hAnsi="仿宋" w:eastAsia="仿宋" w:cs="仿宋"/>
          <w:kern w:val="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3"/>
        <w:shd w:val="clear" w:color="auto" w:fill="FFFFFF"/>
        <w:snapToGrid w:val="0"/>
        <w:spacing w:after="240"/>
        <w:ind w:firstLine="480" w:firstLineChars="200"/>
        <w:contextualSpacing/>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供应商质疑</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w:t>
      </w:r>
      <w:r>
        <w:rPr>
          <w:rFonts w:hint="eastAsia" w:ascii="仿宋" w:hAnsi="仿宋" w:eastAsia="仿宋" w:cs="仿宋"/>
          <w:snapToGrid/>
          <w:color w:val="auto"/>
          <w:kern w:val="2"/>
          <w:sz w:val="24"/>
          <w:lang w:val="en-US" w:eastAsia="zh-CN"/>
        </w:rPr>
        <w:t>3</w:t>
      </w:r>
      <w:r>
        <w:rPr>
          <w:rFonts w:hint="eastAsia" w:ascii="仿宋" w:hAnsi="仿宋" w:eastAsia="仿宋" w:cs="仿宋"/>
          <w:snapToGrid/>
          <w:color w:val="auto"/>
          <w:kern w:val="2"/>
          <w:sz w:val="24"/>
        </w:rPr>
        <w:t>.2.1对招标文件提出质疑的，质疑期限为供应商获得招标文件之日或者招标文件公告期限届满之日起计算。</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3</w:t>
      </w:r>
      <w:r>
        <w:rPr>
          <w:rFonts w:hint="eastAsia" w:ascii="仿宋" w:hAnsi="仿宋" w:eastAsia="仿宋" w:cs="仿宋"/>
          <w:sz w:val="24"/>
        </w:rPr>
        <w:t>.2.2对采购过程提出质疑的，质疑期限为各采购程序环节结束之日起计算。</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3</w:t>
      </w:r>
      <w:r>
        <w:rPr>
          <w:rFonts w:hint="eastAsia" w:ascii="仿宋" w:hAnsi="仿宋" w:eastAsia="仿宋" w:cs="仿宋"/>
          <w:sz w:val="24"/>
        </w:rPr>
        <w:t>.2.3对采购结果提出质疑的，质疑期限自采购结果公告期限届满之日起计算。</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.3.1供应商的姓名或者名称、地址、邮编、联系人及联系电话；</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.3.2质疑项目的名称、编号；</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.3.3具体、明确的质疑事项和与质疑事项相关的请求；</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.3.4事实依据；</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.3.5必要的法律依据；</w:t>
      </w:r>
    </w:p>
    <w:p>
      <w:pPr>
        <w:pStyle w:val="36"/>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.3.6提出质疑的日期。</w:t>
      </w:r>
    </w:p>
    <w:p>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3</w:t>
      </w:r>
      <w:r>
        <w:rPr>
          <w:rFonts w:hint="eastAsia" w:ascii="仿宋" w:hAnsi="仿宋" w:eastAsia="仿宋" w:cs="仿宋"/>
        </w:rPr>
        <w:t>.4对同一采购程序环节的质疑，供应商须在法定质疑期内一次性提出。</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lang w:val="zh-CN"/>
        </w:rPr>
        <w:t>4.</w:t>
      </w:r>
      <w:r>
        <w:rPr>
          <w:rFonts w:hint="eastAsia" w:ascii="仿宋" w:hAnsi="仿宋" w:eastAsia="仿宋" w:cs="仿宋"/>
          <w:lang w:val="en-US" w:eastAsia="zh-CN"/>
        </w:rPr>
        <w:t>3</w:t>
      </w:r>
      <w:r>
        <w:rPr>
          <w:rFonts w:hint="eastAsia" w:ascii="仿宋" w:hAnsi="仿宋" w:eastAsia="仿宋" w:cs="仿宋"/>
        </w:rPr>
        <w:t>.5采购人或者</w:t>
      </w:r>
      <w:r>
        <w:rPr>
          <w:rFonts w:hint="eastAsia" w:ascii="仿宋" w:hAnsi="仿宋" w:eastAsia="仿宋" w:cs="仿宋"/>
          <w:lang w:eastAsia="zh-CN"/>
        </w:rPr>
        <w:t>采购代理机构</w:t>
      </w:r>
      <w:r>
        <w:rPr>
          <w:rFonts w:hint="eastAsia" w:ascii="仿宋" w:hAnsi="仿宋" w:eastAsia="仿宋" w:cs="仿宋"/>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lang w:eastAsia="zh-CN"/>
        </w:rPr>
        <w:t>采购代理机构</w:t>
      </w:r>
      <w:r>
        <w:rPr>
          <w:rFonts w:hint="eastAsia" w:ascii="仿宋" w:hAnsi="仿宋" w:eastAsia="仿宋" w:cs="仿宋"/>
        </w:rPr>
        <w:t>在质疑回复后5个工作日内，在浙江政府采购网的“其他公告”栏目公开质疑答复，答复内容应当完整。质疑函作为附件上传。</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lang w:val="zh-CN"/>
        </w:rPr>
        <w:t>4.</w:t>
      </w:r>
      <w:r>
        <w:rPr>
          <w:rFonts w:hint="eastAsia" w:ascii="仿宋" w:hAnsi="仿宋" w:eastAsia="仿宋" w:cs="仿宋"/>
          <w:lang w:val="en-US" w:eastAsia="zh-CN"/>
        </w:rPr>
        <w:t>3</w:t>
      </w:r>
      <w:r>
        <w:rPr>
          <w:rFonts w:hint="eastAsia" w:ascii="仿宋" w:hAnsi="仿宋" w:eastAsia="仿宋" w:cs="仿宋"/>
        </w:rPr>
        <w:t>.6询问或者质疑事项可能影响采购结果的，采购人应当暂停签订合同，已经签订合同的，应当中止履行合同。</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w:t>
      </w:r>
      <w:r>
        <w:rPr>
          <w:rFonts w:hint="eastAsia" w:ascii="仿宋" w:hAnsi="仿宋" w:eastAsia="仿宋" w:cs="仿宋"/>
          <w:lang w:val="en-US" w:eastAsia="zh-CN"/>
        </w:rPr>
        <w:t>4</w:t>
      </w:r>
      <w:r>
        <w:rPr>
          <w:rFonts w:hint="eastAsia" w:ascii="仿宋" w:hAnsi="仿宋" w:eastAsia="仿宋" w:cs="仿宋"/>
          <w:lang w:val="zh-CN"/>
        </w:rPr>
        <w:t>供应商投诉</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4</w:t>
      </w:r>
      <w:r>
        <w:rPr>
          <w:rFonts w:hint="eastAsia" w:ascii="仿宋" w:hAnsi="仿宋" w:eastAsia="仿宋" w:cs="仿宋"/>
        </w:rPr>
        <w:t>.1质疑供应商对采购人、</w:t>
      </w:r>
      <w:r>
        <w:rPr>
          <w:rFonts w:hint="eastAsia" w:ascii="仿宋" w:hAnsi="仿宋" w:eastAsia="仿宋" w:cs="仿宋"/>
          <w:lang w:eastAsia="zh-CN"/>
        </w:rPr>
        <w:t>采购代理机构</w:t>
      </w:r>
      <w:r>
        <w:rPr>
          <w:rFonts w:hint="eastAsia" w:ascii="仿宋" w:hAnsi="仿宋" w:eastAsia="仿宋" w:cs="仿宋"/>
        </w:rPr>
        <w:t>的答复不满意或者采购人、</w:t>
      </w:r>
      <w:r>
        <w:rPr>
          <w:rFonts w:hint="eastAsia" w:ascii="仿宋" w:hAnsi="仿宋" w:eastAsia="仿宋" w:cs="仿宋"/>
          <w:lang w:eastAsia="zh-CN"/>
        </w:rPr>
        <w:t>采购代理机构</w:t>
      </w:r>
      <w:r>
        <w:rPr>
          <w:rFonts w:hint="eastAsia" w:ascii="仿宋" w:hAnsi="仿宋" w:eastAsia="仿宋" w:cs="仿宋"/>
        </w:rPr>
        <w:t>未在规定的时间内作出答复的，可以在答复期满后十五个工作日内向同级政府采购监督管理部门提出投诉。</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4</w:t>
      </w:r>
      <w:r>
        <w:rPr>
          <w:rFonts w:hint="eastAsia" w:ascii="仿宋" w:hAnsi="仿宋" w:eastAsia="仿宋" w:cs="仿宋"/>
        </w:rPr>
        <w:t>.3供应商投诉应当有明确的请求和必要的证明材料。</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4</w:t>
      </w:r>
      <w:r>
        <w:rPr>
          <w:rFonts w:hint="eastAsia" w:ascii="仿宋" w:hAnsi="仿宋" w:eastAsia="仿宋" w:cs="仿宋"/>
        </w:rPr>
        <w:t>.4以联合体形式参加政府采购活动的，其投诉应当由组成联合体的所有供应商共同提出。</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pPr>
        <w:pStyle w:val="135"/>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b/>
          <w:sz w:val="24"/>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2"/>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15.</w:t>
      </w:r>
      <w:r>
        <w:rPr>
          <w:rFonts w:hint="eastAsia" w:ascii="仿宋" w:hAnsi="仿宋" w:eastAsia="仿宋" w:cs="仿宋"/>
          <w:b/>
          <w:szCs w:val="24"/>
          <w:lang w:val="en-US" w:eastAsia="zh-CN"/>
        </w:rPr>
        <w:t xml:space="preserve"> </w:t>
      </w:r>
      <w:r>
        <w:rPr>
          <w:rFonts w:hint="eastAsia" w:ascii="仿宋" w:hAnsi="仿宋" w:eastAsia="仿宋" w:cs="仿宋"/>
          <w:b/>
          <w:szCs w:val="24"/>
        </w:rPr>
        <w:t>投标文件的无效处理</w:t>
      </w:r>
    </w:p>
    <w:p>
      <w:pPr>
        <w:pStyle w:val="27"/>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5"/>
        <w:numPr>
          <w:ilvl w:val="0"/>
          <w:numId w:val="0"/>
        </w:numPr>
        <w:spacing w:before="0"/>
        <w:rPr>
          <w:rFonts w:hint="eastAsia" w:ascii="仿宋" w:hAnsi="仿宋" w:eastAsia="仿宋" w:cs="仿宋"/>
          <w:b/>
          <w:szCs w:val="24"/>
        </w:rPr>
      </w:pPr>
      <w:r>
        <w:rPr>
          <w:rFonts w:hint="eastAsia" w:ascii="仿宋" w:hAnsi="仿宋" w:eastAsia="仿宋" w:cs="仿宋"/>
          <w:b/>
          <w:szCs w:val="24"/>
          <w:lang w:val="en-US" w:eastAsia="zh-CN"/>
        </w:rPr>
        <w:t xml:space="preserve">16. </w:t>
      </w:r>
      <w:r>
        <w:rPr>
          <w:rFonts w:hint="eastAsia" w:ascii="仿宋" w:hAnsi="仿宋" w:eastAsia="仿宋" w:cs="仿宋"/>
          <w:b/>
          <w:szCs w:val="24"/>
        </w:rPr>
        <w:t>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spacing w:line="360" w:lineRule="auto"/>
        <w:ind w:firstLine="480" w:firstLineChars="200"/>
        <w:rPr>
          <w:rFonts w:hint="eastAsia" w:ascii="仿宋" w:hAnsi="仿宋" w:eastAsia="仿宋" w:cs="仿宋"/>
          <w:bCs/>
          <w:sz w:val="24"/>
          <w:szCs w:val="21"/>
        </w:rPr>
      </w:pPr>
      <w:r>
        <w:rPr>
          <w:rFonts w:hint="eastAsia" w:ascii="仿宋" w:hAnsi="仿宋" w:eastAsia="仿宋" w:cs="仿宋"/>
          <w:bCs/>
          <w:sz w:val="24"/>
          <w:szCs w:val="21"/>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bCs/>
          <w:sz w:val="24"/>
          <w:szCs w:val="21"/>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35"/>
        <w:spacing w:before="0"/>
        <w:ind w:firstLine="480"/>
        <w:rPr>
          <w:rFonts w:hint="eastAsia" w:ascii="仿宋" w:hAnsi="仿宋" w:eastAsia="仿宋" w:cs="仿宋"/>
        </w:rPr>
      </w:pPr>
      <w:r>
        <w:rPr>
          <w:rFonts w:hint="eastAsia" w:ascii="仿宋" w:hAnsi="仿宋" w:eastAsia="仿宋" w:cs="仿宋"/>
        </w:rPr>
        <w:t>16.2投标文件合格投递后，自投标截止日期起，在投标有效期内有效。</w:t>
      </w:r>
    </w:p>
    <w:p>
      <w:pPr>
        <w:pStyle w:val="135"/>
        <w:spacing w:before="0"/>
        <w:ind w:firstLine="480"/>
        <w:rPr>
          <w:rFonts w:hint="eastAsia" w:ascii="仿宋" w:hAnsi="仿宋" w:eastAsia="仿宋" w:cs="仿宋"/>
        </w:rPr>
      </w:pPr>
      <w:r>
        <w:rPr>
          <w:rFonts w:hint="eastAsia" w:ascii="仿宋" w:hAnsi="仿宋" w:eastAsia="仿宋" w:cs="仿宋"/>
        </w:rPr>
        <w:t>16.3在原定投标有效期满之前，如果出现特殊情况，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可以以书面形式通知投标人延长投标有效期。投标人同意延长的，不得要求或被允许修改其投标文件，投标人拒绝延长的，其投标无效。</w:t>
      </w:r>
    </w:p>
    <w:p>
      <w:pPr>
        <w:pStyle w:val="135"/>
        <w:spacing w:before="0"/>
        <w:ind w:firstLine="480"/>
        <w:rPr>
          <w:rFonts w:hint="eastAsia" w:ascii="仿宋" w:hAnsi="仿宋" w:eastAsia="仿宋" w:cs="仿宋"/>
        </w:rPr>
      </w:pPr>
      <w:r>
        <w:rPr>
          <w:rFonts w:hint="eastAsia" w:ascii="仿宋" w:hAnsi="仿宋" w:eastAsia="仿宋" w:cs="仿宋"/>
          <w:b w:val="0"/>
          <w:bCs/>
          <w:sz w:val="24"/>
          <w:szCs w:val="16"/>
          <w:lang w:val="en-US" w:eastAsia="zh-CN"/>
        </w:rPr>
        <w:t>16.4在投标截止时间起至投标有效期届满，供应商投标文件不可撤销。</w:t>
      </w:r>
    </w:p>
    <w:p>
      <w:pPr>
        <w:pStyle w:val="13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61"/>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17.</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开标</w:t>
      </w:r>
      <w:r>
        <w:rPr>
          <w:rFonts w:hint="eastAsia" w:ascii="仿宋" w:hAnsi="仿宋" w:eastAsia="仿宋" w:cs="仿宋"/>
          <w:sz w:val="24"/>
        </w:rPr>
        <w:t xml:space="preserve"> </w:t>
      </w:r>
    </w:p>
    <w:p>
      <w:pPr>
        <w:pStyle w:val="56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17.1</w:t>
      </w:r>
      <w:r>
        <w:rPr>
          <w:rFonts w:hint="eastAsia" w:ascii="仿宋" w:hAnsi="仿宋" w:eastAsia="仿宋" w:cs="仿宋"/>
          <w:sz w:val="24"/>
          <w:lang w:eastAsia="zh-CN"/>
        </w:rPr>
        <w:t>采购代理机构</w:t>
      </w:r>
      <w:r>
        <w:rPr>
          <w:rFonts w:hint="eastAsia" w:ascii="仿宋" w:hAnsi="仿宋" w:eastAsia="仿宋" w:cs="仿宋"/>
          <w:sz w:val="24"/>
        </w:rPr>
        <w:t>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17.2开标时，电子交易平台按开标时间自动提取所有投标文件。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依托电子交易平台发起开始解密指令，投标人按照平台提示和招标文件的规定在半小时内完成在线解密。</w:t>
      </w:r>
    </w:p>
    <w:p>
      <w:pPr>
        <w:keepNext w:val="0"/>
        <w:keepLines w:val="0"/>
        <w:pageBreakBefore w:val="0"/>
        <w:widowControl/>
        <w:numPr>
          <w:ilvl w:val="0"/>
          <w:numId w:val="3"/>
        </w:numPr>
        <w:kinsoku/>
        <w:wordWrap/>
        <w:overflowPunct/>
        <w:topLinePunct w:val="0"/>
        <w:autoSpaceDE/>
        <w:autoSpaceDN/>
        <w:bidi w:val="0"/>
        <w:adjustRightInd w:val="0"/>
        <w:spacing w:beforeAutospacing="0" w:line="360" w:lineRule="auto"/>
        <w:ind w:firstLine="0" w:firstLineChars="0"/>
        <w:jc w:val="left"/>
        <w:textAlignment w:val="auto"/>
        <w:rPr>
          <w:rFonts w:hint="eastAsia" w:ascii="仿宋" w:hAnsi="仿宋" w:eastAsia="仿宋" w:cs="仿宋"/>
          <w:b/>
          <w:sz w:val="24"/>
          <w:szCs w:val="20"/>
        </w:rPr>
      </w:pPr>
      <w:r>
        <w:rPr>
          <w:rFonts w:hint="eastAsia" w:ascii="仿宋" w:hAnsi="仿宋" w:eastAsia="仿宋" w:cs="仿宋"/>
          <w:b/>
          <w:sz w:val="24"/>
          <w:szCs w:val="20"/>
        </w:rPr>
        <w:t>资格审查</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sz w:val="24"/>
        </w:rPr>
      </w:pPr>
      <w:r>
        <w:rPr>
          <w:rFonts w:hint="eastAsia" w:ascii="仿宋" w:hAnsi="仿宋" w:eastAsia="仿宋" w:cs="仿宋"/>
          <w:kern w:val="0"/>
          <w:sz w:val="24"/>
        </w:rPr>
        <w:t>18.</w:t>
      </w:r>
      <w:r>
        <w:rPr>
          <w:rFonts w:hint="eastAsia" w:ascii="仿宋" w:hAnsi="仿宋" w:eastAsia="仿宋" w:cs="仿宋"/>
          <w:kern w:val="0"/>
          <w:sz w:val="24"/>
          <w:lang w:val="en-US" w:eastAsia="zh-CN"/>
        </w:rPr>
        <w:t>1开标后，</w:t>
      </w:r>
      <w:r>
        <w:rPr>
          <w:rFonts w:hint="eastAsia" w:ascii="仿宋" w:hAnsi="仿宋" w:eastAsia="仿宋" w:cs="仿宋"/>
          <w:sz w:val="24"/>
        </w:rPr>
        <w:t>采购人</w:t>
      </w:r>
      <w:r>
        <w:rPr>
          <w:rFonts w:hint="eastAsia" w:ascii="仿宋" w:hAnsi="仿宋" w:eastAsia="仿宋" w:cs="仿宋"/>
          <w:sz w:val="24"/>
          <w:lang w:eastAsia="zh-CN"/>
        </w:rPr>
        <w:t>将</w:t>
      </w:r>
      <w:r>
        <w:rPr>
          <w:rFonts w:hint="eastAsia" w:ascii="仿宋" w:hAnsi="仿宋" w:eastAsia="仿宋" w:cs="仿宋"/>
          <w:sz w:val="24"/>
        </w:rPr>
        <w:t>依据法律法规和招标文件的规定，对投标人的资格进行审查。</w:t>
      </w:r>
    </w:p>
    <w:p>
      <w:pPr>
        <w:pStyle w:val="135"/>
        <w:spacing w:before="0"/>
        <w:ind w:firstLine="480"/>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kern w:val="0"/>
          <w:szCs w:val="24"/>
          <w:lang w:val="en-US" w:eastAsia="zh-CN"/>
        </w:rPr>
        <w:t>2</w:t>
      </w:r>
      <w:r>
        <w:rPr>
          <w:rFonts w:hint="eastAsia" w:ascii="仿宋" w:hAnsi="仿宋" w:eastAsia="仿宋" w:cs="仿宋"/>
          <w:kern w:val="0"/>
          <w:szCs w:val="24"/>
        </w:rPr>
        <w:t>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lang w:val="en-US" w:eastAsia="zh-CN"/>
        </w:rPr>
        <w:t>3</w:t>
      </w:r>
      <w:r>
        <w:rPr>
          <w:rFonts w:hint="eastAsia" w:ascii="仿宋" w:hAnsi="仿宋" w:eastAsia="仿宋" w:cs="仿宋"/>
        </w:rPr>
        <w:t>对未通过资格审查的投标人，采告知其未通过的原因。</w:t>
      </w:r>
    </w:p>
    <w:p>
      <w:pPr>
        <w:pStyle w:val="135"/>
        <w:spacing w:before="0"/>
        <w:ind w:firstLine="480"/>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lang w:val="en-US" w:eastAsia="zh-CN"/>
        </w:rPr>
        <w:t>4</w:t>
      </w:r>
      <w:r>
        <w:rPr>
          <w:rFonts w:hint="eastAsia" w:ascii="仿宋" w:hAnsi="仿宋" w:eastAsia="仿宋" w:cs="仿宋"/>
        </w:rPr>
        <w:t>合格投标人不足3家的，不再评标。</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19.信用信息查询</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19.1信用信息查询渠道及截止时间：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w:t>
      </w:r>
      <w:r>
        <w:rPr>
          <w:rFonts w:hint="eastAsia" w:ascii="仿宋" w:hAnsi="仿宋" w:eastAsia="仿宋" w:cs="仿宋"/>
          <w:kern w:val="0"/>
          <w:szCs w:val="24"/>
          <w:lang w:eastAsia="zh-CN"/>
        </w:rPr>
        <w:t>在资格审查时</w:t>
      </w:r>
      <w:r>
        <w:rPr>
          <w:rFonts w:hint="eastAsia" w:ascii="仿宋" w:hAnsi="仿宋" w:eastAsia="仿宋" w:cs="仿宋"/>
          <w:kern w:val="0"/>
          <w:szCs w:val="24"/>
        </w:rPr>
        <w:t>通过“信用中国”网站(www.creditchina.gov.cn)、中国政府采购网(www.ccgp.gov.cn)渠道查询投标人</w:t>
      </w:r>
      <w:r>
        <w:rPr>
          <w:rFonts w:hint="eastAsia" w:ascii="仿宋" w:hAnsi="仿宋" w:eastAsia="仿宋" w:cs="仿宋"/>
          <w:kern w:val="0"/>
          <w:szCs w:val="24"/>
          <w:lang w:eastAsia="zh-CN"/>
        </w:rPr>
        <w:t>接受资格审查时</w:t>
      </w:r>
      <w:r>
        <w:rPr>
          <w:rFonts w:hint="eastAsia" w:ascii="仿宋" w:hAnsi="仿宋" w:eastAsia="仿宋" w:cs="仿宋"/>
          <w:kern w:val="0"/>
          <w:szCs w:val="24"/>
        </w:rPr>
        <w:t>的信用记录。</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21. 确定中标供应商</w:t>
      </w:r>
    </w:p>
    <w:p>
      <w:pPr>
        <w:pStyle w:val="135"/>
        <w:snapToGrid w:val="0"/>
        <w:spacing w:before="0"/>
        <w:ind w:firstLine="480"/>
        <w:rPr>
          <w:rFonts w:hint="eastAsia" w:ascii="仿宋" w:hAnsi="仿宋" w:eastAsia="仿宋" w:cs="仿宋"/>
          <w:b/>
          <w:szCs w:val="24"/>
        </w:rPr>
      </w:pPr>
      <w:r>
        <w:rPr>
          <w:rFonts w:hint="eastAsia" w:ascii="仿宋" w:hAnsi="仿宋" w:eastAsia="仿宋" w:cs="仿宋"/>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3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22.1自中标人确定之日起2</w:t>
      </w:r>
      <w:r>
        <w:rPr>
          <w:rFonts w:hint="eastAsia" w:ascii="仿宋" w:hAnsi="仿宋" w:eastAsia="仿宋" w:cs="仿宋"/>
        </w:rPr>
        <w:t>个工作</w:t>
      </w:r>
      <w:r>
        <w:rPr>
          <w:rFonts w:hint="eastAsia" w:ascii="仿宋" w:hAnsi="仿宋" w:eastAsia="仿宋" w:cs="仿宋"/>
          <w:sz w:val="24"/>
        </w:rPr>
        <w:t>日内，</w:t>
      </w:r>
      <w:r>
        <w:rPr>
          <w:rFonts w:hint="eastAsia" w:ascii="仿宋" w:hAnsi="仿宋" w:eastAsia="仿宋" w:cs="仿宋"/>
          <w:sz w:val="24"/>
          <w:lang w:eastAsia="zh-CN"/>
        </w:rPr>
        <w:t>采购代理机构</w:t>
      </w:r>
      <w:r>
        <w:rPr>
          <w:rFonts w:hint="eastAsia" w:ascii="仿宋" w:hAnsi="仿宋" w:eastAsia="仿宋" w:cs="仿宋"/>
          <w:sz w:val="24"/>
        </w:rPr>
        <w:t>通过电子交易平台向中标人发出中标通知书，同时编制发布采购结果公告。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22.2中标结果公告内容包括采购人及其委托的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24.1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5"/>
        <w:snapToGrid w:val="0"/>
        <w:spacing w:before="0"/>
        <w:ind w:firstLine="480"/>
        <w:rPr>
          <w:rFonts w:hint="eastAsia"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hint="eastAsia"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25. 履约保证金</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拟签订的合同文本要求中标供应商提交履约保证金的，供应商应当以支票、汇票、本票或者金融机构、担保机构出具的保函等非现金形式提交。履约保证金的数额不得超过政府采购合同金额的1%</w:t>
      </w:r>
      <w:r>
        <w:rPr>
          <w:rFonts w:hint="eastAsia" w:ascii="仿宋" w:hAnsi="仿宋" w:eastAsia="仿宋" w:cs="仿宋"/>
          <w:sz w:val="24"/>
          <w:szCs w:val="20"/>
          <w:lang w:eastAsia="zh-CN"/>
        </w:rPr>
        <w:t>，</w:t>
      </w:r>
      <w:r>
        <w:rPr>
          <w:rFonts w:hint="eastAsia" w:ascii="仿宋" w:hAnsi="仿宋" w:eastAsia="仿宋" w:cs="仿宋"/>
          <w:sz w:val="24"/>
          <w:szCs w:val="20"/>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highlight w:val="none"/>
        </w:rPr>
      </w:pPr>
      <w:r>
        <w:rPr>
          <w:rFonts w:hint="eastAsia" w:ascii="仿宋" w:hAnsi="仿宋" w:eastAsia="仿宋" w:cs="仿宋"/>
          <w:b/>
          <w:bCs/>
          <w:kern w:val="2"/>
          <w:sz w:val="24"/>
          <w:szCs w:val="32"/>
          <w:highlight w:val="none"/>
          <w:lang w:val="en-US"/>
        </w:rPr>
        <w:t>2</w:t>
      </w:r>
      <w:r>
        <w:rPr>
          <w:rFonts w:hint="eastAsia" w:ascii="仿宋" w:hAnsi="仿宋" w:eastAsia="仿宋" w:cs="仿宋"/>
          <w:b/>
          <w:bCs/>
          <w:kern w:val="2"/>
          <w:sz w:val="24"/>
          <w:szCs w:val="32"/>
          <w:highlight w:val="none"/>
          <w:lang w:val="en-US" w:eastAsia="zh-CN"/>
        </w:rPr>
        <w:t>6</w:t>
      </w:r>
      <w:r>
        <w:rPr>
          <w:rFonts w:hint="eastAsia" w:ascii="仿宋" w:hAnsi="仿宋" w:eastAsia="仿宋" w:cs="仿宋"/>
          <w:b/>
          <w:bCs/>
          <w:kern w:val="2"/>
          <w:sz w:val="24"/>
          <w:szCs w:val="32"/>
          <w:highlight w:val="none"/>
          <w:lang w:val="en-US"/>
        </w:rPr>
        <w:t>.</w:t>
      </w:r>
      <w:r>
        <w:rPr>
          <w:rFonts w:hint="eastAsia" w:ascii="仿宋" w:hAnsi="仿宋" w:eastAsia="仿宋" w:cs="仿宋"/>
          <w:b/>
          <w:bCs/>
          <w:kern w:val="2"/>
          <w:sz w:val="24"/>
          <w:szCs w:val="32"/>
          <w:highlight w:val="none"/>
          <w:lang w:val="en-US" w:eastAsia="zh-CN"/>
        </w:rPr>
        <w:t xml:space="preserve"> </w:t>
      </w:r>
      <w:r>
        <w:rPr>
          <w:rFonts w:hint="eastAsia" w:ascii="仿宋" w:hAnsi="仿宋" w:eastAsia="仿宋" w:cs="仿宋"/>
          <w:b/>
          <w:bCs/>
          <w:kern w:val="2"/>
          <w:sz w:val="24"/>
          <w:szCs w:val="32"/>
          <w:highlight w:val="none"/>
          <w:lang w:val="en-US"/>
        </w:rPr>
        <w:t>预付款</w:t>
      </w:r>
    </w:p>
    <w:p>
      <w:pPr>
        <w:snapToGrid w:val="0"/>
        <w:spacing w:line="360" w:lineRule="auto"/>
        <w:ind w:firstLine="480" w:firstLineChars="200"/>
        <w:rPr>
          <w:rFonts w:hint="eastAsia" w:ascii="仿宋" w:hAnsi="仿宋" w:eastAsia="仿宋" w:cs="仿宋"/>
          <w:b/>
          <w:sz w:val="32"/>
        </w:rPr>
      </w:pPr>
      <w:r>
        <w:rPr>
          <w:rFonts w:hint="eastAsia" w:ascii="仿宋" w:hAnsi="仿宋" w:eastAsia="仿宋" w:cs="仿宋"/>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lang w:val="en-US" w:eastAsia="zh-CN"/>
        </w:rPr>
        <w:t>7</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w:t>
      </w:r>
      <w:r>
        <w:rPr>
          <w:rFonts w:hint="eastAsia" w:ascii="仿宋" w:hAnsi="仿宋" w:eastAsia="仿宋" w:cs="仿宋"/>
          <w:lang w:eastAsia="zh-CN"/>
        </w:rPr>
        <w:t>采购代理机构</w:t>
      </w:r>
      <w:r>
        <w:rPr>
          <w:rFonts w:hint="eastAsia" w:ascii="仿宋" w:hAnsi="仿宋" w:eastAsia="仿宋" w:cs="仿宋"/>
        </w:rPr>
        <w:t>可中止电子交易活动：</w:t>
      </w:r>
    </w:p>
    <w:p>
      <w:pPr>
        <w:pStyle w:val="135"/>
        <w:snapToGrid w:val="0"/>
        <w:spacing w:before="0"/>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t xml:space="preserve">.1电子交易平台发生故障而无法登录访问的； </w:t>
      </w:r>
    </w:p>
    <w:p>
      <w:pPr>
        <w:pStyle w:val="135"/>
        <w:snapToGrid w:val="0"/>
        <w:spacing w:before="0"/>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t>.2电子交易平台应用或数据库出现错误，不能进行正常操作的；</w:t>
      </w:r>
    </w:p>
    <w:p>
      <w:pPr>
        <w:pStyle w:val="135"/>
        <w:snapToGrid w:val="0"/>
        <w:spacing w:before="0"/>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t>.3电子交易平台发现严重安全漏洞，有潜在泄密危险的；</w:t>
      </w:r>
    </w:p>
    <w:p>
      <w:pPr>
        <w:pStyle w:val="135"/>
        <w:snapToGrid w:val="0"/>
        <w:spacing w:before="0"/>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t xml:space="preserve">.4病毒发作导致不能进行正常操作的； </w:t>
      </w:r>
    </w:p>
    <w:p>
      <w:pPr>
        <w:pStyle w:val="135"/>
        <w:snapToGrid w:val="0"/>
        <w:spacing w:before="0"/>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t>.5其他无法保证电子交易的公平、公正和安全的情况。</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bCs/>
        </w:rPr>
        <w:t>2</w:t>
      </w:r>
      <w:r>
        <w:rPr>
          <w:rFonts w:hint="eastAsia" w:ascii="仿宋" w:hAnsi="仿宋" w:eastAsia="仿宋" w:cs="仿宋"/>
          <w:b/>
          <w:bCs/>
          <w:lang w:val="en-US" w:eastAsia="zh-CN"/>
        </w:rPr>
        <w:t>8</w:t>
      </w:r>
      <w:r>
        <w:rPr>
          <w:rFonts w:hint="eastAsia" w:ascii="仿宋" w:hAnsi="仿宋" w:eastAsia="仿宋" w:cs="仿宋"/>
          <w:b/>
          <w:bCs/>
        </w:rPr>
        <w:t>.</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7"/>
        <w:spacing w:line="360" w:lineRule="auto"/>
        <w:ind w:firstLine="0" w:firstLineChars="0"/>
        <w:rPr>
          <w:rFonts w:hint="eastAsia"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9</w:t>
      </w:r>
      <w:r>
        <w:rPr>
          <w:rFonts w:hint="eastAsia" w:ascii="仿宋" w:hAnsi="仿宋" w:eastAsia="仿宋" w:cs="仿宋"/>
          <w:b/>
        </w:rPr>
        <w:t>.</w:t>
      </w:r>
      <w:r>
        <w:rPr>
          <w:rFonts w:hint="eastAsia" w:ascii="仿宋" w:hAnsi="仿宋" w:eastAsia="仿宋" w:cs="仿宋"/>
          <w:b/>
          <w:lang w:val="en-US" w:eastAsia="zh-CN"/>
        </w:rPr>
        <w:t xml:space="preserve"> </w:t>
      </w:r>
      <w:r>
        <w:rPr>
          <w:rFonts w:hint="eastAsia" w:ascii="仿宋" w:hAnsi="仿宋" w:eastAsia="仿宋" w:cs="仿宋"/>
          <w:b/>
        </w:rPr>
        <w:t>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9</w:t>
      </w:r>
      <w:r>
        <w:rPr>
          <w:rFonts w:hint="eastAsia" w:ascii="仿宋" w:hAnsi="仿宋" w:eastAsia="仿宋" w:cs="仿宋"/>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9</w:t>
      </w:r>
      <w:r>
        <w:rPr>
          <w:rFonts w:hint="eastAsia" w:ascii="仿宋" w:hAnsi="仿宋" w:eastAsia="仿宋" w:cs="仿宋"/>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9</w:t>
      </w:r>
      <w:r>
        <w:rPr>
          <w:rFonts w:hint="eastAsia" w:ascii="仿宋" w:hAnsi="仿宋" w:eastAsia="仿宋" w:cs="仿宋"/>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w:t>
      </w:r>
      <w:r>
        <w:rPr>
          <w:rFonts w:hint="eastAsia" w:ascii="仿宋" w:hAnsi="仿宋" w:eastAsia="仿宋" w:cs="仿宋"/>
          <w:kern w:val="0"/>
          <w:sz w:val="24"/>
          <w:lang w:val="en-US" w:eastAsia="zh-CN"/>
        </w:rPr>
        <w:t>9</w:t>
      </w:r>
      <w:r>
        <w:rPr>
          <w:rFonts w:hint="eastAsia" w:ascii="仿宋" w:hAnsi="仿宋" w:eastAsia="仿宋" w:cs="仿宋"/>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hint="eastAsia" w:ascii="仿宋" w:hAnsi="仿宋" w:eastAsia="仿宋" w:cs="仿宋"/>
          <w:kern w:val="0"/>
          <w:sz w:val="24"/>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75236101"/>
      <w:bookmarkEnd w:id="16"/>
      <w:bookmarkStart w:id="17" w:name="_Hlt74729768"/>
      <w:bookmarkEnd w:id="17"/>
      <w:bookmarkStart w:id="18" w:name="_Hlt75236290"/>
      <w:bookmarkEnd w:id="18"/>
      <w:bookmarkStart w:id="19" w:name="_Hlt75236011"/>
      <w:bookmarkEnd w:id="19"/>
      <w:bookmarkStart w:id="20" w:name="_Hlt68072990"/>
      <w:bookmarkEnd w:id="20"/>
      <w:bookmarkStart w:id="21" w:name="_Hlt74714665"/>
      <w:bookmarkEnd w:id="21"/>
      <w:bookmarkStart w:id="22" w:name="_Hlt68057669"/>
      <w:bookmarkEnd w:id="22"/>
      <w:bookmarkStart w:id="23" w:name="_Hlt74707468"/>
      <w:bookmarkEnd w:id="23"/>
      <w:bookmarkStart w:id="24" w:name="_Hlt68073093"/>
      <w:bookmarkEnd w:id="24"/>
      <w:bookmarkStart w:id="25" w:name="_Hlt74730295"/>
      <w:bookmarkEnd w:id="25"/>
      <w:bookmarkStart w:id="26" w:name="_Hlt68403820"/>
      <w:bookmarkEnd w:id="26"/>
    </w:p>
    <w:p>
      <w:pPr>
        <w:numPr>
          <w:ilvl w:val="0"/>
          <w:numId w:val="4"/>
        </w:num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 xml:space="preserve">  采购需求</w:t>
      </w:r>
    </w:p>
    <w:p>
      <w:pPr>
        <w:pStyle w:val="26"/>
        <w:rPr>
          <w:rFonts w:hint="eastAsia" w:ascii="仿宋" w:hAnsi="仿宋" w:eastAsia="仿宋" w:cs="仿宋"/>
        </w:rPr>
      </w:pPr>
    </w:p>
    <w:p>
      <w:pPr>
        <w:spacing w:line="360" w:lineRule="auto"/>
        <w:ind w:left="0" w:leftChars="0" w:firstLine="153" w:firstLineChars="57"/>
        <w:rPr>
          <w:rFonts w:hint="eastAsia" w:ascii="仿宋" w:hAnsi="仿宋" w:eastAsia="仿宋" w:cs="仿宋"/>
          <w:b/>
          <w:bCs/>
          <w:color w:val="auto"/>
          <w:spacing w:val="14"/>
          <w:kern w:val="24"/>
          <w:sz w:val="24"/>
          <w:szCs w:val="24"/>
          <w:highlight w:val="none"/>
        </w:rPr>
      </w:pPr>
      <w:r>
        <w:rPr>
          <w:rFonts w:hint="eastAsia" w:ascii="仿宋" w:hAnsi="仿宋" w:eastAsia="仿宋" w:cs="仿宋"/>
          <w:b/>
          <w:bCs/>
          <w:color w:val="auto"/>
          <w:spacing w:val="14"/>
          <w:kern w:val="24"/>
          <w:sz w:val="24"/>
          <w:szCs w:val="24"/>
          <w:highlight w:val="none"/>
        </w:rPr>
        <w:t>一、需求概述：</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1.概述：</w:t>
      </w:r>
      <w:r>
        <w:rPr>
          <w:rFonts w:hint="eastAsia" w:ascii="仿宋" w:hAnsi="仿宋" w:eastAsia="仿宋" w:cs="仿宋"/>
          <w:color w:val="auto"/>
          <w:sz w:val="24"/>
          <w:szCs w:val="24"/>
          <w:highlight w:val="none"/>
          <w:lang w:val="en-US" w:eastAsia="zh-CN"/>
        </w:rPr>
        <w:t>义蓬街道向涛社区未来社区场景空调项目</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2.标的内容：</w:t>
      </w:r>
      <w:r>
        <w:rPr>
          <w:rFonts w:hint="eastAsia" w:ascii="仿宋" w:hAnsi="仿宋" w:eastAsia="仿宋" w:cs="仿宋"/>
          <w:color w:val="auto"/>
          <w:sz w:val="24"/>
          <w:szCs w:val="24"/>
          <w:highlight w:val="none"/>
          <w:lang w:val="en-US" w:eastAsia="zh-CN"/>
        </w:rPr>
        <w:t>7台外机、31台内机</w:t>
      </w:r>
      <w:r>
        <w:rPr>
          <w:rFonts w:hint="eastAsia" w:ascii="仿宋" w:hAnsi="仿宋" w:eastAsia="仿宋" w:cs="仿宋"/>
          <w:color w:val="auto"/>
          <w:sz w:val="24"/>
          <w:szCs w:val="24"/>
          <w:highlight w:val="none"/>
        </w:rPr>
        <w:t>及各种配置件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包括支架基础、隔震垫、冷媒管、固定材料、保温和包敷材料、通讯线路、强电接线（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提供固定电源位置，电源位置至空调设备点位的电源线及人工由投标人负责</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包括系统全套设备和所有系统及机组内部、外部接管和接线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即提供的机组安装就位后，只</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通电，便可进行调试和正式运转和使用。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、投标实质性响应（技术性），不满足以下要求将被拒绝投标：采用的验收标准和方法、主要技术指标达不到国家强制性标准的或要求的；</w:t>
      </w:r>
    </w:p>
    <w:p>
      <w:pPr>
        <w:keepNext/>
        <w:keepLines/>
        <w:spacing w:line="360" w:lineRule="auto"/>
        <w:rPr>
          <w:rFonts w:hint="eastAsia" w:ascii="仿宋" w:hAnsi="仿宋" w:eastAsia="仿宋" w:cs="仿宋"/>
          <w:b/>
          <w:bCs/>
          <w:color w:val="auto"/>
          <w:spacing w:val="14"/>
          <w:kern w:val="24"/>
          <w:sz w:val="24"/>
          <w:szCs w:val="24"/>
          <w:highlight w:val="none"/>
        </w:rPr>
      </w:pPr>
      <w:bookmarkStart w:id="28" w:name="_Toc29664"/>
      <w:bookmarkStart w:id="29" w:name="_Toc19084"/>
      <w:bookmarkStart w:id="30" w:name="_Toc18285"/>
      <w:bookmarkStart w:id="31" w:name="_Toc10595"/>
      <w:bookmarkStart w:id="32" w:name="_Toc20655"/>
      <w:bookmarkStart w:id="33" w:name="_Toc15220"/>
      <w:r>
        <w:rPr>
          <w:rFonts w:hint="eastAsia" w:ascii="仿宋" w:hAnsi="仿宋" w:eastAsia="仿宋" w:cs="仿宋"/>
          <w:b/>
          <w:bCs/>
          <w:color w:val="auto"/>
          <w:spacing w:val="14"/>
          <w:kern w:val="24"/>
          <w:sz w:val="24"/>
          <w:szCs w:val="24"/>
          <w:highlight w:val="none"/>
        </w:rPr>
        <w:t>二、</w:t>
      </w:r>
      <w:bookmarkEnd w:id="28"/>
      <w:bookmarkEnd w:id="29"/>
      <w:bookmarkEnd w:id="30"/>
      <w:bookmarkEnd w:id="31"/>
      <w:bookmarkEnd w:id="32"/>
      <w:bookmarkEnd w:id="33"/>
      <w:r>
        <w:rPr>
          <w:rFonts w:hint="eastAsia" w:ascii="仿宋" w:hAnsi="仿宋" w:eastAsia="仿宋" w:cs="仿宋"/>
          <w:b/>
          <w:bCs/>
          <w:color w:val="auto"/>
          <w:spacing w:val="14"/>
          <w:kern w:val="24"/>
          <w:sz w:val="24"/>
          <w:szCs w:val="24"/>
          <w:highlight w:val="none"/>
          <w:lang w:val="en-US" w:eastAsia="zh-CN"/>
        </w:rPr>
        <w:t>标的</w:t>
      </w:r>
      <w:r>
        <w:rPr>
          <w:rFonts w:hint="eastAsia" w:ascii="仿宋" w:hAnsi="仿宋" w:eastAsia="仿宋" w:cs="仿宋"/>
          <w:b/>
          <w:bCs/>
          <w:color w:val="auto"/>
          <w:spacing w:val="14"/>
          <w:kern w:val="24"/>
          <w:sz w:val="24"/>
          <w:szCs w:val="24"/>
          <w:highlight w:val="none"/>
        </w:rPr>
        <w:t>一览表及技术需求</w:t>
      </w:r>
    </w:p>
    <w:tbl>
      <w:tblPr>
        <w:tblStyle w:val="63"/>
        <w:tblW w:w="8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3343"/>
        <w:gridCol w:w="869"/>
        <w:gridCol w:w="273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bookmarkStart w:id="34" w:name="_Toc290"/>
            <w:bookmarkStart w:id="35" w:name="_Toc17812"/>
            <w:bookmarkStart w:id="36" w:name="_Toc1233"/>
            <w:bookmarkStart w:id="37" w:name="_Toc10567"/>
            <w:bookmarkStart w:id="38" w:name="_Toc30382"/>
            <w:bookmarkStart w:id="39" w:name="_Toc16806"/>
            <w:bookmarkStart w:id="40" w:name="_Toc23144"/>
            <w:r>
              <w:rPr>
                <w:rFonts w:hint="eastAsia" w:ascii="仿宋" w:hAnsi="仿宋" w:eastAsia="仿宋" w:cs="仿宋"/>
                <w:i w:val="0"/>
                <w:iCs w:val="0"/>
                <w:color w:val="000000"/>
                <w:kern w:val="0"/>
                <w:sz w:val="24"/>
                <w:szCs w:val="24"/>
                <w:highlight w:val="none"/>
                <w:u w:val="none"/>
                <w:lang w:val="en-US" w:eastAsia="zh-CN" w:bidi="ar"/>
              </w:rPr>
              <w:t>序号</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标的名称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主要技术规格</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多联机室外机1010W，电源380V，，拖带率0.99，冷量101（kw)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制冷量：≥101000W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制冷功率：≤25700W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制热量：≥112000W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制热功率：≤25580W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多联机室外机1010W，电源380V，，拖带率1.01，冷量101（kw)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制冷量：≥101000W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制冷功率：≤25700W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制热量：≥112000W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制热功率：≤25580W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多联机室外机335W，电源380V，，拖带率0.94，冷量33.5（kw)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制冷量：≥33500W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制冷功率：≤8090W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制热量：≥37500W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制热功率：≤8560W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多联机室外机400W，电源380V，，冷量40（kw)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制冷量：≥40000W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制冷功率：≤10200W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制热量：≥45000W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制热功率：≤10680W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多联四面出风式空调机Q-71，电源220V，设计单位负荷230（W/m²)设计单位冷量7.1KW，容量7.1（kw），实际冷量7.1（kw)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制冷量：≥7100W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制热量：≥8000W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额定功率：≤39W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多联四面出风式空调机Q-28，电源220V，设计单位负荷230（W/m²)设计单位冷量2.8KW，容量2.8（kw），实际冷量2.8（kw)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制冷量：≥2800W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制热量：≥3200W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额定功率：≤17W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多联四面出风式空调机Q-36，电源220V，设计单位负荷230（W/m²)设计单位冷量4.1KW，容量3.6（kw），单位冷量200（W/㎡）实际冷量3.6（kw)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制冷量：≥3600W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制热量：≥4000W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额定功率：≤17W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多联四面出风式空调机Q-56，电源220V，设计单位负荷230（W/m²)设计单位冷量5.5KW，容量5.6（kw），单位冷量233（W/㎡）实际冷量5.6（kw)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制冷量：≥5600W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制热量：≥6300W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额定功率：≤36W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多联四面出风式空调机Q-71，电源220V，设计单位负荷230（W/m²)设计单位冷量7.1KW，容量7.1（kw），实际冷量7.1（kw)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制冷量：≥7100W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制热量：≥8000W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额定功率：≤39W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多联四面出风式室内机120QW，电源220V，设计单位负荷230（W/m²)设计单位冷量12.4KW，容量10（kw），单位冷量233（W/㎡）实际冷量12.4（kw)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制冷量：≥12400W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制冷功率：≤5200W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制热量：≥14500W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制热功率：≤4800W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多联四面出风式室内机72QW，电源220V，规格:制冷量:72kW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制冷量：≥7250W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制冷功率：≤2800W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制热量：≥8800W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制热功率：≤2900W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多联四面出风式室内机Q-112，电源220V，设计单位负荷230（W/m²)设计单位冷量24.2KW，容量11.2（kw），单位冷量213（W/㎡）实际冷量22.4（kw)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制冷量：≥11200W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制热量：≥12500W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额定功率：≤76W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多联四面出风式室内机Q-125，电源220V，设计单位负荷230（W/m²)设计单位冷量24.9KW，容量12.5（kw），单位冷量301（W/㎡）实际冷量25（kw)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制冷量：≥12500W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制热量：≥14000W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额定功率：≤799W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多联四面出风式室内机Q-90，电源220V，设计单位负荷230（W/m²)设计单位冷量9.2(kw)，容量9（kw），单位冷量225（W/㎡）实际冷量9（kw)</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制冷量：≥9000W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制热量：≥10000W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额定功率：≤43W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一拖一三匹多联机室外机，电源220V</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制冷量：≥7250W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制冷功率：≤2800W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制热量：≥8800W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制热功率：≤2900W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一拖一五匹多联机室外机，电源380V</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制冷量：≥12400W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制冷功率：≤5200W</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制热量：≥14500W</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制热功率：≤4800W</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 </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安装材料</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置件包括支架基础（部分支架需定制）、隔震垫、冷媒管、固定材料、保温和包敷材料、通讯线路、强电接线（采购人提供固定电源位置，电源位置至空调设备点位的电源线及人工由投标人负责）、制冷剂、铜管加长、风管等。包括系统全套设备和所有系统及机组内部、外部出水接管和接线。即提供的机组安装就位后，只须通电，便可进行调试和正式运转和使用。</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bl>
    <w:p>
      <w:pPr>
        <w:keepNext/>
        <w:keepLines/>
        <w:spacing w:line="360" w:lineRule="auto"/>
        <w:rPr>
          <w:rFonts w:hint="eastAsia" w:ascii="仿宋" w:hAnsi="仿宋" w:eastAsia="仿宋" w:cs="仿宋"/>
          <w:b/>
          <w:bCs/>
          <w:color w:val="auto"/>
          <w:spacing w:val="14"/>
          <w:kern w:val="24"/>
          <w:sz w:val="24"/>
          <w:szCs w:val="24"/>
          <w:highlight w:val="none"/>
          <w:lang w:val="en-US" w:eastAsia="zh-CN"/>
        </w:rPr>
      </w:pPr>
      <w:r>
        <w:rPr>
          <w:rFonts w:hint="eastAsia" w:ascii="仿宋" w:hAnsi="仿宋" w:eastAsia="仿宋" w:cs="仿宋"/>
          <w:b/>
          <w:bCs/>
          <w:color w:val="auto"/>
          <w:spacing w:val="14"/>
          <w:kern w:val="24"/>
          <w:sz w:val="24"/>
          <w:szCs w:val="24"/>
          <w:highlight w:val="none"/>
        </w:rPr>
        <w:t>备注：</w:t>
      </w:r>
      <w:r>
        <w:rPr>
          <w:rFonts w:hint="eastAsia" w:ascii="仿宋" w:hAnsi="仿宋" w:eastAsia="仿宋" w:cs="仿宋"/>
          <w:b/>
          <w:bCs/>
          <w:color w:val="auto"/>
          <w:spacing w:val="14"/>
          <w:kern w:val="24"/>
          <w:sz w:val="24"/>
          <w:szCs w:val="24"/>
          <w:highlight w:val="none"/>
          <w:lang w:val="en-US" w:eastAsia="zh-CN"/>
        </w:rPr>
        <w:t>本项目为交钥匙工程，设备以清单为准，项目所需材料详见图纸或投标人自行勘察现场，如有缺项漏项投标人自行承担。</w:t>
      </w:r>
    </w:p>
    <w:bookmarkEnd w:id="34"/>
    <w:bookmarkEnd w:id="35"/>
    <w:bookmarkEnd w:id="36"/>
    <w:bookmarkEnd w:id="37"/>
    <w:bookmarkEnd w:id="38"/>
    <w:bookmarkEnd w:id="39"/>
    <w:bookmarkEnd w:id="40"/>
    <w:p>
      <w:pPr>
        <w:keepNext/>
        <w:keepLines/>
        <w:spacing w:line="360" w:lineRule="auto"/>
        <w:rPr>
          <w:rFonts w:hint="eastAsia" w:ascii="仿宋" w:hAnsi="仿宋" w:eastAsia="仿宋" w:cs="仿宋"/>
          <w:b/>
          <w:color w:val="auto"/>
          <w:sz w:val="24"/>
          <w:szCs w:val="24"/>
          <w:highlight w:val="none"/>
        </w:rPr>
      </w:pPr>
      <w:bookmarkStart w:id="41" w:name="_Toc5417"/>
      <w:bookmarkStart w:id="42" w:name="_Toc23719"/>
      <w:bookmarkStart w:id="43" w:name="_Toc20932"/>
      <w:bookmarkStart w:id="44" w:name="_Toc6850"/>
      <w:bookmarkStart w:id="45" w:name="_Toc6592"/>
      <w:bookmarkStart w:id="46" w:name="_Toc16213"/>
      <w:bookmarkStart w:id="47" w:name="_Toc23111"/>
      <w:r>
        <w:rPr>
          <w:rFonts w:hint="eastAsia" w:ascii="仿宋" w:hAnsi="仿宋" w:eastAsia="仿宋" w:cs="仿宋"/>
          <w:b/>
          <w:bCs/>
          <w:color w:val="auto"/>
          <w:spacing w:val="14"/>
          <w:kern w:val="24"/>
          <w:sz w:val="24"/>
          <w:szCs w:val="24"/>
          <w:highlight w:val="none"/>
          <w:lang w:eastAsia="zh-CN"/>
        </w:rPr>
        <w:t>三</w:t>
      </w:r>
      <w:r>
        <w:rPr>
          <w:rFonts w:hint="eastAsia" w:ascii="仿宋" w:hAnsi="仿宋" w:eastAsia="仿宋" w:cs="仿宋"/>
          <w:b/>
          <w:bCs/>
          <w:color w:val="auto"/>
          <w:spacing w:val="14"/>
          <w:kern w:val="24"/>
          <w:sz w:val="24"/>
          <w:szCs w:val="24"/>
          <w:highlight w:val="none"/>
        </w:rPr>
        <w:t>、</w:t>
      </w:r>
      <w:bookmarkEnd w:id="41"/>
      <w:bookmarkEnd w:id="42"/>
      <w:bookmarkEnd w:id="43"/>
      <w:bookmarkEnd w:id="44"/>
      <w:bookmarkEnd w:id="45"/>
      <w:bookmarkEnd w:id="46"/>
      <w:bookmarkEnd w:id="47"/>
      <w:bookmarkStart w:id="48" w:name="_Toc449016998"/>
      <w:r>
        <w:rPr>
          <w:rFonts w:hint="eastAsia" w:ascii="仿宋" w:hAnsi="仿宋" w:eastAsia="仿宋" w:cs="仿宋"/>
          <w:b/>
          <w:bCs/>
          <w:color w:val="auto"/>
          <w:spacing w:val="14"/>
          <w:kern w:val="24"/>
          <w:sz w:val="24"/>
          <w:szCs w:val="24"/>
          <w:highlight w:val="none"/>
        </w:rPr>
        <w:t>商务要求</w:t>
      </w:r>
    </w:p>
    <w:tbl>
      <w:tblPr>
        <w:tblStyle w:val="63"/>
        <w:tblW w:w="8966" w:type="dxa"/>
        <w:tblInd w:w="15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61"/>
        <w:gridCol w:w="76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工期要求</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接采购人通知之日起入场，</w:t>
            </w:r>
            <w:r>
              <w:rPr>
                <w:rFonts w:hint="eastAsia" w:ascii="仿宋" w:hAnsi="仿宋" w:eastAsia="仿宋" w:cs="仿宋"/>
                <w:strike w:val="0"/>
                <w:color w:val="auto"/>
                <w:sz w:val="24"/>
                <w:szCs w:val="24"/>
                <w:highlight w:val="none"/>
                <w:lang w:val="en-US" w:eastAsia="zh-CN"/>
              </w:rPr>
              <w:t>30</w:t>
            </w:r>
            <w:r>
              <w:rPr>
                <w:rFonts w:hint="eastAsia" w:ascii="仿宋" w:hAnsi="仿宋" w:eastAsia="仿宋" w:cs="仿宋"/>
                <w:strike w:val="0"/>
                <w:color w:val="auto"/>
                <w:sz w:val="24"/>
                <w:szCs w:val="24"/>
                <w:highlight w:val="none"/>
              </w:rPr>
              <w:t>日历天之内完成安装、调试、</w:t>
            </w:r>
            <w:r>
              <w:rPr>
                <w:rFonts w:hint="eastAsia" w:ascii="仿宋" w:hAnsi="仿宋" w:eastAsia="仿宋" w:cs="仿宋"/>
                <w:strike w:val="0"/>
                <w:color w:val="auto"/>
                <w:sz w:val="24"/>
                <w:szCs w:val="24"/>
                <w:highlight w:val="none"/>
                <w:lang w:val="en-US" w:eastAsia="zh-CN"/>
              </w:rPr>
              <w:t>培训、</w:t>
            </w:r>
            <w:r>
              <w:rPr>
                <w:rFonts w:hint="eastAsia" w:ascii="仿宋" w:hAnsi="仿宋" w:eastAsia="仿宋" w:cs="仿宋"/>
                <w:strike w:val="0"/>
                <w:color w:val="auto"/>
                <w:sz w:val="24"/>
                <w:szCs w:val="24"/>
                <w:highlight w:val="none"/>
              </w:rPr>
              <w:t>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3"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交货地点</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中标单位负责在合同签定后</w:t>
            </w:r>
            <w:r>
              <w:rPr>
                <w:rFonts w:hint="eastAsia" w:ascii="仿宋" w:hAnsi="仿宋" w:eastAsia="仿宋" w:cs="仿宋"/>
                <w:color w:val="auto"/>
                <w:kern w:val="0"/>
                <w:sz w:val="24"/>
                <w:szCs w:val="24"/>
                <w:highlight w:val="none"/>
                <w:lang w:val="en-US" w:eastAsia="zh-CN"/>
              </w:rPr>
              <w:t>按采购人</w:t>
            </w:r>
            <w:r>
              <w:rPr>
                <w:rFonts w:hint="eastAsia" w:ascii="仿宋" w:hAnsi="仿宋" w:eastAsia="仿宋" w:cs="仿宋"/>
                <w:color w:val="auto"/>
                <w:kern w:val="0"/>
                <w:sz w:val="24"/>
                <w:szCs w:val="24"/>
                <w:highlight w:val="none"/>
              </w:rPr>
              <w:t>施工通知</w:t>
            </w:r>
            <w:r>
              <w:rPr>
                <w:rFonts w:hint="eastAsia" w:ascii="仿宋" w:hAnsi="仿宋" w:eastAsia="仿宋" w:cs="仿宋"/>
                <w:color w:val="auto"/>
                <w:kern w:val="0"/>
                <w:sz w:val="24"/>
                <w:szCs w:val="24"/>
                <w:highlight w:val="none"/>
                <w:lang w:val="en-US" w:eastAsia="zh-CN"/>
              </w:rPr>
              <w:t>要求</w:t>
            </w:r>
            <w:r>
              <w:rPr>
                <w:rFonts w:hint="eastAsia" w:ascii="仿宋" w:hAnsi="仿宋" w:eastAsia="仿宋" w:cs="仿宋"/>
                <w:color w:val="auto"/>
                <w:kern w:val="0"/>
                <w:sz w:val="24"/>
                <w:szCs w:val="24"/>
                <w:highlight w:val="none"/>
              </w:rPr>
              <w:t>将投标产品运输至</w:t>
            </w:r>
            <w:r>
              <w:rPr>
                <w:rFonts w:hint="eastAsia" w:ascii="仿宋" w:hAnsi="仿宋" w:eastAsia="仿宋" w:cs="仿宋"/>
                <w:sz w:val="24"/>
                <w:szCs w:val="24"/>
                <w:lang w:val="en-US" w:eastAsia="zh-CN"/>
              </w:rPr>
              <w:t>向涛社区</w:t>
            </w:r>
            <w:r>
              <w:rPr>
                <w:rFonts w:hint="eastAsia" w:ascii="仿宋" w:hAnsi="仿宋" w:eastAsia="仿宋" w:cs="仿宋"/>
                <w:color w:val="auto"/>
                <w:kern w:val="0"/>
                <w:sz w:val="24"/>
                <w:szCs w:val="24"/>
                <w:highlight w:val="none"/>
              </w:rPr>
              <w:t>，且根据用户时间要求上门布置管线、安装、调试、试运行。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服务期要求</w:t>
            </w:r>
          </w:p>
        </w:tc>
        <w:tc>
          <w:tcPr>
            <w:tcW w:w="760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投标人必须承诺，文件中要求提供的各类文件在合同签订之日送达</w:t>
            </w:r>
            <w:r>
              <w:rPr>
                <w:rFonts w:hint="eastAsia" w:ascii="仿宋" w:hAnsi="仿宋" w:eastAsia="仿宋" w:cs="仿宋"/>
                <w:b/>
                <w:bCs/>
                <w:color w:val="auto"/>
                <w:kern w:val="0"/>
                <w:sz w:val="24"/>
                <w:szCs w:val="24"/>
                <w:highlight w:val="none"/>
                <w:lang w:val="en-US" w:eastAsia="zh-CN"/>
              </w:rPr>
              <w:t>招标人指定地点</w:t>
            </w:r>
            <w:r>
              <w:rPr>
                <w:rFonts w:hint="eastAsia" w:ascii="仿宋" w:hAnsi="仿宋" w:eastAsia="仿宋" w:cs="仿宋"/>
                <w:b/>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包装和运输</w:t>
            </w:r>
          </w:p>
        </w:tc>
        <w:tc>
          <w:tcPr>
            <w:tcW w:w="7605" w:type="dxa"/>
            <w:tcBorders>
              <w:top w:val="single" w:color="auto" w:sz="4" w:space="0"/>
              <w:left w:val="nil"/>
              <w:bottom w:val="single" w:color="auto" w:sz="4" w:space="0"/>
              <w:right w:val="single" w:color="auto" w:sz="4" w:space="0"/>
            </w:tcBorders>
            <w:noWrap w:val="0"/>
            <w:vAlign w:val="center"/>
          </w:tcPr>
          <w:p>
            <w:pPr>
              <w:tabs>
                <w:tab w:val="left" w:pos="0"/>
              </w:tabs>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中标人提供的中标物品，必须符合本采购文件要求、原包装送达采购单位；如有不符，采购人可以无条件退货，所造成的损失由中标人承担。更换后的零部件质保期按更换日起顺延。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7"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保险</w:t>
            </w:r>
          </w:p>
        </w:tc>
        <w:tc>
          <w:tcPr>
            <w:tcW w:w="760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要求提供货物运输保险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安装要求</w:t>
            </w:r>
          </w:p>
        </w:tc>
        <w:tc>
          <w:tcPr>
            <w:tcW w:w="7605" w:type="dxa"/>
            <w:tcBorders>
              <w:top w:val="single" w:color="auto" w:sz="4" w:space="0"/>
              <w:left w:val="nil"/>
              <w:bottom w:val="single" w:color="auto" w:sz="4" w:space="0"/>
              <w:right w:val="single" w:color="auto" w:sz="4" w:space="0"/>
            </w:tcBorders>
            <w:noWrap w:val="0"/>
            <w:vAlign w:val="center"/>
          </w:tcPr>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1.室外机安装位置，</w:t>
            </w:r>
            <w:r>
              <w:rPr>
                <w:rFonts w:hint="eastAsia" w:ascii="仿宋" w:hAnsi="仿宋" w:eastAsia="仿宋" w:cs="仿宋"/>
                <w:color w:val="auto"/>
                <w:sz w:val="24"/>
                <w:szCs w:val="24"/>
                <w:highlight w:val="none"/>
                <w:lang w:val="en-US" w:eastAsia="zh-CN"/>
              </w:rPr>
              <w:t>各投标人使用支架、</w:t>
            </w:r>
            <w:r>
              <w:rPr>
                <w:rFonts w:hint="eastAsia" w:ascii="仿宋" w:hAnsi="仿宋" w:eastAsia="仿宋" w:cs="仿宋"/>
                <w:color w:val="auto"/>
                <w:sz w:val="24"/>
                <w:szCs w:val="24"/>
                <w:highlight w:val="none"/>
              </w:rPr>
              <w:t>冷媒管及凝结水</w:t>
            </w:r>
            <w:r>
              <w:rPr>
                <w:rFonts w:hint="eastAsia" w:ascii="仿宋" w:hAnsi="仿宋" w:eastAsia="仿宋" w:cs="仿宋"/>
                <w:color w:val="auto"/>
                <w:sz w:val="24"/>
                <w:szCs w:val="24"/>
                <w:highlight w:val="none"/>
                <w:lang w:val="en-US" w:eastAsia="zh-CN"/>
              </w:rPr>
              <w:t>管等需考虑墙体承重、安装</w:t>
            </w:r>
            <w:r>
              <w:rPr>
                <w:rFonts w:hint="eastAsia" w:ascii="仿宋" w:hAnsi="仿宋" w:eastAsia="仿宋" w:cs="仿宋"/>
                <w:color w:val="auto"/>
                <w:sz w:val="24"/>
                <w:szCs w:val="24"/>
                <w:highlight w:val="none"/>
              </w:rPr>
              <w:t>美观及</w:t>
            </w:r>
            <w:r>
              <w:rPr>
                <w:rFonts w:hint="eastAsia" w:ascii="仿宋" w:hAnsi="仿宋" w:eastAsia="仿宋" w:cs="仿宋"/>
                <w:color w:val="auto"/>
                <w:sz w:val="24"/>
                <w:szCs w:val="24"/>
                <w:highlight w:val="none"/>
                <w:lang w:val="en-US" w:eastAsia="zh-CN"/>
              </w:rPr>
              <w:t>室</w:t>
            </w:r>
            <w:r>
              <w:rPr>
                <w:rFonts w:hint="eastAsia" w:ascii="仿宋" w:hAnsi="仿宋" w:eastAsia="仿宋" w:cs="仿宋"/>
                <w:color w:val="auto"/>
                <w:sz w:val="24"/>
                <w:szCs w:val="24"/>
                <w:highlight w:val="none"/>
              </w:rPr>
              <w:t>外机安装稳固</w:t>
            </w:r>
            <w:r>
              <w:rPr>
                <w:rFonts w:hint="eastAsia" w:ascii="仿宋" w:hAnsi="仿宋" w:eastAsia="仿宋" w:cs="仿宋"/>
                <w:color w:val="auto"/>
                <w:sz w:val="24"/>
                <w:szCs w:val="24"/>
                <w:highlight w:val="none"/>
                <w:lang w:val="en-US" w:eastAsia="zh-CN"/>
              </w:rPr>
              <w:t>等各方面因素。</w:t>
            </w:r>
            <w:r>
              <w:rPr>
                <w:rFonts w:hint="eastAsia" w:ascii="仿宋" w:hAnsi="仿宋" w:eastAsia="仿宋" w:cs="仿宋"/>
                <w:color w:val="auto"/>
                <w:sz w:val="24"/>
                <w:szCs w:val="24"/>
                <w:highlight w:val="none"/>
              </w:rPr>
              <w:t>由施工单位根据实际情况</w:t>
            </w:r>
            <w:r>
              <w:rPr>
                <w:rFonts w:hint="eastAsia" w:ascii="仿宋" w:hAnsi="仿宋" w:eastAsia="仿宋" w:cs="仿宋"/>
                <w:color w:val="auto"/>
                <w:sz w:val="24"/>
                <w:szCs w:val="24"/>
                <w:highlight w:val="none"/>
                <w:lang w:val="en-US" w:eastAsia="zh-CN"/>
              </w:rPr>
              <w:t>使用满足本项目实际要求的材料及安装工艺</w:t>
            </w:r>
            <w:r>
              <w:rPr>
                <w:rFonts w:hint="eastAsia" w:ascii="仿宋" w:hAnsi="仿宋" w:eastAsia="仿宋" w:cs="仿宋"/>
                <w:color w:val="auto"/>
                <w:sz w:val="24"/>
                <w:szCs w:val="24"/>
                <w:highlight w:val="none"/>
              </w:rPr>
              <w:t>。</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2.室内外机连接管和冷凝水管位置根据现场实际情况确定。</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3.室内机安装位置需与招标人最终通确定位置后施工。</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4.铜管采用磷脱氧无缝铜管（含保温材料）。保温材料要求难燃B1级橡塑，须保证在28℃环境温度、相对湿度85％条件下不结露。</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5.冷凝水管采用外包15mm以上厚保温材料。冷凝水管的固定同冷媒管的固定方式，吊架间距应符合CJJ/T2P-980的技术规程。</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6.冷凝水管道必须缚设坡度、坡向排水点。支管坡度不小于1%。安装完毕后按要求做排水试验。（包括密封性试验）</w:t>
            </w:r>
          </w:p>
          <w:p>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7.各项指标必须满足规范要求。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设备的测试和试运行</w:t>
            </w:r>
          </w:p>
        </w:tc>
        <w:tc>
          <w:tcPr>
            <w:tcW w:w="760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1.工具、材料、仪器设备和劳务人员：投标人应派工作经验的工程师在现场负责测试和调试，以检测其设计、制造、运行效果等。并提供所有测试和调试所需的工具、材料、仪器和劳务人员。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实施要求</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项目安装调试完成后，运行没有任何问题后再进行验收。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验收标准</w:t>
            </w:r>
          </w:p>
        </w:tc>
        <w:tc>
          <w:tcPr>
            <w:tcW w:w="7605" w:type="dxa"/>
            <w:tcBorders>
              <w:top w:val="single" w:color="auto" w:sz="4" w:space="0"/>
              <w:left w:val="nil"/>
              <w:bottom w:val="single" w:color="auto" w:sz="4" w:space="0"/>
              <w:right w:val="single" w:color="auto" w:sz="4" w:space="0"/>
            </w:tcBorders>
            <w:noWrap w:val="0"/>
            <w:vAlign w:val="center"/>
          </w:tcPr>
          <w:p>
            <w:pPr>
              <w:widowControl/>
              <w:tabs>
                <w:tab w:val="left" w:pos="0"/>
              </w:tabs>
              <w:spacing w:line="240" w:lineRule="auto"/>
              <w:ind w:firstLine="0" w:firstLineChars="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调试完成后1个月内进行验收。供货方应提供设备的有效检验文件，经买方认可后，与合同和投标文件一起作为设备验收标准。设备验收合格后，由双方共同签署验收文件。验收中发现设备达不到验收标准或规定的性能指标，卖方必须更换设备，并承担由此给用户造成的损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需提供至少2名人员的原厂（包括软件、硬件）管理培训，相关费用包含在总价中。投标方应提供相应的培训计划，详细说明培训的方式、地点、人数、时间等实质性内容。</w:t>
            </w:r>
          </w:p>
        </w:tc>
      </w:tr>
      <w:bookmarkEnd w:id="48"/>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售后服务要求</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highlight w:val="none"/>
              </w:rPr>
              <w:t>1、所提供的产品必须是原装正品，原厂原包装供货，所有设备在质量保质期内原厂维修，维护，提供人员技术培训和提供文档资料</w:t>
            </w:r>
            <w:r>
              <w:rPr>
                <w:rFonts w:hint="eastAsia" w:ascii="仿宋" w:hAnsi="仿宋" w:eastAsia="仿宋" w:cs="仿宋"/>
                <w:b/>
                <w:bCs/>
                <w:color w:val="auto"/>
                <w:sz w:val="24"/>
                <w:szCs w:val="24"/>
                <w:highlight w:val="none"/>
                <w:lang w:eastAsia="zh-CN"/>
              </w:rPr>
              <w:t>，费用包含在投标报价中</w:t>
            </w:r>
            <w:r>
              <w:rPr>
                <w:rFonts w:hint="eastAsia" w:ascii="仿宋" w:hAnsi="仿宋" w:eastAsia="仿宋" w:cs="仿宋"/>
                <w:b/>
                <w:bCs/>
                <w:color w:val="auto"/>
                <w:sz w:val="24"/>
                <w:szCs w:val="24"/>
                <w:highlight w:val="none"/>
              </w:rPr>
              <w:t>。</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2、投标人应保证所提供货物是全新的、未使用过的，并完全符合合同规定的质量、规格和性能的要求。</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3、由生产厂商及中标方派专业人员对设备现场安装调试。</w:t>
            </w:r>
          </w:p>
          <w:p>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highlight w:val="none"/>
              </w:rPr>
              <w:t>4、提供家用</w:t>
            </w:r>
            <w:r>
              <w:rPr>
                <w:rFonts w:hint="eastAsia" w:ascii="仿宋" w:hAnsi="仿宋" w:eastAsia="仿宋" w:cs="仿宋"/>
                <w:b/>
                <w:bCs/>
                <w:color w:val="auto"/>
                <w:sz w:val="24"/>
                <w:szCs w:val="24"/>
                <w:highlight w:val="none"/>
                <w:lang w:val="en-US" w:eastAsia="zh-CN"/>
              </w:rPr>
              <w:t>分体</w:t>
            </w:r>
            <w:r>
              <w:rPr>
                <w:rFonts w:hint="eastAsia" w:ascii="仿宋" w:hAnsi="仿宋" w:eastAsia="仿宋" w:cs="仿宋"/>
                <w:b/>
                <w:bCs/>
                <w:color w:val="auto"/>
                <w:sz w:val="24"/>
                <w:szCs w:val="24"/>
                <w:highlight w:val="none"/>
              </w:rPr>
              <w:t>空调原厂质保6年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中央空调质保2年。</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5.投标人应有能力提供24小时的设备维修服务。维修人员接到维修电话后须在2小时内赶到现场。维修点需提供足够的备件以适应维修需求。</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6.在质量保证期内的工作应包括对所有设备系统常规检查、调整、润滑、冷媒补充等。</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7.中标人</w:t>
            </w:r>
            <w:r>
              <w:rPr>
                <w:rFonts w:hint="eastAsia" w:ascii="仿宋" w:hAnsi="仿宋" w:eastAsia="仿宋" w:cs="仿宋"/>
                <w:color w:val="auto"/>
                <w:sz w:val="24"/>
                <w:szCs w:val="24"/>
                <w:highlight w:val="none"/>
                <w:lang w:eastAsia="zh-CN"/>
              </w:rPr>
              <w:t>在质保期内</w:t>
            </w:r>
            <w:r>
              <w:rPr>
                <w:rFonts w:hint="eastAsia" w:ascii="仿宋" w:hAnsi="仿宋" w:eastAsia="仿宋" w:cs="仿宋"/>
                <w:color w:val="auto"/>
                <w:sz w:val="24"/>
                <w:szCs w:val="24"/>
                <w:highlight w:val="none"/>
              </w:rPr>
              <w:t>须自行付费负责修理和更换任何由于设备自身的质量问题造成的损坏部件，并排除故障。</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8.在质量保证期届满，投标人工程师和招标人代表将对设备进行一次测试，任何故障须由投标人自费解决并取得招标人的最终认可。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yellow"/>
              </w:rPr>
              <w:t>付款方式</w:t>
            </w:r>
          </w:p>
        </w:tc>
        <w:tc>
          <w:tcPr>
            <w:tcW w:w="7605" w:type="dxa"/>
            <w:tcBorders>
              <w:top w:val="single" w:color="auto" w:sz="4" w:space="0"/>
              <w:left w:val="nil"/>
              <w:bottom w:val="single" w:color="auto" w:sz="4" w:space="0"/>
              <w:right w:val="single" w:color="auto" w:sz="4" w:space="0"/>
            </w:tcBorders>
            <w:noWrap w:val="0"/>
            <w:vAlign w:val="center"/>
          </w:tcPr>
          <w:p>
            <w:pPr>
              <w:spacing w:line="240" w:lineRule="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1.合同生效后5个工作日内，供应商支付合同总价的1%作为履约保证金。</w:t>
            </w:r>
          </w:p>
          <w:p>
            <w:pPr>
              <w:spacing w:line="24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2.合同签订后，采购人支付合同总价的40%作为预付款，所有采购品目安装到位经验收合格后7个工作日内，采购人向中标单位支付至合同价的95%，同时采购人无息退还履约保证金，剩余5%待合同履约完成并验收合格满2年后付清。</w:t>
            </w:r>
          </w:p>
        </w:tc>
      </w:tr>
    </w:tbl>
    <w:p>
      <w:pPr>
        <w:rPr>
          <w:rFonts w:hint="eastAsia" w:ascii="仿宋" w:hAnsi="仿宋" w:eastAsia="仿宋" w:cs="仿宋"/>
          <w:color w:val="auto"/>
          <w:highlight w:val="none"/>
        </w:rPr>
      </w:pPr>
    </w:p>
    <w:p>
      <w:pPr>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9" w:name="_Toc184314437"/>
      <w:bookmarkEnd w:id="49"/>
      <w:bookmarkStart w:id="50" w:name="_Toc184310320"/>
      <w:bookmarkEnd w:id="50"/>
      <w:bookmarkStart w:id="51" w:name="_Toc184314473"/>
      <w:bookmarkEnd w:id="51"/>
      <w:bookmarkStart w:id="52" w:name="_Toc184312067"/>
      <w:bookmarkEnd w:id="52"/>
      <w:bookmarkStart w:id="53" w:name="_Toc184314417"/>
      <w:bookmarkEnd w:id="53"/>
      <w:bookmarkStart w:id="54" w:name="_Toc184314452"/>
      <w:bookmarkEnd w:id="54"/>
      <w:bookmarkStart w:id="55" w:name="_Toc184313247"/>
      <w:bookmarkEnd w:id="55"/>
      <w:bookmarkStart w:id="56" w:name="_Toc184314478"/>
      <w:bookmarkEnd w:id="56"/>
      <w:bookmarkStart w:id="57" w:name="_Toc184312108"/>
      <w:bookmarkEnd w:id="57"/>
      <w:bookmarkStart w:id="58" w:name="_Toc184308081"/>
      <w:bookmarkEnd w:id="58"/>
      <w:bookmarkStart w:id="59" w:name="_Toc184310324"/>
      <w:bookmarkEnd w:id="59"/>
      <w:bookmarkStart w:id="60" w:name="_Toc184310319"/>
      <w:bookmarkEnd w:id="60"/>
      <w:bookmarkStart w:id="61" w:name="_Toc184310281"/>
      <w:bookmarkEnd w:id="61"/>
      <w:bookmarkStart w:id="62" w:name="_Toc184314438"/>
      <w:bookmarkEnd w:id="62"/>
      <w:bookmarkStart w:id="63" w:name="_Toc184310295"/>
      <w:bookmarkEnd w:id="63"/>
      <w:bookmarkStart w:id="64" w:name="_Toc184314465"/>
      <w:bookmarkEnd w:id="64"/>
      <w:bookmarkStart w:id="65" w:name="_Toc184313275"/>
      <w:bookmarkEnd w:id="65"/>
      <w:bookmarkStart w:id="66" w:name="_Toc184312104"/>
      <w:bookmarkEnd w:id="66"/>
      <w:bookmarkStart w:id="67" w:name="_Toc184314472"/>
      <w:bookmarkEnd w:id="67"/>
      <w:bookmarkStart w:id="68" w:name="_Toc184312131"/>
      <w:bookmarkEnd w:id="68"/>
      <w:bookmarkStart w:id="69" w:name="_Toc184312139"/>
      <w:bookmarkEnd w:id="69"/>
      <w:bookmarkStart w:id="70" w:name="_Toc184310303"/>
      <w:bookmarkEnd w:id="70"/>
      <w:bookmarkStart w:id="71" w:name="_Toc184314449"/>
      <w:bookmarkEnd w:id="71"/>
      <w:bookmarkStart w:id="72" w:name="_Toc184313278"/>
      <w:bookmarkEnd w:id="72"/>
      <w:bookmarkStart w:id="73" w:name="_Toc184310292"/>
      <w:bookmarkEnd w:id="73"/>
      <w:bookmarkStart w:id="74" w:name="_Toc184308068"/>
      <w:bookmarkEnd w:id="74"/>
      <w:bookmarkStart w:id="75" w:name="_Toc184308040"/>
      <w:bookmarkEnd w:id="75"/>
      <w:bookmarkStart w:id="76" w:name="_Toc184313258"/>
      <w:bookmarkEnd w:id="76"/>
      <w:bookmarkStart w:id="77" w:name="_Toc184308038"/>
      <w:bookmarkEnd w:id="77"/>
      <w:bookmarkStart w:id="78" w:name="_Toc184313256"/>
      <w:bookmarkEnd w:id="78"/>
      <w:bookmarkStart w:id="79" w:name="_Toc184313263"/>
      <w:bookmarkEnd w:id="79"/>
      <w:bookmarkStart w:id="80" w:name="_Toc184313281"/>
      <w:bookmarkEnd w:id="80"/>
      <w:bookmarkStart w:id="81" w:name="_Toc184308044"/>
      <w:bookmarkEnd w:id="81"/>
      <w:bookmarkStart w:id="82" w:name="_Toc184310317"/>
      <w:bookmarkEnd w:id="82"/>
      <w:bookmarkStart w:id="83" w:name="_Toc184314461"/>
      <w:bookmarkEnd w:id="83"/>
      <w:bookmarkStart w:id="84" w:name="_Toc184312073"/>
      <w:bookmarkEnd w:id="84"/>
      <w:bookmarkStart w:id="85" w:name="_Toc184314463"/>
      <w:bookmarkEnd w:id="85"/>
      <w:bookmarkStart w:id="86" w:name="_Toc184314430"/>
      <w:bookmarkEnd w:id="86"/>
      <w:bookmarkStart w:id="87" w:name="_Toc184310287"/>
      <w:bookmarkEnd w:id="87"/>
      <w:bookmarkStart w:id="88" w:name="_Toc184312072"/>
      <w:bookmarkEnd w:id="88"/>
      <w:bookmarkStart w:id="89" w:name="_Toc184310332"/>
      <w:bookmarkEnd w:id="89"/>
      <w:bookmarkStart w:id="90" w:name="_Toc184308059"/>
      <w:bookmarkEnd w:id="90"/>
      <w:bookmarkStart w:id="91" w:name="_Toc184312100"/>
      <w:bookmarkEnd w:id="91"/>
      <w:bookmarkStart w:id="92" w:name="_Toc184308091"/>
      <w:bookmarkEnd w:id="92"/>
      <w:bookmarkStart w:id="93" w:name="_Toc184308080"/>
      <w:bookmarkEnd w:id="93"/>
      <w:bookmarkStart w:id="94" w:name="_Toc184308085"/>
      <w:bookmarkEnd w:id="94"/>
      <w:bookmarkStart w:id="95" w:name="_Toc184314433"/>
      <w:bookmarkEnd w:id="95"/>
      <w:bookmarkStart w:id="96" w:name="_Toc184312122"/>
      <w:bookmarkEnd w:id="96"/>
      <w:bookmarkStart w:id="97" w:name="_Toc184308057"/>
      <w:bookmarkEnd w:id="97"/>
      <w:bookmarkStart w:id="98" w:name="_Toc184314428"/>
      <w:bookmarkEnd w:id="98"/>
      <w:bookmarkStart w:id="99" w:name="_Toc184312090"/>
      <w:bookmarkEnd w:id="99"/>
      <w:bookmarkStart w:id="100" w:name="_Toc184314424"/>
      <w:bookmarkEnd w:id="100"/>
      <w:bookmarkStart w:id="101" w:name="_Toc184312130"/>
      <w:bookmarkEnd w:id="101"/>
      <w:bookmarkStart w:id="102" w:name="_Toc184308083"/>
      <w:bookmarkEnd w:id="102"/>
      <w:bookmarkStart w:id="103" w:name="_Toc184314439"/>
      <w:bookmarkEnd w:id="103"/>
      <w:bookmarkStart w:id="104" w:name="_Toc184308045"/>
      <w:bookmarkEnd w:id="104"/>
      <w:bookmarkStart w:id="105" w:name="_Toc184312127"/>
      <w:bookmarkEnd w:id="105"/>
      <w:bookmarkStart w:id="106" w:name="_Toc184312119"/>
      <w:bookmarkEnd w:id="106"/>
      <w:bookmarkStart w:id="107" w:name="_Toc184308058"/>
      <w:bookmarkEnd w:id="107"/>
      <w:bookmarkStart w:id="108" w:name="_Toc184310318"/>
      <w:bookmarkEnd w:id="108"/>
      <w:bookmarkStart w:id="109" w:name="_Toc184314442"/>
      <w:bookmarkEnd w:id="109"/>
      <w:bookmarkStart w:id="110" w:name="_Toc184312101"/>
      <w:bookmarkEnd w:id="110"/>
      <w:bookmarkStart w:id="111" w:name="_Toc184310341"/>
      <w:bookmarkEnd w:id="111"/>
      <w:bookmarkStart w:id="112" w:name="_Toc184312123"/>
      <w:bookmarkEnd w:id="112"/>
      <w:bookmarkStart w:id="113" w:name="_Toc184308102"/>
      <w:bookmarkEnd w:id="113"/>
      <w:bookmarkStart w:id="114" w:name="_Toc184313293"/>
      <w:bookmarkEnd w:id="114"/>
      <w:bookmarkStart w:id="115" w:name="_Toc184308084"/>
      <w:bookmarkEnd w:id="115"/>
      <w:bookmarkStart w:id="116" w:name="_Toc184308086"/>
      <w:bookmarkEnd w:id="116"/>
      <w:bookmarkStart w:id="117" w:name="_Toc184310331"/>
      <w:bookmarkEnd w:id="117"/>
      <w:bookmarkStart w:id="118" w:name="_Toc184313250"/>
      <w:bookmarkEnd w:id="118"/>
      <w:bookmarkStart w:id="119" w:name="_Toc184314458"/>
      <w:bookmarkEnd w:id="119"/>
      <w:bookmarkStart w:id="120" w:name="_Toc184314412"/>
      <w:bookmarkEnd w:id="120"/>
      <w:bookmarkStart w:id="121" w:name="_Toc184310301"/>
      <w:bookmarkEnd w:id="121"/>
      <w:bookmarkStart w:id="122" w:name="_Toc184314447"/>
      <w:bookmarkEnd w:id="122"/>
      <w:bookmarkStart w:id="123" w:name="_Toc184314456"/>
      <w:bookmarkEnd w:id="123"/>
      <w:bookmarkStart w:id="124" w:name="_Toc184312137"/>
      <w:bookmarkEnd w:id="124"/>
      <w:bookmarkStart w:id="125" w:name="_Toc184310299"/>
      <w:bookmarkEnd w:id="125"/>
      <w:bookmarkStart w:id="126" w:name="_Toc184313276"/>
      <w:bookmarkEnd w:id="126"/>
      <w:bookmarkStart w:id="127" w:name="_Toc184312083"/>
      <w:bookmarkEnd w:id="127"/>
      <w:bookmarkStart w:id="128" w:name="_Toc184308066"/>
      <w:bookmarkEnd w:id="128"/>
      <w:bookmarkStart w:id="129" w:name="_Toc184313304"/>
      <w:bookmarkEnd w:id="129"/>
      <w:bookmarkStart w:id="130" w:name="_Toc184313238"/>
      <w:bookmarkEnd w:id="130"/>
      <w:bookmarkStart w:id="131" w:name="_Toc184312092"/>
      <w:bookmarkEnd w:id="131"/>
      <w:bookmarkStart w:id="132" w:name="_Toc184308106"/>
      <w:bookmarkEnd w:id="132"/>
      <w:bookmarkStart w:id="133" w:name="_Toc184314476"/>
      <w:bookmarkEnd w:id="133"/>
      <w:bookmarkStart w:id="134" w:name="_Toc184312111"/>
      <w:bookmarkEnd w:id="134"/>
      <w:bookmarkStart w:id="135" w:name="_Toc184310315"/>
      <w:bookmarkEnd w:id="135"/>
      <w:bookmarkStart w:id="136" w:name="_Toc184313260"/>
      <w:bookmarkEnd w:id="136"/>
      <w:bookmarkStart w:id="137" w:name="_Toc184314444"/>
      <w:bookmarkEnd w:id="137"/>
      <w:bookmarkStart w:id="138" w:name="_Toc184314436"/>
      <w:bookmarkEnd w:id="138"/>
      <w:bookmarkStart w:id="139" w:name="_Toc184308062"/>
      <w:bookmarkEnd w:id="139"/>
      <w:bookmarkStart w:id="140" w:name="_Toc184314423"/>
      <w:bookmarkEnd w:id="140"/>
      <w:bookmarkStart w:id="141" w:name="_Toc184312113"/>
      <w:bookmarkEnd w:id="141"/>
      <w:bookmarkStart w:id="142" w:name="_Toc184310272"/>
      <w:bookmarkEnd w:id="142"/>
      <w:bookmarkStart w:id="143" w:name="_Toc184308074"/>
      <w:bookmarkEnd w:id="143"/>
      <w:bookmarkStart w:id="144" w:name="_Toc184314446"/>
      <w:bookmarkEnd w:id="144"/>
      <w:bookmarkStart w:id="145" w:name="_Toc184308099"/>
      <w:bookmarkEnd w:id="145"/>
      <w:bookmarkStart w:id="146" w:name="_Toc184313310"/>
      <w:bookmarkEnd w:id="146"/>
      <w:bookmarkStart w:id="147" w:name="_Toc184312109"/>
      <w:bookmarkEnd w:id="147"/>
      <w:bookmarkStart w:id="148" w:name="_Toc184313257"/>
      <w:bookmarkEnd w:id="148"/>
      <w:bookmarkStart w:id="149" w:name="_Toc184314441"/>
      <w:bookmarkEnd w:id="149"/>
      <w:bookmarkStart w:id="150" w:name="_Toc184313288"/>
      <w:bookmarkEnd w:id="150"/>
      <w:bookmarkStart w:id="151" w:name="_Toc184314421"/>
      <w:bookmarkEnd w:id="151"/>
      <w:bookmarkStart w:id="152" w:name="_Toc184310276"/>
      <w:bookmarkEnd w:id="152"/>
      <w:bookmarkStart w:id="153" w:name="_Toc184308107"/>
      <w:bookmarkEnd w:id="153"/>
      <w:bookmarkStart w:id="154" w:name="_Toc184313269"/>
      <w:bookmarkEnd w:id="154"/>
      <w:bookmarkStart w:id="155" w:name="_Toc184308047"/>
      <w:bookmarkEnd w:id="155"/>
      <w:bookmarkStart w:id="156" w:name="_Toc184308092"/>
      <w:bookmarkEnd w:id="156"/>
      <w:bookmarkStart w:id="157" w:name="_Toc184308039"/>
      <w:bookmarkEnd w:id="157"/>
      <w:bookmarkStart w:id="158" w:name="_Toc184313301"/>
      <w:bookmarkEnd w:id="158"/>
      <w:bookmarkStart w:id="159" w:name="_Toc184308067"/>
      <w:bookmarkEnd w:id="159"/>
      <w:bookmarkStart w:id="160" w:name="_Toc184312125"/>
      <w:bookmarkEnd w:id="160"/>
      <w:bookmarkStart w:id="161" w:name="_Toc184314460"/>
      <w:bookmarkEnd w:id="161"/>
      <w:bookmarkStart w:id="162" w:name="_Toc184308088"/>
      <w:bookmarkEnd w:id="162"/>
      <w:bookmarkStart w:id="163" w:name="_Toc184312082"/>
      <w:bookmarkEnd w:id="163"/>
      <w:bookmarkStart w:id="164" w:name="_Toc184312126"/>
      <w:bookmarkEnd w:id="164"/>
      <w:bookmarkStart w:id="165" w:name="_Toc184314418"/>
      <w:bookmarkEnd w:id="165"/>
      <w:bookmarkStart w:id="166" w:name="_Toc184313268"/>
      <w:bookmarkEnd w:id="166"/>
      <w:bookmarkStart w:id="167" w:name="_Toc184313271"/>
      <w:bookmarkEnd w:id="167"/>
      <w:bookmarkStart w:id="168" w:name="_Toc184310316"/>
      <w:bookmarkEnd w:id="168"/>
      <w:bookmarkStart w:id="169" w:name="_Toc184310274"/>
      <w:bookmarkEnd w:id="169"/>
      <w:bookmarkStart w:id="170" w:name="_Toc184312120"/>
      <w:bookmarkEnd w:id="170"/>
      <w:bookmarkStart w:id="171" w:name="_Toc184313261"/>
      <w:bookmarkEnd w:id="171"/>
      <w:bookmarkStart w:id="172" w:name="_Toc184308063"/>
      <w:bookmarkEnd w:id="172"/>
      <w:bookmarkStart w:id="173" w:name="_Toc184310337"/>
      <w:bookmarkEnd w:id="173"/>
      <w:bookmarkStart w:id="174" w:name="_Toc184310302"/>
      <w:bookmarkEnd w:id="174"/>
      <w:bookmarkStart w:id="175" w:name="_Toc184312128"/>
      <w:bookmarkEnd w:id="175"/>
      <w:bookmarkStart w:id="176" w:name="_Toc184312098"/>
      <w:bookmarkEnd w:id="176"/>
      <w:bookmarkStart w:id="177" w:name="_Toc184310273"/>
      <w:bookmarkEnd w:id="177"/>
      <w:bookmarkStart w:id="178" w:name="_Toc184313282"/>
      <w:bookmarkEnd w:id="178"/>
      <w:bookmarkStart w:id="179" w:name="_Toc184313240"/>
      <w:bookmarkEnd w:id="179"/>
      <w:bookmarkStart w:id="180" w:name="_Toc184310298"/>
      <w:bookmarkEnd w:id="180"/>
      <w:bookmarkStart w:id="181" w:name="_Toc184310334"/>
      <w:bookmarkEnd w:id="181"/>
      <w:bookmarkStart w:id="182" w:name="_Toc184313303"/>
      <w:bookmarkEnd w:id="182"/>
      <w:bookmarkStart w:id="183" w:name="_Toc184314474"/>
      <w:bookmarkEnd w:id="183"/>
      <w:bookmarkStart w:id="184" w:name="_Toc184312121"/>
      <w:bookmarkEnd w:id="184"/>
      <w:bookmarkStart w:id="185" w:name="_Toc184312114"/>
      <w:bookmarkEnd w:id="185"/>
      <w:bookmarkStart w:id="186" w:name="_Toc184312116"/>
      <w:bookmarkEnd w:id="186"/>
      <w:bookmarkStart w:id="187" w:name="_Toc184308082"/>
      <w:bookmarkEnd w:id="187"/>
      <w:bookmarkStart w:id="188" w:name="_Toc184313280"/>
      <w:bookmarkEnd w:id="188"/>
      <w:bookmarkStart w:id="189" w:name="_Toc184312085"/>
      <w:bookmarkEnd w:id="189"/>
      <w:bookmarkStart w:id="190" w:name="_Toc184312107"/>
      <w:bookmarkEnd w:id="190"/>
      <w:bookmarkStart w:id="191" w:name="_Toc184308048"/>
      <w:bookmarkEnd w:id="191"/>
      <w:bookmarkStart w:id="192" w:name="_Toc184312136"/>
      <w:bookmarkEnd w:id="192"/>
      <w:bookmarkStart w:id="193" w:name="_Toc184310321"/>
      <w:bookmarkEnd w:id="193"/>
      <w:bookmarkStart w:id="194" w:name="_Toc184308078"/>
      <w:bookmarkEnd w:id="194"/>
      <w:bookmarkStart w:id="195" w:name="_Toc184310279"/>
      <w:bookmarkEnd w:id="195"/>
      <w:bookmarkStart w:id="196" w:name="_Toc184314470"/>
      <w:bookmarkEnd w:id="196"/>
      <w:bookmarkStart w:id="197" w:name="_Toc184313274"/>
      <w:bookmarkEnd w:id="197"/>
      <w:bookmarkStart w:id="198" w:name="_Toc184313272"/>
      <w:bookmarkEnd w:id="198"/>
      <w:bookmarkStart w:id="199" w:name="_Toc184312112"/>
      <w:bookmarkEnd w:id="199"/>
      <w:bookmarkStart w:id="200" w:name="_Toc184308072"/>
      <w:bookmarkEnd w:id="200"/>
      <w:bookmarkStart w:id="201" w:name="_Toc184308073"/>
      <w:bookmarkEnd w:id="201"/>
      <w:bookmarkStart w:id="202" w:name="_Toc184310309"/>
      <w:bookmarkEnd w:id="202"/>
      <w:bookmarkStart w:id="203" w:name="_Toc184310304"/>
      <w:bookmarkEnd w:id="203"/>
      <w:bookmarkStart w:id="204" w:name="_Toc184313270"/>
      <w:bookmarkEnd w:id="204"/>
      <w:bookmarkStart w:id="205" w:name="_Toc184312078"/>
      <w:bookmarkEnd w:id="205"/>
      <w:bookmarkStart w:id="206" w:name="_Toc184313253"/>
      <w:bookmarkEnd w:id="206"/>
      <w:bookmarkStart w:id="207" w:name="_Toc184313255"/>
      <w:bookmarkEnd w:id="207"/>
      <w:bookmarkStart w:id="208" w:name="_Toc184312087"/>
      <w:bookmarkEnd w:id="208"/>
      <w:bookmarkStart w:id="209" w:name="_Toc184314477"/>
      <w:bookmarkEnd w:id="209"/>
      <w:bookmarkStart w:id="210" w:name="_Toc184313287"/>
      <w:bookmarkEnd w:id="210"/>
      <w:bookmarkStart w:id="211" w:name="_Toc184310313"/>
      <w:bookmarkEnd w:id="211"/>
      <w:bookmarkStart w:id="212" w:name="_Toc184314466"/>
      <w:bookmarkEnd w:id="212"/>
      <w:bookmarkStart w:id="213" w:name="_Toc184308077"/>
      <w:bookmarkEnd w:id="213"/>
      <w:bookmarkStart w:id="214" w:name="_Toc184312081"/>
      <w:bookmarkEnd w:id="214"/>
      <w:bookmarkStart w:id="215" w:name="_Toc184312070"/>
      <w:bookmarkEnd w:id="215"/>
      <w:bookmarkStart w:id="216" w:name="_Toc184310289"/>
      <w:bookmarkEnd w:id="216"/>
      <w:bookmarkStart w:id="217" w:name="_Toc184310310"/>
      <w:bookmarkEnd w:id="217"/>
      <w:bookmarkStart w:id="218" w:name="_Toc184313239"/>
      <w:bookmarkEnd w:id="218"/>
      <w:bookmarkStart w:id="219" w:name="_Toc184312110"/>
      <w:bookmarkEnd w:id="219"/>
      <w:bookmarkStart w:id="220" w:name="_Toc184313252"/>
      <w:bookmarkEnd w:id="220"/>
      <w:bookmarkStart w:id="221" w:name="_Toc184310280"/>
      <w:bookmarkEnd w:id="221"/>
      <w:bookmarkStart w:id="222" w:name="_Toc184313305"/>
      <w:bookmarkEnd w:id="222"/>
      <w:bookmarkStart w:id="223" w:name="_Toc184313292"/>
      <w:bookmarkEnd w:id="223"/>
      <w:bookmarkStart w:id="224" w:name="_Toc184312099"/>
      <w:bookmarkEnd w:id="224"/>
      <w:bookmarkStart w:id="225" w:name="_Toc184310305"/>
      <w:bookmarkEnd w:id="225"/>
      <w:bookmarkStart w:id="226" w:name="_Toc184310311"/>
      <w:bookmarkEnd w:id="226"/>
      <w:bookmarkStart w:id="227" w:name="_Toc184314445"/>
      <w:bookmarkEnd w:id="227"/>
      <w:bookmarkStart w:id="228" w:name="_Toc184313248"/>
      <w:bookmarkEnd w:id="228"/>
      <w:bookmarkStart w:id="229" w:name="_Toc184308075"/>
      <w:bookmarkEnd w:id="229"/>
      <w:bookmarkStart w:id="230" w:name="_Toc184310306"/>
      <w:bookmarkEnd w:id="230"/>
      <w:bookmarkStart w:id="231" w:name="_Toc184314410"/>
      <w:bookmarkEnd w:id="231"/>
      <w:bookmarkStart w:id="232" w:name="_Toc184310312"/>
      <w:bookmarkEnd w:id="232"/>
      <w:bookmarkStart w:id="233" w:name="_Toc184308046"/>
      <w:bookmarkEnd w:id="233"/>
      <w:bookmarkStart w:id="234" w:name="_Toc184312068"/>
      <w:bookmarkEnd w:id="234"/>
      <w:bookmarkStart w:id="235" w:name="_Toc184313262"/>
      <w:bookmarkEnd w:id="235"/>
      <w:bookmarkStart w:id="236" w:name="_Toc184310275"/>
      <w:bookmarkEnd w:id="236"/>
      <w:bookmarkStart w:id="237" w:name="_Toc184310314"/>
      <w:bookmarkEnd w:id="237"/>
      <w:bookmarkStart w:id="238" w:name="_Toc184313243"/>
      <w:bookmarkEnd w:id="238"/>
      <w:bookmarkStart w:id="239" w:name="_Toc184310307"/>
      <w:bookmarkEnd w:id="239"/>
      <w:bookmarkStart w:id="240" w:name="_Toc184312089"/>
      <w:bookmarkEnd w:id="240"/>
      <w:bookmarkStart w:id="241" w:name="_Toc184310286"/>
      <w:bookmarkEnd w:id="241"/>
      <w:bookmarkStart w:id="242" w:name="_Toc184313298"/>
      <w:bookmarkEnd w:id="242"/>
      <w:bookmarkStart w:id="243" w:name="_Toc184314434"/>
      <w:bookmarkEnd w:id="243"/>
      <w:bookmarkStart w:id="244" w:name="_Toc184314426"/>
      <w:bookmarkEnd w:id="244"/>
      <w:bookmarkStart w:id="245" w:name="_Toc184314414"/>
      <w:bookmarkEnd w:id="245"/>
      <w:bookmarkStart w:id="246" w:name="_Toc184313284"/>
      <w:bookmarkEnd w:id="246"/>
      <w:bookmarkStart w:id="247" w:name="_Toc184313265"/>
      <w:bookmarkEnd w:id="247"/>
      <w:bookmarkStart w:id="248" w:name="_Toc184308071"/>
      <w:bookmarkEnd w:id="248"/>
      <w:bookmarkStart w:id="249" w:name="_Toc184308042"/>
      <w:bookmarkEnd w:id="249"/>
      <w:bookmarkStart w:id="250" w:name="_Toc184313266"/>
      <w:bookmarkEnd w:id="250"/>
      <w:bookmarkStart w:id="251" w:name="_Toc184312133"/>
      <w:bookmarkEnd w:id="251"/>
      <w:bookmarkStart w:id="252" w:name="_Toc184314480"/>
      <w:bookmarkEnd w:id="252"/>
      <w:bookmarkStart w:id="253" w:name="_Toc184312071"/>
      <w:bookmarkEnd w:id="253"/>
      <w:bookmarkStart w:id="254" w:name="_Toc184312097"/>
      <w:bookmarkEnd w:id="254"/>
      <w:bookmarkStart w:id="255" w:name="_Toc184310284"/>
      <w:bookmarkEnd w:id="255"/>
      <w:bookmarkStart w:id="256" w:name="_Toc184313286"/>
      <w:bookmarkEnd w:id="256"/>
      <w:bookmarkStart w:id="257" w:name="_Toc184314462"/>
      <w:bookmarkEnd w:id="257"/>
      <w:bookmarkStart w:id="258" w:name="_Toc184314464"/>
      <w:bookmarkEnd w:id="258"/>
      <w:bookmarkStart w:id="259" w:name="_Toc184310300"/>
      <w:bookmarkEnd w:id="259"/>
      <w:bookmarkStart w:id="260" w:name="_Toc184313279"/>
      <w:bookmarkEnd w:id="260"/>
      <w:bookmarkStart w:id="261" w:name="_Toc184310325"/>
      <w:bookmarkEnd w:id="261"/>
      <w:bookmarkStart w:id="262" w:name="_Toc184314469"/>
      <w:bookmarkEnd w:id="262"/>
      <w:bookmarkStart w:id="263" w:name="_Toc184310323"/>
      <w:bookmarkEnd w:id="263"/>
      <w:bookmarkStart w:id="264" w:name="_Toc184314454"/>
      <w:bookmarkEnd w:id="264"/>
      <w:bookmarkStart w:id="265" w:name="_Toc184314415"/>
      <w:bookmarkEnd w:id="265"/>
      <w:bookmarkStart w:id="266" w:name="_Toc184312076"/>
      <w:bookmarkEnd w:id="266"/>
      <w:bookmarkStart w:id="267" w:name="_Toc184308069"/>
      <w:bookmarkEnd w:id="267"/>
      <w:bookmarkStart w:id="268" w:name="_Toc184314457"/>
      <w:bookmarkEnd w:id="268"/>
      <w:bookmarkStart w:id="269" w:name="_Toc184314427"/>
      <w:bookmarkEnd w:id="269"/>
      <w:bookmarkStart w:id="270" w:name="_Toc184308037"/>
      <w:bookmarkEnd w:id="270"/>
      <w:bookmarkStart w:id="271" w:name="_Toc184312077"/>
      <w:bookmarkEnd w:id="271"/>
      <w:bookmarkStart w:id="272" w:name="_Toc184312102"/>
      <w:bookmarkEnd w:id="272"/>
      <w:bookmarkStart w:id="273" w:name="_Toc184308096"/>
      <w:bookmarkEnd w:id="273"/>
      <w:bookmarkStart w:id="274" w:name="_Toc184308100"/>
      <w:bookmarkEnd w:id="274"/>
      <w:bookmarkStart w:id="275" w:name="_Toc184308076"/>
      <w:bookmarkEnd w:id="275"/>
      <w:bookmarkStart w:id="276" w:name="_Toc184312106"/>
      <w:bookmarkEnd w:id="276"/>
      <w:bookmarkStart w:id="277" w:name="_Toc184310338"/>
      <w:bookmarkEnd w:id="277"/>
      <w:bookmarkStart w:id="278" w:name="_Toc184310285"/>
      <w:bookmarkEnd w:id="278"/>
      <w:bookmarkStart w:id="279" w:name="_Toc184308070"/>
      <w:bookmarkEnd w:id="279"/>
      <w:bookmarkStart w:id="280" w:name="_Toc184308060"/>
      <w:bookmarkEnd w:id="280"/>
      <w:bookmarkStart w:id="281" w:name="_Toc184313264"/>
      <w:bookmarkEnd w:id="281"/>
      <w:bookmarkStart w:id="282" w:name="_Toc184314420"/>
      <w:bookmarkEnd w:id="282"/>
      <w:bookmarkStart w:id="283" w:name="_Toc184314482"/>
      <w:bookmarkEnd w:id="283"/>
      <w:bookmarkStart w:id="284" w:name="_Toc184313300"/>
      <w:bookmarkEnd w:id="284"/>
      <w:bookmarkStart w:id="285" w:name="_Toc184310308"/>
      <w:bookmarkEnd w:id="285"/>
      <w:bookmarkStart w:id="286" w:name="_Toc184312118"/>
      <w:bookmarkEnd w:id="286"/>
      <w:bookmarkStart w:id="287" w:name="_Toc184314431"/>
      <w:bookmarkEnd w:id="287"/>
      <w:bookmarkStart w:id="288" w:name="_Toc184313259"/>
      <w:bookmarkEnd w:id="288"/>
      <w:bookmarkStart w:id="289" w:name="_Toc184314450"/>
      <w:bookmarkEnd w:id="289"/>
      <w:bookmarkStart w:id="290" w:name="_Toc184310335"/>
      <w:bookmarkEnd w:id="290"/>
      <w:bookmarkStart w:id="291" w:name="_Toc184314443"/>
      <w:bookmarkEnd w:id="291"/>
      <w:bookmarkStart w:id="292" w:name="_Toc184314451"/>
      <w:bookmarkEnd w:id="292"/>
      <w:bookmarkStart w:id="293" w:name="_Toc184312094"/>
      <w:bookmarkEnd w:id="293"/>
      <w:bookmarkStart w:id="294" w:name="_Toc184314422"/>
      <w:bookmarkEnd w:id="294"/>
      <w:bookmarkStart w:id="295" w:name="_Toc184310278"/>
      <w:bookmarkEnd w:id="295"/>
      <w:bookmarkStart w:id="296" w:name="_Toc184310343"/>
      <w:bookmarkEnd w:id="296"/>
      <w:bookmarkStart w:id="297" w:name="_Toc184310297"/>
      <w:bookmarkEnd w:id="297"/>
      <w:bookmarkStart w:id="298" w:name="_Toc184308041"/>
      <w:bookmarkEnd w:id="298"/>
      <w:bookmarkStart w:id="299" w:name="_Toc184310296"/>
      <w:bookmarkEnd w:id="299"/>
      <w:bookmarkStart w:id="300" w:name="_Toc184313290"/>
      <w:bookmarkEnd w:id="300"/>
      <w:bookmarkStart w:id="301" w:name="_Toc184313294"/>
      <w:bookmarkEnd w:id="301"/>
      <w:bookmarkStart w:id="302" w:name="_Toc184313241"/>
      <w:bookmarkEnd w:id="302"/>
      <w:bookmarkStart w:id="303" w:name="_Toc184308064"/>
      <w:bookmarkEnd w:id="303"/>
      <w:bookmarkStart w:id="304" w:name="_Toc184312132"/>
      <w:bookmarkEnd w:id="304"/>
      <w:bookmarkStart w:id="305" w:name="_Toc184312080"/>
      <w:bookmarkEnd w:id="305"/>
      <w:bookmarkStart w:id="306" w:name="_Toc184308079"/>
      <w:bookmarkEnd w:id="306"/>
      <w:bookmarkStart w:id="307" w:name="_Toc184313309"/>
      <w:bookmarkEnd w:id="307"/>
      <w:bookmarkStart w:id="308" w:name="_Toc184310342"/>
      <w:bookmarkEnd w:id="308"/>
      <w:bookmarkStart w:id="309" w:name="_Toc184314419"/>
      <w:bookmarkEnd w:id="309"/>
      <w:bookmarkStart w:id="310" w:name="_Toc184310283"/>
      <w:bookmarkEnd w:id="310"/>
      <w:bookmarkStart w:id="311" w:name="_Toc184314459"/>
      <w:bookmarkEnd w:id="311"/>
      <w:bookmarkStart w:id="312" w:name="_Toc184314429"/>
      <w:bookmarkEnd w:id="312"/>
      <w:bookmarkStart w:id="313" w:name="_Toc184308051"/>
      <w:bookmarkEnd w:id="313"/>
      <w:bookmarkStart w:id="314" w:name="_Toc184313242"/>
      <w:bookmarkEnd w:id="314"/>
      <w:bookmarkStart w:id="315" w:name="_Toc184310327"/>
      <w:bookmarkEnd w:id="315"/>
      <w:bookmarkStart w:id="316" w:name="_Toc184314432"/>
      <w:bookmarkEnd w:id="316"/>
      <w:bookmarkStart w:id="317" w:name="_Toc184310290"/>
      <w:bookmarkEnd w:id="317"/>
      <w:bookmarkStart w:id="318" w:name="_Toc184313285"/>
      <w:bookmarkEnd w:id="318"/>
      <w:bookmarkStart w:id="319" w:name="_Toc184313244"/>
      <w:bookmarkEnd w:id="319"/>
      <w:bookmarkStart w:id="320" w:name="_Toc184310291"/>
      <w:bookmarkEnd w:id="320"/>
      <w:bookmarkStart w:id="321" w:name="_Toc184308094"/>
      <w:bookmarkEnd w:id="321"/>
      <w:bookmarkStart w:id="322" w:name="_Toc184313296"/>
      <w:bookmarkEnd w:id="322"/>
      <w:bookmarkStart w:id="323" w:name="_Toc184314413"/>
      <w:bookmarkEnd w:id="323"/>
      <w:bookmarkStart w:id="324" w:name="_Toc184308036"/>
      <w:bookmarkEnd w:id="324"/>
      <w:bookmarkStart w:id="325" w:name="_Toc184312124"/>
      <w:bookmarkEnd w:id="325"/>
      <w:bookmarkStart w:id="326" w:name="_Toc184312091"/>
      <w:bookmarkEnd w:id="326"/>
      <w:bookmarkStart w:id="327" w:name="_Toc184310339"/>
      <w:bookmarkEnd w:id="327"/>
      <w:bookmarkStart w:id="328" w:name="_Toc184308097"/>
      <w:bookmarkEnd w:id="328"/>
      <w:bookmarkStart w:id="329" w:name="_Toc184314411"/>
      <w:bookmarkEnd w:id="329"/>
      <w:bookmarkStart w:id="330" w:name="_Toc184308054"/>
      <w:bookmarkEnd w:id="330"/>
      <w:bookmarkStart w:id="331" w:name="_Toc184314481"/>
      <w:bookmarkEnd w:id="331"/>
      <w:bookmarkStart w:id="332" w:name="_Toc184308093"/>
      <w:bookmarkEnd w:id="332"/>
      <w:bookmarkStart w:id="333" w:name="_Toc184312135"/>
      <w:bookmarkEnd w:id="333"/>
      <w:bookmarkStart w:id="334" w:name="_Toc184312084"/>
      <w:bookmarkEnd w:id="334"/>
      <w:bookmarkStart w:id="335" w:name="_Toc184308050"/>
      <w:bookmarkEnd w:id="335"/>
      <w:bookmarkStart w:id="336" w:name="_Toc184313277"/>
      <w:bookmarkEnd w:id="336"/>
      <w:bookmarkStart w:id="337" w:name="_Toc184310293"/>
      <w:bookmarkEnd w:id="337"/>
      <w:bookmarkStart w:id="338" w:name="_Toc184308108"/>
      <w:bookmarkEnd w:id="338"/>
      <w:bookmarkStart w:id="339" w:name="_Toc184312096"/>
      <w:bookmarkEnd w:id="339"/>
      <w:bookmarkStart w:id="340" w:name="_Toc184308090"/>
      <w:bookmarkEnd w:id="340"/>
      <w:bookmarkStart w:id="341" w:name="_Toc184308053"/>
      <w:bookmarkEnd w:id="341"/>
      <w:bookmarkStart w:id="342" w:name="_Toc184310277"/>
      <w:bookmarkEnd w:id="342"/>
      <w:bookmarkStart w:id="343" w:name="_Toc184310328"/>
      <w:bookmarkEnd w:id="343"/>
      <w:bookmarkStart w:id="344" w:name="_Toc184310330"/>
      <w:bookmarkEnd w:id="344"/>
      <w:bookmarkStart w:id="345" w:name="_Toc184313307"/>
      <w:bookmarkEnd w:id="345"/>
      <w:bookmarkStart w:id="346" w:name="_Toc184314416"/>
      <w:bookmarkEnd w:id="346"/>
      <w:bookmarkStart w:id="347" w:name="_Toc184313246"/>
      <w:bookmarkEnd w:id="347"/>
      <w:bookmarkStart w:id="348" w:name="_Toc184310326"/>
      <w:bookmarkEnd w:id="348"/>
      <w:bookmarkStart w:id="349" w:name="_Toc184313306"/>
      <w:bookmarkEnd w:id="349"/>
      <w:bookmarkStart w:id="350" w:name="_Toc184313299"/>
      <w:bookmarkEnd w:id="350"/>
      <w:bookmarkStart w:id="351" w:name="_Toc184308065"/>
      <w:bookmarkEnd w:id="351"/>
      <w:bookmarkStart w:id="352" w:name="_Toc184313283"/>
      <w:bookmarkEnd w:id="352"/>
      <w:bookmarkStart w:id="353" w:name="_Toc184308105"/>
      <w:bookmarkEnd w:id="353"/>
      <w:bookmarkStart w:id="354" w:name="_Toc184314455"/>
      <w:bookmarkEnd w:id="354"/>
      <w:bookmarkStart w:id="355" w:name="_Toc184310322"/>
      <w:bookmarkEnd w:id="355"/>
      <w:bookmarkStart w:id="356" w:name="_Toc184308095"/>
      <w:bookmarkEnd w:id="356"/>
      <w:bookmarkStart w:id="357" w:name="_Toc184308103"/>
      <w:bookmarkEnd w:id="357"/>
      <w:bookmarkStart w:id="358" w:name="_Toc184312138"/>
      <w:bookmarkEnd w:id="358"/>
      <w:bookmarkStart w:id="359" w:name="_Toc184313289"/>
      <w:bookmarkEnd w:id="359"/>
      <w:bookmarkStart w:id="360" w:name="_Toc184308049"/>
      <w:bookmarkEnd w:id="360"/>
      <w:bookmarkStart w:id="361" w:name="_Toc184313254"/>
      <w:bookmarkEnd w:id="361"/>
      <w:bookmarkStart w:id="362" w:name="_Toc184314440"/>
      <w:bookmarkEnd w:id="362"/>
      <w:bookmarkStart w:id="363" w:name="_Toc184314453"/>
      <w:bookmarkEnd w:id="363"/>
      <w:bookmarkStart w:id="364" w:name="_Toc184314468"/>
      <w:bookmarkEnd w:id="364"/>
      <w:bookmarkStart w:id="365" w:name="_Toc184314425"/>
      <w:bookmarkEnd w:id="365"/>
      <w:bookmarkStart w:id="366" w:name="_Toc184312075"/>
      <w:bookmarkEnd w:id="366"/>
      <w:bookmarkStart w:id="367" w:name="_Toc184308055"/>
      <w:bookmarkEnd w:id="367"/>
      <w:bookmarkStart w:id="368" w:name="_Toc184310333"/>
      <w:bookmarkEnd w:id="368"/>
      <w:bookmarkStart w:id="369" w:name="_Toc184313302"/>
      <w:bookmarkEnd w:id="369"/>
      <w:bookmarkStart w:id="370" w:name="_Toc184313297"/>
      <w:bookmarkEnd w:id="370"/>
      <w:bookmarkStart w:id="371" w:name="_Toc184313308"/>
      <w:bookmarkEnd w:id="371"/>
      <w:bookmarkStart w:id="372" w:name="_Toc184308052"/>
      <w:bookmarkEnd w:id="372"/>
      <w:bookmarkStart w:id="373" w:name="_Toc184312069"/>
      <w:bookmarkEnd w:id="373"/>
      <w:bookmarkStart w:id="374" w:name="_Toc184314448"/>
      <w:bookmarkEnd w:id="374"/>
      <w:bookmarkStart w:id="375" w:name="_Toc184308098"/>
      <w:bookmarkEnd w:id="375"/>
      <w:bookmarkStart w:id="376" w:name="_Toc184312117"/>
      <w:bookmarkEnd w:id="376"/>
      <w:bookmarkStart w:id="377" w:name="_Toc184308061"/>
      <w:bookmarkEnd w:id="377"/>
      <w:bookmarkStart w:id="378" w:name="_Toc184312129"/>
      <w:bookmarkEnd w:id="378"/>
      <w:bookmarkStart w:id="379" w:name="_Toc184310282"/>
      <w:bookmarkEnd w:id="379"/>
      <w:bookmarkStart w:id="380" w:name="_Toc184314475"/>
      <w:bookmarkEnd w:id="380"/>
      <w:bookmarkStart w:id="381" w:name="_Toc184313267"/>
      <w:bookmarkEnd w:id="381"/>
      <w:bookmarkStart w:id="382" w:name="_Toc184310340"/>
      <w:bookmarkEnd w:id="382"/>
      <w:bookmarkStart w:id="383" w:name="_Toc184310329"/>
      <w:bookmarkEnd w:id="383"/>
      <w:bookmarkStart w:id="384" w:name="_Toc184314471"/>
      <w:bookmarkEnd w:id="384"/>
      <w:bookmarkStart w:id="385" w:name="_Toc184310344"/>
      <w:bookmarkEnd w:id="385"/>
      <w:bookmarkStart w:id="386" w:name="_Toc184314435"/>
      <w:bookmarkEnd w:id="386"/>
      <w:bookmarkStart w:id="387" w:name="_Toc184312134"/>
      <w:bookmarkEnd w:id="387"/>
      <w:bookmarkStart w:id="388" w:name="_Toc184308043"/>
      <w:bookmarkEnd w:id="388"/>
      <w:bookmarkStart w:id="389" w:name="_Toc184313251"/>
      <w:bookmarkEnd w:id="389"/>
      <w:bookmarkStart w:id="390" w:name="_Toc184310336"/>
      <w:bookmarkEnd w:id="390"/>
      <w:bookmarkStart w:id="391" w:name="_Toc184314467"/>
      <w:bookmarkEnd w:id="391"/>
      <w:bookmarkStart w:id="392" w:name="_Toc184312103"/>
      <w:bookmarkEnd w:id="392"/>
      <w:bookmarkStart w:id="393" w:name="_Toc184310294"/>
      <w:bookmarkEnd w:id="393"/>
      <w:bookmarkStart w:id="394" w:name="_Toc184312074"/>
      <w:bookmarkEnd w:id="394"/>
      <w:bookmarkStart w:id="395" w:name="_Toc184308087"/>
      <w:bookmarkEnd w:id="395"/>
      <w:bookmarkStart w:id="396" w:name="_Toc184313295"/>
      <w:bookmarkEnd w:id="396"/>
      <w:bookmarkStart w:id="397" w:name="_Toc184313245"/>
      <w:bookmarkEnd w:id="397"/>
      <w:bookmarkStart w:id="398" w:name="_Toc184308104"/>
      <w:bookmarkEnd w:id="398"/>
      <w:bookmarkStart w:id="399" w:name="_Toc184312088"/>
      <w:bookmarkEnd w:id="399"/>
      <w:bookmarkStart w:id="400" w:name="_Toc184308056"/>
      <w:bookmarkEnd w:id="400"/>
      <w:bookmarkStart w:id="401" w:name="_Toc184308089"/>
      <w:bookmarkEnd w:id="401"/>
      <w:bookmarkStart w:id="402" w:name="_Toc184313291"/>
      <w:bookmarkEnd w:id="402"/>
      <w:bookmarkStart w:id="403" w:name="_Toc184312095"/>
      <w:bookmarkEnd w:id="403"/>
      <w:bookmarkStart w:id="404" w:name="_Toc184312093"/>
      <w:bookmarkEnd w:id="404"/>
      <w:bookmarkStart w:id="405" w:name="_Toc184314479"/>
      <w:bookmarkEnd w:id="405"/>
      <w:bookmarkStart w:id="406" w:name="_Toc184313273"/>
      <w:bookmarkEnd w:id="406"/>
      <w:bookmarkStart w:id="407" w:name="_Toc184313249"/>
      <w:bookmarkEnd w:id="407"/>
      <w:bookmarkStart w:id="408" w:name="_Toc184312079"/>
      <w:bookmarkEnd w:id="408"/>
      <w:bookmarkStart w:id="409" w:name="_Toc184312105"/>
      <w:bookmarkEnd w:id="409"/>
      <w:bookmarkStart w:id="410" w:name="_Toc184308101"/>
      <w:bookmarkEnd w:id="410"/>
      <w:bookmarkStart w:id="411" w:name="_Toc184312115"/>
      <w:bookmarkEnd w:id="411"/>
      <w:bookmarkStart w:id="412" w:name="_Toc184310288"/>
      <w:bookmarkEnd w:id="412"/>
      <w:bookmarkStart w:id="413" w:name="_Toc184312086"/>
      <w:bookmarkEnd w:id="413"/>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3"/>
        <w:tblpPr w:leftFromText="180" w:rightFromText="180" w:vertAnchor="text" w:horzAnchor="page" w:tblpXSpec="center" w:tblpY="126"/>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767"/>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5"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序号</w:t>
            </w:r>
          </w:p>
        </w:tc>
        <w:tc>
          <w:tcPr>
            <w:tcW w:w="5767"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评标标准</w:t>
            </w:r>
          </w:p>
        </w:tc>
        <w:tc>
          <w:tcPr>
            <w:tcW w:w="1385"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权重</w:t>
            </w:r>
          </w:p>
        </w:tc>
        <w:tc>
          <w:tcPr>
            <w:tcW w:w="1385"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_GB2312"/>
                <w:b/>
                <w:bCs/>
                <w:i w:val="0"/>
                <w:iCs w:val="0"/>
                <w:sz w:val="24"/>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767" w:type="dxa"/>
            <w:noWrap w:val="0"/>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或投标产品制造商自2019年1月1日（以合同签订时间为准）以来承接的类似业绩，每个得1分，最高得3分。</w:t>
            </w:r>
          </w:p>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中提供合同复制件，否则不得分。</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767" w:type="dxa"/>
            <w:noWrap w:val="0"/>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根据投标人提供的关于本项目《施工组织实施方案》的科学性、合理性、规范性、可操作性情况打分，包括①设计、生产、供货、吊装、安装、调试、项目验收、使用维护等内容，以及②组织机构、工作时间进度表、工作程序和步骤、管理和协调方法、关键步骤的思路和要点、施工质量保证措施、施工进度保证措施、安全文明施工方案以及③施工重难点及解决措施等。以上①、③两条方案内容完整、科学、合理、规范且具有可操作性的视为符合，符合得4分，部分符合得2分，不符合不得分。第②条方案内容完整、科学、合理、规范且具有可操作性的视为符合，符合得4分，部分符合得2分，不符合不得分。</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767" w:type="dxa"/>
            <w:noWrap w:val="0"/>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【投标产品空调机组参数的响应情况】</w:t>
            </w:r>
          </w:p>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完全满足招标技术参数要求的得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指标每负偏离一项扣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扣完为止</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需包含相关参数内容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767" w:type="dxa"/>
            <w:noWrap w:val="0"/>
            <w:vAlign w:val="center"/>
          </w:tcPr>
          <w:p>
            <w:pPr>
              <w:spacing w:line="240" w:lineRule="auto"/>
              <w:jc w:val="left"/>
              <w:rPr>
                <w:rFonts w:hint="eastAsia" w:ascii="仿宋" w:hAnsi="仿宋" w:eastAsia="仿宋" w:cs="仿宋"/>
                <w:sz w:val="24"/>
                <w:highlight w:val="none"/>
              </w:rPr>
            </w:pPr>
            <w:r>
              <w:rPr>
                <w:rFonts w:hint="eastAsia" w:ascii="仿宋" w:hAnsi="仿宋" w:eastAsia="仿宋" w:cs="仿宋"/>
                <w:sz w:val="24"/>
                <w:highlight w:val="none"/>
              </w:rPr>
              <w:t>【投标产品室外机电控盒防护等级先进性】</w:t>
            </w:r>
          </w:p>
          <w:p>
            <w:pPr>
              <w:spacing w:line="240" w:lineRule="auto"/>
              <w:jc w:val="left"/>
              <w:rPr>
                <w:rFonts w:hint="eastAsia" w:ascii="仿宋" w:hAnsi="仿宋" w:eastAsia="仿宋" w:cs="仿宋"/>
                <w:sz w:val="24"/>
                <w:highlight w:val="none"/>
              </w:rPr>
            </w:pPr>
            <w:r>
              <w:rPr>
                <w:rFonts w:hint="eastAsia" w:ascii="仿宋" w:hAnsi="仿宋" w:eastAsia="仿宋" w:cs="仿宋"/>
                <w:sz w:val="24"/>
                <w:highlight w:val="none"/>
              </w:rPr>
              <w:t>所投多联机室外电控盒正常工作状态下防护等级为IP55的得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分，IPX4的得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分，其他不得分。</w:t>
            </w:r>
          </w:p>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以第三方出具的检测报告或证书复印件加盖投标人公章</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767" w:type="dxa"/>
            <w:noWrap w:val="0"/>
            <w:vAlign w:val="center"/>
          </w:tcPr>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【投标产品多联机室外机运行稳定性】</w:t>
            </w:r>
          </w:p>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为保障机器长期稳定运行，具有风机备份、压缩机备份、模块间备份、变频器备份，传感器备份，每具一个功能得1分，最高得5分；</w:t>
            </w:r>
          </w:p>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注：响应文件中提供制造商公开发行的样本（样本必须有投标人公章）复制件，否则不计分。</w:t>
            </w:r>
          </w:p>
        </w:tc>
        <w:tc>
          <w:tcPr>
            <w:tcW w:w="1385" w:type="dxa"/>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767" w:type="dxa"/>
            <w:noWrap w:val="0"/>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【投标产品多联机空调系统</w:t>
            </w:r>
            <w:r>
              <w:rPr>
                <w:rFonts w:hint="eastAsia" w:ascii="仿宋" w:hAnsi="仿宋" w:eastAsia="仿宋" w:cs="仿宋"/>
                <w:sz w:val="24"/>
                <w:szCs w:val="24"/>
                <w:highlight w:val="none"/>
                <w:lang w:eastAsia="zh-CN"/>
              </w:rPr>
              <w:t>电控</w:t>
            </w:r>
            <w:r>
              <w:rPr>
                <w:rFonts w:hint="eastAsia" w:ascii="仿宋" w:hAnsi="仿宋" w:eastAsia="仿宋" w:cs="仿宋"/>
                <w:sz w:val="24"/>
                <w:szCs w:val="24"/>
                <w:highlight w:val="none"/>
              </w:rPr>
              <w:t>主板散热性能】</w:t>
            </w:r>
          </w:p>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采用液体冷却方式的得3分，采用风冷方式的得1分，其他形式不得分。</w:t>
            </w:r>
          </w:p>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中提供检测报告复制件，否则不得分。</w:t>
            </w:r>
          </w:p>
        </w:tc>
        <w:tc>
          <w:tcPr>
            <w:tcW w:w="1385" w:type="dxa"/>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385" w:type="dxa"/>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5767" w:type="dxa"/>
            <w:noWrap w:val="0"/>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【投标产品室外机综合性能】</w:t>
            </w:r>
          </w:p>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投标产品多联机组具有防逆风、防积雪功能、相互间平衡功能、退磁保护功能、抑制高次谐波功能、</w:t>
            </w:r>
            <w:r>
              <w:rPr>
                <w:rFonts w:hint="eastAsia" w:ascii="仿宋" w:hAnsi="仿宋" w:eastAsia="仿宋" w:cs="仿宋"/>
                <w:sz w:val="24"/>
                <w:szCs w:val="24"/>
                <w:highlight w:val="none"/>
                <w:lang w:val="en-US" w:eastAsia="zh-CN"/>
              </w:rPr>
              <w:t>智能节电功能</w:t>
            </w:r>
            <w:r>
              <w:rPr>
                <w:rFonts w:hint="eastAsia" w:ascii="仿宋" w:hAnsi="仿宋" w:eastAsia="仿宋" w:cs="仿宋"/>
                <w:sz w:val="24"/>
                <w:szCs w:val="24"/>
                <w:highlight w:val="none"/>
              </w:rPr>
              <w:t>，并取得中国电器产品功能评价证书的，每拥有一项得1分，最高得6分。</w:t>
            </w:r>
          </w:p>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中提供中国电器产品功能评价证书复制件，否则不得分。</w:t>
            </w:r>
          </w:p>
        </w:tc>
        <w:tc>
          <w:tcPr>
            <w:tcW w:w="1385" w:type="dxa"/>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385" w:type="dxa"/>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767" w:type="dxa"/>
            <w:noWrap w:val="0"/>
            <w:vAlign w:val="center"/>
          </w:tcPr>
          <w:p>
            <w:pPr>
              <w:widowControl/>
              <w:spacing w:line="400" w:lineRule="exact"/>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主要是对技术标书中:a.标准化施工现场管理；b.减少扰民减低环境污染和噪音的措施；c.对外来施工人员的管理等有关工程文明施工管理方面所制定的措施方法是否满足本工程的需要等进行综合打分。</w:t>
            </w:r>
          </w:p>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方案详尽、可行的5分；方案较详尽、较行的3分；方案简略、基本可行的2分；方案不可行或不合要求的不得分</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5767" w:type="dxa"/>
            <w:noWrap w:val="0"/>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sz w:val="24"/>
                <w:highlight w:val="none"/>
              </w:rPr>
              <w:t>提供安装材料、辅助材料（如保温材料、水管、信号线、电缆线等）的品质性能，材料的先进性、安全性、完整性、合理性的方案，材料先进、安全、完整、合理</w:t>
            </w:r>
            <w:r>
              <w:rPr>
                <w:rFonts w:hint="eastAsia" w:ascii="仿宋" w:hAnsi="仿宋" w:eastAsia="仿宋" w:cs="仿宋"/>
                <w:kern w:val="0"/>
                <w:sz w:val="24"/>
                <w:highlight w:val="none"/>
              </w:rPr>
              <w:t>且</w:t>
            </w:r>
            <w:r>
              <w:rPr>
                <w:rFonts w:hint="eastAsia" w:ascii="仿宋" w:hAnsi="仿宋" w:eastAsia="仿宋" w:cs="仿宋"/>
                <w:sz w:val="24"/>
                <w:highlight w:val="none"/>
                <w:lang w:val="zh-CN"/>
              </w:rPr>
              <w:t>满足采购需求的视为符合。符合</w:t>
            </w:r>
            <w:r>
              <w:rPr>
                <w:rFonts w:hint="eastAsia" w:ascii="仿宋" w:hAnsi="仿宋" w:eastAsia="仿宋" w:cs="仿宋"/>
                <w:sz w:val="24"/>
                <w:highlight w:val="none"/>
              </w:rPr>
              <w:t>5分，部分符合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分，不符合或方案内容未提供的不得分。</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767" w:type="dxa"/>
            <w:noWrap w:val="0"/>
            <w:vAlign w:val="center"/>
          </w:tcPr>
          <w:p>
            <w:pPr>
              <w:spacing w:line="240" w:lineRule="auto"/>
              <w:jc w:val="left"/>
              <w:rPr>
                <w:rFonts w:hint="eastAsia" w:ascii="仿宋" w:hAnsi="仿宋" w:eastAsia="仿宋" w:cs="仿宋"/>
                <w:sz w:val="24"/>
                <w:highlight w:val="none"/>
              </w:rPr>
            </w:pPr>
            <w:r>
              <w:rPr>
                <w:rFonts w:hint="eastAsia" w:ascii="仿宋" w:hAnsi="仿宋" w:eastAsia="仿宋" w:cs="仿宋"/>
                <w:sz w:val="24"/>
                <w:highlight w:val="none"/>
              </w:rPr>
              <w:t>对本项目的合理化建议：根据各投标人对多联机空调安装位置、出水位置，室外机位置等情况综合评分。方案完整、合理、有针对性视为符合要求，符合得5分，大部分符合得3分，部分符合得1分，不符合不得分。</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5767" w:type="dxa"/>
            <w:noWrap w:val="0"/>
            <w:vAlign w:val="center"/>
          </w:tcPr>
          <w:p>
            <w:pPr>
              <w:spacing w:line="240" w:lineRule="auto"/>
              <w:jc w:val="left"/>
              <w:rPr>
                <w:rFonts w:hint="eastAsia" w:ascii="仿宋" w:hAnsi="仿宋" w:eastAsia="仿宋" w:cs="仿宋"/>
                <w:sz w:val="24"/>
                <w:highlight w:val="none"/>
              </w:rPr>
            </w:pPr>
            <w:r>
              <w:rPr>
                <w:rFonts w:hint="eastAsia" w:ascii="仿宋" w:hAnsi="仿宋" w:eastAsia="仿宋" w:cs="仿宋"/>
                <w:sz w:val="24"/>
                <w:highlight w:val="none"/>
              </w:rPr>
              <w:t>质保期在满足采购文件的基础上每延长1年（所有投标产品均延长）加0.5分，最高加1分。</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5767" w:type="dxa"/>
            <w:noWrap w:val="0"/>
            <w:vAlign w:val="center"/>
          </w:tcPr>
          <w:p>
            <w:pPr>
              <w:spacing w:line="240" w:lineRule="auto"/>
              <w:jc w:val="left"/>
              <w:rPr>
                <w:rFonts w:hint="eastAsia" w:ascii="仿宋" w:hAnsi="仿宋" w:eastAsia="仿宋" w:cs="仿宋"/>
                <w:sz w:val="24"/>
                <w:highlight w:val="none"/>
              </w:rPr>
            </w:pPr>
            <w:r>
              <w:rPr>
                <w:rFonts w:hint="eastAsia" w:ascii="仿宋" w:hAnsi="仿宋" w:eastAsia="仿宋" w:cs="仿宋"/>
                <w:sz w:val="24"/>
                <w:highlight w:val="none"/>
              </w:rPr>
              <w:t>投标人提供的售后服务方案、服务承诺的可行性、完整性以及服务承诺落实的保障措施，质保期内外的后续技术支持和维护能力情况等进行综合评分，方案完整、合理、有针对性视为符合要求，符合得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分，大部分符合得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分，部分符合得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分，不符合不得分。</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5767" w:type="dxa"/>
            <w:noWrap w:val="0"/>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1、制造商（含制造商分公司）售后人员具有专业的制冷工职业资格证，每提供一个得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分，最多得3分；</w:t>
            </w:r>
          </w:p>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在提供人员证书复制件和人员最近</w:t>
            </w:r>
            <w:r>
              <w:rPr>
                <w:rFonts w:hint="eastAsia" w:ascii="仿宋" w:hAnsi="仿宋" w:eastAsia="仿宋" w:cs="仿宋"/>
                <w:sz w:val="24"/>
                <w:szCs w:val="24"/>
                <w:highlight w:val="none"/>
                <w:lang w:val="en-US" w:eastAsia="zh-CN"/>
              </w:rPr>
              <w:t>3个月</w:t>
            </w:r>
            <w:r>
              <w:rPr>
                <w:rFonts w:hint="eastAsia" w:ascii="仿宋" w:hAnsi="仿宋" w:eastAsia="仿宋" w:cs="仿宋"/>
                <w:sz w:val="24"/>
                <w:szCs w:val="24"/>
                <w:highlight w:val="none"/>
              </w:rPr>
              <w:t>在本单位缴纳社保的证明材料复制件。</w:t>
            </w:r>
          </w:p>
          <w:p>
            <w:pPr>
              <w:numPr>
                <w:ilvl w:val="0"/>
                <w:numId w:val="5"/>
              </w:num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投标品牌售后服务体系完善程度认证达到十二星级得3分，其他星级得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分；其余不得分；</w:t>
            </w:r>
          </w:p>
          <w:p>
            <w:pPr>
              <w:numPr>
                <w:ilvl w:val="0"/>
                <w:numId w:val="0"/>
              </w:num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中提供有效期内的证书复制件及</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"http://cx.cnca.cn/CertECloud/result/skipResultList"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http://cx.cnca.cn/CertECloud/result/skipResultList</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网站查询结果截图，否则不得分。</w:t>
            </w:r>
          </w:p>
        </w:tc>
        <w:tc>
          <w:tcPr>
            <w:tcW w:w="1385" w:type="dxa"/>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5767" w:type="dxa"/>
            <w:noWrap w:val="0"/>
            <w:vAlign w:val="center"/>
          </w:tcPr>
          <w:p>
            <w:pPr>
              <w:spacing w:line="24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有效投标报价的最低价作为评标基准价，其最低报价为满分；按［投标报价得分=（评标基准价/投标报价）*30］的计算公式计算。</w:t>
            </w:r>
          </w:p>
          <w:p>
            <w:pPr>
              <w:spacing w:line="240" w:lineRule="auto"/>
              <w:ind w:firstLine="480" w:firstLineChars="200"/>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评标过程中，不得去掉报价中的最高报价和最低报价。</w:t>
            </w:r>
          </w:p>
          <w:p>
            <w:pPr>
              <w:spacing w:line="240" w:lineRule="auto"/>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%的扣除，用扣除后的价格参加评审。</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bl>
    <w:p>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hint="eastAsia" w:ascii="仿宋" w:hAnsi="仿宋" w:eastAsia="仿宋" w:cs="仿宋"/>
          <w:sz w:val="24"/>
        </w:rPr>
      </w:pPr>
      <w:r>
        <w:rPr>
          <w:rFonts w:hint="eastAsia" w:ascii="仿宋" w:hAnsi="仿宋" w:eastAsia="仿宋" w:cs="仿宋"/>
          <w:sz w:val="24"/>
        </w:rPr>
        <w:t>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内容与投标文件中相应内容不一致的，以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的总价为准，并修改单价;</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10%-</w:t>
      </w:r>
      <w:r>
        <w:rPr>
          <w:rFonts w:hint="eastAsia" w:ascii="仿宋" w:hAnsi="仿宋" w:eastAsia="仿宋" w:cs="仿宋"/>
          <w:kern w:val="0"/>
          <w:szCs w:val="24"/>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4%-</w:t>
      </w:r>
      <w:r>
        <w:rPr>
          <w:rFonts w:hint="eastAsia" w:ascii="仿宋" w:hAnsi="仿宋" w:eastAsia="仿宋" w:cs="仿宋"/>
          <w:kern w:val="0"/>
          <w:szCs w:val="24"/>
        </w:rPr>
        <w:t>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4.2.1投标人不具备招标文件中规定的资格要求的（投标人未提供有效的资格文件的，未按照招标文件要求提供与资格条件相应的有效资格证明材料的</w:t>
      </w:r>
      <w:r>
        <w:rPr>
          <w:rFonts w:hint="eastAsia" w:ascii="仿宋" w:hAnsi="仿宋" w:eastAsia="仿宋" w:cs="仿宋"/>
          <w:kern w:val="0"/>
          <w:sz w:val="24"/>
          <w:lang w:eastAsia="zh-CN"/>
        </w:rPr>
        <w:t>，均</w:t>
      </w:r>
      <w:r>
        <w:rPr>
          <w:rFonts w:hint="eastAsia" w:ascii="仿宋" w:hAnsi="仿宋" w:eastAsia="仿宋" w:cs="仿宋"/>
          <w:kern w:val="0"/>
          <w:sz w:val="24"/>
        </w:rPr>
        <w:t>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r>
        <w:rPr>
          <w:rFonts w:hint="eastAsia" w:ascii="仿宋" w:hAnsi="仿宋" w:eastAsia="仿宋" w:cs="仿宋"/>
          <w:kern w:val="0"/>
          <w:sz w:val="24"/>
          <w:lang w:eastAsia="zh-CN"/>
        </w:rPr>
        <w:t>（</w:t>
      </w:r>
      <w:r>
        <w:rPr>
          <w:rFonts w:hint="eastAsia" w:ascii="仿宋" w:hAnsi="仿宋" w:eastAsia="仿宋" w:cs="仿宋"/>
          <w:kern w:val="0"/>
          <w:sz w:val="24"/>
          <w:lang w:val="zh-CN"/>
        </w:rPr>
        <w:t>投标人未按开标一览表（报价表）格式填写的，采购内容未包含在《开标一览表（报价表）》名称栏中，投标人不能作出合理解释的，均视为投标文件含有采购人不能接受的附加条件</w:t>
      </w:r>
      <w:r>
        <w:rPr>
          <w:rFonts w:hint="eastAsia" w:ascii="仿宋" w:hAnsi="仿宋" w:eastAsia="仿宋" w:cs="仿宋"/>
          <w:kern w:val="0"/>
          <w:sz w:val="24"/>
          <w:lang w:eastAsia="zh-CN"/>
        </w:rPr>
        <w:t>）</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5</w:t>
      </w:r>
      <w:r>
        <w:rPr>
          <w:rFonts w:hint="eastAsia" w:ascii="仿宋" w:hAnsi="仿宋" w:eastAsia="仿宋" w:cs="仿宋"/>
          <w:kern w:val="0"/>
          <w:sz w:val="24"/>
        </w:rPr>
        <w:t>投标文件中承诺的投标有效期少于招标文件中载明的投标有效期的；</w:t>
      </w:r>
    </w:p>
    <w:p>
      <w:pPr>
        <w:spacing w:line="360" w:lineRule="auto"/>
        <w:ind w:firstLine="480" w:firstLineChars="200"/>
        <w:rPr>
          <w:rFonts w:hint="eastAsia" w:ascii="仿宋" w:hAnsi="仿宋" w:eastAsia="仿宋" w:cs="仿宋"/>
          <w:lang w:val="en-US" w:eastAsia="zh-CN"/>
        </w:rPr>
      </w:pPr>
      <w:r>
        <w:rPr>
          <w:rFonts w:hint="eastAsia" w:ascii="仿宋" w:hAnsi="仿宋" w:eastAsia="仿宋" w:cs="仿宋"/>
          <w:kern w:val="0"/>
          <w:sz w:val="24"/>
          <w:lang w:val="en-US" w:eastAsia="zh-CN"/>
        </w:rPr>
        <w:t>4.2.6在原定投标有效期满之前，如果出现特殊情况，采购代理机构以书面形式通知投标人延长投标有效期，投标人拒绝延长的；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w:t>
      </w:r>
      <w:r>
        <w:rPr>
          <w:rFonts w:hint="eastAsia" w:ascii="仿宋" w:hAnsi="仿宋" w:eastAsia="仿宋" w:cs="仿宋"/>
          <w:kern w:val="0"/>
          <w:sz w:val="24"/>
          <w:lang w:val="en-US" w:eastAsia="zh-CN"/>
        </w:rPr>
        <w:t>7</w:t>
      </w:r>
      <w:r>
        <w:rPr>
          <w:rFonts w:hint="eastAsia" w:ascii="仿宋" w:hAnsi="仿宋" w:eastAsia="仿宋" w:cs="仿宋"/>
          <w:kern w:val="0"/>
          <w:sz w:val="24"/>
        </w:rPr>
        <w:t>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8</w:t>
      </w:r>
      <w:r>
        <w:rPr>
          <w:rFonts w:hint="eastAsia" w:ascii="仿宋" w:hAnsi="仿宋" w:eastAsia="仿宋" w:cs="仿宋"/>
          <w:kern w:val="0"/>
          <w:sz w:val="24"/>
        </w:rPr>
        <w:t>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9</w:t>
      </w:r>
      <w:r>
        <w:rPr>
          <w:rFonts w:hint="eastAsia" w:ascii="仿宋" w:hAnsi="仿宋" w:eastAsia="仿宋" w:cs="仿宋"/>
          <w:kern w:val="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10</w:t>
      </w:r>
      <w:r>
        <w:rPr>
          <w:rFonts w:hint="eastAsia" w:ascii="仿宋" w:hAnsi="仿宋" w:eastAsia="仿宋" w:cs="仿宋"/>
          <w:kern w:val="0"/>
          <w:sz w:val="24"/>
        </w:rPr>
        <w:t>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1</w:t>
      </w:r>
      <w:r>
        <w:rPr>
          <w:rFonts w:hint="eastAsia" w:ascii="仿宋" w:hAnsi="仿宋" w:eastAsia="仿宋" w:cs="仿宋"/>
          <w:kern w:val="0"/>
          <w:sz w:val="24"/>
        </w:rPr>
        <w:t>投标人提供虚假材料投标的；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2</w:t>
      </w:r>
      <w:r>
        <w:rPr>
          <w:rFonts w:hint="eastAsia" w:ascii="仿宋" w:hAnsi="仿宋" w:eastAsia="仿宋" w:cs="仿宋"/>
          <w:kern w:val="0"/>
          <w:sz w:val="24"/>
        </w:rPr>
        <w:t>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4.2.13招标文件要求提供样品，投标人未提供样品或提供的样品不满足采购需求实质性条件的；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4</w:t>
      </w:r>
      <w:r>
        <w:rPr>
          <w:rFonts w:hint="eastAsia" w:ascii="仿宋" w:hAnsi="仿宋" w:eastAsia="仿宋" w:cs="仿宋"/>
          <w:kern w:val="0"/>
          <w:sz w:val="24"/>
        </w:rPr>
        <w:t xml:space="preserve">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5</w:t>
      </w:r>
      <w:r>
        <w:rPr>
          <w:rFonts w:hint="eastAsia" w:ascii="仿宋" w:hAnsi="仿宋" w:eastAsia="仿宋" w:cs="仿宋"/>
          <w:kern w:val="0"/>
          <w:sz w:val="24"/>
        </w:rPr>
        <w:t>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w:t>
      </w:r>
      <w:r>
        <w:rPr>
          <w:rFonts w:hint="eastAsia" w:ascii="仿宋" w:hAnsi="仿宋" w:eastAsia="仿宋" w:cs="仿宋"/>
          <w:lang w:eastAsia="zh-CN"/>
        </w:rPr>
        <w:t>供应商</w:t>
      </w:r>
      <w:r>
        <w:rPr>
          <w:rFonts w:hint="eastAsia" w:ascii="仿宋" w:hAnsi="仿宋" w:eastAsia="仿宋" w:cs="仿宋"/>
        </w:rPr>
        <w:t>的，终止本次政府采购活动，重新开展政府采购活动。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w:t>
      </w:r>
      <w:r>
        <w:rPr>
          <w:rFonts w:hint="eastAsia" w:ascii="仿宋" w:hAnsi="仿宋" w:eastAsia="仿宋" w:cs="仿宋"/>
          <w:lang w:eastAsia="zh-CN"/>
        </w:rPr>
        <w:t>供应商</w:t>
      </w:r>
      <w:r>
        <w:rPr>
          <w:rFonts w:hint="eastAsia" w:ascii="仿宋" w:hAnsi="仿宋" w:eastAsia="仿宋" w:cs="仿宋"/>
        </w:rPr>
        <w:t>但尚未签订政府采购合同的，中标结果无效，从合格的中标候选人中另行确定中标人；没有合格的中标候选人的，重新开展政府采购活动。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7.3政府采购合同已签订但尚未履行的，撤销合同，从合格的中标候选人中另行确定中标人；没有合格的中标候选人的，重新开展政府采购活动。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的行为，经改正后仍然影响或者可能影响中标结果或者依法被认定为中标无效的，依照7.1-7.4规定处理。</w:t>
      </w:r>
      <w:bookmarkEnd w:id="27"/>
    </w:p>
    <w:p>
      <w:pPr>
        <w:spacing w:line="360" w:lineRule="auto"/>
        <w:ind w:left="720" w:leftChars="343" w:firstLine="1084" w:firstLineChars="300"/>
        <w:outlineLvl w:val="0"/>
        <w:rPr>
          <w:rFonts w:hint="eastAsia" w:ascii="仿宋" w:hAnsi="仿宋" w:eastAsia="仿宋" w:cs="仿宋"/>
          <w:b/>
          <w:sz w:val="36"/>
          <w:szCs w:val="36"/>
        </w:rPr>
      </w:pPr>
      <w:bookmarkStart w:id="414" w:name="第五部分"/>
      <w:bookmarkStart w:id="415" w:name="_Toc86217003"/>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pPr>
        <w:pStyle w:val="70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6"/>
        <w:rPr>
          <w:rFonts w:hint="eastAsia" w:ascii="仿宋" w:hAnsi="仿宋" w:eastAsia="仿宋" w:cs="仿宋"/>
          <w:szCs w:val="24"/>
        </w:rPr>
      </w:pPr>
    </w:p>
    <w:p>
      <w:pPr>
        <w:pStyle w:val="706"/>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3"/>
        <w:spacing w:before="120" w:line="22" w:lineRule="atLeast"/>
        <w:rPr>
          <w:rFonts w:hint="eastAsia" w:ascii="仿宋" w:hAnsi="仿宋" w:eastAsia="仿宋" w:cs="仿宋"/>
          <w:szCs w:val="24"/>
        </w:rPr>
      </w:pPr>
    </w:p>
    <w:p>
      <w:pPr>
        <w:pStyle w:val="603"/>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b/>
          <w:sz w:val="24"/>
        </w:rPr>
      </w:pPr>
      <w:bookmarkStart w:id="416" w:name="_Toc2232"/>
      <w:bookmarkStart w:id="417" w:name="_Toc24059"/>
      <w:bookmarkStart w:id="418" w:name="_Toc3029"/>
      <w:r>
        <w:rPr>
          <w:rFonts w:hint="eastAsia" w:ascii="仿宋" w:hAnsi="仿宋" w:eastAsia="仿宋" w:cs="仿宋"/>
          <w:b/>
          <w:sz w:val="24"/>
        </w:rPr>
        <w:t>1.1 合同组成部分</w:t>
      </w:r>
      <w:bookmarkEnd w:id="416"/>
      <w:bookmarkEnd w:id="417"/>
      <w:bookmarkEnd w:id="41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19" w:name="_Toc21295"/>
      <w:bookmarkStart w:id="420" w:name="_Toc27126"/>
      <w:bookmarkStart w:id="421" w:name="_Toc24300"/>
      <w:r>
        <w:rPr>
          <w:rFonts w:hint="eastAsia" w:ascii="仿宋" w:hAnsi="仿宋" w:eastAsia="仿宋" w:cs="仿宋"/>
          <w:b/>
          <w:sz w:val="24"/>
        </w:rPr>
        <w:t>1.2 货物</w:t>
      </w:r>
      <w:bookmarkEnd w:id="419"/>
      <w:bookmarkEnd w:id="420"/>
      <w:bookmarkEnd w:id="421"/>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lang w:eastAsia="zh-CN"/>
        </w:rPr>
        <w:t>、品牌、规格型号、花色</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22" w:name="_Toc21631"/>
      <w:bookmarkStart w:id="423" w:name="_Toc21551"/>
      <w:bookmarkStart w:id="424" w:name="_Toc23292"/>
      <w:r>
        <w:rPr>
          <w:rFonts w:hint="eastAsia" w:ascii="仿宋" w:hAnsi="仿宋" w:eastAsia="仿宋" w:cs="仿宋"/>
          <w:b/>
          <w:sz w:val="24"/>
        </w:rPr>
        <w:t>1.3 价款</w:t>
      </w:r>
      <w:bookmarkEnd w:id="422"/>
      <w:bookmarkEnd w:id="423"/>
      <w:bookmarkEnd w:id="42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w:t>
      </w:r>
      <w:r>
        <w:rPr>
          <w:rFonts w:hint="eastAsia" w:ascii="仿宋" w:hAnsi="仿宋" w:eastAsia="仿宋" w:cs="仿宋"/>
          <w:sz w:val="24"/>
          <w:lang w:eastAsia="zh-CN"/>
        </w:rPr>
        <w:t>（含税）</w:t>
      </w:r>
      <w:r>
        <w:rPr>
          <w:rFonts w:hint="eastAsia" w:ascii="仿宋" w:hAnsi="仿宋" w:eastAsia="仿宋" w:cs="仿宋"/>
          <w:sz w:val="24"/>
        </w:rPr>
        <w:t>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bl>
    <w:p>
      <w:pPr>
        <w:pStyle w:val="964"/>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2"/>
        <w:tabs>
          <w:tab w:val="left" w:pos="0"/>
          <w:tab w:val="clear" w:pos="432"/>
        </w:tabs>
        <w:spacing w:line="360" w:lineRule="auto"/>
        <w:ind w:left="0" w:firstLine="480" w:firstLineChars="200"/>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4"/>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4"/>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1.7货物交付期限、地点和方式</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1.8违约责任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360" w:lineRule="auto"/>
        <w:ind w:left="-420" w:leftChars="-200" w:right="-420" w:rightChars="-200" w:firstLine="840" w:firstLineChars="350"/>
        <w:outlineLvl w:val="9"/>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autoSpaceDE/>
        <w:autoSpaceDN/>
        <w:spacing w:line="360" w:lineRule="auto"/>
        <w:ind w:left="-420" w:leftChars="-200" w:right="-420" w:rightChars="-200" w:firstLine="843" w:firstLineChars="350"/>
        <w:rPr>
          <w:rFonts w:hint="eastAsia" w:ascii="仿宋" w:hAnsi="仿宋" w:eastAsia="仿宋" w:cs="仿宋"/>
          <w:b/>
          <w:sz w:val="24"/>
        </w:rPr>
      </w:pPr>
      <w:r>
        <w:rPr>
          <w:rFonts w:hint="eastAsia" w:ascii="仿宋" w:hAnsi="仿宋" w:eastAsia="仿宋" w:cs="仿宋"/>
          <w:b/>
          <w:sz w:val="24"/>
          <w:lang w:eastAsia="zh-CN"/>
        </w:rPr>
        <w:t>1</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0 合同生效</w:t>
      </w:r>
    </w:p>
    <w:p>
      <w:pPr>
        <w:autoSpaceDE/>
        <w:autoSpaceDN/>
        <w:spacing w:line="360" w:lineRule="auto"/>
        <w:ind w:left="-420" w:leftChars="-200" w:right="-420" w:rightChars="-200" w:firstLine="840" w:firstLineChars="350"/>
        <w:rPr>
          <w:rFonts w:hint="eastAsia" w:ascii="仿宋" w:hAnsi="仿宋" w:eastAsia="仿宋" w:cs="仿宋"/>
          <w:sz w:val="24"/>
          <w:lang w:val="zh-CN"/>
        </w:rPr>
      </w:pPr>
      <w:r>
        <w:rPr>
          <w:rFonts w:hint="eastAsia" w:ascii="仿宋" w:hAnsi="仿宋" w:eastAsia="仿宋" w:cs="仿宋"/>
          <w:sz w:val="24"/>
        </w:rPr>
        <w:t>本合同自双方当事人盖章签字时生效。</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bookmarkStart w:id="425" w:name="_Toc331685783"/>
    </w:p>
    <w:p>
      <w:pPr>
        <w:pStyle w:val="706"/>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25"/>
    </w:p>
    <w:p>
      <w:pPr>
        <w:spacing w:line="560" w:lineRule="exact"/>
        <w:ind w:firstLine="482" w:firstLineChars="200"/>
        <w:outlineLvl w:val="0"/>
        <w:rPr>
          <w:rFonts w:hint="eastAsia" w:ascii="仿宋" w:hAnsi="仿宋" w:eastAsia="仿宋" w:cs="仿宋"/>
          <w:b/>
          <w:sz w:val="24"/>
        </w:rPr>
      </w:pPr>
      <w:bookmarkStart w:id="426" w:name="_Ref467378463"/>
      <w:bookmarkStart w:id="427" w:name="_Ref467379205"/>
      <w:bookmarkStart w:id="428" w:name="_Ref467379195"/>
      <w:bookmarkStart w:id="429" w:name="_Ref467378404"/>
      <w:bookmarkStart w:id="430" w:name="_Ref467379109"/>
      <w:bookmarkStart w:id="431" w:name="_Toc279701240"/>
      <w:bookmarkStart w:id="432" w:name="_Toc19614"/>
      <w:bookmarkStart w:id="433" w:name="_Ref467379225"/>
      <w:bookmarkStart w:id="434" w:name="_Ref467379101"/>
      <w:bookmarkStart w:id="435" w:name="_Toc487900349"/>
      <w:bookmarkStart w:id="436" w:name="_Toc259093669"/>
      <w:bookmarkStart w:id="437" w:name="_Ref467379214"/>
      <w:bookmarkStart w:id="438" w:name="_Ref467378499"/>
      <w:bookmarkStart w:id="439" w:name="_Toc28763"/>
      <w:bookmarkStart w:id="440" w:name="_Ref467379094"/>
      <w:bookmarkStart w:id="441" w:name="_Toc16917"/>
      <w:r>
        <w:rPr>
          <w:rFonts w:hint="eastAsia" w:ascii="仿宋" w:hAnsi="仿宋" w:eastAsia="仿宋" w:cs="仿宋"/>
          <w:b/>
          <w:sz w:val="24"/>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sz w:val="24"/>
        </w:rPr>
      </w:pPr>
      <w:bookmarkStart w:id="442" w:name="_Ref467378840"/>
      <w:r>
        <w:rPr>
          <w:rFonts w:hint="eastAsia" w:ascii="仿宋" w:hAnsi="仿宋" w:eastAsia="仿宋" w:cs="仿宋"/>
          <w:sz w:val="24"/>
        </w:rPr>
        <w:t>2.1.4 “甲方”系指与中标供应商签署合同的采购人</w:t>
      </w:r>
      <w:bookmarkEnd w:id="442"/>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43" w:name="_Ref467379400"/>
      <w:r>
        <w:rPr>
          <w:rFonts w:hint="eastAsia" w:ascii="仿宋" w:hAnsi="仿宋" w:eastAsia="仿宋" w:cs="仿宋"/>
          <w:sz w:val="24"/>
        </w:rPr>
        <w:t>2.1.5 “乙方”系指根据合同约定交付货物的中标供应商</w:t>
      </w:r>
      <w:bookmarkEnd w:id="443"/>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44" w:name="_Ref467379436"/>
      <w:r>
        <w:rPr>
          <w:rFonts w:hint="eastAsia" w:ascii="仿宋" w:hAnsi="仿宋" w:eastAsia="仿宋" w:cs="仿宋"/>
          <w:sz w:val="24"/>
        </w:rPr>
        <w:t>2.1.6 “现场”系指合同约定货物将要运至或者安装的地点。</w:t>
      </w:r>
      <w:bookmarkEnd w:id="444"/>
    </w:p>
    <w:p>
      <w:pPr>
        <w:spacing w:line="560" w:lineRule="exact"/>
        <w:ind w:firstLine="482" w:firstLineChars="200"/>
        <w:outlineLvl w:val="0"/>
        <w:rPr>
          <w:rFonts w:hint="eastAsia" w:ascii="仿宋" w:hAnsi="仿宋" w:eastAsia="仿宋" w:cs="仿宋"/>
          <w:b/>
          <w:sz w:val="24"/>
        </w:rPr>
      </w:pPr>
      <w:bookmarkStart w:id="445" w:name="_Toc487900350"/>
      <w:bookmarkStart w:id="446" w:name="_Toc259093670"/>
      <w:bookmarkStart w:id="447" w:name="_Toc13336"/>
      <w:bookmarkStart w:id="448" w:name="_Toc32504"/>
      <w:bookmarkStart w:id="449" w:name="_Toc27635"/>
      <w:bookmarkStart w:id="450" w:name="_Toc279701241"/>
      <w:r>
        <w:rPr>
          <w:rFonts w:hint="eastAsia" w:ascii="仿宋" w:hAnsi="仿宋" w:eastAsia="仿宋" w:cs="仿宋"/>
          <w:b/>
          <w:sz w:val="24"/>
        </w:rPr>
        <w:t>2.2 技术规范</w:t>
      </w:r>
      <w:bookmarkEnd w:id="445"/>
      <w:bookmarkEnd w:id="446"/>
      <w:bookmarkEnd w:id="447"/>
      <w:bookmarkEnd w:id="448"/>
      <w:bookmarkEnd w:id="449"/>
      <w:bookmarkEnd w:id="4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1" w:name="_Toc487900351"/>
      <w:bookmarkStart w:id="452" w:name="_Toc259093671"/>
      <w:bookmarkStart w:id="453" w:name="_Toc9829"/>
      <w:bookmarkStart w:id="454" w:name="_Toc27853"/>
      <w:bookmarkStart w:id="455" w:name="_Toc279701242"/>
      <w:bookmarkStart w:id="456" w:name="_Toc31634"/>
      <w:r>
        <w:rPr>
          <w:rFonts w:hint="eastAsia" w:ascii="仿宋" w:hAnsi="仿宋" w:eastAsia="仿宋" w:cs="仿宋"/>
          <w:b/>
          <w:sz w:val="24"/>
        </w:rPr>
        <w:t>2.3 知识产权</w:t>
      </w:r>
      <w:bookmarkEnd w:id="451"/>
      <w:bookmarkEnd w:id="452"/>
      <w:bookmarkEnd w:id="453"/>
      <w:bookmarkEnd w:id="454"/>
      <w:bookmarkEnd w:id="455"/>
      <w:bookmarkEnd w:id="45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7" w:name="_Toc29149"/>
      <w:bookmarkStart w:id="458" w:name="_Toc4194"/>
      <w:bookmarkStart w:id="459" w:name="_Toc11932"/>
      <w:r>
        <w:rPr>
          <w:rFonts w:hint="eastAsia" w:ascii="仿宋" w:hAnsi="仿宋" w:eastAsia="仿宋" w:cs="仿宋"/>
          <w:b/>
          <w:sz w:val="24"/>
        </w:rPr>
        <w:t>2.4 包装和装运</w:t>
      </w:r>
      <w:bookmarkEnd w:id="457"/>
      <w:bookmarkEnd w:id="458"/>
      <w:bookmarkEnd w:id="45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sz w:val="24"/>
          <w:lang w:val="en-US" w:eastAsia="zh-CN"/>
        </w:rPr>
        <w:t>3</w:t>
      </w:r>
      <w:r>
        <w:rPr>
          <w:rFonts w:hint="eastAsia" w:ascii="仿宋" w:hAnsi="仿宋" w:eastAsia="仿宋" w:cs="仿宋"/>
          <w:sz w:val="24"/>
        </w:rPr>
        <w:t xml:space="preserve">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0" w:name="_Ref467379542"/>
      <w:bookmarkStart w:id="461" w:name="_Ref467379527"/>
      <w:bookmarkStart w:id="462" w:name="_Toc279701245"/>
      <w:bookmarkStart w:id="463" w:name="_Toc259093674"/>
      <w:bookmarkStart w:id="464" w:name="_Toc487900354"/>
      <w:bookmarkStart w:id="465" w:name="_Ref467378541"/>
      <w:bookmarkStart w:id="466" w:name="_Ref467378591"/>
      <w:bookmarkStart w:id="467" w:name="_Ref467379536"/>
      <w:bookmarkStart w:id="468" w:name="_Toc19074"/>
      <w:bookmarkStart w:id="469" w:name="_Toc26182"/>
      <w:bookmarkStart w:id="470" w:name="_Toc30272"/>
      <w:r>
        <w:rPr>
          <w:rFonts w:hint="eastAsia" w:ascii="仿宋" w:hAnsi="仿宋" w:eastAsia="仿宋" w:cs="仿宋"/>
          <w:b/>
          <w:sz w:val="24"/>
        </w:rPr>
        <w:t>2.</w:t>
      </w:r>
      <w:bookmarkEnd w:id="460"/>
      <w:bookmarkEnd w:id="461"/>
      <w:bookmarkEnd w:id="462"/>
      <w:bookmarkEnd w:id="463"/>
      <w:bookmarkEnd w:id="464"/>
      <w:bookmarkEnd w:id="465"/>
      <w:bookmarkEnd w:id="466"/>
      <w:bookmarkEnd w:id="467"/>
      <w:r>
        <w:rPr>
          <w:rFonts w:hint="eastAsia" w:ascii="仿宋" w:hAnsi="仿宋" w:eastAsia="仿宋" w:cs="仿宋"/>
          <w:b/>
          <w:sz w:val="24"/>
        </w:rPr>
        <w:t>5 履约检查和问题反馈</w:t>
      </w:r>
      <w:bookmarkEnd w:id="468"/>
      <w:bookmarkEnd w:id="469"/>
      <w:bookmarkEnd w:id="470"/>
    </w:p>
    <w:p>
      <w:pPr>
        <w:spacing w:line="560" w:lineRule="exact"/>
        <w:ind w:firstLine="480" w:firstLineChars="200"/>
        <w:rPr>
          <w:rFonts w:hint="eastAsia" w:ascii="仿宋" w:hAnsi="仿宋" w:eastAsia="仿宋" w:cs="仿宋"/>
          <w:sz w:val="24"/>
        </w:rPr>
      </w:pPr>
      <w:bookmarkStart w:id="471" w:name="_Ref467379657"/>
      <w:r>
        <w:rPr>
          <w:rFonts w:hint="eastAsia" w:ascii="仿宋" w:hAnsi="仿宋" w:eastAsia="仿宋" w:cs="仿宋"/>
          <w:sz w:val="24"/>
        </w:rPr>
        <w:t>2.5.1</w:t>
      </w:r>
      <w:bookmarkEnd w:id="471"/>
      <w:bookmarkStart w:id="472" w:name="_Toc186431854"/>
      <w:bookmarkStart w:id="473" w:name="_Toc279701247"/>
      <w:bookmarkStart w:id="474" w:name="_Toc487900357"/>
      <w:bookmarkStart w:id="475" w:name="_Ref467379807"/>
      <w:bookmarkStart w:id="476" w:name="_Ref467379793"/>
      <w:bookmarkStart w:id="477"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2"/>
      <w:bookmarkStart w:id="478" w:name="_Toc186431855"/>
      <w:r>
        <w:rPr>
          <w:rFonts w:hint="eastAsia" w:ascii="仿宋" w:hAnsi="仿宋" w:eastAsia="仿宋" w:cs="仿宋"/>
          <w:sz w:val="24"/>
        </w:rPr>
        <w:t>。</w:t>
      </w:r>
    </w:p>
    <w:bookmarkEnd w:id="473"/>
    <w:bookmarkEnd w:id="474"/>
    <w:bookmarkEnd w:id="475"/>
    <w:bookmarkEnd w:id="476"/>
    <w:bookmarkEnd w:id="477"/>
    <w:bookmarkEnd w:id="478"/>
    <w:p>
      <w:pPr>
        <w:spacing w:line="560" w:lineRule="exact"/>
        <w:ind w:firstLine="482" w:firstLineChars="200"/>
        <w:outlineLvl w:val="0"/>
        <w:rPr>
          <w:rFonts w:hint="eastAsia" w:ascii="仿宋" w:hAnsi="仿宋" w:eastAsia="仿宋" w:cs="仿宋"/>
          <w:b/>
          <w:sz w:val="24"/>
        </w:rPr>
      </w:pPr>
      <w:bookmarkStart w:id="479" w:name="_Ref467379923"/>
      <w:bookmarkStart w:id="480" w:name="_Toc259093677"/>
      <w:bookmarkStart w:id="481" w:name="_Toc487900358"/>
      <w:bookmarkStart w:id="482" w:name="_Toc279701248"/>
      <w:bookmarkStart w:id="483" w:name="_Ref467379863"/>
      <w:bookmarkStart w:id="484" w:name="_Ref467379852"/>
      <w:bookmarkStart w:id="485" w:name="_Toc3225"/>
      <w:bookmarkStart w:id="486" w:name="_Toc774"/>
      <w:bookmarkStart w:id="487" w:name="_Toc16110"/>
      <w:r>
        <w:rPr>
          <w:rFonts w:hint="eastAsia" w:ascii="仿宋" w:hAnsi="仿宋" w:eastAsia="仿宋" w:cs="仿宋"/>
          <w:b/>
          <w:sz w:val="24"/>
        </w:rPr>
        <w:t>2.6 技术资料</w:t>
      </w:r>
      <w:bookmarkEnd w:id="479"/>
      <w:bookmarkEnd w:id="480"/>
      <w:bookmarkEnd w:id="481"/>
      <w:bookmarkEnd w:id="482"/>
      <w:bookmarkEnd w:id="483"/>
      <w:bookmarkEnd w:id="484"/>
      <w:r>
        <w:rPr>
          <w:rFonts w:hint="eastAsia" w:ascii="仿宋" w:hAnsi="仿宋" w:eastAsia="仿宋" w:cs="仿宋"/>
          <w:b/>
          <w:sz w:val="24"/>
        </w:rPr>
        <w:t>和保密义务</w:t>
      </w:r>
      <w:bookmarkEnd w:id="485"/>
      <w:bookmarkEnd w:id="486"/>
      <w:bookmarkEnd w:id="48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88" w:name="_Toc7860"/>
      <w:r>
        <w:rPr>
          <w:rFonts w:hint="eastAsia" w:ascii="仿宋" w:hAnsi="仿宋" w:eastAsia="仿宋" w:cs="仿宋"/>
          <w:b/>
          <w:sz w:val="24"/>
        </w:rPr>
        <w:t>2.7 质量保证</w:t>
      </w:r>
      <w:bookmarkEnd w:id="48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89" w:name="_Toc17244"/>
      <w:bookmarkStart w:id="490" w:name="_Toc279701252"/>
      <w:bookmarkStart w:id="491" w:name="_Toc259093681"/>
      <w:bookmarkStart w:id="492" w:name="_Toc487900362"/>
      <w:r>
        <w:rPr>
          <w:rFonts w:hint="eastAsia" w:ascii="仿宋" w:hAnsi="仿宋" w:eastAsia="仿宋" w:cs="仿宋"/>
          <w:b/>
          <w:sz w:val="24"/>
        </w:rPr>
        <w:t>2.8 货物的风险负担</w:t>
      </w:r>
      <w:bookmarkEnd w:id="489"/>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93" w:name="_Toc14055"/>
      <w:r>
        <w:rPr>
          <w:rFonts w:hint="eastAsia" w:ascii="仿宋" w:hAnsi="仿宋" w:eastAsia="仿宋" w:cs="仿宋"/>
          <w:b/>
          <w:sz w:val="24"/>
        </w:rPr>
        <w:t>2.9 延迟交货</w:t>
      </w:r>
      <w:bookmarkEnd w:id="490"/>
      <w:bookmarkEnd w:id="491"/>
      <w:bookmarkEnd w:id="492"/>
      <w:bookmarkEnd w:id="49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sz w:val="24"/>
        </w:rPr>
      </w:pPr>
      <w:bookmarkStart w:id="494" w:name="_Toc7502"/>
      <w:bookmarkStart w:id="495" w:name="_Toc487900364"/>
      <w:bookmarkStart w:id="496" w:name="_Toc279701254"/>
      <w:bookmarkStart w:id="497" w:name="_Ref467378121"/>
      <w:bookmarkStart w:id="498" w:name="_Toc259093683"/>
      <w:r>
        <w:rPr>
          <w:rFonts w:hint="eastAsia" w:ascii="仿宋" w:hAnsi="仿宋" w:eastAsia="仿宋" w:cs="仿宋"/>
          <w:b/>
          <w:sz w:val="24"/>
        </w:rPr>
        <w:t>2.10 合同变更</w:t>
      </w:r>
      <w:bookmarkEnd w:id="49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9" w:name="_Toc279701259"/>
      <w:bookmarkStart w:id="500" w:name="_Toc259093688"/>
      <w:bookmarkStart w:id="501" w:name="_Toc487900369"/>
    </w:p>
    <w:p>
      <w:pPr>
        <w:spacing w:line="560" w:lineRule="exact"/>
        <w:ind w:firstLine="482" w:firstLineChars="200"/>
        <w:outlineLvl w:val="0"/>
        <w:rPr>
          <w:rFonts w:hint="eastAsia" w:ascii="仿宋" w:hAnsi="仿宋" w:eastAsia="仿宋" w:cs="仿宋"/>
          <w:b/>
          <w:sz w:val="24"/>
        </w:rPr>
      </w:pPr>
      <w:bookmarkStart w:id="502" w:name="_Toc10366"/>
      <w:bookmarkStart w:id="503" w:name="_Toc15237"/>
      <w:bookmarkStart w:id="504" w:name="_Toc22955"/>
      <w:r>
        <w:rPr>
          <w:rFonts w:hint="eastAsia" w:ascii="仿宋" w:hAnsi="仿宋" w:eastAsia="仿宋" w:cs="仿宋"/>
          <w:b/>
          <w:sz w:val="24"/>
        </w:rPr>
        <w:t>2.11 合同转让</w:t>
      </w:r>
      <w:bookmarkEnd w:id="499"/>
      <w:bookmarkEnd w:id="500"/>
      <w:bookmarkEnd w:id="501"/>
      <w:r>
        <w:rPr>
          <w:rFonts w:hint="eastAsia" w:ascii="仿宋" w:hAnsi="仿宋" w:eastAsia="仿宋" w:cs="仿宋"/>
          <w:b/>
          <w:sz w:val="24"/>
        </w:rPr>
        <w:t>和分包</w:t>
      </w:r>
      <w:bookmarkEnd w:id="502"/>
      <w:bookmarkEnd w:id="503"/>
      <w:bookmarkEnd w:id="50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sz w:val="24"/>
        </w:rPr>
      </w:pPr>
      <w:bookmarkStart w:id="505" w:name="_Toc13566"/>
      <w:bookmarkStart w:id="506" w:name="_Toc14066"/>
      <w:bookmarkStart w:id="507" w:name="_Toc16508"/>
      <w:r>
        <w:rPr>
          <w:rFonts w:hint="eastAsia" w:ascii="仿宋" w:hAnsi="仿宋" w:eastAsia="仿宋" w:cs="仿宋"/>
          <w:b/>
          <w:sz w:val="24"/>
        </w:rPr>
        <w:t>2.12 不可抗力</w:t>
      </w:r>
      <w:bookmarkEnd w:id="505"/>
      <w:bookmarkEnd w:id="506"/>
      <w:bookmarkEnd w:id="5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08" w:name="_Toc6969"/>
      <w:bookmarkStart w:id="509" w:name="_Toc30676"/>
      <w:bookmarkStart w:id="510" w:name="_Toc689"/>
      <w:bookmarkStart w:id="511" w:name="_Toc259093684"/>
      <w:bookmarkStart w:id="512" w:name="_Toc279701255"/>
      <w:bookmarkStart w:id="513" w:name="_Toc487900365"/>
      <w:r>
        <w:rPr>
          <w:rFonts w:hint="eastAsia" w:ascii="仿宋" w:hAnsi="仿宋" w:eastAsia="仿宋" w:cs="仿宋"/>
          <w:b/>
          <w:sz w:val="24"/>
        </w:rPr>
        <w:t>2.13 税费</w:t>
      </w:r>
      <w:bookmarkEnd w:id="508"/>
      <w:bookmarkEnd w:id="509"/>
      <w:bookmarkEnd w:id="510"/>
      <w:bookmarkEnd w:id="511"/>
      <w:bookmarkEnd w:id="512"/>
      <w:bookmarkEnd w:id="51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sz w:val="24"/>
        </w:rPr>
      </w:pPr>
      <w:bookmarkStart w:id="514" w:name="_Toc8298"/>
      <w:bookmarkStart w:id="515" w:name="_Toc487900368"/>
      <w:bookmarkStart w:id="516" w:name="_Toc16959"/>
      <w:bookmarkStart w:id="517" w:name="_Toc259093687"/>
      <w:bookmarkStart w:id="518" w:name="_Toc7102"/>
      <w:bookmarkStart w:id="519" w:name="_Toc279701258"/>
      <w:r>
        <w:rPr>
          <w:rFonts w:hint="eastAsia" w:ascii="仿宋" w:hAnsi="仿宋" w:eastAsia="仿宋" w:cs="仿宋"/>
          <w:b/>
          <w:sz w:val="24"/>
        </w:rPr>
        <w:t>2.14乙方破产</w:t>
      </w:r>
      <w:bookmarkEnd w:id="514"/>
      <w:bookmarkEnd w:id="515"/>
      <w:bookmarkEnd w:id="516"/>
      <w:bookmarkEnd w:id="517"/>
      <w:bookmarkEnd w:id="518"/>
      <w:bookmarkEnd w:id="51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20" w:name="_Toc6134"/>
      <w:bookmarkStart w:id="521" w:name="_Toc15387"/>
      <w:bookmarkStart w:id="522" w:name="_Toc29333"/>
      <w:r>
        <w:rPr>
          <w:rFonts w:hint="eastAsia" w:ascii="仿宋" w:hAnsi="仿宋" w:eastAsia="仿宋" w:cs="仿宋"/>
          <w:b/>
          <w:sz w:val="24"/>
        </w:rPr>
        <w:t>2.15 合同中止、终止</w:t>
      </w:r>
      <w:bookmarkEnd w:id="520"/>
      <w:bookmarkEnd w:id="521"/>
      <w:bookmarkEnd w:id="52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23" w:name="_Toc6596"/>
      <w:bookmarkStart w:id="524" w:name="_Toc1125"/>
      <w:bookmarkStart w:id="525" w:name="_Toc14563"/>
      <w:r>
        <w:rPr>
          <w:rFonts w:hint="eastAsia" w:ascii="仿宋" w:hAnsi="仿宋" w:eastAsia="仿宋" w:cs="仿宋"/>
          <w:b/>
          <w:sz w:val="24"/>
        </w:rPr>
        <w:t>2.16检验和验收</w:t>
      </w:r>
      <w:bookmarkEnd w:id="523"/>
      <w:bookmarkEnd w:id="524"/>
      <w:bookmarkEnd w:id="525"/>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w:t>
      </w:r>
      <w:r>
        <w:rPr>
          <w:rFonts w:hint="eastAsia" w:ascii="仿宋" w:hAnsi="仿宋" w:eastAsia="仿宋" w:cs="仿宋"/>
          <w:sz w:val="24"/>
          <w:lang w:eastAsia="zh-CN"/>
        </w:rPr>
        <w:t>甲方</w:t>
      </w:r>
      <w:r>
        <w:rPr>
          <w:rFonts w:hint="eastAsia" w:ascii="仿宋" w:hAnsi="仿宋" w:eastAsia="仿宋" w:cs="仿宋"/>
          <w:sz w:val="24"/>
        </w:rPr>
        <w:t>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5"/>
    <w:bookmarkEnd w:id="496"/>
    <w:bookmarkEnd w:id="497"/>
    <w:bookmarkEnd w:id="498"/>
    <w:p>
      <w:pPr>
        <w:spacing w:line="560" w:lineRule="exact"/>
        <w:ind w:firstLine="482" w:firstLineChars="200"/>
        <w:outlineLvl w:val="0"/>
        <w:rPr>
          <w:rFonts w:hint="eastAsia" w:ascii="仿宋" w:hAnsi="仿宋" w:eastAsia="仿宋" w:cs="仿宋"/>
          <w:b/>
          <w:sz w:val="24"/>
        </w:rPr>
      </w:pPr>
      <w:bookmarkStart w:id="526" w:name="_Toc279701261"/>
      <w:bookmarkStart w:id="527" w:name="_Toc487900371"/>
      <w:bookmarkStart w:id="528" w:name="_Toc259093690"/>
      <w:bookmarkStart w:id="529" w:name="_Toc25182"/>
      <w:bookmarkStart w:id="530" w:name="_Toc11284"/>
      <w:bookmarkStart w:id="531" w:name="_Toc19604"/>
      <w:r>
        <w:rPr>
          <w:rFonts w:hint="eastAsia" w:ascii="仿宋" w:hAnsi="仿宋" w:eastAsia="仿宋" w:cs="仿宋"/>
          <w:b/>
          <w:sz w:val="24"/>
        </w:rPr>
        <w:t>2.17 通知</w:t>
      </w:r>
      <w:bookmarkEnd w:id="526"/>
      <w:bookmarkEnd w:id="527"/>
      <w:bookmarkEnd w:id="528"/>
      <w:r>
        <w:rPr>
          <w:rFonts w:hint="eastAsia" w:ascii="仿宋" w:hAnsi="仿宋" w:eastAsia="仿宋" w:cs="仿宋"/>
          <w:b/>
          <w:sz w:val="24"/>
        </w:rPr>
        <w:t>和送达</w:t>
      </w:r>
      <w:bookmarkEnd w:id="529"/>
      <w:bookmarkEnd w:id="530"/>
      <w:bookmarkEnd w:id="531"/>
    </w:p>
    <w:p>
      <w:pPr>
        <w:spacing w:line="560" w:lineRule="exact"/>
        <w:ind w:firstLine="480" w:firstLineChars="200"/>
        <w:rPr>
          <w:rFonts w:hint="eastAsia" w:ascii="仿宋" w:hAnsi="仿宋" w:eastAsia="仿宋" w:cs="仿宋"/>
          <w:sz w:val="24"/>
        </w:rPr>
      </w:pPr>
      <w:bookmarkStart w:id="532" w:name="_Toc6698"/>
      <w:bookmarkStart w:id="533" w:name="_Toc3135"/>
      <w:bookmarkStart w:id="534" w:name="_Toc279701262"/>
      <w:bookmarkStart w:id="535" w:name="_Toc259093691"/>
      <w:bookmarkStart w:id="536"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2"/>
      <w:bookmarkEnd w:id="533"/>
    </w:p>
    <w:p>
      <w:pPr>
        <w:spacing w:line="560" w:lineRule="exact"/>
        <w:ind w:firstLine="480" w:firstLineChars="200"/>
        <w:rPr>
          <w:rFonts w:hint="eastAsia" w:ascii="仿宋" w:hAnsi="仿宋" w:eastAsia="仿宋" w:cs="仿宋"/>
          <w:sz w:val="24"/>
        </w:rPr>
      </w:pPr>
      <w:bookmarkStart w:id="537" w:name="_Toc23294"/>
      <w:bookmarkStart w:id="538"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p>
      <w:pPr>
        <w:spacing w:line="560" w:lineRule="exact"/>
        <w:ind w:firstLine="482" w:firstLineChars="200"/>
        <w:outlineLvl w:val="0"/>
        <w:rPr>
          <w:rFonts w:hint="eastAsia" w:ascii="仿宋" w:hAnsi="仿宋" w:eastAsia="仿宋" w:cs="仿宋"/>
          <w:b/>
          <w:sz w:val="24"/>
        </w:rPr>
      </w:pPr>
      <w:bookmarkStart w:id="539" w:name="_Toc18540"/>
      <w:bookmarkStart w:id="540" w:name="_Toc30599"/>
      <w:bookmarkStart w:id="541" w:name="_Toc4355"/>
      <w:r>
        <w:rPr>
          <w:rFonts w:hint="eastAsia" w:ascii="仿宋" w:hAnsi="仿宋" w:eastAsia="仿宋" w:cs="仿宋"/>
          <w:b/>
          <w:sz w:val="24"/>
        </w:rPr>
        <w:t>2.18 计量单位</w:t>
      </w:r>
      <w:bookmarkEnd w:id="534"/>
      <w:bookmarkEnd w:id="535"/>
      <w:bookmarkEnd w:id="536"/>
      <w:bookmarkEnd w:id="539"/>
      <w:bookmarkEnd w:id="540"/>
      <w:bookmarkEnd w:id="54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sz w:val="24"/>
        </w:rPr>
      </w:pPr>
      <w:bookmarkStart w:id="542" w:name="_Toc487900373"/>
      <w:bookmarkStart w:id="543" w:name="_Toc259093692"/>
      <w:bookmarkStart w:id="544" w:name="_Toc18567"/>
      <w:bookmarkStart w:id="545" w:name="_Toc279701263"/>
      <w:bookmarkStart w:id="546" w:name="_Toc12773"/>
      <w:bookmarkStart w:id="547" w:name="_Toc10330"/>
      <w:r>
        <w:rPr>
          <w:rFonts w:hint="eastAsia" w:ascii="仿宋" w:hAnsi="仿宋" w:eastAsia="仿宋" w:cs="仿宋"/>
          <w:b/>
          <w:sz w:val="24"/>
        </w:rPr>
        <w:t>2.19 合同使用的文字和适用的法律</w:t>
      </w:r>
      <w:bookmarkEnd w:id="542"/>
      <w:bookmarkEnd w:id="543"/>
      <w:bookmarkEnd w:id="544"/>
      <w:bookmarkEnd w:id="545"/>
      <w:bookmarkEnd w:id="546"/>
      <w:bookmarkEnd w:id="54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hint="eastAsia" w:ascii="仿宋" w:hAnsi="仿宋" w:eastAsia="仿宋" w:cs="仿宋"/>
          <w:b/>
          <w:sz w:val="24"/>
        </w:rPr>
      </w:pPr>
      <w:bookmarkStart w:id="548" w:name="_Toc19890"/>
      <w:bookmarkStart w:id="549" w:name="_Toc6885"/>
      <w:bookmarkStart w:id="550" w:name="_Toc14001"/>
      <w:r>
        <w:rPr>
          <w:rFonts w:hint="eastAsia" w:ascii="仿宋" w:hAnsi="仿宋" w:eastAsia="仿宋" w:cs="仿宋"/>
          <w:b/>
          <w:sz w:val="24"/>
        </w:rPr>
        <w:t>2.2</w:t>
      </w:r>
      <w:r>
        <w:rPr>
          <w:rFonts w:hint="eastAsia" w:ascii="仿宋" w:hAnsi="仿宋" w:eastAsia="仿宋" w:cs="仿宋"/>
          <w:b/>
          <w:sz w:val="24"/>
          <w:lang w:val="en-US" w:eastAsia="zh-CN"/>
        </w:rPr>
        <w:t>0</w:t>
      </w:r>
      <w:r>
        <w:rPr>
          <w:rFonts w:hint="eastAsia" w:ascii="仿宋" w:hAnsi="仿宋" w:eastAsia="仿宋" w:cs="仿宋"/>
          <w:b/>
          <w:sz w:val="24"/>
        </w:rPr>
        <w:t>合同份数</w:t>
      </w:r>
      <w:bookmarkEnd w:id="548"/>
      <w:bookmarkEnd w:id="549"/>
      <w:bookmarkEnd w:id="5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706"/>
        <w:spacing w:line="560" w:lineRule="exact"/>
        <w:jc w:val="center"/>
        <w:rPr>
          <w:rFonts w:hint="eastAsia" w:ascii="仿宋" w:hAnsi="仿宋" w:eastAsia="仿宋" w:cs="仿宋"/>
          <w:b/>
          <w:szCs w:val="24"/>
          <w:highlight w:val="none"/>
        </w:rPr>
      </w:pPr>
      <w:r>
        <w:rPr>
          <w:rFonts w:hint="eastAsia" w:ascii="仿宋" w:hAnsi="仿宋" w:eastAsia="仿宋" w:cs="仿宋"/>
          <w:kern w:val="0"/>
          <w:szCs w:val="24"/>
        </w:rPr>
        <w:br w:type="page"/>
      </w:r>
      <w:bookmarkStart w:id="551" w:name="_Toc331685784"/>
      <w:r>
        <w:rPr>
          <w:rFonts w:hint="eastAsia" w:ascii="仿宋" w:hAnsi="仿宋" w:eastAsia="仿宋" w:cs="仿宋"/>
          <w:b/>
          <w:szCs w:val="24"/>
          <w:highlight w:val="none"/>
        </w:rPr>
        <w:t xml:space="preserve"> </w:t>
      </w:r>
      <w:bookmarkEnd w:id="551"/>
      <w:r>
        <w:rPr>
          <w:rFonts w:hint="eastAsia" w:ascii="仿宋" w:hAnsi="仿宋" w:eastAsia="仿宋" w:cs="仿宋"/>
          <w:b/>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275"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1.4.</w:t>
            </w:r>
            <w:r>
              <w:rPr>
                <w:rFonts w:hint="eastAsia" w:ascii="仿宋" w:hAnsi="仿宋" w:eastAsia="仿宋" w:cs="仿宋"/>
                <w:sz w:val="24"/>
                <w:highlight w:val="none"/>
                <w:lang w:val="en-US" w:eastAsia="zh-CN" w:bidi="ar"/>
              </w:rPr>
              <w:t>2</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kern w:val="2"/>
                <w:sz w:val="24"/>
                <w:szCs w:val="24"/>
              </w:rPr>
              <w:t>履约保证金支付方式：采购文件要求乙方提交履约保证金的，乙方应提交合同价1%的履约保证金，以支票、汇票、本票或者金融机构、担保机构出具的保函等非现金形式；鼓励和支持乙方以银行、保险公司出具的电子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1.5.1 </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预付款比例、支付方式、时间：</w:t>
            </w:r>
            <w:r>
              <w:rPr>
                <w:rFonts w:hint="eastAsia" w:ascii="仿宋" w:hAnsi="仿宋" w:eastAsia="仿宋" w:cs="仿宋"/>
                <w:sz w:val="24"/>
                <w:highlight w:val="none"/>
                <w:lang w:bidi="ar"/>
              </w:rPr>
              <w:t>合同生效以及具备实施条件后</w:t>
            </w:r>
            <w:r>
              <w:rPr>
                <w:rFonts w:hint="eastAsia" w:ascii="仿宋" w:hAnsi="仿宋" w:eastAsia="仿宋" w:cs="仿宋"/>
                <w:sz w:val="24"/>
                <w:highlight w:val="none"/>
                <w:lang w:val="en-US" w:eastAsia="zh-CN" w:bidi="ar"/>
              </w:rPr>
              <w:t>7</w:t>
            </w:r>
            <w:r>
              <w:rPr>
                <w:rFonts w:hint="eastAsia" w:ascii="仿宋" w:hAnsi="仿宋" w:eastAsia="仿宋" w:cs="仿宋"/>
                <w:sz w:val="24"/>
                <w:highlight w:val="none"/>
                <w:lang w:bidi="ar"/>
              </w:rPr>
              <w:t>个工作日内，甲方支付合同总价的</w:t>
            </w:r>
            <w:r>
              <w:rPr>
                <w:rFonts w:hint="eastAsia" w:ascii="仿宋" w:hAnsi="仿宋" w:eastAsia="仿宋" w:cs="仿宋"/>
                <w:sz w:val="24"/>
                <w:highlight w:val="none"/>
                <w:lang w:val="en-US" w:eastAsia="zh-CN" w:bidi="ar"/>
              </w:rPr>
              <w:t>40</w:t>
            </w:r>
            <w:r>
              <w:rPr>
                <w:rFonts w:hint="eastAsia" w:ascii="仿宋" w:hAnsi="仿宋" w:eastAsia="仿宋" w:cs="仿宋"/>
                <w:sz w:val="24"/>
                <w:highlight w:val="none"/>
                <w:lang w:bidi="ar"/>
              </w:rPr>
              <w:t>%作为预付款</w:t>
            </w:r>
            <w:r>
              <w:rPr>
                <w:rFonts w:hint="eastAsia" w:ascii="仿宋" w:hAnsi="仿宋" w:eastAsia="仿宋" w:cs="仿宋"/>
                <w:sz w:val="24"/>
                <w:highlight w:val="none"/>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1.5.2</w:t>
            </w:r>
          </w:p>
        </w:tc>
        <w:tc>
          <w:tcPr>
            <w:tcW w:w="8275" w:type="dxa"/>
            <w:vAlign w:val="center"/>
          </w:tcPr>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预付款扣回方式：</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1.5.3 </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预付款担保措施：</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1.6.</w:t>
            </w:r>
            <w:r>
              <w:rPr>
                <w:rFonts w:hint="eastAsia" w:ascii="仿宋" w:hAnsi="仿宋" w:eastAsia="仿宋" w:cs="仿宋"/>
                <w:sz w:val="24"/>
                <w:highlight w:val="none"/>
                <w:lang w:val="en-US" w:eastAsia="zh-CN" w:bidi="ar"/>
              </w:rPr>
              <w:t>2</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资金支付的方式、时间和条件</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rPr>
              <w:t>合同签订后，采购人支付合同总价的40%作为预付款，所有采购品目安装到位经验收合格后7个工作日内，采购人向中标单位支付至合同价的95%，同时采购人无息退还履约保证金，剩余5%待合同履约完成并验收合格满2年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1.7.1</w:t>
            </w:r>
          </w:p>
        </w:tc>
        <w:tc>
          <w:tcPr>
            <w:tcW w:w="8275" w:type="dxa"/>
            <w:vAlign w:val="center"/>
          </w:tcPr>
          <w:p>
            <w:pPr>
              <w:spacing w:line="420" w:lineRule="exact"/>
              <w:ind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在合同签订后接到发货通知后，30日历天内完成供货、安装及调试。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1.7.2</w:t>
            </w:r>
          </w:p>
        </w:tc>
        <w:tc>
          <w:tcPr>
            <w:tcW w:w="8275" w:type="dxa"/>
            <w:vAlign w:val="center"/>
          </w:tcPr>
          <w:p>
            <w:pPr>
              <w:widowControl/>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乙方负责在合同签定后按甲方施工通知要求将投标产品运输至向涛社区，且根据用户时间要求上门布置管线、安装、调试、试运行。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1.7.3</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bidi="ar"/>
              </w:rPr>
            </w:pPr>
            <w:r>
              <w:rPr>
                <w:rFonts w:hint="eastAsia" w:ascii="仿宋" w:hAnsi="仿宋" w:eastAsia="仿宋" w:cs="仿宋"/>
                <w:sz w:val="24"/>
                <w:highlight w:val="none"/>
                <w:lang w:bidi="ar"/>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1.8.6</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w:t>
            </w:r>
            <w:r>
              <w:rPr>
                <w:rFonts w:hint="eastAsia" w:ascii="仿宋" w:hAnsi="仿宋" w:eastAsia="仿宋" w:cs="仿宋"/>
                <w:sz w:val="24"/>
                <w:highlight w:val="none"/>
                <w:lang w:val="en-US" w:eastAsia="zh-CN" w:bidi="ar"/>
              </w:rPr>
              <w:t>3</w:t>
            </w:r>
          </w:p>
        </w:tc>
        <w:tc>
          <w:tcPr>
            <w:tcW w:w="8275" w:type="dxa"/>
            <w:vAlign w:val="center"/>
          </w:tcPr>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提供的中标物品，必须符合本采购文件要求、原包装送达采购单位；如有不符，</w:t>
            </w:r>
            <w:r>
              <w:rPr>
                <w:rFonts w:hint="eastAsia" w:ascii="仿宋" w:hAnsi="仿宋" w:eastAsia="仿宋" w:cs="仿宋"/>
                <w:sz w:val="24"/>
                <w:highlight w:val="none"/>
                <w:lang w:eastAsia="zh-CN"/>
              </w:rPr>
              <w:t>甲方</w:t>
            </w:r>
            <w:r>
              <w:rPr>
                <w:rFonts w:hint="eastAsia" w:ascii="仿宋" w:hAnsi="仿宋" w:eastAsia="仿宋" w:cs="仿宋"/>
                <w:sz w:val="24"/>
                <w:highlight w:val="none"/>
              </w:rPr>
              <w:t>可以无条件退货，所造成的损失由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承担。更换后的零部件质保期按更换日起顺延。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2.8 </w:t>
            </w:r>
          </w:p>
        </w:tc>
        <w:tc>
          <w:tcPr>
            <w:tcW w:w="8275"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2.12.3</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2.12.4</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2.16.1</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设备安装调试完成后1个月内进行验收。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应提供设备的有效检验文件，经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认可后，与合同和投标文件一起作为设备验收标准。设备验收合格后，由双方共同签署验收文件。验收中发现设备达不到验收标准或规定的性能指标，</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必须更换设备，并承担由此给</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2.16.3</w:t>
            </w:r>
          </w:p>
        </w:tc>
        <w:tc>
          <w:tcPr>
            <w:tcW w:w="8275" w:type="dxa"/>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bidi="ar"/>
              </w:rPr>
              <w:t>遵照《民法典》有关条文执行</w:t>
            </w:r>
            <w:r>
              <w:rPr>
                <w:rFonts w:hint="eastAsia" w:ascii="仿宋" w:hAnsi="仿宋" w:eastAsia="仿宋" w:cs="仿宋"/>
                <w:sz w:val="24"/>
                <w:highlight w:val="none"/>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2.20</w:t>
            </w:r>
          </w:p>
        </w:tc>
        <w:tc>
          <w:tcPr>
            <w:tcW w:w="8275"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本合同一式六份，甲乙双方各执三份。</w:t>
            </w:r>
          </w:p>
        </w:tc>
      </w:tr>
    </w:tbl>
    <w:p>
      <w:pPr>
        <w:spacing w:before="120" w:line="22" w:lineRule="atLeast"/>
        <w:ind w:firstLine="960" w:firstLineChars="400"/>
        <w:rPr>
          <w:rFonts w:hint="eastAsia" w:ascii="仿宋" w:hAnsi="仿宋" w:eastAsia="仿宋" w:cs="仿宋"/>
          <w:sz w:val="24"/>
          <w:u w:val="single"/>
        </w:rPr>
      </w:pPr>
    </w:p>
    <w:p>
      <w:pPr>
        <w:widowControl/>
        <w:jc w:val="left"/>
        <w:rPr>
          <w:rFonts w:hint="eastAsia" w:ascii="仿宋" w:hAnsi="仿宋" w:eastAsia="仿宋" w:cs="仿宋"/>
          <w:kern w:val="0"/>
          <w:sz w:val="24"/>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pPr>
        <w:pStyle w:val="46"/>
        <w:rPr>
          <w:rFonts w:hint="eastAsia" w:ascii="仿宋" w:hAnsi="仿宋" w:eastAsia="仿宋" w:cs="仿宋"/>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4"/>
      <w:r>
        <w:rPr>
          <w:rFonts w:hint="eastAsia" w:ascii="仿宋" w:hAnsi="仿宋" w:eastAsia="仿宋" w:cs="仿宋"/>
          <w:b/>
          <w:sz w:val="36"/>
          <w:szCs w:val="20"/>
        </w:rPr>
        <w:t xml:space="preserve"> </w:t>
      </w:r>
      <w:bookmarkEnd w:id="415"/>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（4）本项目的特定资格要求（如果有）…………………………………（页码）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firstLine="559" w:firstLineChars="233"/>
        <w:jc w:val="left"/>
        <w:rPr>
          <w:rFonts w:hint="eastAsia" w:ascii="仿宋" w:hAnsi="仿宋" w:eastAsia="仿宋" w:cs="仿宋"/>
          <w:sz w:val="24"/>
          <w:highlight w:val="none"/>
        </w:rPr>
      </w:pPr>
    </w:p>
    <w:p>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pStyle w:val="83"/>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w:t>
      </w:r>
      <w:r>
        <w:rPr>
          <w:rFonts w:hint="eastAsia" w:ascii="仿宋" w:hAnsi="仿宋" w:eastAsia="仿宋" w:cs="仿宋"/>
          <w:sz w:val="24"/>
          <w:lang w:eastAsia="zh-CN"/>
        </w:rPr>
        <w:t>的</w:t>
      </w:r>
      <w:r>
        <w:rPr>
          <w:rFonts w:hint="eastAsia" w:ascii="仿宋" w:hAnsi="仿宋" w:eastAsia="仿宋" w:cs="仿宋"/>
          <w:sz w:val="24"/>
        </w:rPr>
        <w:t>，</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hint="eastAsia" w:ascii="仿宋" w:hAnsi="仿宋" w:eastAsia="仿宋" w:cs="仿宋"/>
          <w:b/>
          <w:kern w:val="0"/>
          <w:sz w:val="36"/>
          <w:szCs w:val="36"/>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rPr>
        <w:t>2.1.2联合协议（</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lang w:eastAsia="zh-CN"/>
        </w:rPr>
        <w:t>开标一览表（报价表）</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lang w:val="zh-CN"/>
        </w:rPr>
      </w:pPr>
    </w:p>
    <w:p>
      <w:pPr>
        <w:pStyle w:val="2"/>
        <w:rPr>
          <w:rFonts w:hint="eastAsia" w:ascii="仿宋" w:hAnsi="仿宋" w:eastAsia="仿宋" w:cs="仿宋"/>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firstLine="480" w:firstLineChars="200"/>
        <w:rPr>
          <w:rFonts w:hint="eastAsia" w:ascii="仿宋" w:hAnsi="仿宋" w:eastAsia="仿宋" w:cs="仿宋"/>
          <w:kern w:val="0"/>
          <w:sz w:val="24"/>
          <w:lang w:val="zh-CN"/>
        </w:rPr>
      </w:pPr>
    </w:p>
    <w:p>
      <w:pPr>
        <w:snapToGrid w:val="0"/>
        <w:spacing w:line="360" w:lineRule="auto"/>
        <w:ind w:firstLine="480" w:firstLineChars="200"/>
        <w:rPr>
          <w:rFonts w:hint="eastAsia" w:ascii="仿宋" w:hAnsi="仿宋" w:eastAsia="仿宋" w:cs="仿宋"/>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szCs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3"/>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hint="eastAsia" w:ascii="仿宋" w:hAnsi="仿宋" w:eastAsia="仿宋" w:cs="仿宋"/>
          <w:kern w:val="0"/>
          <w:sz w:val="24"/>
        </w:rPr>
      </w:pPr>
    </w:p>
    <w:p>
      <w:pPr>
        <w:jc w:val="left"/>
        <w:rPr>
          <w:rFonts w:hint="eastAsia" w:ascii="仿宋" w:hAnsi="仿宋" w:eastAsia="仿宋" w:cs="仿宋"/>
          <w:kern w:val="0"/>
          <w:sz w:val="24"/>
        </w:rPr>
      </w:pPr>
      <w:r>
        <w:rPr>
          <w:rFonts w:hint="eastAsia" w:ascii="仿宋" w:hAnsi="仿宋" w:eastAsia="仿宋" w:cs="仿宋"/>
          <w:kern w:val="0"/>
          <w:sz w:val="24"/>
        </w:rPr>
        <w:t>注：按本格式和要求提供。</w:t>
      </w:r>
    </w:p>
    <w:p>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开标一览表（报价表）</w:t>
      </w:r>
      <w:r>
        <w:rPr>
          <w:rFonts w:hint="eastAsia" w:ascii="仿宋" w:hAnsi="仿宋" w:eastAsia="仿宋" w:cs="仿宋"/>
          <w:sz w:val="24"/>
        </w:rPr>
        <w:t>………………………………………………（页码）</w:t>
      </w:r>
    </w:p>
    <w:p>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（2）中小企业声明函（如果有）…………………………………………（页码）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w:t>
      </w:r>
      <w:r>
        <w:rPr>
          <w:rFonts w:hint="eastAsia" w:ascii="仿宋" w:hAnsi="仿宋" w:eastAsia="仿宋" w:cs="仿宋"/>
          <w:kern w:val="2"/>
          <w:sz w:val="32"/>
          <w:szCs w:val="32"/>
          <w:lang w:eastAsia="zh-CN"/>
        </w:rPr>
        <w:t>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2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3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256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25"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23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08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lang w:eastAsia="zh-CN"/>
              </w:rPr>
              <w:t>合计</w:t>
            </w:r>
          </w:p>
        </w:tc>
        <w:tc>
          <w:tcPr>
            <w:tcW w:w="1515" w:type="dxa"/>
            <w:vAlign w:val="center"/>
          </w:tcPr>
          <w:p>
            <w:pPr>
              <w:spacing w:line="360" w:lineRule="auto"/>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827"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w:t>
            </w: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212" w:type="dxa"/>
            <w:gridSpan w:val="5"/>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212" w:type="dxa"/>
            <w:gridSpan w:val="5"/>
            <w:vAlign w:val="center"/>
          </w:tcPr>
          <w:p>
            <w:pPr>
              <w:spacing w:line="360" w:lineRule="auto"/>
              <w:jc w:val="center"/>
              <w:rPr>
                <w:rFonts w:hint="eastAsia" w:ascii="仿宋" w:hAnsi="仿宋" w:eastAsia="仿宋" w:cs="仿宋"/>
                <w:sz w:val="24"/>
              </w:rPr>
            </w:pPr>
          </w:p>
        </w:tc>
      </w:tr>
    </w:tbl>
    <w:p>
      <w:pPr>
        <w:snapToGrid w:val="0"/>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pStyle w:val="697"/>
        <w:keepNext w:val="0"/>
        <w:pageBreakBefore w:val="0"/>
        <w:tabs>
          <w:tab w:val="clear" w:pos="720"/>
        </w:tabs>
        <w:snapToGrid w:val="0"/>
        <w:spacing w:before="120" w:after="120"/>
        <w:ind w:firstLine="482" w:firstLineChars="200"/>
        <w:jc w:val="both"/>
        <w:outlineLvl w:val="9"/>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2、有关本项目实施所涉及的一切费用均计入报价。总价不为零，</w:t>
      </w:r>
      <w:r>
        <w:rPr>
          <w:rFonts w:hint="eastAsia" w:ascii="仿宋" w:hAnsi="仿宋" w:eastAsia="仿宋" w:cs="仿宋"/>
          <w:kern w:val="0"/>
          <w:sz w:val="24"/>
          <w:lang w:val="zh-CN" w:eastAsia="zh-CN"/>
        </w:rPr>
        <w:t>开标一览表（报价表）</w:t>
      </w:r>
      <w:r>
        <w:rPr>
          <w:rFonts w:hint="eastAsia" w:ascii="仿宋" w:hAnsi="仿宋" w:eastAsia="仿宋" w:cs="仿宋"/>
          <w:kern w:val="0"/>
          <w:sz w:val="24"/>
          <w:lang w:val="zh-CN"/>
        </w:rPr>
        <w:t>中部分产品、服务单价为零的，视作已包含在总价中。</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5"/>
        <w:ind w:firstLine="480" w:firstLineChars="200"/>
        <w:rPr>
          <w:rFonts w:hint="eastAsia" w:ascii="仿宋" w:hAnsi="仿宋" w:eastAsia="仿宋" w:cs="仿宋"/>
        </w:rPr>
      </w:pPr>
      <w:r>
        <w:rPr>
          <w:rFonts w:hint="eastAsia" w:ascii="仿宋" w:hAnsi="仿宋" w:eastAsia="仿宋" w:cs="仿宋"/>
          <w:sz w:val="24"/>
          <w:szCs w:val="24"/>
        </w:rPr>
        <w:t>5、特别说明：▲供应商报价低于项目预算50%的，应当在报价文件中详细阐述不影响产品质量或者诚信履约的具体原因。</w:t>
      </w:r>
    </w:p>
    <w:p>
      <w:pPr>
        <w:snapToGrid w:val="0"/>
        <w:spacing w:line="360" w:lineRule="auto"/>
        <w:ind w:firstLine="480" w:firstLineChars="200"/>
        <w:jc w:val="left"/>
        <w:rPr>
          <w:rFonts w:hint="eastAsia" w:ascii="仿宋" w:hAnsi="仿宋" w:eastAsia="仿宋" w:cs="仿宋"/>
          <w:kern w:val="0"/>
          <w:sz w:val="24"/>
          <w:lang w:val="zh-CN"/>
        </w:r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7"/>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jc w:val="center"/>
        <w:rPr>
          <w:rFonts w:hint="eastAsia"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hint="eastAsia" w:ascii="仿宋" w:hAnsi="仿宋" w:eastAsia="仿宋" w:cs="仿宋"/>
          <w:b/>
          <w:sz w:val="10"/>
          <w:szCs w:val="10"/>
        </w:rPr>
      </w:pP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费莎</w:t>
            </w:r>
          </w:p>
          <w:p>
            <w:pPr>
              <w:widowControl/>
              <w:jc w:val="center"/>
              <w:rPr>
                <w:rFonts w:hint="eastAsia"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13388617781</w:t>
            </w:r>
          </w:p>
          <w:p>
            <w:pPr>
              <w:widowControl/>
              <w:jc w:val="center"/>
              <w:rPr>
                <w:rFonts w:hint="eastAsia" w:ascii="仿宋" w:hAnsi="仿宋" w:eastAsia="仿宋" w:cs="仿宋"/>
                <w:kern w:val="0"/>
                <w:sz w:val="24"/>
              </w:rPr>
            </w:pPr>
            <w:r>
              <w:rPr>
                <w:rFonts w:hint="eastAsia" w:ascii="仿宋" w:hAnsi="仿宋" w:eastAsia="仿宋" w:cs="仿宋"/>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王安东</w:t>
            </w:r>
          </w:p>
          <w:p>
            <w:pPr>
              <w:widowControl/>
              <w:jc w:val="center"/>
              <w:rPr>
                <w:rFonts w:hint="eastAsia"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15158025713</w:t>
            </w:r>
          </w:p>
          <w:p>
            <w:pPr>
              <w:widowControl/>
              <w:jc w:val="center"/>
              <w:rPr>
                <w:rFonts w:hint="eastAsia" w:ascii="仿宋" w:hAnsi="仿宋" w:eastAsia="仿宋" w:cs="仿宋"/>
              </w:rPr>
            </w:pPr>
            <w:r>
              <w:rPr>
                <w:rFonts w:hint="eastAsia" w:ascii="仿宋" w:hAnsi="仿宋" w:eastAsia="仿宋" w:cs="仿宋"/>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52" w:name="_Toc465665161"/>
      <w:r>
        <w:rPr>
          <w:rFonts w:hint="eastAsia" w:ascii="仿宋" w:hAnsi="仿宋" w:eastAsia="仿宋" w:cs="仿宋"/>
        </w:rPr>
        <w:t>附件</w:t>
      </w:r>
      <w:bookmarkEnd w:id="552"/>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53" w:name="OLE_LINK14"/>
      <w:bookmarkStart w:id="554" w:name="OLE_LINK13"/>
      <w:r>
        <w:rPr>
          <w:rFonts w:hint="eastAsia" w:ascii="仿宋" w:hAnsi="仿宋" w:eastAsia="仿宋" w:cs="仿宋"/>
          <w:b/>
          <w:spacing w:val="6"/>
          <w:sz w:val="32"/>
          <w:szCs w:val="32"/>
        </w:rPr>
        <w:t>残疾人福利性单位声明函</w:t>
      </w:r>
      <w:bookmarkEnd w:id="553"/>
      <w:bookmarkEnd w:id="554"/>
    </w:p>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lang w:val="en"/>
        </w:rPr>
        <w:t xml:space="preserve"> </w:t>
      </w:r>
      <w:r>
        <w:rPr>
          <w:rFonts w:hint="eastAsia" w:ascii="仿宋" w:hAnsi="仿宋" w:eastAsia="仿宋" w:cs="仿宋"/>
          <w:sz w:val="24"/>
          <w:u w:val="single"/>
        </w:rPr>
        <w:t>（采购人）</w:t>
      </w:r>
      <w:r>
        <w:rPr>
          <w:rFonts w:hint="eastAsia" w:ascii="仿宋" w:hAnsi="仿宋" w:eastAsia="仿宋" w:cs="仿宋"/>
          <w:sz w:val="24"/>
          <w:u w:val="single"/>
          <w:lang w:val="en"/>
        </w:rPr>
        <w:t xml:space="preserve"> </w:t>
      </w:r>
      <w:r>
        <w:rPr>
          <w:rFonts w:hint="eastAsia" w:ascii="仿宋" w:hAnsi="仿宋" w:eastAsia="仿宋" w:cs="仿宋"/>
          <w:sz w:val="24"/>
        </w:rPr>
        <w:t>单位的</w:t>
      </w:r>
      <w:r>
        <w:rPr>
          <w:rFonts w:hint="eastAsia" w:ascii="仿宋" w:hAnsi="仿宋" w:eastAsia="仿宋" w:cs="仿宋"/>
          <w:color w:val="auto"/>
          <w:sz w:val="24"/>
        </w:rPr>
        <w:t>_</w:t>
      </w:r>
      <w:r>
        <w:rPr>
          <w:rFonts w:hint="eastAsia" w:ascii="仿宋" w:hAnsi="仿宋" w:eastAsia="仿宋" w:cs="仿宋"/>
          <w:color w:val="auto"/>
          <w:sz w:val="24"/>
          <w:u w:val="single"/>
        </w:rPr>
        <w:t>（项目名称）</w:t>
      </w:r>
      <w:r>
        <w:rPr>
          <w:rFonts w:hint="eastAsia" w:ascii="仿宋" w:hAnsi="仿宋" w:eastAsia="仿宋" w:cs="仿宋"/>
          <w:color w:val="auto"/>
          <w:sz w:val="24"/>
        </w:rPr>
        <w:t>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bookmarkStart w:id="55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5"/>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6" w:firstLineChars="1100"/>
        <w:rPr>
          <w:rFonts w:hint="eastAsia" w:ascii="仿宋" w:hAnsi="仿宋" w:eastAsia="仿宋" w:cs="仿宋"/>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6"/>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autoSpaceDE w:val="0"/>
        <w:autoSpaceDN w:val="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both"/>
        <w:rPr>
          <w:rFonts w:hint="eastAsia" w:ascii="仿宋" w:hAnsi="仿宋" w:eastAsia="仿宋" w:cs="仿宋"/>
          <w:b/>
          <w:spacing w:val="6"/>
          <w:sz w:val="32"/>
          <w:szCs w:val="32"/>
        </w:rPr>
      </w:pPr>
      <w:r>
        <w:rPr>
          <w:rFonts w:hint="eastAsia" w:ascii="仿宋" w:hAnsi="仿宋" w:eastAsia="仿宋" w:cs="仿宋"/>
          <w:sz w:val="24"/>
        </w:rPr>
        <w:t>注：按本格式和要求提供。</w:t>
      </w:r>
    </w:p>
    <w:p>
      <w:pPr>
        <w:pStyle w:val="2"/>
        <w:rPr>
          <w:rFonts w:hint="eastAsia" w:ascii="仿宋" w:hAnsi="仿宋" w:eastAsia="仿宋" w:cs="仿宋"/>
        </w:rPr>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 （采购人）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auto"/>
          <w:kern w:val="0"/>
          <w:sz w:val="24"/>
          <w:szCs w:val="24"/>
          <w:u w:val="single"/>
          <w:lang w:eastAsia="zh-CN"/>
        </w:rPr>
        <w:t>1.5匹一拖一壁挂机</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3匹一拖一壁挂机</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auto"/>
          <w:kern w:val="0"/>
          <w:sz w:val="24"/>
          <w:szCs w:val="24"/>
          <w:u w:val="single"/>
          <w:lang w:eastAsia="zh-CN"/>
        </w:rPr>
        <w:t>2匹一拖一柜机</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auto"/>
          <w:kern w:val="0"/>
          <w:sz w:val="24"/>
          <w:szCs w:val="24"/>
          <w:u w:val="single"/>
          <w:lang w:eastAsia="zh-CN"/>
        </w:rPr>
        <w:t>3匹一拖一柜机</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auto"/>
          <w:kern w:val="0"/>
          <w:sz w:val="24"/>
          <w:szCs w:val="24"/>
          <w:u w:val="single"/>
          <w:lang w:eastAsia="zh-CN"/>
        </w:rPr>
        <w:t>3匹一拖一嵌入机</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auto"/>
          <w:kern w:val="0"/>
          <w:sz w:val="24"/>
          <w:szCs w:val="24"/>
          <w:u w:val="single"/>
          <w:lang w:eastAsia="zh-CN"/>
        </w:rPr>
        <w:t>5匹一拖一嵌入机</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auto"/>
          <w:kern w:val="0"/>
          <w:sz w:val="24"/>
          <w:szCs w:val="24"/>
          <w:u w:val="single"/>
          <w:lang w:eastAsia="zh-CN"/>
        </w:rPr>
        <w:t>10匹一拖二（嵌入式内机）</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安装材料</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u w:val="none"/>
          <w:lang w:val="en-US" w:eastAsia="zh-CN"/>
        </w:rPr>
      </w:pPr>
    </w:p>
    <w:p>
      <w:pPr>
        <w:numPr>
          <w:ilvl w:val="0"/>
          <w:numId w:val="0"/>
        </w:numPr>
        <w:spacing w:line="360" w:lineRule="auto"/>
        <w:ind w:left="420" w:leftChars="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bCs/>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rPr>
      </w:pPr>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557" w:name="_Toc36110187"/>
    <w:bookmarkStart w:id="558" w:name="_Toc164085800"/>
    <w:bookmarkStart w:id="559" w:name="_Toc91899912"/>
    <w:bookmarkStart w:id="560" w:name="_Toc13184514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C3082"/>
    <w:multiLevelType w:val="singleLevel"/>
    <w:tmpl w:val="BEFC3082"/>
    <w:lvl w:ilvl="0" w:tentative="0">
      <w:start w:val="18"/>
      <w:numFmt w:val="decimal"/>
      <w:suff w:val="space"/>
      <w:lvlText w:val="%1."/>
      <w:lvlJc w:val="left"/>
    </w:lvl>
  </w:abstractNum>
  <w:abstractNum w:abstractNumId="1">
    <w:nsid w:val="C7EC65DC"/>
    <w:multiLevelType w:val="singleLevel"/>
    <w:tmpl w:val="C7EC65DC"/>
    <w:lvl w:ilvl="0" w:tentative="0">
      <w:start w:val="13"/>
      <w:numFmt w:val="decimal"/>
      <w:suff w:val="space"/>
      <w:lvlText w:val="%1."/>
      <w:lvlJc w:val="left"/>
    </w:lvl>
  </w:abstractNum>
  <w:abstractNum w:abstractNumId="2">
    <w:nsid w:val="FA902FF2"/>
    <w:multiLevelType w:val="singleLevel"/>
    <w:tmpl w:val="FA902FF2"/>
    <w:lvl w:ilvl="0" w:tentative="0">
      <w:start w:val="3"/>
      <w:numFmt w:val="chineseCounting"/>
      <w:suff w:val="space"/>
      <w:lvlText w:val="第%1部分"/>
      <w:lvlJc w:val="left"/>
      <w:rPr>
        <w:rFonts w:hint="eastAsia"/>
      </w:rPr>
    </w:lvl>
  </w:abstractNum>
  <w:abstractNum w:abstractNumId="3">
    <w:nsid w:val="FCD05A41"/>
    <w:multiLevelType w:val="singleLevel"/>
    <w:tmpl w:val="FCD05A41"/>
    <w:lvl w:ilvl="0" w:tentative="0">
      <w:start w:val="2"/>
      <w:numFmt w:val="decimal"/>
      <w:suff w:val="nothing"/>
      <w:lvlText w:val="%1、"/>
      <w:lvlJc w:val="left"/>
    </w:lvl>
  </w:abstractNum>
  <w:abstractNum w:abstractNumId="4">
    <w:nsid w:val="FFA78A96"/>
    <w:multiLevelType w:val="singleLevel"/>
    <w:tmpl w:val="FFA78A96"/>
    <w:lvl w:ilvl="0" w:tentative="0">
      <w:start w:val="8"/>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TZhM2MyNzhmOWI5N2JkZjQ2MjA2ZTVkOTFiN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C54999"/>
    <w:rsid w:val="03DD35E4"/>
    <w:rsid w:val="03F1763A"/>
    <w:rsid w:val="04063CD1"/>
    <w:rsid w:val="04076900"/>
    <w:rsid w:val="040A684F"/>
    <w:rsid w:val="041A5A3B"/>
    <w:rsid w:val="042311BA"/>
    <w:rsid w:val="042B157A"/>
    <w:rsid w:val="04413F7B"/>
    <w:rsid w:val="04427FFC"/>
    <w:rsid w:val="048F763B"/>
    <w:rsid w:val="049F330E"/>
    <w:rsid w:val="04AA775C"/>
    <w:rsid w:val="04AD1AC5"/>
    <w:rsid w:val="04AF1889"/>
    <w:rsid w:val="04D75109"/>
    <w:rsid w:val="04F66F48"/>
    <w:rsid w:val="05251E14"/>
    <w:rsid w:val="05812863"/>
    <w:rsid w:val="05953788"/>
    <w:rsid w:val="05A16594"/>
    <w:rsid w:val="05A7762D"/>
    <w:rsid w:val="05B178CA"/>
    <w:rsid w:val="05DA64B7"/>
    <w:rsid w:val="05DE0936"/>
    <w:rsid w:val="060E5941"/>
    <w:rsid w:val="06110FAF"/>
    <w:rsid w:val="06493CA7"/>
    <w:rsid w:val="065A6178"/>
    <w:rsid w:val="066F1CF3"/>
    <w:rsid w:val="06930BB8"/>
    <w:rsid w:val="069D7E4F"/>
    <w:rsid w:val="071A573D"/>
    <w:rsid w:val="07245D42"/>
    <w:rsid w:val="07264C62"/>
    <w:rsid w:val="0779354C"/>
    <w:rsid w:val="07824EEC"/>
    <w:rsid w:val="07A934AA"/>
    <w:rsid w:val="07AD022E"/>
    <w:rsid w:val="07EC1752"/>
    <w:rsid w:val="07F044D6"/>
    <w:rsid w:val="08061376"/>
    <w:rsid w:val="08163A15"/>
    <w:rsid w:val="081C4DA3"/>
    <w:rsid w:val="0834033F"/>
    <w:rsid w:val="08452D77"/>
    <w:rsid w:val="086401F8"/>
    <w:rsid w:val="08751CAA"/>
    <w:rsid w:val="087E49FE"/>
    <w:rsid w:val="087E4C40"/>
    <w:rsid w:val="088779CE"/>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C13146"/>
    <w:rsid w:val="09E04166"/>
    <w:rsid w:val="0A05236F"/>
    <w:rsid w:val="0A1C0718"/>
    <w:rsid w:val="0A312D88"/>
    <w:rsid w:val="0A3E7710"/>
    <w:rsid w:val="0A5B7E63"/>
    <w:rsid w:val="0A6F4439"/>
    <w:rsid w:val="0A920ABD"/>
    <w:rsid w:val="0AA374A5"/>
    <w:rsid w:val="0AAB7649"/>
    <w:rsid w:val="0ABC5606"/>
    <w:rsid w:val="0B091A99"/>
    <w:rsid w:val="0B30404E"/>
    <w:rsid w:val="0B3303A8"/>
    <w:rsid w:val="0B4C6C14"/>
    <w:rsid w:val="0B631A88"/>
    <w:rsid w:val="0B683D45"/>
    <w:rsid w:val="0B6B4275"/>
    <w:rsid w:val="0B7F3F11"/>
    <w:rsid w:val="0B800551"/>
    <w:rsid w:val="0B884417"/>
    <w:rsid w:val="0BA10CBE"/>
    <w:rsid w:val="0BF6188C"/>
    <w:rsid w:val="0BF73C91"/>
    <w:rsid w:val="0BFD02C5"/>
    <w:rsid w:val="0C126BE9"/>
    <w:rsid w:val="0C170175"/>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A41AC3"/>
    <w:rsid w:val="0DD63300"/>
    <w:rsid w:val="0DE66707"/>
    <w:rsid w:val="0DF50604"/>
    <w:rsid w:val="0DF702FE"/>
    <w:rsid w:val="0DFF67E0"/>
    <w:rsid w:val="0E060E51"/>
    <w:rsid w:val="0E356BBF"/>
    <w:rsid w:val="0E5439CC"/>
    <w:rsid w:val="0E5604B2"/>
    <w:rsid w:val="0E6D5D79"/>
    <w:rsid w:val="0E9D0089"/>
    <w:rsid w:val="0EB803EE"/>
    <w:rsid w:val="0ED4462A"/>
    <w:rsid w:val="0EF94D4B"/>
    <w:rsid w:val="0F1635C7"/>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1F07451"/>
    <w:rsid w:val="121C72DF"/>
    <w:rsid w:val="12224473"/>
    <w:rsid w:val="12255233"/>
    <w:rsid w:val="12337A0B"/>
    <w:rsid w:val="12530213"/>
    <w:rsid w:val="125D4C68"/>
    <w:rsid w:val="127723A9"/>
    <w:rsid w:val="12862074"/>
    <w:rsid w:val="12883966"/>
    <w:rsid w:val="129E45B4"/>
    <w:rsid w:val="12AF7335"/>
    <w:rsid w:val="12D81596"/>
    <w:rsid w:val="12EA383B"/>
    <w:rsid w:val="12F42A2A"/>
    <w:rsid w:val="13072A44"/>
    <w:rsid w:val="13397BCE"/>
    <w:rsid w:val="134D130F"/>
    <w:rsid w:val="13540CE3"/>
    <w:rsid w:val="135F4BE2"/>
    <w:rsid w:val="138228A6"/>
    <w:rsid w:val="139B1A0A"/>
    <w:rsid w:val="139D25C7"/>
    <w:rsid w:val="13BF3CE4"/>
    <w:rsid w:val="13C133CE"/>
    <w:rsid w:val="14092897"/>
    <w:rsid w:val="141008D8"/>
    <w:rsid w:val="14125FE6"/>
    <w:rsid w:val="143F2362"/>
    <w:rsid w:val="14464107"/>
    <w:rsid w:val="145F7307"/>
    <w:rsid w:val="14678B2C"/>
    <w:rsid w:val="146D271E"/>
    <w:rsid w:val="14982588"/>
    <w:rsid w:val="149A5AD9"/>
    <w:rsid w:val="149D3F83"/>
    <w:rsid w:val="14A7619D"/>
    <w:rsid w:val="150536C3"/>
    <w:rsid w:val="150C1963"/>
    <w:rsid w:val="151447A0"/>
    <w:rsid w:val="154A6454"/>
    <w:rsid w:val="15762120"/>
    <w:rsid w:val="15792B18"/>
    <w:rsid w:val="15B44660"/>
    <w:rsid w:val="15CA5987"/>
    <w:rsid w:val="169C5A2D"/>
    <w:rsid w:val="16A8729C"/>
    <w:rsid w:val="16AC07E4"/>
    <w:rsid w:val="16B33777"/>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57A05"/>
    <w:rsid w:val="198A4263"/>
    <w:rsid w:val="19932372"/>
    <w:rsid w:val="19A20DD5"/>
    <w:rsid w:val="19AE03F1"/>
    <w:rsid w:val="1A071A03"/>
    <w:rsid w:val="1A1F16AE"/>
    <w:rsid w:val="1A362486"/>
    <w:rsid w:val="1A3B5C77"/>
    <w:rsid w:val="1A442B13"/>
    <w:rsid w:val="1A572366"/>
    <w:rsid w:val="1A984BAD"/>
    <w:rsid w:val="1AA7450E"/>
    <w:rsid w:val="1AAC1FB7"/>
    <w:rsid w:val="1AB8220E"/>
    <w:rsid w:val="1ADC6D40"/>
    <w:rsid w:val="1AE4166C"/>
    <w:rsid w:val="1AEB5268"/>
    <w:rsid w:val="1AF06CFB"/>
    <w:rsid w:val="1AF11B8D"/>
    <w:rsid w:val="1B11359C"/>
    <w:rsid w:val="1B1B03BB"/>
    <w:rsid w:val="1B2A271F"/>
    <w:rsid w:val="1B530544"/>
    <w:rsid w:val="1B5777A0"/>
    <w:rsid w:val="1B713184"/>
    <w:rsid w:val="1B894423"/>
    <w:rsid w:val="1BA209CF"/>
    <w:rsid w:val="1BB4777D"/>
    <w:rsid w:val="1BCA0E71"/>
    <w:rsid w:val="1BD75AB8"/>
    <w:rsid w:val="1C0459C2"/>
    <w:rsid w:val="1C1B3B4A"/>
    <w:rsid w:val="1C88086E"/>
    <w:rsid w:val="1C92024C"/>
    <w:rsid w:val="1C957EED"/>
    <w:rsid w:val="1CBA27B2"/>
    <w:rsid w:val="1CE248DF"/>
    <w:rsid w:val="1CF249C4"/>
    <w:rsid w:val="1D012A8E"/>
    <w:rsid w:val="1D210A3A"/>
    <w:rsid w:val="1D266CE1"/>
    <w:rsid w:val="1D3306AD"/>
    <w:rsid w:val="1D3963AF"/>
    <w:rsid w:val="1D4E37F9"/>
    <w:rsid w:val="1D630730"/>
    <w:rsid w:val="1D6A673C"/>
    <w:rsid w:val="1D9247AE"/>
    <w:rsid w:val="1DAF2E9A"/>
    <w:rsid w:val="1DB567EC"/>
    <w:rsid w:val="1DBF0EC2"/>
    <w:rsid w:val="1DF51A98"/>
    <w:rsid w:val="1DF789D5"/>
    <w:rsid w:val="1E08301D"/>
    <w:rsid w:val="1E3D060F"/>
    <w:rsid w:val="1E3F7D2E"/>
    <w:rsid w:val="1E4134E4"/>
    <w:rsid w:val="1E5062B3"/>
    <w:rsid w:val="1E523514"/>
    <w:rsid w:val="1E714A66"/>
    <w:rsid w:val="1E802593"/>
    <w:rsid w:val="1EA703CC"/>
    <w:rsid w:val="1EB7330C"/>
    <w:rsid w:val="1EDF5D4B"/>
    <w:rsid w:val="1F0A0FF3"/>
    <w:rsid w:val="1F5771FF"/>
    <w:rsid w:val="1F8854DA"/>
    <w:rsid w:val="1FBE20C7"/>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366A1B"/>
    <w:rsid w:val="214E67BA"/>
    <w:rsid w:val="216133FC"/>
    <w:rsid w:val="21D56769"/>
    <w:rsid w:val="21E52EF3"/>
    <w:rsid w:val="21FB5D7B"/>
    <w:rsid w:val="220B1C3D"/>
    <w:rsid w:val="221D1D20"/>
    <w:rsid w:val="22226F55"/>
    <w:rsid w:val="22334A87"/>
    <w:rsid w:val="22864D9F"/>
    <w:rsid w:val="22BE6801"/>
    <w:rsid w:val="230706D2"/>
    <w:rsid w:val="232E3EB1"/>
    <w:rsid w:val="233500BF"/>
    <w:rsid w:val="23377FF7"/>
    <w:rsid w:val="236B425F"/>
    <w:rsid w:val="23836192"/>
    <w:rsid w:val="23901F29"/>
    <w:rsid w:val="23932309"/>
    <w:rsid w:val="239857CE"/>
    <w:rsid w:val="239C0061"/>
    <w:rsid w:val="23A509F4"/>
    <w:rsid w:val="23B908A4"/>
    <w:rsid w:val="23D235D7"/>
    <w:rsid w:val="23E95BEF"/>
    <w:rsid w:val="23F93652"/>
    <w:rsid w:val="23FD0064"/>
    <w:rsid w:val="241F664E"/>
    <w:rsid w:val="24240656"/>
    <w:rsid w:val="242B03F0"/>
    <w:rsid w:val="245375B0"/>
    <w:rsid w:val="245931AF"/>
    <w:rsid w:val="24642C0A"/>
    <w:rsid w:val="24B22173"/>
    <w:rsid w:val="24B95AD9"/>
    <w:rsid w:val="24BE24DA"/>
    <w:rsid w:val="24CF5825"/>
    <w:rsid w:val="24D663E6"/>
    <w:rsid w:val="24D77F2B"/>
    <w:rsid w:val="24D804D4"/>
    <w:rsid w:val="25382E18"/>
    <w:rsid w:val="258B00E2"/>
    <w:rsid w:val="25A917A6"/>
    <w:rsid w:val="25AC5196"/>
    <w:rsid w:val="25B920CA"/>
    <w:rsid w:val="25BE27CC"/>
    <w:rsid w:val="25F74A5C"/>
    <w:rsid w:val="2628662C"/>
    <w:rsid w:val="262D45DE"/>
    <w:rsid w:val="26652135"/>
    <w:rsid w:val="26865DB2"/>
    <w:rsid w:val="26A53EF9"/>
    <w:rsid w:val="26A94201"/>
    <w:rsid w:val="26A9791D"/>
    <w:rsid w:val="26AC274F"/>
    <w:rsid w:val="26BC3644"/>
    <w:rsid w:val="26C1503C"/>
    <w:rsid w:val="26C412B6"/>
    <w:rsid w:val="26ED5133"/>
    <w:rsid w:val="26F357DC"/>
    <w:rsid w:val="27044A29"/>
    <w:rsid w:val="271D34C8"/>
    <w:rsid w:val="273E043A"/>
    <w:rsid w:val="276142BF"/>
    <w:rsid w:val="27783712"/>
    <w:rsid w:val="27907362"/>
    <w:rsid w:val="28333E1D"/>
    <w:rsid w:val="28454BD6"/>
    <w:rsid w:val="28455253"/>
    <w:rsid w:val="28551971"/>
    <w:rsid w:val="285B1C53"/>
    <w:rsid w:val="28730988"/>
    <w:rsid w:val="28834C9E"/>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D417DA"/>
    <w:rsid w:val="2B2B6F28"/>
    <w:rsid w:val="2B3773EC"/>
    <w:rsid w:val="2B437463"/>
    <w:rsid w:val="2B533CC4"/>
    <w:rsid w:val="2B60427F"/>
    <w:rsid w:val="2B67536E"/>
    <w:rsid w:val="2B7807EE"/>
    <w:rsid w:val="2B7E48FF"/>
    <w:rsid w:val="2B8423ED"/>
    <w:rsid w:val="2B88437A"/>
    <w:rsid w:val="2BBF00EC"/>
    <w:rsid w:val="2BC37CFD"/>
    <w:rsid w:val="2BD5237F"/>
    <w:rsid w:val="2BE536CE"/>
    <w:rsid w:val="2BE758D9"/>
    <w:rsid w:val="2BFD3F10"/>
    <w:rsid w:val="2BFD75A0"/>
    <w:rsid w:val="2C09049E"/>
    <w:rsid w:val="2C0A653C"/>
    <w:rsid w:val="2C191F85"/>
    <w:rsid w:val="2C593CC6"/>
    <w:rsid w:val="2CE82D6F"/>
    <w:rsid w:val="2D0D2D89"/>
    <w:rsid w:val="2D113745"/>
    <w:rsid w:val="2D1760D1"/>
    <w:rsid w:val="2D2E2C0D"/>
    <w:rsid w:val="2D343236"/>
    <w:rsid w:val="2DCC173F"/>
    <w:rsid w:val="2DD15014"/>
    <w:rsid w:val="2DDF576E"/>
    <w:rsid w:val="2DF72DE4"/>
    <w:rsid w:val="2E0220AF"/>
    <w:rsid w:val="2E4B082A"/>
    <w:rsid w:val="2E563BF7"/>
    <w:rsid w:val="2E5D4E86"/>
    <w:rsid w:val="2E5D790B"/>
    <w:rsid w:val="2E786212"/>
    <w:rsid w:val="2E901BAC"/>
    <w:rsid w:val="2E9A3C18"/>
    <w:rsid w:val="2E9B1B40"/>
    <w:rsid w:val="2EBB0FEE"/>
    <w:rsid w:val="2EC63002"/>
    <w:rsid w:val="2ECD5874"/>
    <w:rsid w:val="2ED54CB2"/>
    <w:rsid w:val="2F0A6B38"/>
    <w:rsid w:val="2F787B90"/>
    <w:rsid w:val="2F946CCB"/>
    <w:rsid w:val="2FAC1422"/>
    <w:rsid w:val="2FBA2E44"/>
    <w:rsid w:val="2FD25781"/>
    <w:rsid w:val="2FDD6036"/>
    <w:rsid w:val="2FE3AD85"/>
    <w:rsid w:val="2FE75BA4"/>
    <w:rsid w:val="2FEA2B1B"/>
    <w:rsid w:val="2FFD7934"/>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7576"/>
    <w:rsid w:val="32787014"/>
    <w:rsid w:val="3280441C"/>
    <w:rsid w:val="32BE5C2C"/>
    <w:rsid w:val="32E0684A"/>
    <w:rsid w:val="32FB6478"/>
    <w:rsid w:val="33263B3F"/>
    <w:rsid w:val="33364476"/>
    <w:rsid w:val="334E24B3"/>
    <w:rsid w:val="336963EB"/>
    <w:rsid w:val="33816EEB"/>
    <w:rsid w:val="339E473B"/>
    <w:rsid w:val="33E34843"/>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F410B"/>
    <w:rsid w:val="37494BFA"/>
    <w:rsid w:val="379E5600"/>
    <w:rsid w:val="37EE7094"/>
    <w:rsid w:val="38296C89"/>
    <w:rsid w:val="383002EB"/>
    <w:rsid w:val="38586797"/>
    <w:rsid w:val="385B38D6"/>
    <w:rsid w:val="38BC0149"/>
    <w:rsid w:val="38C53688"/>
    <w:rsid w:val="38CB553C"/>
    <w:rsid w:val="38D87D1C"/>
    <w:rsid w:val="38E91A6B"/>
    <w:rsid w:val="39083C99"/>
    <w:rsid w:val="392F2DC1"/>
    <w:rsid w:val="395064D7"/>
    <w:rsid w:val="395C1D0A"/>
    <w:rsid w:val="39636459"/>
    <w:rsid w:val="396B7F6C"/>
    <w:rsid w:val="39B417A9"/>
    <w:rsid w:val="39EC21A3"/>
    <w:rsid w:val="39EC77BE"/>
    <w:rsid w:val="39F570DC"/>
    <w:rsid w:val="39FB85A2"/>
    <w:rsid w:val="39FC5695"/>
    <w:rsid w:val="3A006D8E"/>
    <w:rsid w:val="3A3651E5"/>
    <w:rsid w:val="3A744481"/>
    <w:rsid w:val="3A8C7BEF"/>
    <w:rsid w:val="3A906246"/>
    <w:rsid w:val="3AC86541"/>
    <w:rsid w:val="3AEE7494"/>
    <w:rsid w:val="3AEFA2CB"/>
    <w:rsid w:val="3B20012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496E51"/>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46C23"/>
    <w:rsid w:val="3E8F51FE"/>
    <w:rsid w:val="3E926F87"/>
    <w:rsid w:val="3E9A59DE"/>
    <w:rsid w:val="3EAF4836"/>
    <w:rsid w:val="3EB516C8"/>
    <w:rsid w:val="3EC33DFA"/>
    <w:rsid w:val="3F060E16"/>
    <w:rsid w:val="3F1572A8"/>
    <w:rsid w:val="3F1D1096"/>
    <w:rsid w:val="3F2F0234"/>
    <w:rsid w:val="3F6363FE"/>
    <w:rsid w:val="3F756B8F"/>
    <w:rsid w:val="3F95482B"/>
    <w:rsid w:val="3FDF382F"/>
    <w:rsid w:val="3FFD06FB"/>
    <w:rsid w:val="3FFED42C"/>
    <w:rsid w:val="4019356B"/>
    <w:rsid w:val="40216CDA"/>
    <w:rsid w:val="40592157"/>
    <w:rsid w:val="405A5E8D"/>
    <w:rsid w:val="406E1CAE"/>
    <w:rsid w:val="40A0133A"/>
    <w:rsid w:val="40C31A53"/>
    <w:rsid w:val="40FF545D"/>
    <w:rsid w:val="410067C8"/>
    <w:rsid w:val="4135050E"/>
    <w:rsid w:val="415E4A59"/>
    <w:rsid w:val="418F0D2A"/>
    <w:rsid w:val="419608F0"/>
    <w:rsid w:val="41C932D5"/>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59254A"/>
    <w:rsid w:val="465B0637"/>
    <w:rsid w:val="465E3F0D"/>
    <w:rsid w:val="466A16E6"/>
    <w:rsid w:val="466D7A8A"/>
    <w:rsid w:val="468046CC"/>
    <w:rsid w:val="468937D3"/>
    <w:rsid w:val="46893F2B"/>
    <w:rsid w:val="46C4686E"/>
    <w:rsid w:val="47212840"/>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B82D0F"/>
    <w:rsid w:val="4ACF06B0"/>
    <w:rsid w:val="4AEB7664"/>
    <w:rsid w:val="4AEE3B39"/>
    <w:rsid w:val="4AFD7C19"/>
    <w:rsid w:val="4B0567D1"/>
    <w:rsid w:val="4B236AAE"/>
    <w:rsid w:val="4B413B26"/>
    <w:rsid w:val="4B707271"/>
    <w:rsid w:val="4B8B7843"/>
    <w:rsid w:val="4B9739F7"/>
    <w:rsid w:val="4BEE2503"/>
    <w:rsid w:val="4C245A30"/>
    <w:rsid w:val="4C6F33EC"/>
    <w:rsid w:val="4C7A2396"/>
    <w:rsid w:val="4CAF7C99"/>
    <w:rsid w:val="4CB6685F"/>
    <w:rsid w:val="4CC367FE"/>
    <w:rsid w:val="4CE41D71"/>
    <w:rsid w:val="4CE8BBA5"/>
    <w:rsid w:val="4CF13E12"/>
    <w:rsid w:val="4CF9B713"/>
    <w:rsid w:val="4D077F3C"/>
    <w:rsid w:val="4D123355"/>
    <w:rsid w:val="4D2A3B31"/>
    <w:rsid w:val="4D312C52"/>
    <w:rsid w:val="4D5A5C7A"/>
    <w:rsid w:val="4D7B268D"/>
    <w:rsid w:val="4D905305"/>
    <w:rsid w:val="4D956AE3"/>
    <w:rsid w:val="4D964A72"/>
    <w:rsid w:val="4D9C1254"/>
    <w:rsid w:val="4DA150FB"/>
    <w:rsid w:val="4DE13A88"/>
    <w:rsid w:val="4E141D71"/>
    <w:rsid w:val="4E5F037E"/>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0E5828"/>
    <w:rsid w:val="511157AB"/>
    <w:rsid w:val="5142540C"/>
    <w:rsid w:val="51497F84"/>
    <w:rsid w:val="518832C8"/>
    <w:rsid w:val="51A0432A"/>
    <w:rsid w:val="51A86090"/>
    <w:rsid w:val="51B7396D"/>
    <w:rsid w:val="51BB1D18"/>
    <w:rsid w:val="51DC0DF8"/>
    <w:rsid w:val="52024073"/>
    <w:rsid w:val="52287B99"/>
    <w:rsid w:val="522E4CC3"/>
    <w:rsid w:val="5244713B"/>
    <w:rsid w:val="52615633"/>
    <w:rsid w:val="528172AA"/>
    <w:rsid w:val="52977FD4"/>
    <w:rsid w:val="52A25790"/>
    <w:rsid w:val="52A91A30"/>
    <w:rsid w:val="52A96B6F"/>
    <w:rsid w:val="52B45975"/>
    <w:rsid w:val="52BF7E2A"/>
    <w:rsid w:val="52D94AA4"/>
    <w:rsid w:val="52E72CC5"/>
    <w:rsid w:val="52EA3A62"/>
    <w:rsid w:val="52F50BB8"/>
    <w:rsid w:val="53097272"/>
    <w:rsid w:val="53544462"/>
    <w:rsid w:val="536C61AC"/>
    <w:rsid w:val="5397158E"/>
    <w:rsid w:val="539A0F3A"/>
    <w:rsid w:val="53AB6900"/>
    <w:rsid w:val="53F1AB90"/>
    <w:rsid w:val="54013861"/>
    <w:rsid w:val="540655C5"/>
    <w:rsid w:val="54142D03"/>
    <w:rsid w:val="54487265"/>
    <w:rsid w:val="544D6070"/>
    <w:rsid w:val="545509EE"/>
    <w:rsid w:val="54605E1E"/>
    <w:rsid w:val="549C661D"/>
    <w:rsid w:val="54B3506A"/>
    <w:rsid w:val="54BD3FB5"/>
    <w:rsid w:val="54CA0D16"/>
    <w:rsid w:val="54D67D81"/>
    <w:rsid w:val="54DD4057"/>
    <w:rsid w:val="54E7490F"/>
    <w:rsid w:val="54F31849"/>
    <w:rsid w:val="550764A4"/>
    <w:rsid w:val="550B2BF6"/>
    <w:rsid w:val="55214EB5"/>
    <w:rsid w:val="55344AA7"/>
    <w:rsid w:val="55364EFD"/>
    <w:rsid w:val="555D4828"/>
    <w:rsid w:val="557A4C8B"/>
    <w:rsid w:val="558931E1"/>
    <w:rsid w:val="55923347"/>
    <w:rsid w:val="55925180"/>
    <w:rsid w:val="55983B1B"/>
    <w:rsid w:val="559C3AF6"/>
    <w:rsid w:val="55A8376B"/>
    <w:rsid w:val="55B11B72"/>
    <w:rsid w:val="55BDB546"/>
    <w:rsid w:val="55D65B74"/>
    <w:rsid w:val="55DC29B6"/>
    <w:rsid w:val="55DD4241"/>
    <w:rsid w:val="55F53E91"/>
    <w:rsid w:val="55FD5A4B"/>
    <w:rsid w:val="563A7B9E"/>
    <w:rsid w:val="56455396"/>
    <w:rsid w:val="56627324"/>
    <w:rsid w:val="566B6D1E"/>
    <w:rsid w:val="56BD397C"/>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BC7E8C"/>
    <w:rsid w:val="58E363A9"/>
    <w:rsid w:val="58EF1411"/>
    <w:rsid w:val="5943778F"/>
    <w:rsid w:val="595E1678"/>
    <w:rsid w:val="596D5BD4"/>
    <w:rsid w:val="596F2BE8"/>
    <w:rsid w:val="597E3DD8"/>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C35E7"/>
    <w:rsid w:val="5ADE2721"/>
    <w:rsid w:val="5AEC1644"/>
    <w:rsid w:val="5AF34ABD"/>
    <w:rsid w:val="5B2E1A1D"/>
    <w:rsid w:val="5B843A1C"/>
    <w:rsid w:val="5B873E3F"/>
    <w:rsid w:val="5BA65021"/>
    <w:rsid w:val="5BAD05AB"/>
    <w:rsid w:val="5BEB86D5"/>
    <w:rsid w:val="5C02690E"/>
    <w:rsid w:val="5C196DA7"/>
    <w:rsid w:val="5C2A048C"/>
    <w:rsid w:val="5C373B72"/>
    <w:rsid w:val="5C80234E"/>
    <w:rsid w:val="5C8A680C"/>
    <w:rsid w:val="5C9AE78D"/>
    <w:rsid w:val="5CBE327B"/>
    <w:rsid w:val="5CD6289B"/>
    <w:rsid w:val="5CF561F6"/>
    <w:rsid w:val="5CF8569A"/>
    <w:rsid w:val="5D0C4701"/>
    <w:rsid w:val="5D0F0395"/>
    <w:rsid w:val="5D221076"/>
    <w:rsid w:val="5D3203A7"/>
    <w:rsid w:val="5D397964"/>
    <w:rsid w:val="5D4A2BDD"/>
    <w:rsid w:val="5D5A391C"/>
    <w:rsid w:val="5D5F10C0"/>
    <w:rsid w:val="5D891B7B"/>
    <w:rsid w:val="5DAD38EE"/>
    <w:rsid w:val="5DB87CC4"/>
    <w:rsid w:val="5DF9688E"/>
    <w:rsid w:val="5E006862"/>
    <w:rsid w:val="5E0207B9"/>
    <w:rsid w:val="5E1834A1"/>
    <w:rsid w:val="5E1E37E3"/>
    <w:rsid w:val="5E261785"/>
    <w:rsid w:val="5E2C5875"/>
    <w:rsid w:val="5E335564"/>
    <w:rsid w:val="5E4A7017"/>
    <w:rsid w:val="5E552BBA"/>
    <w:rsid w:val="5E611C10"/>
    <w:rsid w:val="5EC512D3"/>
    <w:rsid w:val="5EE42BBD"/>
    <w:rsid w:val="5EEF148A"/>
    <w:rsid w:val="5EFC7377"/>
    <w:rsid w:val="5F06174D"/>
    <w:rsid w:val="5F083003"/>
    <w:rsid w:val="5F2149AE"/>
    <w:rsid w:val="5F3A3602"/>
    <w:rsid w:val="5F3D4288"/>
    <w:rsid w:val="5F6277C6"/>
    <w:rsid w:val="5F6D0B1D"/>
    <w:rsid w:val="5F6E0BB6"/>
    <w:rsid w:val="5F7511AD"/>
    <w:rsid w:val="5F7E0ECC"/>
    <w:rsid w:val="5F852DFD"/>
    <w:rsid w:val="5F8B79B9"/>
    <w:rsid w:val="5F8D0B82"/>
    <w:rsid w:val="5F992C52"/>
    <w:rsid w:val="5FB567E4"/>
    <w:rsid w:val="5FBF5D05"/>
    <w:rsid w:val="5FCC5339"/>
    <w:rsid w:val="5FE1D099"/>
    <w:rsid w:val="5FE34A5B"/>
    <w:rsid w:val="5FE3D35B"/>
    <w:rsid w:val="5FE52E8B"/>
    <w:rsid w:val="5FFE1E36"/>
    <w:rsid w:val="5FFF3B45"/>
    <w:rsid w:val="60232584"/>
    <w:rsid w:val="602F4685"/>
    <w:rsid w:val="6071772D"/>
    <w:rsid w:val="607330CE"/>
    <w:rsid w:val="60825176"/>
    <w:rsid w:val="608A5EC3"/>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E423B8"/>
    <w:rsid w:val="63E91153"/>
    <w:rsid w:val="63F303BE"/>
    <w:rsid w:val="64055776"/>
    <w:rsid w:val="64130209"/>
    <w:rsid w:val="64240056"/>
    <w:rsid w:val="643E143A"/>
    <w:rsid w:val="64704C73"/>
    <w:rsid w:val="648B6EEF"/>
    <w:rsid w:val="6494748A"/>
    <w:rsid w:val="64C158BF"/>
    <w:rsid w:val="64C31541"/>
    <w:rsid w:val="64CE2EAA"/>
    <w:rsid w:val="64F25582"/>
    <w:rsid w:val="650054DB"/>
    <w:rsid w:val="653C3090"/>
    <w:rsid w:val="65413751"/>
    <w:rsid w:val="65424593"/>
    <w:rsid w:val="65457BCE"/>
    <w:rsid w:val="65680E46"/>
    <w:rsid w:val="656A4F30"/>
    <w:rsid w:val="65807614"/>
    <w:rsid w:val="65854376"/>
    <w:rsid w:val="658767BE"/>
    <w:rsid w:val="65892531"/>
    <w:rsid w:val="65A90B99"/>
    <w:rsid w:val="66195831"/>
    <w:rsid w:val="66240220"/>
    <w:rsid w:val="662A4220"/>
    <w:rsid w:val="662E75B1"/>
    <w:rsid w:val="66342C2E"/>
    <w:rsid w:val="663E784C"/>
    <w:rsid w:val="664D7777"/>
    <w:rsid w:val="668B6A45"/>
    <w:rsid w:val="67083BC9"/>
    <w:rsid w:val="67136C12"/>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45594"/>
    <w:rsid w:val="68551F4F"/>
    <w:rsid w:val="687C10C9"/>
    <w:rsid w:val="68840C16"/>
    <w:rsid w:val="68876EFB"/>
    <w:rsid w:val="68880F3A"/>
    <w:rsid w:val="68884654"/>
    <w:rsid w:val="68905410"/>
    <w:rsid w:val="689F444F"/>
    <w:rsid w:val="68B96DBB"/>
    <w:rsid w:val="68CA2805"/>
    <w:rsid w:val="68E937A3"/>
    <w:rsid w:val="68EB5128"/>
    <w:rsid w:val="69256AF4"/>
    <w:rsid w:val="69274C15"/>
    <w:rsid w:val="693E15D3"/>
    <w:rsid w:val="694766FF"/>
    <w:rsid w:val="69627681"/>
    <w:rsid w:val="696C0678"/>
    <w:rsid w:val="6977531D"/>
    <w:rsid w:val="69CC2BFF"/>
    <w:rsid w:val="69FD55B8"/>
    <w:rsid w:val="6A0B1C62"/>
    <w:rsid w:val="6A0F1C96"/>
    <w:rsid w:val="6A2406C8"/>
    <w:rsid w:val="6A432653"/>
    <w:rsid w:val="6A6A3676"/>
    <w:rsid w:val="6AA85FBD"/>
    <w:rsid w:val="6ABE6E95"/>
    <w:rsid w:val="6ACFA097"/>
    <w:rsid w:val="6ADE0BD1"/>
    <w:rsid w:val="6AE96859"/>
    <w:rsid w:val="6AFF5CBC"/>
    <w:rsid w:val="6B0A0C0B"/>
    <w:rsid w:val="6B147746"/>
    <w:rsid w:val="6B24787C"/>
    <w:rsid w:val="6B5323C6"/>
    <w:rsid w:val="6B573233"/>
    <w:rsid w:val="6B5B6274"/>
    <w:rsid w:val="6B935D53"/>
    <w:rsid w:val="6BA75562"/>
    <w:rsid w:val="6BB86BC8"/>
    <w:rsid w:val="6BF52E48"/>
    <w:rsid w:val="6C196F71"/>
    <w:rsid w:val="6C226FCB"/>
    <w:rsid w:val="6C31226F"/>
    <w:rsid w:val="6C552F0B"/>
    <w:rsid w:val="6C8C67B7"/>
    <w:rsid w:val="6C9D744C"/>
    <w:rsid w:val="6D167928"/>
    <w:rsid w:val="6D26299B"/>
    <w:rsid w:val="6D437B25"/>
    <w:rsid w:val="6D4772EC"/>
    <w:rsid w:val="6D9078AF"/>
    <w:rsid w:val="6DAA3FEF"/>
    <w:rsid w:val="6DC0172B"/>
    <w:rsid w:val="6DCB690C"/>
    <w:rsid w:val="6DD41A5B"/>
    <w:rsid w:val="6DDF65AF"/>
    <w:rsid w:val="6DF43C2E"/>
    <w:rsid w:val="6DF51CA3"/>
    <w:rsid w:val="6DFB3E7B"/>
    <w:rsid w:val="6E2600AE"/>
    <w:rsid w:val="6E364F94"/>
    <w:rsid w:val="6E3B1170"/>
    <w:rsid w:val="6E8335BD"/>
    <w:rsid w:val="6E8E12EF"/>
    <w:rsid w:val="6E972936"/>
    <w:rsid w:val="6EC9384B"/>
    <w:rsid w:val="6ECE2AFB"/>
    <w:rsid w:val="6ED446C5"/>
    <w:rsid w:val="6ED694B0"/>
    <w:rsid w:val="6EEF6A26"/>
    <w:rsid w:val="6EF7272E"/>
    <w:rsid w:val="6EFF78DB"/>
    <w:rsid w:val="6F272131"/>
    <w:rsid w:val="6F2A7D94"/>
    <w:rsid w:val="6F3947D7"/>
    <w:rsid w:val="6F78316E"/>
    <w:rsid w:val="6F7B2B20"/>
    <w:rsid w:val="6F8331F1"/>
    <w:rsid w:val="6F9A118C"/>
    <w:rsid w:val="6FAE1A09"/>
    <w:rsid w:val="6FD75BF8"/>
    <w:rsid w:val="6FDC0ED4"/>
    <w:rsid w:val="6FDD33E0"/>
    <w:rsid w:val="6FF33BE4"/>
    <w:rsid w:val="70197FB8"/>
    <w:rsid w:val="7064131C"/>
    <w:rsid w:val="70743A20"/>
    <w:rsid w:val="707723D0"/>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2F43488"/>
    <w:rsid w:val="73176DC9"/>
    <w:rsid w:val="735AEACA"/>
    <w:rsid w:val="73911F99"/>
    <w:rsid w:val="73981CBB"/>
    <w:rsid w:val="739A7D73"/>
    <w:rsid w:val="73C0646E"/>
    <w:rsid w:val="73DCF44D"/>
    <w:rsid w:val="73E50FF7"/>
    <w:rsid w:val="742222F5"/>
    <w:rsid w:val="74476126"/>
    <w:rsid w:val="74511C71"/>
    <w:rsid w:val="74706664"/>
    <w:rsid w:val="747F3682"/>
    <w:rsid w:val="748D684E"/>
    <w:rsid w:val="749C4185"/>
    <w:rsid w:val="74D42214"/>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7E2371"/>
    <w:rsid w:val="767FB669"/>
    <w:rsid w:val="76826699"/>
    <w:rsid w:val="76B441CE"/>
    <w:rsid w:val="76BA5DFE"/>
    <w:rsid w:val="76C87133"/>
    <w:rsid w:val="76CD08D5"/>
    <w:rsid w:val="76D1183A"/>
    <w:rsid w:val="76DB4B92"/>
    <w:rsid w:val="76E36CB4"/>
    <w:rsid w:val="76E539FB"/>
    <w:rsid w:val="77052AA4"/>
    <w:rsid w:val="77136511"/>
    <w:rsid w:val="77323074"/>
    <w:rsid w:val="77340A39"/>
    <w:rsid w:val="77351FD0"/>
    <w:rsid w:val="77472422"/>
    <w:rsid w:val="775FDCB1"/>
    <w:rsid w:val="775FEBCD"/>
    <w:rsid w:val="776F3B37"/>
    <w:rsid w:val="777B3E31"/>
    <w:rsid w:val="777F31F2"/>
    <w:rsid w:val="77AB7BDA"/>
    <w:rsid w:val="77D1700D"/>
    <w:rsid w:val="77D53B2E"/>
    <w:rsid w:val="77D714EA"/>
    <w:rsid w:val="77E5297D"/>
    <w:rsid w:val="77EC04CC"/>
    <w:rsid w:val="77FFD6F6"/>
    <w:rsid w:val="78024D8C"/>
    <w:rsid w:val="7852068B"/>
    <w:rsid w:val="78775729"/>
    <w:rsid w:val="787A05B6"/>
    <w:rsid w:val="78A42DB0"/>
    <w:rsid w:val="78A656AB"/>
    <w:rsid w:val="78B2245C"/>
    <w:rsid w:val="78E172CC"/>
    <w:rsid w:val="78EA1D1F"/>
    <w:rsid w:val="7904172F"/>
    <w:rsid w:val="790463BB"/>
    <w:rsid w:val="790F7E27"/>
    <w:rsid w:val="792312B5"/>
    <w:rsid w:val="792A231A"/>
    <w:rsid w:val="79316829"/>
    <w:rsid w:val="794E7636"/>
    <w:rsid w:val="79660E24"/>
    <w:rsid w:val="7967694A"/>
    <w:rsid w:val="797E66A9"/>
    <w:rsid w:val="798860EE"/>
    <w:rsid w:val="79A97383"/>
    <w:rsid w:val="79E27E8B"/>
    <w:rsid w:val="79F64450"/>
    <w:rsid w:val="79F850CE"/>
    <w:rsid w:val="79FD443C"/>
    <w:rsid w:val="7A13608D"/>
    <w:rsid w:val="7A1D1975"/>
    <w:rsid w:val="7A3937AB"/>
    <w:rsid w:val="7A3E5150"/>
    <w:rsid w:val="7A4670D6"/>
    <w:rsid w:val="7A534B63"/>
    <w:rsid w:val="7A615382"/>
    <w:rsid w:val="7A67303B"/>
    <w:rsid w:val="7A972EA0"/>
    <w:rsid w:val="7AA31C03"/>
    <w:rsid w:val="7AAB1D04"/>
    <w:rsid w:val="7ABA4368"/>
    <w:rsid w:val="7ACB026F"/>
    <w:rsid w:val="7AD05746"/>
    <w:rsid w:val="7AD07682"/>
    <w:rsid w:val="7AD1367A"/>
    <w:rsid w:val="7AD22BDC"/>
    <w:rsid w:val="7B12733B"/>
    <w:rsid w:val="7B257FFD"/>
    <w:rsid w:val="7B343476"/>
    <w:rsid w:val="7B3A4069"/>
    <w:rsid w:val="7B502316"/>
    <w:rsid w:val="7B5A2978"/>
    <w:rsid w:val="7B5A7E4C"/>
    <w:rsid w:val="7B667AF9"/>
    <w:rsid w:val="7B7468F8"/>
    <w:rsid w:val="7BEE0103"/>
    <w:rsid w:val="7BFF0BD3"/>
    <w:rsid w:val="7C0A0FE4"/>
    <w:rsid w:val="7C254906"/>
    <w:rsid w:val="7C440FFF"/>
    <w:rsid w:val="7C590818"/>
    <w:rsid w:val="7C7C10F6"/>
    <w:rsid w:val="7C853BEA"/>
    <w:rsid w:val="7C881368"/>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AE4B47"/>
    <w:rsid w:val="7DB57A34"/>
    <w:rsid w:val="7DE15754"/>
    <w:rsid w:val="7DE60973"/>
    <w:rsid w:val="7DEF0916"/>
    <w:rsid w:val="7DFB432E"/>
    <w:rsid w:val="7E1E5218"/>
    <w:rsid w:val="7E9A4E1F"/>
    <w:rsid w:val="7EA7723A"/>
    <w:rsid w:val="7EF56FBB"/>
    <w:rsid w:val="7EFF24B9"/>
    <w:rsid w:val="7F0768EB"/>
    <w:rsid w:val="7F0A3A81"/>
    <w:rsid w:val="7F143BEC"/>
    <w:rsid w:val="7F39BB2C"/>
    <w:rsid w:val="7F401C7A"/>
    <w:rsid w:val="7F4852A5"/>
    <w:rsid w:val="7F5B0127"/>
    <w:rsid w:val="7F715AF2"/>
    <w:rsid w:val="7F7A15FD"/>
    <w:rsid w:val="7F7BD085"/>
    <w:rsid w:val="7F7E7357"/>
    <w:rsid w:val="7F886E69"/>
    <w:rsid w:val="7F8FE6F6"/>
    <w:rsid w:val="7FA1628F"/>
    <w:rsid w:val="7FAF5D85"/>
    <w:rsid w:val="7FBA2CB8"/>
    <w:rsid w:val="7FBF056B"/>
    <w:rsid w:val="7FEBD86B"/>
    <w:rsid w:val="7FFF2985"/>
    <w:rsid w:val="7FFFD7C9"/>
    <w:rsid w:val="847C2306"/>
    <w:rsid w:val="99F7FEF2"/>
    <w:rsid w:val="9BDEDDD4"/>
    <w:rsid w:val="9FFB9FD4"/>
    <w:rsid w:val="A37753F1"/>
    <w:rsid w:val="A7BACF6B"/>
    <w:rsid w:val="A7FF59E2"/>
    <w:rsid w:val="AF8BCC54"/>
    <w:rsid w:val="B7FBFAF5"/>
    <w:rsid w:val="B8FE79B0"/>
    <w:rsid w:val="B9FDAA30"/>
    <w:rsid w:val="BB6DDE3F"/>
    <w:rsid w:val="BB7FA927"/>
    <w:rsid w:val="BD97FC7A"/>
    <w:rsid w:val="BECB17A3"/>
    <w:rsid w:val="BEE36D67"/>
    <w:rsid w:val="BEFFC298"/>
    <w:rsid w:val="BF5B0BDB"/>
    <w:rsid w:val="BFFDF825"/>
    <w:rsid w:val="C706662E"/>
    <w:rsid w:val="C72E52CE"/>
    <w:rsid w:val="C7BCF733"/>
    <w:rsid w:val="CABCB0F0"/>
    <w:rsid w:val="CE71E742"/>
    <w:rsid w:val="CF6BB66F"/>
    <w:rsid w:val="CFD70009"/>
    <w:rsid w:val="CFF73AB9"/>
    <w:rsid w:val="D39B02C7"/>
    <w:rsid w:val="D7DBDCAD"/>
    <w:rsid w:val="D9BB6662"/>
    <w:rsid w:val="DA63B1BB"/>
    <w:rsid w:val="DBE186AD"/>
    <w:rsid w:val="DFBF5EC7"/>
    <w:rsid w:val="DFBFD90F"/>
    <w:rsid w:val="E1FDC1E3"/>
    <w:rsid w:val="E9DFDBD2"/>
    <w:rsid w:val="EAFD4970"/>
    <w:rsid w:val="EBB60580"/>
    <w:rsid w:val="ED7F3F49"/>
    <w:rsid w:val="EDED32A7"/>
    <w:rsid w:val="EE7782E1"/>
    <w:rsid w:val="EEEB1048"/>
    <w:rsid w:val="EF8F910A"/>
    <w:rsid w:val="F36DEEFB"/>
    <w:rsid w:val="F3F745B5"/>
    <w:rsid w:val="F5FB5EFD"/>
    <w:rsid w:val="F5FFD31F"/>
    <w:rsid w:val="F6BFD523"/>
    <w:rsid w:val="F74DEC2B"/>
    <w:rsid w:val="F7AF3EC8"/>
    <w:rsid w:val="F7FD05D8"/>
    <w:rsid w:val="F8BFD1FC"/>
    <w:rsid w:val="F8F7C015"/>
    <w:rsid w:val="F9132960"/>
    <w:rsid w:val="FB8FB0BB"/>
    <w:rsid w:val="FBDE1AAA"/>
    <w:rsid w:val="FBE63981"/>
    <w:rsid w:val="FBEE94B7"/>
    <w:rsid w:val="FBF2253A"/>
    <w:rsid w:val="FD3FBDB9"/>
    <w:rsid w:val="FD6B5B59"/>
    <w:rsid w:val="FD79BA57"/>
    <w:rsid w:val="FDAF060E"/>
    <w:rsid w:val="FDDF1E79"/>
    <w:rsid w:val="FDF7B96B"/>
    <w:rsid w:val="FE23631B"/>
    <w:rsid w:val="FED72F75"/>
    <w:rsid w:val="FEEE4FE3"/>
    <w:rsid w:val="FEFF3B9C"/>
    <w:rsid w:val="FF772D98"/>
    <w:rsid w:val="FFAE8307"/>
    <w:rsid w:val="FFBF4C05"/>
    <w:rsid w:val="FFC52006"/>
    <w:rsid w:val="FFD7DE39"/>
    <w:rsid w:val="FFDEEE6D"/>
    <w:rsid w:val="FFEC929E"/>
    <w:rsid w:val="FFEF22EC"/>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toa heading"/>
    <w:basedOn w:val="1"/>
    <w:next w:val="1"/>
    <w:qFormat/>
    <w:uiPriority w:val="0"/>
    <w:pPr>
      <w:spacing w:before="120" w:line="360" w:lineRule="auto"/>
    </w:pPr>
    <w:rPr>
      <w:rFonts w:ascii="Arial" w:hAnsi="Arial" w:eastAsia="楷体_GB2312" w:cs="Arial"/>
      <w:sz w:val="24"/>
    </w:r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6"/>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70"/>
    <w:qFormat/>
    <w:uiPriority w:val="0"/>
    <w:pPr>
      <w:spacing w:line="480" w:lineRule="exact"/>
      <w:ind w:firstLine="480" w:firstLineChars="200"/>
    </w:pPr>
    <w:rPr>
      <w:rFonts w:ascii="宋体" w:hAnsi="宋体"/>
      <w:sz w:val="24"/>
    </w:rPr>
  </w:style>
  <w:style w:type="paragraph" w:styleId="28">
    <w:name w:val="Body Text First Indent 2"/>
    <w:basedOn w:val="27"/>
    <w:next w:val="1"/>
    <w:link w:val="12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1">
    <w:name w:val="endnote text"/>
    <w:basedOn w:val="1"/>
    <w:link w:val="936"/>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8"/>
    <w:qFormat/>
    <w:uiPriority w:val="99"/>
    <w:pPr>
      <w:tabs>
        <w:tab w:val="center" w:pos="4153"/>
        <w:tab w:val="right" w:pos="8306"/>
      </w:tabs>
      <w:snapToGrid w:val="0"/>
      <w:jc w:val="left"/>
    </w:pPr>
    <w:rPr>
      <w:sz w:val="18"/>
      <w:szCs w:val="18"/>
    </w:rPr>
  </w:style>
  <w:style w:type="paragraph" w:styleId="44">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qFormat/>
    <w:uiPriority w:val="0"/>
    <w:rPr>
      <w:i/>
      <w:iCs/>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Keyboard"/>
    <w:basedOn w:val="70"/>
    <w:qFormat/>
    <w:uiPriority w:val="0"/>
    <w:rPr>
      <w:rFonts w:ascii="Segoe UI" w:hAnsi="Segoe UI" w:eastAsia="Segoe UI" w:cs="Segoe UI"/>
      <w:sz w:val="21"/>
      <w:szCs w:val="21"/>
    </w:rPr>
  </w:style>
  <w:style w:type="character" w:styleId="82">
    <w:name w:val="HTML Sample"/>
    <w:basedOn w:val="70"/>
    <w:qFormat/>
    <w:uiPriority w:val="0"/>
    <w:rPr>
      <w:rFonts w:hint="default" w:ascii="Segoe UI" w:hAnsi="Segoe UI" w:eastAsia="Segoe UI" w:cs="Segoe UI"/>
      <w:sz w:val="21"/>
      <w:szCs w:val="21"/>
    </w:rPr>
  </w:style>
  <w:style w:type="paragraph" w:customStyle="1" w:styleId="83">
    <w:name w:val="_Style 3"/>
    <w:basedOn w:val="1"/>
    <w:qFormat/>
    <w:uiPriority w:val="0"/>
    <w:pPr>
      <w:adjustRightInd/>
      <w:ind w:firstLine="420" w:firstLineChars="200"/>
    </w:pPr>
    <w:rPr>
      <w:rFonts w:eastAsia="仿宋_GB2312"/>
      <w:sz w:val="28"/>
    </w:rPr>
  </w:style>
  <w:style w:type="paragraph" w:customStyle="1" w:styleId="84">
    <w:name w:val="样式 标题 1 + 四号 加粗"/>
    <w:basedOn w:val="3"/>
    <w:qFormat/>
    <w:uiPriority w:val="0"/>
    <w:pPr>
      <w:tabs>
        <w:tab w:val="clear" w:pos="432"/>
      </w:tabs>
      <w:adjustRightInd/>
      <w:ind w:left="0" w:firstLine="0"/>
    </w:pPr>
    <w:rPr>
      <w:rFonts w:eastAsia="黑体"/>
    </w:rPr>
  </w:style>
  <w:style w:type="paragraph" w:customStyle="1" w:styleId="85">
    <w:name w:val="[Normal]"/>
    <w:qFormat/>
    <w:uiPriority w:val="0"/>
    <w:rPr>
      <w:rFonts w:ascii="宋体" w:hAnsi="宋体" w:eastAsia="宋体" w:cs="Times New Roman"/>
      <w:sz w:val="24"/>
      <w:szCs w:val="22"/>
      <w:lang w:val="zh-CN"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字符"/>
    <w:link w:val="28"/>
    <w:qFormat/>
    <w:uiPriority w:val="0"/>
    <w:rPr>
      <w:rFonts w:ascii="宋体" w:hAnsi="宋体"/>
      <w:kern w:val="2"/>
      <w:sz w:val="21"/>
      <w:szCs w:val="24"/>
    </w:rPr>
  </w:style>
  <w:style w:type="character" w:customStyle="1" w:styleId="126">
    <w:name w:val="font11"/>
    <w:basedOn w:val="70"/>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9"/>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next w:val="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表段落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40"/>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0"/>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字符"/>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3"/>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4"/>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1"/>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3"/>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_Style 468"/>
    <w:basedOn w:val="1"/>
    <w:next w:val="263"/>
    <w:qFormat/>
    <w:uiPriority w:val="99"/>
    <w:pPr>
      <w:spacing w:line="360" w:lineRule="auto"/>
      <w:ind w:firstLine="200" w:firstLineChars="200"/>
    </w:pPr>
    <w:rPr>
      <w:rFonts w:ascii="宋体" w:hAnsi="宋体"/>
      <w:kern w:val="0"/>
      <w:sz w:val="20"/>
    </w:rPr>
  </w:style>
  <w:style w:type="character" w:customStyle="1" w:styleId="969">
    <w:name w:val="ca-1"/>
    <w:qFormat/>
    <w:uiPriority w:val="0"/>
  </w:style>
  <w:style w:type="character" w:customStyle="1" w:styleId="970">
    <w:name w:val="10"/>
    <w:basedOn w:val="70"/>
    <w:qFormat/>
    <w:uiPriority w:val="0"/>
    <w:rPr>
      <w:rFonts w:hint="default" w:ascii="Calibri" w:hAnsi="Calibri" w:cs="Calibri"/>
    </w:rPr>
  </w:style>
  <w:style w:type="paragraph" w:styleId="971">
    <w:name w:val="List Paragraph"/>
    <w:basedOn w:val="1"/>
    <w:qFormat/>
    <w:uiPriority w:val="99"/>
    <w:pPr>
      <w:ind w:firstLine="420" w:firstLineChars="200"/>
    </w:pPr>
  </w:style>
  <w:style w:type="paragraph" w:customStyle="1" w:styleId="972">
    <w:name w:val="Heading5"/>
    <w:basedOn w:val="1"/>
    <w:next w:val="1"/>
    <w:qFormat/>
    <w:uiPriority w:val="0"/>
    <w:pPr>
      <w:keepNext/>
      <w:keepLines/>
      <w:spacing w:after="120"/>
      <w:textAlignment w:val="baseline"/>
    </w:pPr>
    <w:rPr>
      <w:rFonts w:eastAsia="微软雅黑"/>
      <w:b/>
      <w:bCs/>
    </w:rPr>
  </w:style>
  <w:style w:type="character" w:customStyle="1" w:styleId="973">
    <w:name w:val="hour_pm"/>
    <w:basedOn w:val="70"/>
    <w:qFormat/>
    <w:uiPriority w:val="0"/>
  </w:style>
  <w:style w:type="character" w:customStyle="1" w:styleId="974">
    <w:name w:val="hover9"/>
    <w:basedOn w:val="70"/>
    <w:qFormat/>
    <w:uiPriority w:val="0"/>
    <w:rPr>
      <w:shd w:val="clear" w:color="auto" w:fill="EEEEEE"/>
    </w:rPr>
  </w:style>
  <w:style w:type="character" w:customStyle="1" w:styleId="975">
    <w:name w:val="old"/>
    <w:basedOn w:val="70"/>
    <w:qFormat/>
    <w:uiPriority w:val="0"/>
    <w:rPr>
      <w:color w:val="999999"/>
    </w:rPr>
  </w:style>
  <w:style w:type="character" w:customStyle="1" w:styleId="976">
    <w:name w:val="hour_am"/>
    <w:basedOn w:val="70"/>
    <w:qFormat/>
    <w:uiPriority w:val="0"/>
  </w:style>
  <w:style w:type="character" w:customStyle="1" w:styleId="977">
    <w:name w:val="hover"/>
    <w:basedOn w:val="70"/>
    <w:qFormat/>
    <w:uiPriority w:val="0"/>
    <w:rPr>
      <w:shd w:val="clear" w:color="auto" w:fill="EEEEEE"/>
    </w:rPr>
  </w:style>
  <w:style w:type="character" w:customStyle="1" w:styleId="978">
    <w:name w:val="content-right_8zs401"/>
    <w:basedOn w:val="70"/>
    <w:qFormat/>
    <w:uiPriority w:val="0"/>
  </w:style>
  <w:style w:type="paragraph" w:styleId="979">
    <w:name w:val="No Spacing"/>
    <w:basedOn w:val="1"/>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38170</Words>
  <Characters>41197</Characters>
  <Lines>536</Lines>
  <Paragraphs>151</Paragraphs>
  <TotalTime>27</TotalTime>
  <ScaleCrop>false</ScaleCrop>
  <LinksUpToDate>false</LinksUpToDate>
  <CharactersWithSpaces>46509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2021-08-19T16:22:00Z</dcterms:created>
  <dc:creator>玥</dc:creator>
  <cp:lastModifiedBy>w</cp:lastModifiedBy>
  <cp:lastPrinted>2023-09-05T06:53:33Z</cp:lastPrinted>
  <dcterms:modified xsi:type="dcterms:W3CDTF">2023-09-05T06:59:11Z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C9800B51D6914C44B0B31A1FCA3002D3_13</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