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FC112">
      <w:pPr>
        <w:bidi w:val="0"/>
        <w:rPr>
          <w:rFonts w:hint="eastAsia" w:ascii="宋体" w:hAnsi="宋体" w:eastAsia="宋体" w:cs="宋体"/>
          <w:color w:val="auto"/>
          <w:highlight w:val="none"/>
          <w:lang w:eastAsia="zh-CN"/>
        </w:rPr>
      </w:pPr>
    </w:p>
    <w:p w14:paraId="76567592">
      <w:pPr>
        <w:bidi w:val="0"/>
        <w:rPr>
          <w:rFonts w:hint="eastAsia" w:ascii="宋体" w:hAnsi="宋体" w:eastAsia="宋体" w:cs="宋体"/>
          <w:color w:val="auto"/>
          <w:highlight w:val="none"/>
          <w:lang w:eastAsia="zh-CN"/>
        </w:rPr>
      </w:pPr>
    </w:p>
    <w:p w14:paraId="3D33AD4F">
      <w:pPr>
        <w:spacing w:line="336" w:lineRule="auto"/>
        <w:ind w:firstLine="482" w:firstLineChars="100"/>
        <w:contextualSpacing/>
        <w:jc w:val="center"/>
        <w:rPr>
          <w:rFonts w:hint="eastAsia" w:ascii="宋体" w:hAnsi="宋体" w:eastAsia="宋体" w:cs="宋体"/>
          <w:b/>
          <w:bCs/>
          <w:color w:val="auto"/>
          <w:sz w:val="24"/>
          <w:szCs w:val="24"/>
          <w:highlight w:val="none"/>
        </w:rPr>
      </w:pPr>
      <w:r>
        <w:rPr>
          <w:rFonts w:hint="eastAsia" w:ascii="宋体" w:hAnsi="宋体" w:cs="宋体"/>
          <w:b/>
          <w:bCs/>
          <w:color w:val="auto"/>
          <w:sz w:val="48"/>
          <w:szCs w:val="48"/>
          <w:highlight w:val="none"/>
          <w:lang w:eastAsia="zh-CN"/>
        </w:rPr>
        <w:t>嘉善县实验小学2025年度校舍常规维修</w:t>
      </w:r>
    </w:p>
    <w:p w14:paraId="41FFB591">
      <w:pPr>
        <w:spacing w:before="100" w:beforeAutospacing="1" w:after="100" w:afterAutospacing="1" w:line="276" w:lineRule="auto"/>
        <w:ind w:firstLine="241" w:firstLineChars="100"/>
        <w:jc w:val="center"/>
        <w:rPr>
          <w:rFonts w:hint="eastAsia" w:ascii="宋体" w:hAnsi="宋体" w:eastAsia="宋体" w:cs="宋体"/>
          <w:b/>
          <w:bCs/>
          <w:color w:val="auto"/>
          <w:sz w:val="24"/>
          <w:szCs w:val="24"/>
          <w:highlight w:val="none"/>
        </w:rPr>
      </w:pPr>
    </w:p>
    <w:p w14:paraId="4E3854C1">
      <w:pPr>
        <w:spacing w:before="100" w:beforeAutospacing="1" w:after="100" w:afterAutospacing="1" w:line="276" w:lineRule="auto"/>
        <w:ind w:firstLine="320" w:firstLineChars="100"/>
        <w:jc w:val="center"/>
        <w:rPr>
          <w:rFonts w:hint="eastAsia" w:ascii="宋体" w:hAnsi="宋体" w:eastAsia="宋体" w:cs="宋体"/>
          <w:b w:val="0"/>
          <w:bCs w:val="0"/>
          <w:color w:val="auto"/>
          <w:sz w:val="32"/>
          <w:szCs w:val="32"/>
          <w:highlight w:val="none"/>
        </w:rPr>
      </w:pPr>
    </w:p>
    <w:p w14:paraId="3B9A87C7">
      <w:pPr>
        <w:spacing w:before="100" w:beforeAutospacing="1" w:after="100" w:afterAutospacing="1" w:line="276" w:lineRule="auto"/>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竞争性磋商文件</w:t>
      </w:r>
    </w:p>
    <w:p w14:paraId="51D06B9E">
      <w:pPr>
        <w:snapToGrid w:val="0"/>
        <w:spacing w:before="100" w:beforeAutospacing="1" w:after="100" w:afterAutospacing="1" w:line="276" w:lineRule="auto"/>
        <w:rPr>
          <w:rFonts w:hint="eastAsia" w:ascii="宋体" w:hAnsi="宋体" w:eastAsia="宋体" w:cs="宋体"/>
          <w:color w:val="auto"/>
          <w:sz w:val="21"/>
          <w:szCs w:val="21"/>
          <w:highlight w:val="none"/>
        </w:rPr>
      </w:pPr>
    </w:p>
    <w:p w14:paraId="0473A971">
      <w:pPr>
        <w:rPr>
          <w:rFonts w:hint="eastAsia" w:ascii="宋体" w:hAnsi="宋体" w:eastAsia="宋体" w:cs="宋体"/>
          <w:color w:val="auto"/>
          <w:highlight w:val="none"/>
        </w:rPr>
      </w:pPr>
    </w:p>
    <w:p w14:paraId="06499CB9">
      <w:pPr>
        <w:pStyle w:val="12"/>
        <w:snapToGrid w:val="0"/>
        <w:spacing w:before="100" w:beforeLines="0" w:beforeAutospacing="1" w:after="100" w:afterLines="0" w:afterAutospacing="1" w:line="276" w:lineRule="auto"/>
        <w:ind w:firstLine="562" w:firstLineChars="200"/>
        <w:rPr>
          <w:rFonts w:hint="eastAsia" w:ascii="宋体" w:hAnsi="宋体" w:eastAsia="宋体" w:cs="宋体"/>
          <w:b/>
          <w:bCs/>
          <w:color w:val="auto"/>
          <w:sz w:val="28"/>
          <w:szCs w:val="28"/>
          <w:highlight w:val="none"/>
        </w:rPr>
      </w:pPr>
    </w:p>
    <w:p w14:paraId="6BB83A00">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auto"/>
          <w:sz w:val="30"/>
          <w:szCs w:val="30"/>
          <w:highlight w:val="none"/>
        </w:rPr>
      </w:pPr>
    </w:p>
    <w:p w14:paraId="08075990">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项目编号：</w:t>
      </w:r>
      <w:r>
        <w:rPr>
          <w:rFonts w:hint="eastAsia" w:ascii="宋体" w:hAnsi="宋体" w:cs="宋体"/>
          <w:b/>
          <w:bCs/>
          <w:color w:val="auto"/>
          <w:sz w:val="30"/>
          <w:szCs w:val="30"/>
          <w:highlight w:val="none"/>
          <w:lang w:eastAsia="zh-CN"/>
        </w:rPr>
        <w:t>ZHJS（CS)-2025-009</w:t>
      </w:r>
    </w:p>
    <w:p w14:paraId="47E33C0F">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项目名称：</w:t>
      </w:r>
      <w:r>
        <w:rPr>
          <w:rFonts w:hint="eastAsia" w:ascii="宋体" w:hAnsi="宋体" w:cs="宋体"/>
          <w:b/>
          <w:bCs/>
          <w:color w:val="auto"/>
          <w:sz w:val="30"/>
          <w:szCs w:val="30"/>
          <w:highlight w:val="none"/>
          <w:lang w:val="en-US" w:eastAsia="zh-CN"/>
        </w:rPr>
        <w:t>嘉善县实验小学2025年度校舍常规维修</w:t>
      </w:r>
    </w:p>
    <w:p w14:paraId="60396E8A">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采购单位：</w:t>
      </w:r>
      <w:r>
        <w:rPr>
          <w:rFonts w:hint="eastAsia" w:ascii="宋体" w:hAnsi="宋体" w:cs="宋体"/>
          <w:b/>
          <w:bCs/>
          <w:color w:val="auto"/>
          <w:sz w:val="30"/>
          <w:szCs w:val="30"/>
          <w:highlight w:val="none"/>
          <w:lang w:val="en-US" w:eastAsia="zh-CN"/>
        </w:rPr>
        <w:t>嘉善县实验小学</w:t>
      </w:r>
    </w:p>
    <w:p w14:paraId="57E116B3">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代理机构：</w:t>
      </w:r>
      <w:r>
        <w:rPr>
          <w:rFonts w:hint="eastAsia" w:ascii="宋体" w:hAnsi="宋体" w:cs="宋体"/>
          <w:b/>
          <w:bCs/>
          <w:color w:val="auto"/>
          <w:sz w:val="30"/>
          <w:szCs w:val="30"/>
          <w:highlight w:val="none"/>
          <w:lang w:eastAsia="zh-CN"/>
        </w:rPr>
        <w:t>浙江中合工程管理有限公司</w:t>
      </w:r>
    </w:p>
    <w:p w14:paraId="55B59A18">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480" w:lineRule="auto"/>
        <w:ind w:firstLine="3531" w:firstLineChars="1234"/>
        <w:textAlignment w:val="auto"/>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lang w:eastAsia="zh-CN"/>
        </w:rPr>
        <w:t>20</w:t>
      </w:r>
      <w:r>
        <w:rPr>
          <w:rFonts w:hint="eastAsia" w:ascii="宋体" w:hAnsi="宋体" w:cs="宋体"/>
          <w:b/>
          <w:bCs/>
          <w:color w:val="auto"/>
          <w:w w:val="95"/>
          <w:sz w:val="30"/>
          <w:szCs w:val="30"/>
          <w:highlight w:val="none"/>
          <w:lang w:val="en-US" w:eastAsia="zh-CN"/>
        </w:rPr>
        <w:t>25</w:t>
      </w:r>
      <w:r>
        <w:rPr>
          <w:rFonts w:hint="eastAsia" w:ascii="宋体" w:hAnsi="宋体" w:eastAsia="宋体" w:cs="宋体"/>
          <w:b/>
          <w:bCs/>
          <w:color w:val="auto"/>
          <w:w w:val="95"/>
          <w:sz w:val="30"/>
          <w:szCs w:val="30"/>
          <w:highlight w:val="none"/>
          <w:lang w:eastAsia="zh-CN"/>
        </w:rPr>
        <w:t>年</w:t>
      </w:r>
      <w:r>
        <w:rPr>
          <w:rFonts w:hint="eastAsia" w:ascii="宋体" w:hAnsi="宋体" w:eastAsia="宋体" w:cs="宋体"/>
          <w:b/>
          <w:bCs/>
          <w:color w:val="auto"/>
          <w:w w:val="95"/>
          <w:sz w:val="30"/>
          <w:szCs w:val="30"/>
          <w:highlight w:val="none"/>
          <w:lang w:val="en-US" w:eastAsia="zh-CN"/>
        </w:rPr>
        <w:t>6</w:t>
      </w:r>
      <w:r>
        <w:rPr>
          <w:rFonts w:hint="eastAsia" w:ascii="宋体" w:hAnsi="宋体" w:eastAsia="宋体" w:cs="宋体"/>
          <w:b/>
          <w:bCs/>
          <w:color w:val="auto"/>
          <w:w w:val="95"/>
          <w:sz w:val="30"/>
          <w:szCs w:val="30"/>
          <w:highlight w:val="none"/>
          <w:lang w:eastAsia="zh-CN"/>
        </w:rPr>
        <w:t>月</w:t>
      </w:r>
    </w:p>
    <w:p w14:paraId="682EF506">
      <w:pPr>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lang w:eastAsia="zh-CN"/>
        </w:rPr>
        <w:br w:type="page"/>
      </w:r>
    </w:p>
    <w:sdt>
      <w:sdtPr>
        <w:rPr>
          <w:rFonts w:hint="eastAsia" w:ascii="宋体" w:hAnsi="宋体" w:eastAsia="宋体" w:cs="宋体"/>
          <w:color w:val="auto"/>
          <w:kern w:val="2"/>
          <w:sz w:val="21"/>
          <w:szCs w:val="24"/>
          <w:highlight w:val="none"/>
          <w:lang w:val="en-US" w:eastAsia="zh-CN" w:bidi="ar-SA"/>
        </w:rPr>
        <w:id w:val="147469301"/>
        <w15:color w:val="DBDBDB"/>
        <w:docPartObj>
          <w:docPartGallery w:val="Table of Contents"/>
          <w:docPartUnique/>
        </w:docPartObj>
      </w:sdtPr>
      <w:sdtEndPr>
        <w:rPr>
          <w:rFonts w:hint="eastAsia" w:ascii="宋体" w:hAnsi="宋体" w:eastAsia="宋体" w:cs="宋体"/>
          <w:color w:val="auto"/>
          <w:kern w:val="0"/>
          <w:sz w:val="21"/>
          <w:szCs w:val="22"/>
          <w:highlight w:val="none"/>
          <w:lang w:val="en-US" w:eastAsia="zh-CN" w:bidi="ar-SA"/>
        </w:rPr>
      </w:sdtEndPr>
      <w:sdtContent>
        <w:p w14:paraId="31BB2A51">
          <w:pPr>
            <w:spacing w:before="0" w:beforeLines="0" w:after="0" w:afterLines="0" w:line="240" w:lineRule="auto"/>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目录</w:t>
          </w:r>
        </w:p>
        <w:p w14:paraId="1BE3898C">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TOC \o "1-3" \h \u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_Toc30933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第一章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_Toc30933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77583363">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_Toc15131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bCs/>
              <w:color w:val="auto"/>
              <w:sz w:val="24"/>
              <w:szCs w:val="24"/>
              <w:highlight w:val="none"/>
              <w:lang w:val="en-US" w:eastAsia="zh-CN"/>
            </w:rPr>
            <w:t xml:space="preserve">第二章 </w:t>
          </w:r>
          <w:r>
            <w:rPr>
              <w:rFonts w:hint="eastAsia" w:ascii="宋体" w:hAnsi="宋体" w:eastAsia="宋体" w:cs="宋体"/>
              <w:color w:val="auto"/>
              <w:sz w:val="24"/>
              <w:szCs w:val="24"/>
              <w:highlight w:val="none"/>
            </w:rPr>
            <w:t>磋商项目需求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_Toc15131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62C1399B">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_Toc15032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第三章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E1A889D">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_Toc7043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一、前附表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_Toc7043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CD6EC14">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_Toc370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二、总  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_Toc370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7B9641ED">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_Toc292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三、磋商文件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5FFB0BF0">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_Toc20030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四、响应文件的编制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_Toc20030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322A9D3">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_Toc30756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五、磋商前的准备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_Toc30756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D511283">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_Toc13713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六、磋商程序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42E4F06">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_Toc2461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七、评审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4622FE5">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_Toc15789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八、磋商结果的确定</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_Toc15789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1EC28CC">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_Toc20813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九、合同授予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_Toc20813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0368291A">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_Toc1454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章  评审办法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A1FD046">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_Toc24252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章  嘉善县政府采购合同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_Toc24252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573529F0">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_Toc27759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章  磋商响应文件相关格式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_Toc27759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1A074626">
          <w:pPr>
            <w:pStyle w:val="8"/>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fldChar w:fldCharType="end"/>
          </w:r>
        </w:p>
      </w:sdtContent>
    </w:sdt>
    <w:p w14:paraId="42F84CFB">
      <w:pPr>
        <w:pStyle w:val="23"/>
        <w:rPr>
          <w:rFonts w:hint="eastAsia" w:ascii="宋体" w:hAnsi="宋体" w:eastAsia="宋体" w:cs="宋体"/>
          <w:color w:val="auto"/>
          <w:highlight w:val="none"/>
        </w:rPr>
        <w:sectPr>
          <w:headerReference r:id="rId5" w:type="default"/>
          <w:footerReference r:id="rId6" w:type="default"/>
          <w:pgSz w:w="11906" w:h="16838"/>
          <w:pgMar w:top="1418" w:right="1077" w:bottom="1418" w:left="1077" w:header="851" w:footer="851" w:gutter="0"/>
          <w:pgBorders>
            <w:top w:val="none" w:sz="0" w:space="0"/>
            <w:left w:val="none" w:sz="0" w:space="0"/>
            <w:bottom w:val="none" w:sz="0" w:space="0"/>
            <w:right w:val="none" w:sz="0" w:space="0"/>
          </w:pgBorders>
          <w:cols w:space="720" w:num="1"/>
          <w:docGrid w:linePitch="381" w:charSpace="0"/>
        </w:sectPr>
      </w:pPr>
      <w:bookmarkStart w:id="0" w:name="_Toc21851"/>
      <w:bookmarkStart w:id="1" w:name="_Toc30933"/>
    </w:p>
    <w:p w14:paraId="5D05BE11">
      <w:pPr>
        <w:pStyle w:val="23"/>
        <w:rPr>
          <w:rFonts w:hint="eastAsia" w:ascii="宋体" w:hAnsi="宋体" w:eastAsia="宋体" w:cs="宋体"/>
          <w:color w:val="auto"/>
          <w:highlight w:val="none"/>
        </w:rPr>
      </w:pPr>
      <w:r>
        <w:rPr>
          <w:rFonts w:hint="eastAsia" w:ascii="宋体" w:hAnsi="宋体" w:eastAsia="宋体" w:cs="宋体"/>
          <w:color w:val="auto"/>
          <w:highlight w:val="none"/>
        </w:rPr>
        <w:t>第一章  竞争性磋商公告</w:t>
      </w:r>
      <w:bookmarkEnd w:id="0"/>
      <w:bookmarkEnd w:id="1"/>
    </w:p>
    <w:p w14:paraId="51CB2D1D">
      <w:pPr>
        <w:spacing w:line="300" w:lineRule="auto"/>
        <w:jc w:val="center"/>
        <w:rPr>
          <w:rFonts w:hint="eastAsia" w:ascii="宋体" w:hAnsi="宋体" w:eastAsia="宋体" w:cs="宋体"/>
          <w:color w:val="auto"/>
          <w:sz w:val="18"/>
          <w:szCs w:val="18"/>
          <w:highlight w:val="none"/>
        </w:rPr>
      </w:pPr>
    </w:p>
    <w:p w14:paraId="71213A92">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7C82D981">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嘉善县实验小学2025年度校舍常规维修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采购项目的潜在供应商应在</w:t>
      </w:r>
      <w:r>
        <w:rPr>
          <w:rFonts w:hint="eastAsia" w:ascii="宋体" w:hAnsi="宋体" w:eastAsia="宋体" w:cs="宋体"/>
          <w:color w:val="auto"/>
          <w:sz w:val="24"/>
          <w:szCs w:val="24"/>
          <w:highlight w:val="none"/>
          <w:u w:val="single"/>
        </w:rPr>
        <w:t>政采云平台（http://zfcg.czt.zj.gov.cn）</w:t>
      </w:r>
      <w:r>
        <w:rPr>
          <w:rFonts w:hint="eastAsia" w:ascii="宋体" w:hAnsi="宋体" w:eastAsia="宋体" w:cs="宋体"/>
          <w:color w:val="auto"/>
          <w:sz w:val="31"/>
          <w:szCs w:val="31"/>
          <w:highlight w:val="none"/>
          <w:u w:val="single"/>
        </w:rPr>
        <w:t> </w:t>
      </w:r>
      <w:r>
        <w:rPr>
          <w:rFonts w:hint="eastAsia" w:ascii="宋体" w:hAnsi="宋体" w:eastAsia="宋体" w:cs="宋体"/>
          <w:color w:val="auto"/>
          <w:sz w:val="24"/>
          <w:szCs w:val="24"/>
          <w:highlight w:val="none"/>
        </w:rPr>
        <w:t>获取采购文件，并于</w:t>
      </w:r>
      <w:r>
        <w:rPr>
          <w:rFonts w:hint="eastAsia" w:ascii="宋体" w:hAnsi="宋体" w:cs="宋体"/>
          <w:color w:val="auto"/>
          <w:sz w:val="24"/>
          <w:szCs w:val="24"/>
          <w:highlight w:val="none"/>
          <w:u w:val="single"/>
          <w:lang w:eastAsia="zh-CN"/>
        </w:rPr>
        <w:t>2025年</w:t>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4</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00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14:paraId="13972313">
      <w:pPr>
        <w:spacing w:line="300" w:lineRule="auto"/>
        <w:ind w:firstLine="482" w:firstLineChars="200"/>
        <w:rPr>
          <w:rFonts w:hint="eastAsia" w:ascii="宋体" w:hAnsi="宋体" w:eastAsia="宋体" w:cs="宋体"/>
          <w:b/>
          <w:bCs/>
          <w:color w:val="auto"/>
          <w:sz w:val="24"/>
          <w:szCs w:val="24"/>
          <w:highlight w:val="none"/>
        </w:rPr>
      </w:pPr>
      <w:bookmarkStart w:id="2" w:name="_Toc35393790"/>
      <w:bookmarkStart w:id="3" w:name="_Toc35393621"/>
      <w:bookmarkStart w:id="4" w:name="_Toc28359002"/>
      <w:bookmarkStart w:id="5" w:name="_Toc28359079"/>
      <w:bookmarkStart w:id="6" w:name="_Hlk24379207"/>
    </w:p>
    <w:p w14:paraId="102A224E">
      <w:pPr>
        <w:spacing w:line="30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bookmarkEnd w:id="2"/>
      <w:bookmarkEnd w:id="3"/>
      <w:bookmarkEnd w:id="4"/>
      <w:bookmarkEnd w:id="5"/>
    </w:p>
    <w:p w14:paraId="4D7AB632">
      <w:pPr>
        <w:pStyle w:val="29"/>
        <w:widowControl w:val="0"/>
        <w:spacing w:afterLines="0" w:line="300" w:lineRule="auto"/>
        <w:ind w:firstLine="480"/>
        <w:contextualSpacing/>
        <w:rPr>
          <w:rFonts w:hint="eastAsia" w:ascii="宋体" w:hAnsi="宋体" w:eastAsia="宋体" w:cs="宋体"/>
          <w:color w:val="auto"/>
          <w:kern w:val="2"/>
          <w:highlight w:val="none"/>
          <w:lang w:val="en-US" w:eastAsia="zh-CN"/>
        </w:rPr>
      </w:pPr>
      <w:r>
        <w:rPr>
          <w:rFonts w:hint="eastAsia" w:ascii="宋体" w:hAnsi="宋体" w:eastAsia="宋体" w:cs="宋体"/>
          <w:color w:val="auto"/>
          <w:highlight w:val="none"/>
        </w:rPr>
        <w:t>项目编号：</w:t>
      </w:r>
      <w:r>
        <w:rPr>
          <w:rFonts w:hint="eastAsia" w:ascii="宋体" w:hAnsi="宋体" w:cs="宋体"/>
          <w:color w:val="auto"/>
          <w:kern w:val="2"/>
          <w:highlight w:val="none"/>
          <w:lang w:eastAsia="zh-CN"/>
        </w:rPr>
        <w:t>ZHJS（CS)-2025-009</w:t>
      </w:r>
    </w:p>
    <w:p w14:paraId="158F2B68">
      <w:pPr>
        <w:pStyle w:val="29"/>
        <w:widowControl w:val="0"/>
        <w:spacing w:afterLines="0" w:line="300" w:lineRule="auto"/>
        <w:ind w:firstLine="480"/>
        <w:contextualSpacing/>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嘉善县实验小学2025年度校舍常规维修</w:t>
      </w:r>
    </w:p>
    <w:p w14:paraId="71BCBC77">
      <w:pPr>
        <w:pStyle w:val="29"/>
        <w:widowControl w:val="0"/>
        <w:spacing w:afterLines="0" w:line="300" w:lineRule="auto"/>
        <w:ind w:firstLine="480"/>
        <w:contextualSpacing/>
        <w:rPr>
          <w:rFonts w:hint="eastAsia" w:ascii="宋体" w:hAnsi="宋体" w:eastAsia="宋体" w:cs="宋体"/>
          <w:color w:val="auto"/>
          <w:highlight w:val="none"/>
          <w:lang w:eastAsia="zh-CN"/>
        </w:rPr>
      </w:pPr>
      <w:r>
        <w:rPr>
          <w:rFonts w:hint="eastAsia" w:ascii="宋体" w:hAnsi="宋体" w:eastAsia="宋体" w:cs="宋体"/>
          <w:color w:val="auto"/>
          <w:highlight w:val="none"/>
        </w:rPr>
        <w:t>采购方式：竞争性磋商</w:t>
      </w:r>
    </w:p>
    <w:bookmarkEnd w:id="6"/>
    <w:p w14:paraId="5CD86D86">
      <w:pPr>
        <w:spacing w:line="30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693100</w:t>
      </w:r>
      <w:r>
        <w:rPr>
          <w:rFonts w:hint="eastAsia" w:ascii="宋体" w:hAnsi="宋体" w:cs="宋体"/>
          <w:color w:val="auto"/>
          <w:kern w:val="0"/>
          <w:sz w:val="24"/>
          <w:szCs w:val="24"/>
          <w:highlight w:val="none"/>
          <w:lang w:val="en-US" w:eastAsia="zh-CN" w:bidi="ar-SA"/>
        </w:rPr>
        <w:t>.00</w:t>
      </w:r>
      <w:r>
        <w:rPr>
          <w:rFonts w:hint="eastAsia" w:ascii="宋体" w:hAnsi="宋体" w:eastAsia="宋体" w:cs="宋体"/>
          <w:color w:val="auto"/>
          <w:kern w:val="0"/>
          <w:sz w:val="24"/>
          <w:szCs w:val="24"/>
          <w:highlight w:val="none"/>
          <w:lang w:val="en-US" w:eastAsia="zh-CN" w:bidi="ar-SA"/>
        </w:rPr>
        <w:t>元</w:t>
      </w:r>
    </w:p>
    <w:p w14:paraId="5164D0A9">
      <w:pPr>
        <w:spacing w:line="30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最高限价：</w:t>
      </w:r>
      <w:r>
        <w:rPr>
          <w:rFonts w:hint="eastAsia" w:ascii="宋体" w:hAnsi="宋体" w:cs="宋体"/>
          <w:color w:val="auto"/>
          <w:kern w:val="0"/>
          <w:sz w:val="24"/>
          <w:szCs w:val="24"/>
          <w:highlight w:val="none"/>
          <w:lang w:val="en-US" w:eastAsia="zh-CN" w:bidi="ar-SA"/>
        </w:rPr>
        <w:t>691633.00</w:t>
      </w:r>
      <w:r>
        <w:rPr>
          <w:rFonts w:hint="eastAsia" w:ascii="宋体" w:hAnsi="宋体" w:eastAsia="宋体" w:cs="宋体"/>
          <w:color w:val="auto"/>
          <w:kern w:val="0"/>
          <w:sz w:val="24"/>
          <w:szCs w:val="24"/>
          <w:highlight w:val="none"/>
          <w:lang w:val="en-US" w:eastAsia="zh-CN" w:bidi="ar-SA"/>
        </w:rPr>
        <w:t>元</w:t>
      </w:r>
    </w:p>
    <w:p w14:paraId="380CC4E6">
      <w:pPr>
        <w:spacing w:line="30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采购需求（概述）：</w:t>
      </w:r>
    </w:p>
    <w:p w14:paraId="009C2206">
      <w:pPr>
        <w:pStyle w:val="29"/>
        <w:widowControl w:val="0"/>
        <w:spacing w:afterLines="0" w:line="300" w:lineRule="auto"/>
        <w:ind w:firstLine="960" w:firstLineChars="400"/>
        <w:contextualSpacing/>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嘉善县实验小学2025年度校舍常规维修</w:t>
      </w:r>
      <w:r>
        <w:rPr>
          <w:rFonts w:hint="eastAsia" w:ascii="宋体" w:hAnsi="宋体" w:eastAsia="宋体" w:cs="宋体"/>
          <w:color w:val="auto"/>
          <w:highlight w:val="none"/>
          <w:lang w:eastAsia="zh-CN"/>
        </w:rPr>
        <w:t>，具体详见施工图纸及工程量清单。</w:t>
      </w:r>
    </w:p>
    <w:p w14:paraId="2A00FFEA">
      <w:pPr>
        <w:pStyle w:val="29"/>
        <w:widowControl w:val="0"/>
        <w:spacing w:afterLines="0" w:line="300" w:lineRule="auto"/>
        <w:ind w:firstLine="480"/>
        <w:contextualSpacing/>
        <w:rPr>
          <w:rFonts w:hint="default" w:ascii="宋体" w:hAnsi="宋体" w:eastAsia="宋体" w:cs="宋体"/>
          <w:color w:val="auto"/>
          <w:highlight w:val="none"/>
          <w:lang w:val="en-US" w:eastAsia="zh-CN"/>
        </w:rPr>
      </w:pPr>
      <w:r>
        <w:rPr>
          <w:rFonts w:hint="eastAsia" w:ascii="宋体" w:hAnsi="宋体" w:eastAsia="宋体" w:cs="宋体"/>
          <w:b/>
          <w:bCs/>
          <w:color w:val="auto"/>
          <w:highlight w:val="none"/>
        </w:rPr>
        <w:t>备注：</w:t>
      </w:r>
      <w:r>
        <w:rPr>
          <w:rFonts w:hint="eastAsia" w:ascii="宋体" w:hAnsi="宋体" w:eastAsia="宋体" w:cs="宋体"/>
          <w:color w:val="auto"/>
          <w:highlight w:val="none"/>
        </w:rPr>
        <w:t>政府采购计划编号：</w:t>
      </w:r>
      <w:r>
        <w:rPr>
          <w:rFonts w:hint="eastAsia" w:ascii="宋体" w:hAnsi="宋体" w:eastAsia="宋体" w:cs="宋体"/>
          <w:color w:val="auto"/>
          <w:highlight w:val="none"/>
          <w:lang w:eastAsia="zh-CN"/>
        </w:rPr>
        <w:t>善财采确</w:t>
      </w:r>
      <w:r>
        <w:rPr>
          <w:rFonts w:hint="eastAsia" w:ascii="宋体" w:hAnsi="宋体" w:eastAsia="宋体" w:cs="宋体"/>
          <w:color w:val="auto"/>
          <w:highlight w:val="none"/>
          <w:lang w:val="en-US" w:eastAsia="zh-CN"/>
        </w:rPr>
        <w:t>临</w:t>
      </w:r>
      <w:r>
        <w:rPr>
          <w:rFonts w:hint="eastAsia" w:ascii="宋体" w:hAnsi="宋体" w:eastAsia="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1455</w:t>
      </w:r>
      <w:r>
        <w:rPr>
          <w:rFonts w:hint="eastAsia" w:ascii="宋体" w:hAnsi="宋体" w:eastAsia="宋体" w:cs="宋体"/>
          <w:color w:val="auto"/>
          <w:highlight w:val="none"/>
          <w:lang w:val="en-US" w:eastAsia="zh-CN"/>
        </w:rPr>
        <w:t>号</w:t>
      </w:r>
    </w:p>
    <w:p w14:paraId="6A297E2D">
      <w:pPr>
        <w:widowControl/>
        <w:spacing w:line="30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合同履行期限</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工期要求</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cs="宋体"/>
          <w:color w:val="auto"/>
          <w:sz w:val="24"/>
          <w:highlight w:val="none"/>
          <w:lang w:val="en-US" w:eastAsia="zh-CN"/>
        </w:rPr>
        <w:t>35日历天</w:t>
      </w:r>
      <w:r>
        <w:rPr>
          <w:rFonts w:hint="eastAsia" w:ascii="宋体" w:hAnsi="宋体" w:eastAsia="宋体" w:cs="宋体"/>
          <w:color w:val="auto"/>
          <w:sz w:val="24"/>
          <w:szCs w:val="24"/>
          <w:highlight w:val="none"/>
        </w:rPr>
        <w:t>。</w:t>
      </w:r>
    </w:p>
    <w:p w14:paraId="71FED64E">
      <w:pPr>
        <w:spacing w:line="300" w:lineRule="auto"/>
        <w:ind w:firstLine="482" w:firstLineChars="200"/>
        <w:contextualSpacing/>
        <w:rPr>
          <w:rFonts w:hint="eastAsia" w:ascii="宋体" w:hAnsi="宋体" w:eastAsia="宋体" w:cs="宋体"/>
          <w:b/>
          <w:bCs/>
          <w:color w:val="auto"/>
          <w:sz w:val="24"/>
          <w:szCs w:val="24"/>
          <w:highlight w:val="none"/>
          <w:lang w:eastAsia="zh-CN"/>
        </w:rPr>
      </w:pPr>
      <w:bookmarkStart w:id="7" w:name="_Toc28359003"/>
      <w:bookmarkStart w:id="8" w:name="_Toc35393622"/>
      <w:bookmarkStart w:id="9" w:name="_Toc35393791"/>
      <w:bookmarkStart w:id="10" w:name="_Toc28359080"/>
      <w:r>
        <w:rPr>
          <w:rFonts w:hint="eastAsia" w:ascii="宋体" w:hAnsi="宋体" w:eastAsia="宋体" w:cs="宋体"/>
          <w:b/>
          <w:bCs/>
          <w:color w:val="auto"/>
          <w:sz w:val="24"/>
          <w:szCs w:val="24"/>
          <w:highlight w:val="none"/>
          <w:lang w:eastAsia="zh-CN"/>
        </w:rPr>
        <w:t>本项目不接受联合体</w:t>
      </w:r>
      <w:r>
        <w:rPr>
          <w:rFonts w:hint="eastAsia" w:ascii="宋体" w:hAnsi="宋体" w:eastAsia="宋体" w:cs="宋体"/>
          <w:b/>
          <w:bCs/>
          <w:color w:val="auto"/>
          <w:sz w:val="24"/>
          <w:szCs w:val="24"/>
          <w:highlight w:val="none"/>
          <w:lang w:val="en-US" w:eastAsia="zh-CN"/>
        </w:rPr>
        <w:t>磋商。</w:t>
      </w:r>
    </w:p>
    <w:p w14:paraId="3E85E9A3">
      <w:pPr>
        <w:spacing w:line="30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bookmarkEnd w:id="7"/>
      <w:bookmarkEnd w:id="8"/>
      <w:bookmarkEnd w:id="9"/>
      <w:bookmarkEnd w:id="10"/>
    </w:p>
    <w:p w14:paraId="66500309">
      <w:pPr>
        <w:keepNext w:val="0"/>
        <w:keepLines w:val="0"/>
        <w:pageBreakBefore w:val="0"/>
        <w:widowControl w:val="0"/>
        <w:kinsoku/>
        <w:wordWrap/>
        <w:overflowPunct/>
        <w:topLinePunct w:val="0"/>
        <w:autoSpaceDE/>
        <w:autoSpaceDN/>
        <w:bidi w:val="0"/>
        <w:adjustRightInd/>
        <w:snapToGrid w:val="0"/>
        <w:spacing w:line="293"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416229E7">
      <w:pPr>
        <w:keepNext w:val="0"/>
        <w:keepLines w:val="0"/>
        <w:pageBreakBefore w:val="0"/>
        <w:widowControl w:val="0"/>
        <w:kinsoku/>
        <w:wordWrap/>
        <w:overflowPunct/>
        <w:topLinePunct w:val="0"/>
        <w:autoSpaceDE/>
        <w:autoSpaceDN/>
        <w:bidi w:val="0"/>
        <w:adjustRightInd/>
        <w:snapToGrid w:val="0"/>
        <w:spacing w:line="293" w:lineRule="auto"/>
        <w:ind w:firstLine="480" w:firstLineChars="200"/>
        <w:contextualSpacing/>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）落实政府采购政策需满足的资格要求：</w:t>
      </w:r>
      <w:r>
        <w:rPr>
          <w:rFonts w:hint="eastAsia" w:ascii="宋体" w:hAnsi="宋体" w:eastAsia="宋体" w:cs="宋体"/>
          <w:b/>
          <w:bCs/>
          <w:color w:val="auto"/>
          <w:kern w:val="0"/>
          <w:sz w:val="24"/>
          <w:highlight w:val="none"/>
        </w:rPr>
        <w:t>专门面向中小企业：工程的施工单位全部为符合政策要求的中小企业，提供中小企业声明函</w:t>
      </w:r>
      <w:r>
        <w:rPr>
          <w:rFonts w:hint="eastAsia" w:ascii="宋体" w:hAnsi="宋体" w:eastAsia="宋体" w:cs="宋体"/>
          <w:b/>
          <w:bCs/>
          <w:color w:val="auto"/>
          <w:kern w:val="0"/>
          <w:sz w:val="24"/>
          <w:highlight w:val="none"/>
          <w:lang w:eastAsia="zh-CN"/>
        </w:rPr>
        <w:t>。</w:t>
      </w:r>
    </w:p>
    <w:p w14:paraId="536D1719">
      <w:pPr>
        <w:numPr>
          <w:ilvl w:val="0"/>
          <w:numId w:val="0"/>
        </w:numPr>
        <w:snapToGrid w:val="0"/>
        <w:spacing w:line="30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本项目的特定资格要求：</w:t>
      </w:r>
    </w:p>
    <w:p w14:paraId="69F25992">
      <w:pPr>
        <w:snapToGrid w:val="0"/>
        <w:spacing w:line="300" w:lineRule="auto"/>
        <w:ind w:firstLine="482" w:firstLineChars="200"/>
        <w:contextualSpacing/>
        <w:rPr>
          <w:rFonts w:hint="eastAsia" w:ascii="宋体" w:hAnsi="宋体" w:eastAsia="宋体" w:cs="宋体"/>
          <w:color w:val="auto"/>
          <w:sz w:val="24"/>
          <w:highlight w:val="none"/>
        </w:rPr>
      </w:pPr>
      <w:bookmarkStart w:id="11" w:name="_Toc35393792"/>
      <w:bookmarkStart w:id="12" w:name="_Toc35393623"/>
      <w:r>
        <w:rPr>
          <w:rFonts w:hint="eastAsia" w:ascii="宋体" w:hAnsi="宋体" w:eastAsia="宋体" w:cs="宋体"/>
          <w:b/>
          <w:bCs/>
          <w:color w:val="auto"/>
          <w:sz w:val="24"/>
          <w:highlight w:val="none"/>
        </w:rPr>
        <w:t>对投标人的要求：</w:t>
      </w:r>
      <w:r>
        <w:rPr>
          <w:rFonts w:hint="eastAsia" w:ascii="宋体" w:hAnsi="宋体" w:cs="宋体"/>
          <w:b/>
          <w:bCs/>
          <w:color w:val="auto"/>
          <w:sz w:val="24"/>
          <w:szCs w:val="24"/>
          <w:highlight w:val="none"/>
          <w:lang w:val="en-US" w:eastAsia="zh-CN"/>
        </w:rPr>
        <w:t>1</w:t>
      </w:r>
      <w:r>
        <w:rPr>
          <w:rFonts w:hint="eastAsia"/>
          <w:b/>
          <w:bCs/>
          <w:color w:val="auto"/>
          <w:sz w:val="24"/>
          <w:highlight w:val="none"/>
          <w:lang w:val="en-US" w:eastAsia="zh-CN"/>
        </w:rPr>
        <w:t>具有建筑工程施工总承包三级（含）以上</w:t>
      </w:r>
      <w:r>
        <w:rPr>
          <w:rFonts w:hint="eastAsia" w:ascii="宋体" w:hAnsi="宋体" w:cs="宋体"/>
          <w:b/>
          <w:bCs/>
          <w:color w:val="auto"/>
          <w:sz w:val="24"/>
          <w:szCs w:val="24"/>
          <w:highlight w:val="none"/>
          <w:lang w:val="en-US" w:eastAsia="zh-CN"/>
        </w:rPr>
        <w:t>资质的施工企业；2.具有在有效期内的安全生产许可证（副本）；</w:t>
      </w:r>
    </w:p>
    <w:p w14:paraId="011C457A">
      <w:pPr>
        <w:snapToGrid w:val="0"/>
        <w:spacing w:line="300" w:lineRule="auto"/>
        <w:ind w:firstLine="482" w:firstLineChars="200"/>
        <w:contextualSpacing/>
        <w:rPr>
          <w:rFonts w:hint="eastAsia"/>
          <w:b/>
          <w:bCs/>
          <w:color w:val="auto"/>
          <w:sz w:val="24"/>
          <w:highlight w:val="none"/>
          <w:lang w:val="en-US" w:eastAsia="zh-CN"/>
        </w:rPr>
      </w:pPr>
      <w:r>
        <w:rPr>
          <w:rFonts w:hint="eastAsia" w:ascii="宋体" w:hAnsi="宋体" w:eastAsia="宋体" w:cs="宋体"/>
          <w:b/>
          <w:bCs/>
          <w:color w:val="auto"/>
          <w:sz w:val="24"/>
          <w:highlight w:val="none"/>
        </w:rPr>
        <w:t>项目负责人资质要求：</w:t>
      </w:r>
      <w:r>
        <w:rPr>
          <w:rFonts w:hint="eastAsia" w:eastAsia="宋体"/>
          <w:b/>
          <w:bCs/>
          <w:color w:val="auto"/>
          <w:sz w:val="24"/>
          <w:highlight w:val="none"/>
          <w:lang w:val="en-US" w:eastAsia="zh-CN"/>
        </w:rPr>
        <w:t>具有建筑工程</w:t>
      </w:r>
      <w:r>
        <w:rPr>
          <w:rFonts w:hint="eastAsia"/>
          <w:b/>
          <w:bCs/>
          <w:color w:val="auto"/>
          <w:sz w:val="24"/>
          <w:highlight w:val="none"/>
          <w:lang w:val="en-US" w:eastAsia="zh-CN"/>
        </w:rPr>
        <w:t>专业</w:t>
      </w:r>
      <w:r>
        <w:rPr>
          <w:rFonts w:hint="eastAsia" w:eastAsia="宋体"/>
          <w:b/>
          <w:bCs/>
          <w:color w:val="auto"/>
          <w:sz w:val="24"/>
          <w:highlight w:val="none"/>
          <w:lang w:val="en-US" w:eastAsia="zh-CN"/>
        </w:rPr>
        <w:t>二级及以上建造师（不含临时）执业资格，且</w:t>
      </w:r>
      <w:r>
        <w:rPr>
          <w:rFonts w:hint="eastAsia"/>
          <w:b/>
          <w:bCs/>
          <w:color w:val="auto"/>
          <w:sz w:val="24"/>
          <w:highlight w:val="none"/>
          <w:lang w:val="en-US" w:eastAsia="zh-CN"/>
        </w:rPr>
        <w:t>在注册有效期内，另外具备B类人员证书。</w:t>
      </w:r>
    </w:p>
    <w:bookmarkEnd w:id="11"/>
    <w:bookmarkEnd w:id="12"/>
    <w:p w14:paraId="3420C15A">
      <w:pPr>
        <w:keepNext w:val="0"/>
        <w:keepLines w:val="0"/>
        <w:pageBreakBefore w:val="0"/>
        <w:widowControl w:val="0"/>
        <w:kinsoku/>
        <w:wordWrap/>
        <w:overflowPunct/>
        <w:topLinePunct w:val="0"/>
        <w:autoSpaceDE/>
        <w:autoSpaceDN/>
        <w:bidi w:val="0"/>
        <w:adjustRightInd/>
        <w:snapToGrid w:val="0"/>
        <w:spacing w:line="370" w:lineRule="exact"/>
        <w:ind w:firstLine="482" w:firstLineChars="200"/>
        <w:contextualSpacing/>
        <w:textAlignment w:val="auto"/>
        <w:rPr>
          <w:rFonts w:hint="eastAsia"/>
          <w:b/>
          <w:bCs/>
          <w:color w:val="auto"/>
          <w:sz w:val="24"/>
          <w:szCs w:val="24"/>
          <w:highlight w:val="none"/>
        </w:rPr>
      </w:pPr>
      <w:r>
        <w:rPr>
          <w:rFonts w:hint="eastAsia"/>
          <w:b/>
          <w:bCs/>
          <w:color w:val="auto"/>
          <w:sz w:val="24"/>
          <w:szCs w:val="24"/>
          <w:highlight w:val="none"/>
        </w:rPr>
        <w:t>三、获取（下载）采购文件</w:t>
      </w:r>
    </w:p>
    <w:p w14:paraId="741C5782">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时间：/至</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日，每天00:00至12:00，12:00至23:59（北京时间，线上获取法定节假日均可，线下获取文件法定节假日除外）</w:t>
      </w:r>
    </w:p>
    <w:p w14:paraId="2DDFF352">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地点（网址）：政采云平台https://www.zcygov.cn/ </w:t>
      </w:r>
    </w:p>
    <w:p w14:paraId="29AD4D4A">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方式：供应商登录政采云平台https://www.zcygov.cn/在线申请获取采购文件（进入“项目采购”应用，在获取采购文件菜单中选择项目，申请获取采购文件） </w:t>
      </w:r>
    </w:p>
    <w:p w14:paraId="20395379">
      <w:pPr>
        <w:keepNext w:val="0"/>
        <w:keepLines w:val="0"/>
        <w:pageBreakBefore w:val="0"/>
        <w:kinsoku/>
        <w:overflowPunct/>
        <w:topLinePunct w:val="0"/>
        <w:bidi w:val="0"/>
        <w:snapToGrid w:val="0"/>
        <w:spacing w:line="37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售价（元）：0</w:t>
      </w:r>
    </w:p>
    <w:p w14:paraId="6D10CD0F">
      <w:pPr>
        <w:keepNext w:val="0"/>
        <w:keepLines w:val="0"/>
        <w:pageBreakBefore w:val="0"/>
        <w:kinsoku/>
        <w:overflowPunct/>
        <w:topLinePunct w:val="0"/>
        <w:bidi w:val="0"/>
        <w:spacing w:line="370" w:lineRule="exact"/>
        <w:ind w:firstLine="482" w:firstLineChars="200"/>
        <w:textAlignment w:val="auto"/>
        <w:rPr>
          <w:rFonts w:hint="eastAsia" w:ascii="宋体" w:hAnsi="宋体" w:cs="宋体"/>
          <w:b/>
          <w:color w:val="auto"/>
          <w:sz w:val="24"/>
          <w:szCs w:val="24"/>
          <w:highlight w:val="none"/>
        </w:rPr>
      </w:pPr>
      <w:r>
        <w:rPr>
          <w:rFonts w:hint="eastAsia"/>
          <w:b/>
          <w:bCs/>
          <w:color w:val="auto"/>
          <w:sz w:val="24"/>
          <w:szCs w:val="24"/>
          <w:highlight w:val="none"/>
        </w:rPr>
        <w:t>四、响应文件提交（上传）</w:t>
      </w:r>
    </w:p>
    <w:p w14:paraId="6399C1D2">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rPr>
        <w:t>（北京时间）</w:t>
      </w:r>
    </w:p>
    <w:p w14:paraId="0B1AE1CF">
      <w:pPr>
        <w:keepNext w:val="0"/>
        <w:keepLines w:val="0"/>
        <w:pageBreakBefore w:val="0"/>
        <w:kinsoku/>
        <w:overflowPunct/>
        <w:topLinePunct w:val="0"/>
        <w:bidi w:val="0"/>
        <w:spacing w:line="370" w:lineRule="exact"/>
        <w:ind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地点（网址）：政采云平台（https://www.zcygov.cn/）。</w:t>
      </w:r>
    </w:p>
    <w:p w14:paraId="0BB1090F">
      <w:pPr>
        <w:keepNext w:val="0"/>
        <w:keepLines w:val="0"/>
        <w:pageBreakBefore w:val="0"/>
        <w:kinsoku/>
        <w:overflowPunct/>
        <w:topLinePunct w:val="0"/>
        <w:bidi w:val="0"/>
        <w:spacing w:line="370" w:lineRule="exact"/>
        <w:ind w:firstLine="482" w:firstLineChars="200"/>
        <w:textAlignment w:val="auto"/>
        <w:rPr>
          <w:rFonts w:hint="eastAsia" w:ascii="宋体" w:hAnsi="宋体" w:cs="宋体"/>
          <w:b/>
          <w:bCs/>
          <w:color w:val="auto"/>
          <w:sz w:val="24"/>
          <w:szCs w:val="24"/>
          <w:highlight w:val="none"/>
        </w:rPr>
      </w:pPr>
      <w:bookmarkStart w:id="13" w:name="_Toc35393625"/>
      <w:bookmarkStart w:id="14" w:name="_Toc28359084"/>
      <w:bookmarkStart w:id="15" w:name="_Toc35393794"/>
      <w:bookmarkStart w:id="16" w:name="_Toc28359007"/>
      <w:r>
        <w:rPr>
          <w:rFonts w:hint="eastAsia" w:ascii="宋体" w:hAnsi="宋体" w:cs="宋体"/>
          <w:b/>
          <w:bCs/>
          <w:color w:val="auto"/>
          <w:sz w:val="24"/>
          <w:szCs w:val="24"/>
          <w:highlight w:val="none"/>
        </w:rPr>
        <w:t>五、响应文件开启</w:t>
      </w:r>
    </w:p>
    <w:p w14:paraId="217B799B">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开启时间：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rPr>
        <w:t>（北京时间） </w:t>
      </w:r>
    </w:p>
    <w:p w14:paraId="013B2B64">
      <w:pPr>
        <w:keepNext w:val="0"/>
        <w:keepLines w:val="0"/>
        <w:pageBreakBefore w:val="0"/>
        <w:kinsoku/>
        <w:overflowPunct/>
        <w:topLinePunct w:val="0"/>
        <w:bidi w:val="0"/>
        <w:spacing w:line="370" w:lineRule="exact"/>
        <w:ind w:firstLine="480" w:firstLineChars="200"/>
        <w:textAlignment w:val="auto"/>
        <w:rPr>
          <w:rFonts w:hint="eastAsia" w:ascii="宋体" w:hAnsi="宋体" w:cs="宋体"/>
          <w:b/>
          <w:bCs/>
          <w:color w:val="auto"/>
          <w:sz w:val="24"/>
          <w:szCs w:val="24"/>
          <w:highlight w:val="none"/>
        </w:rPr>
      </w:pPr>
      <w:r>
        <w:rPr>
          <w:rFonts w:hint="eastAsia" w:ascii="宋体" w:hAnsi="宋体" w:cs="宋体"/>
          <w:color w:val="auto"/>
          <w:sz w:val="24"/>
          <w:szCs w:val="24"/>
          <w:highlight w:val="none"/>
        </w:rPr>
        <w:t>地点（网址）：嘉善县罗星街道乔克国贸中心2-</w:t>
      </w:r>
      <w:r>
        <w:rPr>
          <w:rFonts w:hint="eastAsia" w:ascii="宋体" w:hAnsi="宋体" w:cs="宋体"/>
          <w:color w:val="auto"/>
          <w:sz w:val="24"/>
          <w:szCs w:val="24"/>
          <w:highlight w:val="none"/>
          <w:lang w:val="en-US" w:eastAsia="zh-CN"/>
        </w:rPr>
        <w:t>1002</w:t>
      </w:r>
      <w:r>
        <w:rPr>
          <w:rFonts w:hint="eastAsia" w:ascii="宋体" w:hAnsi="宋体" w:cs="宋体"/>
          <w:color w:val="auto"/>
          <w:sz w:val="24"/>
          <w:szCs w:val="24"/>
          <w:highlight w:val="none"/>
        </w:rPr>
        <w:t>室，供应商无需到磋商现场，只需准时在线参加。政采云平台（https://www.zcygov.cn/）</w:t>
      </w:r>
    </w:p>
    <w:p w14:paraId="030843B7">
      <w:pPr>
        <w:keepNext w:val="0"/>
        <w:keepLines w:val="0"/>
        <w:pageBreakBefore w:val="0"/>
        <w:kinsoku/>
        <w:wordWrap/>
        <w:overflowPunct/>
        <w:topLinePunct w:val="0"/>
        <w:autoSpaceDE/>
        <w:autoSpaceDN/>
        <w:bidi w:val="0"/>
        <w:adjustRightInd/>
        <w:spacing w:line="370" w:lineRule="exact"/>
        <w:ind w:firstLine="482" w:firstLineChars="200"/>
        <w:jc w:val="both"/>
        <w:textAlignment w:val="auto"/>
        <w:rPr>
          <w:rFonts w:hint="eastAsia"/>
          <w:b/>
          <w:bCs/>
          <w:color w:val="auto"/>
          <w:sz w:val="24"/>
          <w:szCs w:val="24"/>
          <w:highlight w:val="none"/>
        </w:rPr>
      </w:pPr>
      <w:r>
        <w:rPr>
          <w:rFonts w:hint="eastAsia"/>
          <w:b/>
          <w:bCs/>
          <w:color w:val="auto"/>
          <w:sz w:val="24"/>
          <w:szCs w:val="24"/>
          <w:highlight w:val="none"/>
          <w:lang w:val="en-US" w:eastAsia="zh-CN"/>
        </w:rPr>
        <w:t>六</w:t>
      </w:r>
      <w:r>
        <w:rPr>
          <w:rFonts w:hint="eastAsia"/>
          <w:b/>
          <w:bCs/>
          <w:color w:val="auto"/>
          <w:sz w:val="24"/>
          <w:szCs w:val="24"/>
          <w:highlight w:val="none"/>
        </w:rPr>
        <w:t>、公告期限</w:t>
      </w:r>
      <w:bookmarkEnd w:id="13"/>
      <w:bookmarkEnd w:id="14"/>
      <w:bookmarkEnd w:id="15"/>
      <w:bookmarkEnd w:id="16"/>
    </w:p>
    <w:p w14:paraId="78218758">
      <w:pPr>
        <w:keepNext w:val="0"/>
        <w:keepLines w:val="0"/>
        <w:pageBreakBefore w:val="0"/>
        <w:kinsoku/>
        <w:wordWrap/>
        <w:overflowPunct/>
        <w:topLinePunct w:val="0"/>
        <w:autoSpaceDE/>
        <w:autoSpaceDN/>
        <w:bidi w:val="0"/>
        <w:adjustRightInd/>
        <w:spacing w:line="370" w:lineRule="exact"/>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p>
    <w:p w14:paraId="2C5CC5B7">
      <w:pPr>
        <w:pStyle w:val="12"/>
        <w:keepNext w:val="0"/>
        <w:keepLines w:val="0"/>
        <w:pageBreakBefore w:val="0"/>
        <w:numPr>
          <w:ilvl w:val="0"/>
          <w:numId w:val="0"/>
        </w:numPr>
        <w:kinsoku/>
        <w:wordWrap/>
        <w:overflowPunct/>
        <w:topLinePunct w:val="0"/>
        <w:autoSpaceDE/>
        <w:autoSpaceDN/>
        <w:bidi w:val="0"/>
        <w:adjustRightInd/>
        <w:snapToGrid w:val="0"/>
        <w:spacing w:beforeLines="0" w:afterLines="0" w:line="370" w:lineRule="exact"/>
        <w:ind w:firstLine="482" w:firstLineChars="200"/>
        <w:jc w:val="both"/>
        <w:textAlignment w:val="auto"/>
        <w:rPr>
          <w:rFonts w:hint="eastAsia"/>
          <w:b/>
          <w:bCs/>
          <w:color w:val="auto"/>
          <w:sz w:val="24"/>
          <w:szCs w:val="24"/>
          <w:highlight w:val="none"/>
        </w:rPr>
      </w:pPr>
      <w:bookmarkStart w:id="17" w:name="_Toc35393795"/>
      <w:bookmarkStart w:id="18" w:name="_Toc35393626"/>
      <w:r>
        <w:rPr>
          <w:rFonts w:hint="eastAsia"/>
          <w:b/>
          <w:bCs/>
          <w:color w:val="auto"/>
          <w:sz w:val="24"/>
          <w:szCs w:val="24"/>
          <w:highlight w:val="none"/>
          <w:lang w:val="en-US" w:eastAsia="zh-CN"/>
        </w:rPr>
        <w:t>七、</w:t>
      </w:r>
      <w:r>
        <w:rPr>
          <w:rFonts w:hint="eastAsia"/>
          <w:b/>
          <w:bCs/>
          <w:color w:val="auto"/>
          <w:sz w:val="24"/>
          <w:szCs w:val="24"/>
          <w:highlight w:val="none"/>
        </w:rPr>
        <w:t>其他补充事宜</w:t>
      </w:r>
      <w:bookmarkEnd w:id="17"/>
      <w:bookmarkEnd w:id="18"/>
      <w:r>
        <w:rPr>
          <w:rFonts w:hint="eastAsia"/>
          <w:b/>
          <w:bCs/>
          <w:color w:val="auto"/>
          <w:sz w:val="24"/>
          <w:szCs w:val="24"/>
          <w:highlight w:val="none"/>
        </w:rPr>
        <w:t>：</w:t>
      </w:r>
    </w:p>
    <w:p w14:paraId="381FFB7A">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jc w:val="both"/>
        <w:textAlignment w:val="auto"/>
        <w:rPr>
          <w:rFonts w:hint="eastAsia" w:hAnsi="宋体" w:cs="宋体"/>
          <w:snapToGrid w:val="0"/>
          <w:color w:val="auto"/>
          <w:sz w:val="24"/>
          <w:szCs w:val="24"/>
          <w:highlight w:val="none"/>
        </w:rPr>
      </w:pPr>
      <w:r>
        <w:rPr>
          <w:rFonts w:hint="eastAsia" w:hAnsi="宋体" w:cs="宋体"/>
          <w:snapToGrid w:val="0"/>
          <w:color w:val="auto"/>
          <w:sz w:val="24"/>
          <w:szCs w:val="24"/>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71D142">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2.其他事项：</w:t>
      </w:r>
    </w:p>
    <w:p w14:paraId="35C6BD47">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D7E702A">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E24A2F">
      <w:pPr>
        <w:pStyle w:val="12"/>
        <w:keepNext w:val="0"/>
        <w:keepLines w:val="0"/>
        <w:pageBreakBefore w:val="0"/>
        <w:widowControl w:val="0"/>
        <w:kinsoku/>
        <w:wordWrap w:val="0"/>
        <w:overflowPunct/>
        <w:topLinePunct w:val="0"/>
        <w:autoSpaceDE/>
        <w:autoSpaceDN/>
        <w:bidi w:val="0"/>
        <w:adjustRightInd/>
        <w:snapToGrid w:val="0"/>
        <w:spacing w:beforeLines="0" w:afterLines="0" w:line="360" w:lineRule="auto"/>
        <w:ind w:firstLine="480" w:firstLineChars="200"/>
        <w:jc w:val="both"/>
        <w:textAlignment w:val="auto"/>
        <w:rPr>
          <w:rFonts w:hint="eastAsia" w:ascii="宋体" w:hAnsi="宋体" w:eastAsia="宋体" w:cs="宋体"/>
          <w:snapToGrid w:val="0"/>
          <w:color w:val="auto"/>
          <w:sz w:val="24"/>
          <w:szCs w:val="24"/>
          <w:highlight w:val="none"/>
        </w:rPr>
      </w:pPr>
      <w:r>
        <w:rPr>
          <w:rFonts w:hint="eastAsia" w:ascii="宋体" w:hAnsi="宋体" w:cs="宋体"/>
          <w:color w:val="auto"/>
          <w:sz w:val="24"/>
          <w:szCs w:val="24"/>
          <w:highlight w:val="none"/>
        </w:rPr>
        <w:t>（3）①电子招投标：本项目以数据电文形式，依托“政府采购云平台（www.zcygov.cn）”进行磋商活动，不接受纸质响应文件；②磋商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磋商活动；⑥对未按上述方式获取采购文件的供应商对该文件提出的质疑，采购人或采购代理机构将不予处理；⑦不提供采购文件纸质版；⑧响应文件的传输递交：供应商在截止时间前将加密的响应文件上传至政府采购云平台，还可以在截止时间前直接提交或者以顺丰快递方式递交备份响应文件1份（光盘或U盘上应当用不褪色墨水笔注明供应商名称、项目名称以及法定代表人或其委托代理人签名，供应商应当确保电子光盘或U盘能够打开运行并正常使用）装袋密封后邮寄或直接送达至</w:t>
      </w:r>
      <w:r>
        <w:rPr>
          <w:rFonts w:hint="eastAsia" w:hAnsi="宋体" w:cs="宋体"/>
          <w:color w:val="auto"/>
          <w:sz w:val="24"/>
          <w:szCs w:val="24"/>
          <w:highlight w:val="none"/>
          <w:lang w:val="en-US" w:eastAsia="zh-CN"/>
        </w:rPr>
        <w:t>浙江中合工程管理有限公司</w:t>
      </w:r>
      <w:r>
        <w:rPr>
          <w:rFonts w:hint="eastAsia" w:ascii="宋体" w:hAnsi="宋体" w:cs="宋体"/>
          <w:color w:val="auto"/>
          <w:sz w:val="24"/>
          <w:szCs w:val="24"/>
          <w:highlight w:val="none"/>
        </w:rPr>
        <w:t>，密封袋上有接缝处均需加盖单位公章和法定代表人印章【送达地址：嘉善县罗星街道乔克国贸中心2-</w:t>
      </w:r>
      <w:r>
        <w:rPr>
          <w:rFonts w:hint="eastAsia" w:ascii="宋体" w:hAnsi="宋体" w:cs="宋体"/>
          <w:color w:val="auto"/>
          <w:sz w:val="24"/>
          <w:szCs w:val="24"/>
          <w:highlight w:val="none"/>
          <w:lang w:val="en-US" w:eastAsia="zh-CN"/>
        </w:rPr>
        <w:t>1002</w:t>
      </w:r>
      <w:r>
        <w:rPr>
          <w:rFonts w:hint="eastAsia" w:ascii="宋体" w:hAnsi="宋体" w:cs="宋体"/>
          <w:color w:val="auto"/>
          <w:sz w:val="24"/>
          <w:szCs w:val="24"/>
          <w:highlight w:val="none"/>
        </w:rPr>
        <w:t>室，收件人：</w:t>
      </w:r>
      <w:r>
        <w:rPr>
          <w:rFonts w:hint="eastAsia" w:hAnsi="宋体" w:cs="宋体"/>
          <w:color w:val="auto"/>
          <w:sz w:val="24"/>
          <w:szCs w:val="24"/>
          <w:highlight w:val="none"/>
          <w:lang w:val="en-US" w:eastAsia="zh-CN"/>
        </w:rPr>
        <w:t>胡女士</w:t>
      </w:r>
      <w:r>
        <w:rPr>
          <w:rFonts w:hint="eastAsia" w:ascii="宋体" w:hAnsi="宋体" w:cs="宋体"/>
          <w:color w:val="auto"/>
          <w:sz w:val="24"/>
          <w:szCs w:val="24"/>
          <w:highlight w:val="none"/>
        </w:rPr>
        <w:t>，联系电话：</w:t>
      </w:r>
      <w:r>
        <w:rPr>
          <w:rFonts w:hint="eastAsia" w:hAnsi="宋体" w:cs="宋体"/>
          <w:color w:val="auto"/>
          <w:sz w:val="24"/>
          <w:szCs w:val="24"/>
          <w:highlight w:val="none"/>
          <w:lang w:eastAsia="zh-CN"/>
        </w:rPr>
        <w:t>0573-84033354</w:t>
      </w:r>
      <w:r>
        <w:rPr>
          <w:rFonts w:hint="eastAsia" w:ascii="宋体" w:hAnsi="宋体" w:cs="宋体"/>
          <w:color w:val="auto"/>
          <w:sz w:val="24"/>
          <w:szCs w:val="24"/>
          <w:highlight w:val="none"/>
        </w:rPr>
        <w:t>；快递寄出同时，项目被授权代表须以邮件方式将快递单号、项目名称、公司名称、被授权代表姓名及联系方式等内容（邮件格式为：项目编号+快递单号+公司名称+被授权代表姓名及联系方式）发送至采购代理机构联系人邮箱(</w:t>
      </w:r>
      <w:r>
        <w:rPr>
          <w:rFonts w:hint="eastAsia" w:hAnsi="宋体" w:cs="宋体"/>
          <w:color w:val="auto"/>
          <w:sz w:val="24"/>
          <w:szCs w:val="24"/>
          <w:highlight w:val="none"/>
          <w:lang w:eastAsia="zh-CN"/>
        </w:rPr>
        <w:t>1090440571</w:t>
      </w:r>
      <w:r>
        <w:rPr>
          <w:rFonts w:hint="eastAsia" w:ascii="宋体" w:hAnsi="宋体" w:cs="宋体"/>
          <w:color w:val="auto"/>
          <w:sz w:val="24"/>
          <w:szCs w:val="24"/>
          <w:highlight w:val="none"/>
        </w:rPr>
        <w:t>@qq.com)。如供应商选择快递费到付，采购代理机构将拒签。】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⑩具体操作指南：详见政采云平台“服务中心-帮助文档-项目采购-操作流程-电子招投标-政府采购项目电子交易管理操作指南-供应商”。</w:t>
      </w:r>
    </w:p>
    <w:p w14:paraId="57C65139">
      <w:pPr>
        <w:keepNext w:val="0"/>
        <w:keepLines w:val="0"/>
        <w:pageBreakBefore w:val="0"/>
        <w:widowControl/>
        <w:shd w:val="clear" w:color="auto" w:fill="FFFFFF"/>
        <w:kinsoku/>
        <w:wordWrap/>
        <w:overflowPunct/>
        <w:topLinePunct w:val="0"/>
        <w:autoSpaceDE/>
        <w:autoSpaceDN/>
        <w:bidi w:val="0"/>
        <w:adjustRightInd/>
        <w:spacing w:line="300" w:lineRule="auto"/>
        <w:ind w:firstLine="482" w:firstLineChars="200"/>
        <w:contextualSpacing/>
        <w:jc w:val="both"/>
        <w:textAlignment w:val="auto"/>
        <w:rPr>
          <w:rFonts w:hint="eastAsia" w:ascii="宋体" w:hAnsi="宋体" w:eastAsia="宋体" w:cs="宋体"/>
          <w:b/>
          <w:bCs/>
          <w:color w:val="auto"/>
          <w:sz w:val="24"/>
          <w:szCs w:val="24"/>
          <w:highlight w:val="none"/>
        </w:rPr>
      </w:pPr>
      <w:bookmarkStart w:id="19" w:name="_Toc28359085"/>
      <w:bookmarkStart w:id="20" w:name="_Toc35393796"/>
      <w:bookmarkStart w:id="21" w:name="_Toc35393627"/>
      <w:bookmarkStart w:id="22" w:name="_Toc28359008"/>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、对本次招标提出询问，请按以下方式联系。</w:t>
      </w:r>
      <w:bookmarkEnd w:id="19"/>
      <w:bookmarkEnd w:id="20"/>
      <w:bookmarkEnd w:id="21"/>
      <w:bookmarkEnd w:id="22"/>
    </w:p>
    <w:p w14:paraId="15FFC7A6">
      <w:pPr>
        <w:widowControl/>
        <w:shd w:val="clear" w:color="auto" w:fill="FFFFFF"/>
        <w:spacing w:line="30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1.采购人名称：</w:t>
      </w:r>
      <w:r>
        <w:rPr>
          <w:rFonts w:hint="eastAsia" w:ascii="宋体" w:hAnsi="宋体" w:cs="宋体"/>
          <w:color w:val="auto"/>
          <w:sz w:val="24"/>
          <w:highlight w:val="none"/>
          <w:lang w:val="en-US" w:eastAsia="zh-CN"/>
        </w:rPr>
        <w:t>嘉善县实验小学</w:t>
      </w:r>
    </w:p>
    <w:p w14:paraId="6E4D0C53">
      <w:pPr>
        <w:widowControl/>
        <w:shd w:val="clear" w:color="auto" w:fill="FFFFFF"/>
        <w:spacing w:line="300" w:lineRule="auto"/>
        <w:ind w:firstLine="54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w:t>
      </w:r>
      <w:r>
        <w:rPr>
          <w:rFonts w:hint="eastAsia" w:ascii="宋体" w:hAnsi="宋体" w:cs="宋体"/>
          <w:color w:val="000000"/>
          <w:sz w:val="24"/>
          <w:highlight w:val="none"/>
        </w:rPr>
        <w:t>顾梦周</w:t>
      </w:r>
    </w:p>
    <w:p w14:paraId="7492602D">
      <w:pPr>
        <w:widowControl/>
        <w:shd w:val="clear" w:color="auto" w:fill="FFFFFF"/>
        <w:spacing w:line="30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cs="宋体"/>
          <w:color w:val="000000"/>
          <w:sz w:val="24"/>
          <w:highlight w:val="none"/>
        </w:rPr>
        <w:t>18875878592</w:t>
      </w:r>
      <w:bookmarkStart w:id="106" w:name="_GoBack"/>
      <w:bookmarkEnd w:id="106"/>
    </w:p>
    <w:p w14:paraId="0007EDC5">
      <w:pPr>
        <w:widowControl/>
        <w:shd w:val="clear" w:color="auto" w:fill="FFFFFF"/>
        <w:spacing w:line="300" w:lineRule="auto"/>
        <w:ind w:firstLine="480" w:firstLineChars="200"/>
        <w:jc w:val="left"/>
        <w:rPr>
          <w:rFonts w:hint="default" w:ascii="宋体" w:hAnsi="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000000"/>
          <w:sz w:val="24"/>
          <w:highlight w:val="none"/>
          <w:lang w:val="en-US" w:eastAsia="zh-CN"/>
        </w:rPr>
        <w:t>浙江省嘉兴市嘉善县玉兰路293号</w:t>
      </w:r>
    </w:p>
    <w:p w14:paraId="2FFE10E1">
      <w:pPr>
        <w:widowControl/>
        <w:shd w:val="clear" w:color="auto" w:fill="FFFFFF"/>
        <w:spacing w:line="30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质疑答复联系人：</w:t>
      </w:r>
      <w:r>
        <w:rPr>
          <w:rFonts w:hint="eastAsia" w:ascii="宋体" w:hAnsi="宋体" w:cs="宋体"/>
          <w:sz w:val="24"/>
          <w:highlight w:val="none"/>
        </w:rPr>
        <w:t>鲍锦浩</w:t>
      </w:r>
    </w:p>
    <w:p w14:paraId="2643BCF6">
      <w:pPr>
        <w:widowControl/>
        <w:shd w:val="clear" w:color="auto" w:fill="FFFFFF"/>
        <w:spacing w:line="30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cs="宋体"/>
          <w:sz w:val="24"/>
          <w:highlight w:val="none"/>
        </w:rPr>
        <w:t>13706738785</w:t>
      </w:r>
    </w:p>
    <w:p w14:paraId="03EB0AC6">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2.采购代理机构名称：</w:t>
      </w:r>
      <w:r>
        <w:rPr>
          <w:rFonts w:hint="eastAsia" w:ascii="宋体" w:hAnsi="宋体" w:cs="宋体"/>
          <w:color w:val="auto"/>
          <w:sz w:val="24"/>
          <w:highlight w:val="none"/>
          <w:lang w:eastAsia="zh-CN"/>
        </w:rPr>
        <w:t>浙江中合工程管理有限公司</w:t>
      </w:r>
    </w:p>
    <w:p w14:paraId="48C596F1">
      <w:pPr>
        <w:widowControl/>
        <w:shd w:val="clear" w:color="auto" w:fill="FFFFFF"/>
        <w:spacing w:line="30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胡女士</w:t>
      </w:r>
    </w:p>
    <w:p w14:paraId="052F2617">
      <w:pPr>
        <w:widowControl/>
        <w:shd w:val="clear" w:color="auto" w:fill="FFFFFF"/>
        <w:spacing w:line="30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eastAsia="zh-CN"/>
        </w:rPr>
        <w:t>0573-84033354</w:t>
      </w:r>
    </w:p>
    <w:p w14:paraId="72E0C2B1">
      <w:pPr>
        <w:widowControl/>
        <w:shd w:val="clear" w:color="auto" w:fill="FFFFFF"/>
        <w:spacing w:line="30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嘉善县罗星街道乔克国贸中心2-1002室</w:t>
      </w:r>
    </w:p>
    <w:p w14:paraId="6298A5F5">
      <w:pPr>
        <w:widowControl/>
        <w:shd w:val="clear" w:color="auto" w:fill="FFFFFF"/>
        <w:spacing w:line="30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质疑答复联系人：</w:t>
      </w:r>
      <w:r>
        <w:rPr>
          <w:rFonts w:hint="eastAsia" w:ascii="宋体" w:hAnsi="宋体" w:cs="宋体"/>
          <w:color w:val="auto"/>
          <w:sz w:val="24"/>
          <w:highlight w:val="none"/>
          <w:lang w:val="en-US" w:eastAsia="zh-CN"/>
        </w:rPr>
        <w:t>胡女士</w:t>
      </w:r>
    </w:p>
    <w:p w14:paraId="131F7706">
      <w:pPr>
        <w:widowControl/>
        <w:shd w:val="clear" w:color="auto" w:fill="FFFFFF"/>
        <w:spacing w:line="30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eastAsia="zh-CN"/>
        </w:rPr>
        <w:t>0573-84033354</w:t>
      </w:r>
    </w:p>
    <w:p w14:paraId="55CDC9FC">
      <w:pPr>
        <w:widowControl/>
        <w:shd w:val="clear" w:color="auto" w:fill="FFFFFF"/>
        <w:spacing w:line="30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嘉善县罗星街道乔克国贸中心2-1002室</w:t>
      </w:r>
    </w:p>
    <w:p w14:paraId="691842B4">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3.同级政府采购监督管理部门名称：嘉善县财政局</w:t>
      </w:r>
    </w:p>
    <w:p w14:paraId="27CCDDBC">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联系人：刘先生</w:t>
      </w:r>
    </w:p>
    <w:p w14:paraId="729D64C5">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监督投诉电话：0573-84122310</w:t>
      </w:r>
    </w:p>
    <w:p w14:paraId="08BA2E81">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传真：0573-84122528</w:t>
      </w:r>
    </w:p>
    <w:p w14:paraId="0DF269CC">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地址：嘉善县解放东路318号</w:t>
      </w:r>
    </w:p>
    <w:p w14:paraId="2CAF3987">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97A2569">
      <w:pPr>
        <w:pStyle w:val="23"/>
        <w:numPr>
          <w:ilvl w:val="0"/>
          <w:numId w:val="2"/>
        </w:numPr>
        <w:rPr>
          <w:rFonts w:hint="eastAsia" w:ascii="宋体" w:hAnsi="宋体" w:eastAsia="宋体" w:cs="宋体"/>
          <w:b/>
          <w:bCs/>
          <w:color w:val="auto"/>
          <w:szCs w:val="24"/>
          <w:highlight w:val="none"/>
          <w:lang w:val="en-US" w:eastAsia="zh-CN"/>
        </w:rPr>
      </w:pPr>
      <w:bookmarkStart w:id="23" w:name="_Toc21093"/>
      <w:r>
        <w:rPr>
          <w:rFonts w:hint="eastAsia" w:ascii="宋体" w:hAnsi="宋体" w:eastAsia="宋体" w:cs="宋体"/>
          <w:color w:val="auto"/>
          <w:highlight w:val="none"/>
        </w:rPr>
        <w:t xml:space="preserve"> </w:t>
      </w:r>
      <w:bookmarkStart w:id="24" w:name="_Toc16145"/>
      <w:bookmarkStart w:id="25" w:name="_Toc15131"/>
      <w:r>
        <w:rPr>
          <w:rFonts w:hint="eastAsia" w:ascii="宋体" w:hAnsi="宋体" w:eastAsia="宋体" w:cs="宋体"/>
          <w:color w:val="auto"/>
          <w:highlight w:val="none"/>
        </w:rPr>
        <w:t>磋商项目需求</w:t>
      </w:r>
      <w:bookmarkEnd w:id="23"/>
      <w:bookmarkEnd w:id="24"/>
      <w:bookmarkEnd w:id="25"/>
    </w:p>
    <w:p w14:paraId="1C50DBAC">
      <w:pPr>
        <w:numPr>
          <w:ilvl w:val="0"/>
          <w:numId w:val="0"/>
        </w:numPr>
        <w:jc w:val="center"/>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一、本项目工程量清单</w:t>
      </w:r>
    </w:p>
    <w:p w14:paraId="3D31FFBF">
      <w:pPr>
        <w:pStyle w:val="31"/>
        <w:numPr>
          <w:ilvl w:val="0"/>
          <w:numId w:val="0"/>
        </w:numPr>
        <w:rPr>
          <w:rFonts w:hint="eastAsia" w:ascii="宋体" w:hAnsi="宋体" w:eastAsia="宋体" w:cs="宋体"/>
          <w:color w:val="auto"/>
          <w:highlight w:val="none"/>
          <w:lang w:val="en-US" w:eastAsia="zh-CN"/>
        </w:rPr>
      </w:pPr>
    </w:p>
    <w:p w14:paraId="741C68C8">
      <w:pPr>
        <w:pStyle w:val="29"/>
        <w:spacing w:afterLines="0"/>
        <w:ind w:firstLine="480"/>
        <w:contextualSpacing/>
        <w:rPr>
          <w:rFonts w:hint="eastAsia" w:ascii="宋体" w:hAnsi="宋体" w:eastAsia="宋体" w:cs="宋体"/>
          <w:color w:val="auto"/>
          <w:highlight w:val="none"/>
        </w:rPr>
      </w:pPr>
    </w:p>
    <w:p w14:paraId="34AE74C0">
      <w:pPr>
        <w:pStyle w:val="12"/>
        <w:snapToGrid w:val="0"/>
        <w:spacing w:beforeLines="0" w:afterLines="0" w:line="300" w:lineRule="auto"/>
        <w:ind w:firstLine="482"/>
        <w:jc w:val="center"/>
        <w:rPr>
          <w:rFonts w:hint="eastAsia" w:ascii="宋体" w:hAnsi="宋体" w:eastAsia="宋体" w:cs="宋体"/>
          <w:b/>
          <w:bCs/>
          <w:color w:val="auto"/>
          <w:highlight w:val="none"/>
          <w:lang w:val="en-US" w:eastAsia="zh-CN"/>
        </w:rPr>
        <w:sectPr>
          <w:footerReference r:id="rId7" w:type="default"/>
          <w:pgSz w:w="11906" w:h="16838"/>
          <w:pgMar w:top="1418" w:right="1077" w:bottom="1418" w:left="1077" w:header="851" w:footer="851" w:gutter="0"/>
          <w:pgBorders>
            <w:top w:val="none" w:sz="0" w:space="0"/>
            <w:left w:val="none" w:sz="0" w:space="0"/>
            <w:bottom w:val="none" w:sz="0" w:space="0"/>
            <w:right w:val="none" w:sz="0" w:space="0"/>
          </w:pgBorders>
          <w:pgNumType w:fmt="decimal" w:start="1"/>
          <w:cols w:space="720" w:num="1"/>
          <w:docGrid w:linePitch="381" w:charSpace="0"/>
        </w:sectPr>
      </w:pPr>
      <w:r>
        <w:rPr>
          <w:rFonts w:hint="eastAsia" w:ascii="宋体" w:hAnsi="宋体" w:eastAsia="宋体" w:cs="宋体"/>
          <w:b/>
          <w:bCs/>
          <w:color w:val="auto"/>
          <w:highlight w:val="none"/>
          <w:lang w:val="en-US" w:eastAsia="zh-CN"/>
        </w:rPr>
        <w:t>（详见附件：</w:t>
      </w:r>
      <w:r>
        <w:rPr>
          <w:rFonts w:hint="eastAsia" w:hAnsi="宋体" w:cs="宋体"/>
          <w:b/>
          <w:bCs/>
          <w:color w:val="auto"/>
          <w:highlight w:val="none"/>
          <w:lang w:val="en-US" w:eastAsia="zh-CN"/>
        </w:rPr>
        <w:t>嘉善县实验小学2025年度校舍常规维修</w:t>
      </w:r>
      <w:r>
        <w:rPr>
          <w:rFonts w:hint="eastAsia" w:ascii="宋体" w:hAnsi="宋体" w:eastAsia="宋体" w:cs="宋体"/>
          <w:b/>
          <w:bCs/>
          <w:color w:val="auto"/>
          <w:highlight w:val="none"/>
          <w:lang w:val="en-US" w:eastAsia="zh-CN"/>
        </w:rPr>
        <w:t>-清单）</w:t>
      </w:r>
    </w:p>
    <w:p w14:paraId="651CF466">
      <w:pPr>
        <w:pStyle w:val="12"/>
        <w:snapToGrid w:val="0"/>
        <w:spacing w:beforeLines="0" w:afterLines="0" w:line="300" w:lineRule="auto"/>
        <w:ind w:firstLine="482"/>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二、商务要求表</w:t>
      </w:r>
    </w:p>
    <w:p w14:paraId="6C7075BE">
      <w:pPr>
        <w:rPr>
          <w:rFonts w:hint="eastAsia" w:ascii="宋体" w:hAnsi="宋体" w:eastAsia="宋体" w:cs="宋体"/>
          <w:color w:val="auto"/>
          <w:highlight w:val="none"/>
        </w:rPr>
      </w:pP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1"/>
        <w:gridCol w:w="7287"/>
      </w:tblGrid>
      <w:tr w14:paraId="7AF22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41" w:type="dxa"/>
            <w:tcBorders>
              <w:top w:val="single" w:color="auto" w:sz="4" w:space="0"/>
              <w:bottom w:val="single" w:color="auto" w:sz="4" w:space="0"/>
              <w:right w:val="single" w:color="auto" w:sz="4" w:space="0"/>
            </w:tcBorders>
            <w:noWrap w:val="0"/>
            <w:vAlign w:val="center"/>
          </w:tcPr>
          <w:p w14:paraId="067F9F66">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质量目标</w:t>
            </w:r>
          </w:p>
        </w:tc>
        <w:tc>
          <w:tcPr>
            <w:tcW w:w="7287" w:type="dxa"/>
            <w:tcBorders>
              <w:top w:val="single" w:color="auto" w:sz="4" w:space="0"/>
              <w:left w:val="single" w:color="auto" w:sz="4" w:space="0"/>
              <w:bottom w:val="single" w:color="auto" w:sz="4" w:space="0"/>
            </w:tcBorders>
            <w:noWrap w:val="0"/>
            <w:vAlign w:val="center"/>
          </w:tcPr>
          <w:p w14:paraId="21FD7237">
            <w:pPr>
              <w:snapToGrid w:val="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达到现行国家验收标准的合格等级</w:t>
            </w:r>
          </w:p>
        </w:tc>
      </w:tr>
      <w:tr w14:paraId="0BF48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41" w:type="dxa"/>
            <w:tcBorders>
              <w:top w:val="single" w:color="auto" w:sz="4" w:space="0"/>
              <w:bottom w:val="single" w:color="auto" w:sz="4" w:space="0"/>
              <w:right w:val="single" w:color="auto" w:sz="4" w:space="0"/>
            </w:tcBorders>
            <w:noWrap w:val="0"/>
            <w:vAlign w:val="center"/>
          </w:tcPr>
          <w:p w14:paraId="205DA6FB">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承包方式</w:t>
            </w:r>
          </w:p>
        </w:tc>
        <w:tc>
          <w:tcPr>
            <w:tcW w:w="7287" w:type="dxa"/>
            <w:tcBorders>
              <w:top w:val="single" w:color="auto" w:sz="4" w:space="0"/>
              <w:left w:val="single" w:color="auto" w:sz="4" w:space="0"/>
              <w:bottom w:val="single" w:color="auto" w:sz="4" w:space="0"/>
            </w:tcBorders>
            <w:noWrap w:val="0"/>
            <w:vAlign w:val="center"/>
          </w:tcPr>
          <w:p w14:paraId="4F4719CA">
            <w:pPr>
              <w:snapToGrid w:val="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工程量清单范围内的施工总承包</w:t>
            </w:r>
          </w:p>
        </w:tc>
      </w:tr>
      <w:tr w14:paraId="15E68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1" w:type="dxa"/>
            <w:tcBorders>
              <w:top w:val="single" w:color="auto" w:sz="4" w:space="0"/>
              <w:bottom w:val="single" w:color="auto" w:sz="4" w:space="0"/>
              <w:right w:val="single" w:color="auto" w:sz="4" w:space="0"/>
            </w:tcBorders>
            <w:noWrap w:val="0"/>
            <w:vAlign w:val="center"/>
          </w:tcPr>
          <w:p w14:paraId="14567B5F">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招标范围</w:t>
            </w:r>
          </w:p>
        </w:tc>
        <w:tc>
          <w:tcPr>
            <w:tcW w:w="7287" w:type="dxa"/>
            <w:tcBorders>
              <w:top w:val="single" w:color="auto" w:sz="4" w:space="0"/>
              <w:left w:val="single" w:color="auto" w:sz="4" w:space="0"/>
              <w:bottom w:val="single" w:color="auto" w:sz="4" w:space="0"/>
            </w:tcBorders>
            <w:noWrap w:val="0"/>
            <w:vAlign w:val="center"/>
          </w:tcPr>
          <w:p w14:paraId="334F456A">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详见工程量清单</w:t>
            </w:r>
          </w:p>
        </w:tc>
      </w:tr>
      <w:tr w14:paraId="64D59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2341" w:type="dxa"/>
            <w:tcBorders>
              <w:top w:val="single" w:color="auto" w:sz="4" w:space="0"/>
              <w:bottom w:val="single" w:color="auto" w:sz="4" w:space="0"/>
              <w:right w:val="single" w:color="auto" w:sz="4" w:space="0"/>
            </w:tcBorders>
            <w:noWrap w:val="0"/>
            <w:vAlign w:val="center"/>
          </w:tcPr>
          <w:p w14:paraId="757D9BD4">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p>
          <w:p w14:paraId="0AA01884">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（工期要求）</w:t>
            </w:r>
          </w:p>
        </w:tc>
        <w:tc>
          <w:tcPr>
            <w:tcW w:w="7287" w:type="dxa"/>
            <w:tcBorders>
              <w:top w:val="single" w:color="auto" w:sz="4" w:space="0"/>
              <w:left w:val="single" w:color="auto" w:sz="4" w:space="0"/>
              <w:bottom w:val="single" w:color="auto" w:sz="4" w:space="0"/>
            </w:tcBorders>
            <w:noWrap w:val="0"/>
            <w:vAlign w:val="center"/>
          </w:tcPr>
          <w:p w14:paraId="40EDE9F8">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lang w:val="en-US" w:eastAsia="zh-CN"/>
              </w:rPr>
              <w:t>35日历天</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注：供应商磋商时可根据此工期要求及本工程特点，结合自身施工经验、技术水平及管理能力，按工期要求填报具有竞争力的投标工期（</w:t>
            </w:r>
            <w:r>
              <w:rPr>
                <w:rFonts w:hint="eastAsia" w:ascii="宋体" w:hAnsi="宋体" w:cs="宋体"/>
                <w:color w:val="auto"/>
                <w:kern w:val="2"/>
                <w:sz w:val="24"/>
                <w:szCs w:val="24"/>
                <w:highlight w:val="none"/>
                <w:lang w:val="en-US" w:eastAsia="zh-CN" w:bidi="ar-SA"/>
              </w:rPr>
              <w:t>不超过</w:t>
            </w:r>
            <w:r>
              <w:rPr>
                <w:rFonts w:hint="eastAsia" w:ascii="宋体" w:hAnsi="宋体" w:cs="宋体"/>
                <w:color w:val="auto"/>
                <w:sz w:val="24"/>
                <w:highlight w:val="none"/>
                <w:lang w:val="en-US" w:eastAsia="zh-CN"/>
              </w:rPr>
              <w:t>35日历天</w:t>
            </w:r>
            <w:r>
              <w:rPr>
                <w:rFonts w:hint="eastAsia" w:ascii="宋体" w:hAnsi="宋体" w:eastAsia="宋体" w:cs="宋体"/>
                <w:color w:val="auto"/>
                <w:kern w:val="2"/>
                <w:sz w:val="24"/>
                <w:szCs w:val="24"/>
                <w:highlight w:val="none"/>
                <w:lang w:val="en-US" w:eastAsia="zh-CN" w:bidi="ar-SA"/>
              </w:rPr>
              <w:t>）。一旦中标，该工期即为合同工期。</w:t>
            </w:r>
          </w:p>
        </w:tc>
      </w:tr>
      <w:tr w14:paraId="63AFB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7" w:hRule="atLeast"/>
        </w:trPr>
        <w:tc>
          <w:tcPr>
            <w:tcW w:w="2341" w:type="dxa"/>
            <w:tcBorders>
              <w:top w:val="single" w:color="auto" w:sz="4" w:space="0"/>
              <w:right w:val="single" w:color="auto" w:sz="4" w:space="0"/>
            </w:tcBorders>
            <w:noWrap w:val="0"/>
            <w:vAlign w:val="center"/>
          </w:tcPr>
          <w:p w14:paraId="336D86A0">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磋商报价的</w:t>
            </w:r>
          </w:p>
          <w:p w14:paraId="436E61F6">
            <w:pPr>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其他要求</w:t>
            </w:r>
          </w:p>
        </w:tc>
        <w:tc>
          <w:tcPr>
            <w:tcW w:w="7287" w:type="dxa"/>
            <w:tcBorders>
              <w:top w:val="single" w:color="auto" w:sz="4" w:space="0"/>
              <w:left w:val="single" w:color="auto" w:sz="4" w:space="0"/>
              <w:bottom w:val="single" w:color="auto" w:sz="4" w:space="0"/>
            </w:tcBorders>
            <w:noWrap w:val="0"/>
            <w:vAlign w:val="center"/>
          </w:tcPr>
          <w:p w14:paraId="69318BAF">
            <w:pPr>
              <w:pStyle w:val="8"/>
              <w:keepNext w:val="0"/>
              <w:keepLines w:val="0"/>
              <w:pageBreakBefore w:val="0"/>
              <w:widowControl w:val="0"/>
              <w:numPr>
                <w:ilvl w:val="0"/>
                <w:numId w:val="3"/>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磋商报价应按磋商采购文件中相关附表格式填写。</w:t>
            </w:r>
          </w:p>
          <w:p w14:paraId="454994C9">
            <w:pPr>
              <w:pStyle w:val="8"/>
              <w:keepNext w:val="0"/>
              <w:keepLines w:val="0"/>
              <w:pageBreakBefore w:val="0"/>
              <w:widowControl w:val="0"/>
              <w:numPr>
                <w:ilvl w:val="0"/>
                <w:numId w:val="3"/>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投标单位应根据业主提供的图纸、工程量清单及有关技术资料，确定单价、合价，并承担计算差错责任。</w:t>
            </w:r>
          </w:p>
          <w:p w14:paraId="2FCD7142">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3.磋商报价应是招标文件所确定的招标范围内全部工作内容的价格表现。其应包括施工设备、劳务、管理、材料、安装、维护、</w:t>
            </w:r>
            <w:r>
              <w:rPr>
                <w:rFonts w:hint="eastAsia" w:ascii="宋体" w:hAnsi="宋体" w:eastAsia="宋体" w:cs="宋体"/>
                <w:b/>
                <w:bCs/>
                <w:color w:val="auto"/>
                <w:kern w:val="2"/>
                <w:sz w:val="24"/>
                <w:szCs w:val="24"/>
                <w:highlight w:val="none"/>
                <w:lang w:val="en-US" w:eastAsia="zh-CN" w:bidi="ar-SA"/>
              </w:rPr>
              <w:t>规费(按嘉建办〔2019〕34号关于转发省住建厅、省发改委、省财政厅《关于颁发浙江省建设工程计价依据（2018版）的通知》执行，投标人可根据自身实际情况，自主确定其投标费率，但最低不得低于标准费率的30%)、</w:t>
            </w:r>
            <w:r>
              <w:rPr>
                <w:rFonts w:hint="eastAsia" w:ascii="宋体" w:hAnsi="宋体" w:eastAsia="宋体" w:cs="宋体"/>
                <w:color w:val="auto"/>
                <w:kern w:val="2"/>
                <w:sz w:val="24"/>
                <w:szCs w:val="24"/>
                <w:highlight w:val="none"/>
                <w:lang w:val="en-US" w:eastAsia="zh-CN" w:bidi="ar-SA"/>
              </w:rPr>
              <w:t>税金、利润等政策性文件上各项应有费用。投标人计算各项费用时，应按照招标人要求，根据工程特点并结合市场行情及投标人自身状况，考虑各项可能发生的风险费用。</w:t>
            </w:r>
          </w:p>
          <w:p w14:paraId="7A6EDC7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安全文明施工费（含施工扬尘污染防治增加费）应按国家和省有关规定计算，包含在签约合同价内，不得作为竞争性费用，是必须计取的措施项目，费率根据《浙江省建设工程计价规则》（2018版）规定计取，并不得低于规定的下限值。本工程为市区工程。本次报价采用“综合单价”，规费、税金采用一般计税法。</w:t>
            </w:r>
          </w:p>
          <w:p w14:paraId="5F3CA7B1">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1）投标人投标报价时取费必须符合《建设工程工程量清单计价规范》（GB50500-2013）、《浙江省建设工程计价规则》（2018版）、嘉建办〔2019〕34号关于转发省住建厅、省发改委、省财政厅《关于颁发浙江省建设工程计价依据（2018版）的通知》的通知、建办标函[2019]193号《住房和城乡建设部办公厅关于重新调整建设工程计价依据增值税税率的通知》</w:t>
            </w:r>
            <w:r>
              <w:rPr>
                <w:rFonts w:hint="eastAsia" w:ascii="宋体" w:hAnsi="宋体" w:eastAsia="宋体" w:cs="宋体"/>
                <w:b/>
                <w:bCs/>
                <w:color w:val="auto"/>
                <w:kern w:val="2"/>
                <w:sz w:val="24"/>
                <w:szCs w:val="24"/>
                <w:highlight w:val="none"/>
                <w:lang w:val="en-US" w:eastAsia="zh-CN" w:bidi="ar-SA"/>
              </w:rPr>
              <w:t>及浙江省相关补充和调整管理规定，</w:t>
            </w:r>
            <w:r>
              <w:rPr>
                <w:rFonts w:hint="eastAsia" w:ascii="宋体" w:hAnsi="宋体" w:eastAsia="宋体" w:cs="宋体"/>
                <w:color w:val="auto"/>
                <w:kern w:val="2"/>
                <w:sz w:val="24"/>
                <w:szCs w:val="24"/>
                <w:highlight w:val="none"/>
                <w:lang w:val="en-US" w:eastAsia="zh-CN" w:bidi="ar-SA"/>
              </w:rPr>
              <w:t>否则由评标委员会作否决投标处理。</w:t>
            </w:r>
          </w:p>
          <w:p w14:paraId="778199C3">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（2）不可预见费、风险系数等自行考虑，并计入报价内。凡施工中涉及到的安全维护、行车干扰、土方运输（多余土方外运卸点自行考虑）、材料堆放、夜间施工、水电费用等等均包含在本报价中。</w:t>
            </w:r>
          </w:p>
          <w:p w14:paraId="63A2342F">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凡涉及城建、城管、环保、工商、保险、水利等部门有可能发生的费用，需自行考虑，并进入总报价内。施工单位开工前需要办理建筑工程一切险（包括建设工程施工人员人身意外伤害险）、第三者责任险。保险费用由各投标单位考虑进入总报价。</w:t>
            </w:r>
          </w:p>
          <w:p w14:paraId="104FF4F4">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（4）成交供应商须按有关文件规定交纳相关费用，并及时办理相关许可证。</w:t>
            </w:r>
          </w:p>
          <w:p w14:paraId="7D16D31D">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（5）成交供应商负责施工所需的水、电、电讯线路等接至施工场地，各投标人须自行踏勘施工现场（如未踏勘招标人将视作已踏勘），相关费用须考虑在投标报价中，今后不作签证。</w:t>
            </w:r>
          </w:p>
          <w:p w14:paraId="621386D1">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（6）人工价可按最新月度嘉兴市人工市场信息价计取也可根据企业实力自定价格计取。</w:t>
            </w:r>
          </w:p>
          <w:p w14:paraId="7E8CE7B9">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本工程招标文件（含清单）中若有品牌（或厂家）名称只是招标引用的品牌（或厂家）。如投标人拟选用的是招标人引用的材料品牌（或厂家）则无须在投标文件中明确所选用的材料品牌（或厂家），但中标后实际采购时必须按招标人要求从招标文件（含清单）引用的品牌（或厂家）中选用其中一个品牌（或厂家）作为实际使用品牌（或厂家）；如投标人在选用的材料品牌（或厂家）为招标人推荐的材料品牌（或厂家）范围之外的，则其必须在投标文件中以单独章节附相关资料以证明其投标选用的材料品牌（或厂家）是相当于招标人引用的品牌（或厂家），否则由评标委员会作否决投标处理。</w:t>
            </w:r>
          </w:p>
          <w:p w14:paraId="38484495">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（8）本工程混凝土、砂浆必须使用预拌商品混凝土、砂浆且符合“善发改〔2012〕214号”文件要求。</w:t>
            </w:r>
          </w:p>
          <w:p w14:paraId="653C78EE">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（9）投标人需自行踏勘现场，未踏勘的，招标人视为已踏勘，由此引起的后果由投标人自负，并不得以此理由提出任何异议及赔偿。</w:t>
            </w:r>
          </w:p>
          <w:p w14:paraId="00CD7327">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（10）施工进出线路应按照相关要求执行，各投标人须现场踏勘，相关费用须在报价中考虑，中标后不再另行增加。</w:t>
            </w:r>
          </w:p>
          <w:p w14:paraId="76786D86">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（11）投标人必须达到“善建质安 [2022]2号关于印发《嘉善县建设工程文明施工管理实施细则》”的要求，所产生的费用请考虑在报价中，结算时不再另行计取。</w:t>
            </w:r>
          </w:p>
          <w:p w14:paraId="384C5424">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（12）安全文明施工费（含施工扬尘污染防治增加费）应按国家和省有关规定计算，包含在签约合同价内，不得作为竞争性费用。</w:t>
            </w:r>
          </w:p>
          <w:p w14:paraId="4160EC72">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4.本工程报价采用</w:t>
            </w:r>
            <w:r>
              <w:rPr>
                <w:rFonts w:hint="eastAsia" w:ascii="宋体" w:hAnsi="宋体" w:eastAsia="宋体" w:cs="宋体"/>
                <w:b/>
                <w:bCs/>
                <w:color w:val="auto"/>
                <w:kern w:val="2"/>
                <w:sz w:val="24"/>
                <w:szCs w:val="24"/>
                <w:highlight w:val="none"/>
                <w:u w:val="single"/>
                <w:lang w:val="en-US" w:eastAsia="zh-CN" w:bidi="ar-SA"/>
              </w:rPr>
              <w:t xml:space="preserve"> 固定综合单价 </w:t>
            </w:r>
            <w:r>
              <w:rPr>
                <w:rFonts w:hint="eastAsia" w:ascii="宋体" w:hAnsi="宋体" w:eastAsia="宋体" w:cs="宋体"/>
                <w:color w:val="auto"/>
                <w:kern w:val="2"/>
                <w:sz w:val="24"/>
                <w:szCs w:val="24"/>
                <w:highlight w:val="none"/>
                <w:lang w:val="en-US" w:eastAsia="zh-CN" w:bidi="ar-SA"/>
              </w:rPr>
              <w:t>方式进行编制，投标人所填写的单价在合同实施期间不因市场因素变化而变动。</w:t>
            </w:r>
          </w:p>
          <w:p w14:paraId="7A0A3816">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5.本招标工程磋商报价参考的依据：</w:t>
            </w:r>
          </w:p>
          <w:p w14:paraId="3A2D5C2A">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A.《建设工程工程量清单计价规范（GB50500—2013）》、《浙江省建设工程计价规则》（2018版）、《浙江省房屋建筑与装饰工程预算定额》（2018版）</w:t>
            </w:r>
            <w:r>
              <w:rPr>
                <w:rFonts w:hint="eastAsia" w:ascii="宋体" w:hAnsi="宋体" w:cs="宋体"/>
                <w:color w:val="auto"/>
                <w:kern w:val="2"/>
                <w:sz w:val="24"/>
                <w:szCs w:val="24"/>
                <w:highlight w:val="none"/>
                <w:lang w:val="en-US" w:eastAsia="zh-CN" w:bidi="ar-SA"/>
              </w:rPr>
              <w:t>、《浙江省通用安装工程预算定额》（2018版）、</w:t>
            </w:r>
            <w:r>
              <w:rPr>
                <w:rFonts w:hint="eastAsia" w:ascii="宋体" w:hAnsi="宋体" w:eastAsia="宋体" w:cs="宋体"/>
                <w:color w:val="auto"/>
                <w:kern w:val="2"/>
                <w:sz w:val="24"/>
                <w:szCs w:val="24"/>
                <w:highlight w:val="none"/>
                <w:lang w:val="en-US" w:eastAsia="zh-CN" w:bidi="ar-SA"/>
              </w:rPr>
              <w:t>《浙江省建设工程施工机械台班费用定额》（2018版）、浙江省相关补充和调整管理规定以及浙江省市工程造价管理机构发布的人工、材料、施工机械台班市场价格信息、工程造价指数等；</w:t>
            </w:r>
          </w:p>
          <w:p w14:paraId="61BFAB62">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B.最新《嘉兴造价管理》和《浙江造价信息》；</w:t>
            </w:r>
          </w:p>
          <w:p w14:paraId="5314DF03">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w:t>
            </w:r>
            <w:r>
              <w:rPr>
                <w:rFonts w:hint="eastAsia" w:ascii="宋体" w:hAnsi="宋体" w:cs="宋体"/>
                <w:color w:val="auto"/>
                <w:kern w:val="2"/>
                <w:sz w:val="24"/>
                <w:szCs w:val="24"/>
                <w:highlight w:val="none"/>
                <w:lang w:val="en-US" w:eastAsia="zh-CN" w:bidi="ar-SA"/>
              </w:rPr>
              <w:t>嘉善县实验小学2025年度校舍常规维修</w:t>
            </w:r>
            <w:r>
              <w:rPr>
                <w:rFonts w:hint="eastAsia" w:ascii="宋体" w:hAnsi="宋体" w:eastAsia="宋体" w:cs="宋体"/>
                <w:color w:val="auto"/>
                <w:kern w:val="2"/>
                <w:sz w:val="24"/>
                <w:szCs w:val="24"/>
                <w:highlight w:val="none"/>
                <w:lang w:val="en-US" w:eastAsia="zh-CN" w:bidi="ar-SA"/>
              </w:rPr>
              <w:t>施工图（详见第四章）；</w:t>
            </w:r>
          </w:p>
          <w:p w14:paraId="3C62D6E5">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D.</w:t>
            </w:r>
            <w:r>
              <w:rPr>
                <w:rFonts w:hint="eastAsia" w:ascii="宋体" w:hAnsi="宋体" w:cs="宋体"/>
                <w:color w:val="auto"/>
                <w:kern w:val="2"/>
                <w:sz w:val="24"/>
                <w:szCs w:val="24"/>
                <w:highlight w:val="none"/>
                <w:lang w:val="en-US" w:eastAsia="zh-CN" w:bidi="ar-SA"/>
              </w:rPr>
              <w:t>嘉善县实验小学2025年度校舍常规维修</w:t>
            </w:r>
            <w:r>
              <w:rPr>
                <w:rFonts w:hint="eastAsia" w:ascii="宋体" w:hAnsi="宋体" w:eastAsia="宋体" w:cs="宋体"/>
                <w:color w:val="auto"/>
                <w:kern w:val="2"/>
                <w:sz w:val="24"/>
                <w:szCs w:val="24"/>
                <w:highlight w:val="none"/>
                <w:lang w:val="en-US" w:eastAsia="zh-CN" w:bidi="ar-SA"/>
              </w:rPr>
              <w:t>竞争性磋商文件；</w:t>
            </w:r>
          </w:p>
          <w:p w14:paraId="3C2F3334">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w:t>
            </w:r>
            <w:r>
              <w:rPr>
                <w:rFonts w:hint="eastAsia" w:ascii="宋体" w:hAnsi="宋体" w:cs="宋体"/>
                <w:color w:val="auto"/>
                <w:kern w:val="2"/>
                <w:sz w:val="24"/>
                <w:szCs w:val="24"/>
                <w:highlight w:val="none"/>
                <w:lang w:val="en-US" w:eastAsia="zh-CN" w:bidi="ar-SA"/>
              </w:rPr>
              <w:t>嘉善县实验小学2025年度校舍常规维修</w:t>
            </w:r>
            <w:r>
              <w:rPr>
                <w:rFonts w:hint="eastAsia" w:ascii="宋体" w:hAnsi="宋体" w:eastAsia="宋体" w:cs="宋体"/>
                <w:color w:val="auto"/>
                <w:kern w:val="2"/>
                <w:sz w:val="24"/>
                <w:szCs w:val="24"/>
                <w:highlight w:val="none"/>
                <w:lang w:val="en-US" w:eastAsia="zh-CN" w:bidi="ar-SA"/>
              </w:rPr>
              <w:t>竞争性磋商补充通知(如有)；</w:t>
            </w:r>
          </w:p>
          <w:p w14:paraId="15E5C677">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kern w:val="2"/>
                <w:sz w:val="24"/>
                <w:szCs w:val="24"/>
                <w:highlight w:val="none"/>
                <w:lang w:val="en-US" w:eastAsia="zh-CN" w:bidi="ar-SA"/>
              </w:rPr>
              <w:t>6．在磋商过程中允许再进行最后一次报价，投标人所填写的下浮率在合同实施期间不因市场因素变化而变动，有选择的或有条件的报价将不予接受。</w:t>
            </w:r>
          </w:p>
        </w:tc>
      </w:tr>
    </w:tbl>
    <w:p w14:paraId="5315B30F">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0120DCDA">
      <w:pPr>
        <w:pStyle w:val="23"/>
        <w:numPr>
          <w:ilvl w:val="0"/>
          <w:numId w:val="2"/>
        </w:numP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26" w:name="_Toc14636"/>
      <w:bookmarkStart w:id="27" w:name="_Toc15032"/>
      <w:r>
        <w:rPr>
          <w:rFonts w:hint="eastAsia" w:ascii="宋体" w:hAnsi="宋体" w:eastAsia="宋体" w:cs="宋体"/>
          <w:color w:val="auto"/>
          <w:highlight w:val="none"/>
        </w:rPr>
        <w:t>供应商须知</w:t>
      </w:r>
      <w:bookmarkEnd w:id="26"/>
      <w:bookmarkEnd w:id="27"/>
    </w:p>
    <w:p w14:paraId="5EAB5726">
      <w:pPr>
        <w:pStyle w:val="4"/>
        <w:spacing w:before="0" w:after="0" w:line="240" w:lineRule="auto"/>
        <w:ind w:firstLine="566" w:firstLineChars="235"/>
        <w:jc w:val="center"/>
        <w:rPr>
          <w:rFonts w:hint="eastAsia" w:ascii="宋体" w:hAnsi="宋体" w:eastAsia="宋体" w:cs="宋体"/>
          <w:color w:val="auto"/>
          <w:highlight w:val="none"/>
        </w:rPr>
      </w:pPr>
      <w:bookmarkStart w:id="28" w:name="_Toc7043"/>
      <w:bookmarkStart w:id="29" w:name="_Toc15447"/>
      <w:r>
        <w:rPr>
          <w:rFonts w:hint="eastAsia" w:ascii="宋体" w:hAnsi="宋体" w:eastAsia="宋体" w:cs="宋体"/>
          <w:color w:val="auto"/>
          <w:highlight w:val="none"/>
        </w:rPr>
        <w:t>一、前附表</w:t>
      </w:r>
      <w:bookmarkEnd w:id="28"/>
      <w:bookmarkEnd w:id="29"/>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1988"/>
        <w:gridCol w:w="6799"/>
      </w:tblGrid>
      <w:tr w14:paraId="18425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841" w:type="dxa"/>
            <w:tcBorders>
              <w:top w:val="single" w:color="auto" w:sz="4" w:space="0"/>
              <w:bottom w:val="single" w:color="auto" w:sz="4" w:space="0"/>
              <w:right w:val="single" w:color="auto" w:sz="4" w:space="0"/>
            </w:tcBorders>
            <w:noWrap w:val="0"/>
            <w:vAlign w:val="center"/>
          </w:tcPr>
          <w:p w14:paraId="473420B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93EFE4D">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6799" w:type="dxa"/>
            <w:tcBorders>
              <w:top w:val="single" w:color="auto" w:sz="4" w:space="0"/>
              <w:left w:val="single" w:color="auto" w:sz="4" w:space="0"/>
              <w:bottom w:val="single" w:color="auto" w:sz="4" w:space="0"/>
            </w:tcBorders>
            <w:noWrap w:val="0"/>
            <w:vAlign w:val="center"/>
          </w:tcPr>
          <w:p w14:paraId="4687BDB9">
            <w:pPr>
              <w:snapToGrid w:val="0"/>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2B6AC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0EC40C6C">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06013EA">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799" w:type="dxa"/>
            <w:tcBorders>
              <w:top w:val="single" w:color="auto" w:sz="4" w:space="0"/>
              <w:left w:val="single" w:color="auto" w:sz="4" w:space="0"/>
              <w:bottom w:val="single" w:color="auto" w:sz="4" w:space="0"/>
            </w:tcBorders>
            <w:noWrap w:val="0"/>
            <w:vAlign w:val="center"/>
          </w:tcPr>
          <w:p w14:paraId="1E490F15">
            <w:pPr>
              <w:snapToGrid w:val="0"/>
              <w:rPr>
                <w:rFonts w:hint="eastAsia" w:ascii="宋体" w:hAnsi="宋体" w:eastAsia="宋体" w:cs="宋体"/>
                <w:b/>
                <w:bCs/>
                <w:color w:val="auto"/>
                <w:sz w:val="24"/>
                <w:szCs w:val="24"/>
                <w:highlight w:val="none"/>
                <w:lang w:eastAsia="zh-CN"/>
              </w:rPr>
            </w:pPr>
            <w:r>
              <w:rPr>
                <w:rFonts w:hint="eastAsia" w:ascii="宋体" w:hAnsi="宋体" w:cs="宋体"/>
                <w:color w:val="auto"/>
                <w:kern w:val="2"/>
                <w:sz w:val="24"/>
                <w:szCs w:val="24"/>
                <w:highlight w:val="none"/>
                <w:lang w:val="en-US" w:eastAsia="zh-CN" w:bidi="ar-SA"/>
              </w:rPr>
              <w:t>嘉善县实验小学2025年度校舍常规维修</w:t>
            </w:r>
          </w:p>
        </w:tc>
      </w:tr>
      <w:tr w14:paraId="6D1B6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0" w:hRule="atLeast"/>
        </w:trPr>
        <w:tc>
          <w:tcPr>
            <w:tcW w:w="841" w:type="dxa"/>
            <w:tcBorders>
              <w:top w:val="single" w:color="auto" w:sz="4" w:space="0"/>
              <w:bottom w:val="single" w:color="auto" w:sz="4" w:space="0"/>
              <w:right w:val="single" w:color="auto" w:sz="4" w:space="0"/>
            </w:tcBorders>
            <w:noWrap w:val="0"/>
            <w:vAlign w:val="center"/>
          </w:tcPr>
          <w:p w14:paraId="314A73A6">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5B3661B">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磋商报价及费用</w:t>
            </w:r>
          </w:p>
        </w:tc>
        <w:tc>
          <w:tcPr>
            <w:tcW w:w="6799" w:type="dxa"/>
            <w:tcBorders>
              <w:top w:val="single" w:color="auto" w:sz="4" w:space="0"/>
              <w:left w:val="single" w:color="auto" w:sz="4" w:space="0"/>
              <w:bottom w:val="single" w:color="auto" w:sz="4" w:space="0"/>
            </w:tcBorders>
            <w:noWrap w:val="0"/>
            <w:vAlign w:val="center"/>
          </w:tcPr>
          <w:p w14:paraId="7F8425D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第壹轮报价</w:t>
            </w:r>
            <w:r>
              <w:rPr>
                <w:rFonts w:hint="eastAsia" w:ascii="宋体" w:hAnsi="宋体" w:eastAsia="宋体" w:cs="宋体"/>
                <w:color w:val="auto"/>
                <w:sz w:val="24"/>
                <w:szCs w:val="24"/>
                <w:highlight w:val="none"/>
              </w:rPr>
              <w:t>应以人民币报价；本项目</w:t>
            </w:r>
            <w:r>
              <w:rPr>
                <w:rFonts w:hint="eastAsia" w:ascii="宋体" w:hAnsi="宋体" w:eastAsia="宋体" w:cs="宋体"/>
                <w:color w:val="auto"/>
                <w:sz w:val="24"/>
                <w:szCs w:val="24"/>
                <w:highlight w:val="none"/>
                <w:lang w:val="en-US" w:eastAsia="zh-CN"/>
              </w:rPr>
              <w:t>最终报价</w:t>
            </w:r>
            <w:r>
              <w:rPr>
                <w:rFonts w:hint="eastAsia" w:ascii="宋体" w:hAnsi="宋体" w:eastAsia="宋体" w:cs="宋体"/>
                <w:color w:val="auto"/>
                <w:sz w:val="24"/>
                <w:szCs w:val="24"/>
                <w:highlight w:val="none"/>
              </w:rPr>
              <w:t>应以人民币</w:t>
            </w:r>
            <w:r>
              <w:rPr>
                <w:rFonts w:hint="eastAsia" w:ascii="宋体" w:hAnsi="宋体" w:eastAsia="宋体" w:cs="宋体"/>
                <w:color w:val="auto"/>
                <w:sz w:val="24"/>
                <w:szCs w:val="24"/>
                <w:highlight w:val="none"/>
                <w:lang w:val="en-US" w:eastAsia="zh-CN"/>
              </w:rPr>
              <w:t>及下浮率</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w:t>
            </w:r>
          </w:p>
          <w:p w14:paraId="289F09F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供应商应按竞争性磋商文件以及规定的格式及内容填写报价等相关表格。对没有填报的费用，采购人将不予支付，并认为此项费用已包含在报价中。</w:t>
            </w:r>
          </w:p>
          <w:p w14:paraId="0D5623C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本工程采用</w:t>
            </w:r>
            <w:r>
              <w:rPr>
                <w:rFonts w:hint="eastAsia" w:ascii="宋体" w:hAnsi="宋体" w:eastAsia="宋体" w:cs="宋体"/>
                <w:b/>
                <w:bCs/>
                <w:color w:val="auto"/>
                <w:sz w:val="24"/>
                <w:szCs w:val="24"/>
                <w:highlight w:val="none"/>
              </w:rPr>
              <w:t>固定综合单价</w:t>
            </w:r>
            <w:r>
              <w:rPr>
                <w:rFonts w:hint="eastAsia" w:ascii="宋体" w:hAnsi="宋体" w:eastAsia="宋体" w:cs="宋体"/>
                <w:color w:val="auto"/>
                <w:sz w:val="24"/>
                <w:szCs w:val="24"/>
                <w:highlight w:val="none"/>
              </w:rPr>
              <w:t>方式承包，工程量按实结算。按照《建设工程工程量清单计价规范》（GB50500-2013）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《浙江省建设工程计价规则》（2018版）等国家现行标准、技术规范和</w:t>
            </w:r>
            <w:r>
              <w:rPr>
                <w:rFonts w:hint="eastAsia" w:ascii="宋体" w:hAnsi="宋体" w:eastAsia="宋体" w:cs="宋体"/>
                <w:color w:val="auto"/>
                <w:sz w:val="24"/>
                <w:szCs w:val="24"/>
                <w:highlight w:val="none"/>
                <w:lang w:val="en-US" w:eastAsia="zh-CN"/>
              </w:rPr>
              <w:t>工程所在地</w:t>
            </w:r>
            <w:r>
              <w:rPr>
                <w:rFonts w:hint="eastAsia" w:ascii="宋体" w:hAnsi="宋体" w:eastAsia="宋体" w:cs="宋体"/>
                <w:color w:val="auto"/>
                <w:sz w:val="24"/>
                <w:szCs w:val="24"/>
                <w:highlight w:val="none"/>
              </w:rPr>
              <w:t>省、市的相关计价规定。供应商应按照</w:t>
            </w:r>
            <w:r>
              <w:rPr>
                <w:rFonts w:hint="eastAsia" w:ascii="宋体" w:hAnsi="宋体" w:eastAsia="宋体" w:cs="宋体"/>
                <w:color w:val="auto"/>
                <w:sz w:val="24"/>
                <w:szCs w:val="24"/>
                <w:highlight w:val="none"/>
                <w:lang w:val="en-US" w:eastAsia="zh-CN"/>
              </w:rPr>
              <w:t>磋商项目</w:t>
            </w:r>
            <w:r>
              <w:rPr>
                <w:rFonts w:hint="eastAsia" w:ascii="宋体" w:hAnsi="宋体" w:eastAsia="宋体" w:cs="宋体"/>
                <w:color w:val="auto"/>
                <w:sz w:val="24"/>
                <w:szCs w:val="24"/>
                <w:highlight w:val="none"/>
              </w:rPr>
              <w:t>要求和采购人所提供工程量清单以及现场踏勘了解所得等，编制工程量清单报价表并承担相应的风险责任。</w:t>
            </w:r>
          </w:p>
          <w:p w14:paraId="37FA47EE">
            <w:pPr>
              <w:pStyle w:val="17"/>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本工程结算方式：按成交供应商的第壹轮报价的计算口径，按实际工程量计算所得工程造价</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1-成交下浮率</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u w:val="none"/>
                <w:lang w:val="en-US" w:eastAsia="zh-CN"/>
              </w:rPr>
              <w:t>。</w:t>
            </w:r>
          </w:p>
          <w:p w14:paraId="0E81736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eastAsia="宋体"/>
                <w:color w:val="auto"/>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不论</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结果如何，供应商均应自行承担所有与</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有关的全部费用。</w:t>
            </w:r>
          </w:p>
        </w:tc>
      </w:tr>
      <w:tr w14:paraId="1A76C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841" w:type="dxa"/>
            <w:tcBorders>
              <w:top w:val="single" w:color="auto" w:sz="4" w:space="0"/>
              <w:bottom w:val="single" w:color="auto" w:sz="4" w:space="0"/>
              <w:right w:val="single" w:color="auto" w:sz="4" w:space="0"/>
            </w:tcBorders>
            <w:noWrap w:val="0"/>
            <w:vAlign w:val="center"/>
          </w:tcPr>
          <w:p w14:paraId="720D13DF">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392FBC69">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w:t>
            </w:r>
          </w:p>
        </w:tc>
        <w:tc>
          <w:tcPr>
            <w:tcW w:w="6799" w:type="dxa"/>
            <w:tcBorders>
              <w:top w:val="single" w:color="auto" w:sz="4" w:space="0"/>
              <w:left w:val="single" w:color="auto" w:sz="4" w:space="0"/>
              <w:bottom w:val="single" w:color="auto" w:sz="4" w:space="0"/>
            </w:tcBorders>
            <w:noWrap w:val="0"/>
            <w:vAlign w:val="center"/>
          </w:tcPr>
          <w:p w14:paraId="59D6AD5C">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各投标人可自行勘察现场，交通工具、勘察现场时的安全由各投标人自行负责。</w:t>
            </w:r>
          </w:p>
        </w:tc>
      </w:tr>
      <w:tr w14:paraId="03DB1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7" w:hRule="atLeast"/>
        </w:trPr>
        <w:tc>
          <w:tcPr>
            <w:tcW w:w="841" w:type="dxa"/>
            <w:tcBorders>
              <w:top w:val="single" w:color="auto" w:sz="4" w:space="0"/>
              <w:bottom w:val="single" w:color="auto" w:sz="4" w:space="0"/>
              <w:right w:val="single" w:color="auto" w:sz="4" w:space="0"/>
            </w:tcBorders>
            <w:noWrap w:val="0"/>
            <w:vAlign w:val="center"/>
          </w:tcPr>
          <w:p w14:paraId="78FF0653">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A2F73DB">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磋商响应文件组成</w:t>
            </w:r>
          </w:p>
        </w:tc>
        <w:tc>
          <w:tcPr>
            <w:tcW w:w="6799" w:type="dxa"/>
            <w:tcBorders>
              <w:top w:val="single" w:color="auto" w:sz="4" w:space="0"/>
              <w:left w:val="single" w:color="auto" w:sz="4" w:space="0"/>
              <w:bottom w:val="single" w:color="auto" w:sz="4" w:space="0"/>
            </w:tcBorders>
            <w:noWrap w:val="0"/>
            <w:vAlign w:val="center"/>
          </w:tcPr>
          <w:p w14:paraId="20D33BC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本项目实行网上投标响应，供应商应准备以下响应文件：</w:t>
            </w:r>
          </w:p>
          <w:p w14:paraId="0B52641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（1）供应商于“政采云”上提供电子响应文件。</w:t>
            </w:r>
          </w:p>
          <w:p w14:paraId="1C992AC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（2）将在政采云平台上最后生成的具备电子签章的备份电子标文件1份 。（光盘上应当用不褪色墨水笔注明供应商名称、项目名称以及法定代表人或其委托代理人签名，供应商应当确保电子光盘能够打开运行并正常使用）装袋密封后邮寄或直接送达至</w:t>
            </w:r>
            <w:r>
              <w:rPr>
                <w:rFonts w:hint="eastAsia" w:ascii="宋体" w:hAnsi="宋体" w:cs="宋体"/>
                <w:color w:val="auto"/>
                <w:sz w:val="24"/>
                <w:szCs w:val="24"/>
                <w:highlight w:val="none"/>
                <w:lang w:eastAsia="zh-CN"/>
              </w:rPr>
              <w:t>浙江中合工程管理有限公司</w:t>
            </w:r>
            <w:r>
              <w:rPr>
                <w:rFonts w:hint="eastAsia" w:ascii="宋体" w:hAnsi="宋体" w:eastAsia="宋体" w:cs="宋体"/>
                <w:color w:val="auto"/>
                <w:sz w:val="24"/>
                <w:szCs w:val="24"/>
                <w:highlight w:val="none"/>
              </w:rPr>
              <w:t>，密封袋上有接缝处均需加盖单位公章和法定代表人印章（送达地址：</w:t>
            </w:r>
            <w:r>
              <w:rPr>
                <w:rFonts w:hint="eastAsia" w:ascii="宋体" w:hAnsi="宋体" w:eastAsia="宋体" w:cs="宋体"/>
                <w:color w:val="auto"/>
                <w:sz w:val="24"/>
                <w:szCs w:val="24"/>
                <w:highlight w:val="none"/>
                <w:lang w:eastAsia="zh-CN"/>
              </w:rPr>
              <w:t>嘉善县罗星街道乔克国贸中心2-1002室</w:t>
            </w:r>
            <w:r>
              <w:rPr>
                <w:rFonts w:hint="eastAsia" w:ascii="宋体" w:hAnsi="宋体" w:eastAsia="宋体" w:cs="宋体"/>
                <w:color w:val="auto"/>
                <w:sz w:val="24"/>
                <w:szCs w:val="24"/>
                <w:highlight w:val="none"/>
              </w:rPr>
              <w:t>，收件人：</w:t>
            </w:r>
            <w:r>
              <w:rPr>
                <w:rFonts w:hint="eastAsia" w:ascii="宋体" w:hAnsi="宋体" w:cs="宋体"/>
                <w:color w:val="auto"/>
                <w:sz w:val="24"/>
                <w:szCs w:val="24"/>
                <w:highlight w:val="none"/>
                <w:lang w:val="en-US" w:eastAsia="zh-CN"/>
              </w:rPr>
              <w:t>胡女士</w:t>
            </w: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eastAsia="zh-CN"/>
              </w:rPr>
              <w:t>0573-84033354</w:t>
            </w:r>
            <w:r>
              <w:rPr>
                <w:rFonts w:hint="eastAsia" w:ascii="宋体" w:hAnsi="宋体" w:eastAsia="宋体" w:cs="宋体"/>
                <w:color w:val="auto"/>
                <w:sz w:val="24"/>
                <w:szCs w:val="24"/>
                <w:highlight w:val="none"/>
              </w:rPr>
              <w:t>）</w:t>
            </w:r>
          </w:p>
        </w:tc>
      </w:tr>
      <w:tr w14:paraId="03BB5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841" w:type="dxa"/>
            <w:tcBorders>
              <w:top w:val="single" w:color="auto" w:sz="4" w:space="0"/>
              <w:bottom w:val="single" w:color="auto" w:sz="4" w:space="0"/>
              <w:right w:val="single" w:color="auto" w:sz="4" w:space="0"/>
            </w:tcBorders>
            <w:noWrap w:val="0"/>
            <w:vAlign w:val="center"/>
          </w:tcPr>
          <w:p w14:paraId="783C99AA">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3CC92833">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上传电子响应文件时间</w:t>
            </w:r>
          </w:p>
        </w:tc>
        <w:tc>
          <w:tcPr>
            <w:tcW w:w="6799" w:type="dxa"/>
            <w:tcBorders>
              <w:top w:val="single" w:color="auto" w:sz="4" w:space="0"/>
              <w:left w:val="single" w:color="auto" w:sz="4" w:space="0"/>
              <w:bottom w:val="single" w:color="auto" w:sz="4" w:space="0"/>
            </w:tcBorders>
            <w:noWrap w:val="0"/>
            <w:vAlign w:val="center"/>
          </w:tcPr>
          <w:p w14:paraId="1DD34250">
            <w:pPr>
              <w:snapToGrid w:val="0"/>
              <w:rPr>
                <w:rFonts w:hint="eastAsia" w:ascii="宋体" w:hAnsi="宋体" w:eastAsia="宋体" w:cs="宋体"/>
                <w:b/>
                <w:color w:val="auto"/>
                <w:sz w:val="24"/>
                <w:highlight w:val="none"/>
              </w:rPr>
            </w:pP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前在“政采云”上自行加密上传电子响应文件，逾期上传或未按要求上传的响应文件将予以拒收。</w:t>
            </w:r>
          </w:p>
        </w:tc>
      </w:tr>
      <w:tr w14:paraId="25D05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4" w:hRule="atLeast"/>
        </w:trPr>
        <w:tc>
          <w:tcPr>
            <w:tcW w:w="841" w:type="dxa"/>
            <w:tcBorders>
              <w:top w:val="single" w:color="auto" w:sz="4" w:space="0"/>
              <w:bottom w:val="single" w:color="auto" w:sz="4" w:space="0"/>
              <w:right w:val="single" w:color="auto" w:sz="4" w:space="0"/>
            </w:tcBorders>
            <w:noWrap w:val="0"/>
            <w:vAlign w:val="center"/>
          </w:tcPr>
          <w:p w14:paraId="5DA88258">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257271B">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响应文件开启时间及地点</w:t>
            </w:r>
          </w:p>
        </w:tc>
        <w:tc>
          <w:tcPr>
            <w:tcW w:w="6799" w:type="dxa"/>
            <w:tcBorders>
              <w:top w:val="single" w:color="auto" w:sz="4" w:space="0"/>
              <w:left w:val="single" w:color="auto" w:sz="4" w:space="0"/>
              <w:bottom w:val="single" w:color="auto" w:sz="4" w:space="0"/>
            </w:tcBorders>
            <w:noWrap w:val="0"/>
            <w:vAlign w:val="center"/>
          </w:tcPr>
          <w:p w14:paraId="71ACD5A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嘉善县罗星街道乔克国贸中心2-</w:t>
            </w:r>
            <w:r>
              <w:rPr>
                <w:rFonts w:hint="eastAsia" w:ascii="宋体" w:hAnsi="宋体" w:eastAsia="宋体" w:cs="宋体"/>
                <w:color w:val="auto"/>
                <w:sz w:val="24"/>
                <w:szCs w:val="24"/>
                <w:highlight w:val="none"/>
                <w:lang w:val="en-US" w:eastAsia="zh-CN"/>
              </w:rPr>
              <w:t>1002</w:t>
            </w:r>
            <w:r>
              <w:rPr>
                <w:rFonts w:hint="eastAsia" w:ascii="宋体" w:hAnsi="宋体" w:eastAsia="宋体" w:cs="宋体"/>
                <w:color w:val="auto"/>
                <w:sz w:val="24"/>
                <w:szCs w:val="24"/>
                <w:highlight w:val="none"/>
              </w:rPr>
              <w:t>开标室开启。</w:t>
            </w:r>
          </w:p>
          <w:p w14:paraId="657B9F28">
            <w:pPr>
              <w:snapToGrid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供应商无需到现场，只需准时在线参加。响应文件提交截止时间后半小时内（</w:t>
            </w:r>
            <w:r>
              <w:rPr>
                <w:rFonts w:hint="eastAsia" w:ascii="宋体" w:hAnsi="宋体" w:cs="宋体"/>
                <w:b/>
                <w:color w:val="auto"/>
                <w:sz w:val="24"/>
                <w:szCs w:val="24"/>
                <w:highlight w:val="none"/>
                <w:lang w:eastAsia="zh-CN"/>
              </w:rPr>
              <w:t>2025年</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月</w:t>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日</w:t>
            </w:r>
            <w:r>
              <w:rPr>
                <w:rFonts w:hint="eastAsia" w:ascii="宋体" w:hAnsi="宋体" w:cs="宋体"/>
                <w:b/>
                <w:color w:val="auto"/>
                <w:sz w:val="24"/>
                <w:szCs w:val="24"/>
                <w:highlight w:val="none"/>
                <w:lang w:val="en-US" w:eastAsia="zh-CN"/>
              </w:rPr>
              <w:t>14</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30</w:t>
            </w:r>
            <w:r>
              <w:rPr>
                <w:rFonts w:hint="eastAsia" w:ascii="宋体" w:hAnsi="宋体" w:eastAsia="宋体" w:cs="宋体"/>
                <w:b/>
                <w:color w:val="auto"/>
                <w:sz w:val="24"/>
                <w:szCs w:val="24"/>
                <w:highlight w:val="none"/>
              </w:rPr>
              <w:t>前）供应商可以登录“政采云”平台，用“项目采购-开标评标”功能进行解密响应文件。若供应商在规定时间内无法解密或解密失败，将导致响应无效或失败。</w:t>
            </w:r>
          </w:p>
        </w:tc>
      </w:tr>
      <w:tr w14:paraId="2E005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41" w:type="dxa"/>
            <w:tcBorders>
              <w:top w:val="single" w:color="auto" w:sz="4" w:space="0"/>
              <w:bottom w:val="single" w:color="auto" w:sz="4" w:space="0"/>
              <w:right w:val="single" w:color="auto" w:sz="4" w:space="0"/>
            </w:tcBorders>
            <w:noWrap w:val="0"/>
            <w:vAlign w:val="center"/>
          </w:tcPr>
          <w:p w14:paraId="4363AA28">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BA501C6">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磋商办法及评分标准</w:t>
            </w:r>
          </w:p>
        </w:tc>
        <w:tc>
          <w:tcPr>
            <w:tcW w:w="6799" w:type="dxa"/>
            <w:tcBorders>
              <w:top w:val="single" w:color="auto" w:sz="4" w:space="0"/>
              <w:left w:val="single" w:color="auto" w:sz="4" w:space="0"/>
              <w:bottom w:val="single" w:color="auto" w:sz="4" w:space="0"/>
            </w:tcBorders>
            <w:noWrap w:val="0"/>
            <w:vAlign w:val="center"/>
          </w:tcPr>
          <w:p w14:paraId="3B8FD6D6">
            <w:pPr>
              <w:autoSpaceDE w:val="0"/>
              <w:autoSpaceDN w:val="0"/>
              <w:snapToGrid w:val="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详见第四章。</w:t>
            </w:r>
          </w:p>
        </w:tc>
      </w:tr>
      <w:tr w14:paraId="79118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841" w:type="dxa"/>
            <w:tcBorders>
              <w:top w:val="single" w:color="auto" w:sz="4" w:space="0"/>
              <w:bottom w:val="single" w:color="auto" w:sz="4" w:space="0"/>
              <w:right w:val="single" w:color="auto" w:sz="4" w:space="0"/>
            </w:tcBorders>
            <w:noWrap w:val="0"/>
            <w:vAlign w:val="center"/>
          </w:tcPr>
          <w:p w14:paraId="2797F774">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ADF7EDF">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成交结果公告</w:t>
            </w:r>
            <w:r>
              <w:rPr>
                <w:rFonts w:hint="eastAsia" w:ascii="宋体" w:hAnsi="宋体" w:eastAsia="宋体" w:cs="宋体"/>
                <w:color w:val="auto"/>
                <w:sz w:val="24"/>
                <w:highlight w:val="none"/>
              </w:rPr>
              <w:t>及成交通知书</w:t>
            </w:r>
          </w:p>
        </w:tc>
        <w:tc>
          <w:tcPr>
            <w:tcW w:w="6799" w:type="dxa"/>
            <w:tcBorders>
              <w:top w:val="single" w:color="auto" w:sz="4" w:space="0"/>
              <w:left w:val="single" w:color="auto" w:sz="4" w:space="0"/>
              <w:bottom w:val="single" w:color="auto" w:sz="4" w:space="0"/>
            </w:tcBorders>
            <w:noWrap w:val="0"/>
            <w:vAlign w:val="center"/>
          </w:tcPr>
          <w:p w14:paraId="780C9F43">
            <w:pPr>
              <w:wordWrap w:val="0"/>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成交供应商确定之日起2个工作日内</w:t>
            </w:r>
            <w:r>
              <w:rPr>
                <w:rFonts w:hint="eastAsia" w:ascii="宋体" w:hAnsi="宋体" w:eastAsia="宋体" w:cs="宋体"/>
                <w:color w:val="auto"/>
                <w:sz w:val="24"/>
                <w:szCs w:val="24"/>
                <w:highlight w:val="none"/>
              </w:rPr>
              <w:t>，成交结果公告发布于浙江政府采购网(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"https://zfcg.czt.zj.gov.cn/"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https://zfcg.czt.zj.gov.cn/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公告期限为1个工作日</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在公告成交结果的同时，向供应商发出成交通知书。</w:t>
            </w:r>
          </w:p>
        </w:tc>
      </w:tr>
      <w:tr w14:paraId="3BAF8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1E888E7A">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40CF683">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w:t>
            </w:r>
          </w:p>
        </w:tc>
        <w:tc>
          <w:tcPr>
            <w:tcW w:w="6799" w:type="dxa"/>
            <w:tcBorders>
              <w:top w:val="single" w:color="auto" w:sz="4" w:space="0"/>
              <w:left w:val="single" w:color="auto" w:sz="4" w:space="0"/>
              <w:bottom w:val="single" w:color="auto" w:sz="4" w:space="0"/>
            </w:tcBorders>
            <w:noWrap w:val="0"/>
            <w:vAlign w:val="center"/>
          </w:tcPr>
          <w:p w14:paraId="188789C6">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成交通知书发出后</w:t>
            </w:r>
            <w:r>
              <w:rPr>
                <w:rFonts w:hint="eastAsia" w:ascii="宋体" w:hAnsi="宋体" w:cs="宋体"/>
                <w:bCs/>
                <w:color w:val="auto"/>
                <w:sz w:val="24"/>
                <w:szCs w:val="24"/>
                <w:highlight w:val="none"/>
                <w:lang w:val="en-US" w:eastAsia="zh-CN"/>
              </w:rPr>
              <w:t>30</w:t>
            </w:r>
            <w:r>
              <w:rPr>
                <w:rFonts w:hint="eastAsia" w:ascii="宋体" w:hAnsi="宋体" w:eastAsia="宋体" w:cs="宋体"/>
                <w:color w:val="auto"/>
                <w:sz w:val="24"/>
                <w:szCs w:val="24"/>
                <w:highlight w:val="none"/>
              </w:rPr>
              <w:t>天内。</w:t>
            </w:r>
          </w:p>
        </w:tc>
      </w:tr>
      <w:tr w14:paraId="5BFA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841" w:type="dxa"/>
            <w:tcBorders>
              <w:top w:val="single" w:color="auto" w:sz="4" w:space="0"/>
              <w:bottom w:val="single" w:color="auto" w:sz="4" w:space="0"/>
              <w:right w:val="single" w:color="auto" w:sz="4" w:space="0"/>
            </w:tcBorders>
            <w:noWrap w:val="0"/>
            <w:vAlign w:val="center"/>
          </w:tcPr>
          <w:p w14:paraId="35A7EAD8">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DBD17C9">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合同公告</w:t>
            </w:r>
          </w:p>
        </w:tc>
        <w:tc>
          <w:tcPr>
            <w:tcW w:w="6799" w:type="dxa"/>
            <w:tcBorders>
              <w:top w:val="single" w:color="auto" w:sz="4" w:space="0"/>
              <w:left w:val="single" w:color="auto" w:sz="4" w:space="0"/>
              <w:bottom w:val="single" w:color="auto" w:sz="4" w:space="0"/>
            </w:tcBorders>
            <w:noWrap w:val="0"/>
            <w:vAlign w:val="center"/>
          </w:tcPr>
          <w:p w14:paraId="28819EF9">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本项目政府采购合同将于签订之日起2个工作日内发布于</w:t>
            </w:r>
            <w:r>
              <w:rPr>
                <w:rFonts w:hint="eastAsia" w:ascii="宋体" w:hAnsi="宋体" w:eastAsia="宋体" w:cs="宋体"/>
                <w:color w:val="auto"/>
                <w:sz w:val="24"/>
                <w:szCs w:val="24"/>
                <w:highlight w:val="none"/>
              </w:rPr>
              <w:t>浙江政府采购网(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"https://zfcg.czt.zj.gov.cn/"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https://zfcg.czt.zj.gov.cn/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，但政府采购合同中涉及国家秘密、商业秘密的内容除外。</w:t>
            </w:r>
          </w:p>
        </w:tc>
      </w:tr>
      <w:tr w14:paraId="454F1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41" w:type="dxa"/>
            <w:tcBorders>
              <w:top w:val="single" w:color="auto" w:sz="4" w:space="0"/>
              <w:bottom w:val="single" w:color="auto" w:sz="4" w:space="0"/>
              <w:right w:val="single" w:color="auto" w:sz="4" w:space="0"/>
            </w:tcBorders>
            <w:noWrap w:val="0"/>
            <w:vAlign w:val="center"/>
          </w:tcPr>
          <w:p w14:paraId="25FD30A5">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DEC65AA">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本项目预算</w:t>
            </w:r>
          </w:p>
        </w:tc>
        <w:tc>
          <w:tcPr>
            <w:tcW w:w="6799" w:type="dxa"/>
            <w:tcBorders>
              <w:top w:val="single" w:color="auto" w:sz="4" w:space="0"/>
              <w:left w:val="single" w:color="auto" w:sz="4" w:space="0"/>
              <w:bottom w:val="single" w:color="auto" w:sz="4" w:space="0"/>
            </w:tcBorders>
            <w:noWrap w:val="0"/>
            <w:vAlign w:val="center"/>
          </w:tcPr>
          <w:p w14:paraId="6C10491F">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本项目预算价为人民币</w:t>
            </w:r>
            <w:r>
              <w:rPr>
                <w:rFonts w:hint="eastAsia" w:ascii="宋体" w:hAnsi="宋体" w:cs="宋体"/>
                <w:color w:val="auto"/>
                <w:sz w:val="24"/>
                <w:szCs w:val="24"/>
                <w:highlight w:val="none"/>
                <w:lang w:val="en-US" w:eastAsia="zh-CN"/>
              </w:rPr>
              <w:t>693100.00</w:t>
            </w:r>
            <w:r>
              <w:rPr>
                <w:rFonts w:hint="eastAsia" w:ascii="宋体" w:hAnsi="宋体" w:eastAsia="宋体" w:cs="宋体"/>
                <w:color w:val="auto"/>
                <w:sz w:val="24"/>
                <w:highlight w:val="none"/>
              </w:rPr>
              <w:t>元</w:t>
            </w:r>
            <w:r>
              <w:rPr>
                <w:rFonts w:hint="eastAsia" w:ascii="宋体" w:hAnsi="宋体" w:cs="宋体"/>
                <w:color w:val="auto"/>
                <w:sz w:val="24"/>
                <w:highlight w:val="none"/>
              </w:rPr>
              <w:t>。</w:t>
            </w:r>
            <w:r>
              <w:rPr>
                <w:rFonts w:hint="eastAsia" w:ascii="宋体" w:hAnsi="宋体" w:eastAsia="宋体" w:cs="宋体"/>
                <w:b/>
                <w:bCs/>
                <w:color w:val="auto"/>
                <w:sz w:val="24"/>
                <w:highlight w:val="none"/>
              </w:rPr>
              <w:t>本次</w:t>
            </w:r>
            <w:r>
              <w:rPr>
                <w:rFonts w:hint="eastAsia" w:ascii="宋体" w:hAnsi="宋体" w:eastAsia="宋体" w:cs="宋体"/>
                <w:b/>
                <w:bCs/>
                <w:color w:val="auto"/>
                <w:sz w:val="24"/>
                <w:highlight w:val="none"/>
                <w:lang w:val="en-US" w:eastAsia="zh-CN"/>
              </w:rPr>
              <w:t>磋商</w:t>
            </w:r>
            <w:r>
              <w:rPr>
                <w:rFonts w:hint="eastAsia" w:ascii="宋体" w:hAnsi="宋体" w:eastAsia="宋体" w:cs="宋体"/>
                <w:b/>
                <w:bCs/>
                <w:color w:val="auto"/>
                <w:sz w:val="24"/>
                <w:highlight w:val="none"/>
              </w:rPr>
              <w:t>设定</w:t>
            </w:r>
            <w:r>
              <w:rPr>
                <w:rFonts w:hint="eastAsia" w:ascii="宋体" w:hAnsi="宋体" w:eastAsia="宋体" w:cs="宋体"/>
                <w:b/>
                <w:bCs/>
                <w:color w:val="auto"/>
                <w:sz w:val="24"/>
                <w:highlight w:val="none"/>
                <w:lang w:val="en-US" w:eastAsia="zh-CN"/>
              </w:rPr>
              <w:t>最高限价</w:t>
            </w:r>
            <w:r>
              <w:rPr>
                <w:rFonts w:hint="eastAsia" w:ascii="宋体" w:hAnsi="宋体" w:eastAsia="宋体" w:cs="宋体"/>
                <w:b/>
                <w:bCs/>
                <w:color w:val="auto"/>
                <w:sz w:val="24"/>
                <w:highlight w:val="none"/>
              </w:rPr>
              <w:t>，本项目</w:t>
            </w:r>
            <w:r>
              <w:rPr>
                <w:rFonts w:hint="eastAsia" w:ascii="宋体" w:hAnsi="宋体" w:eastAsia="宋体" w:cs="宋体"/>
                <w:b/>
                <w:bCs/>
                <w:color w:val="auto"/>
                <w:sz w:val="24"/>
                <w:highlight w:val="none"/>
                <w:lang w:val="en-US" w:eastAsia="zh-CN"/>
              </w:rPr>
              <w:t>最高限价</w:t>
            </w:r>
            <w:r>
              <w:rPr>
                <w:rFonts w:hint="eastAsia" w:ascii="宋体" w:hAnsi="宋体" w:cs="宋体"/>
                <w:color w:val="auto"/>
                <w:kern w:val="0"/>
                <w:sz w:val="24"/>
                <w:szCs w:val="24"/>
                <w:highlight w:val="none"/>
                <w:lang w:val="en-US" w:eastAsia="zh-CN" w:bidi="ar-SA"/>
              </w:rPr>
              <w:t>691633</w:t>
            </w:r>
            <w:r>
              <w:rPr>
                <w:rFonts w:hint="eastAsia" w:ascii="宋体" w:hAnsi="宋体" w:eastAsia="宋体" w:cs="宋体"/>
                <w:color w:val="auto"/>
                <w:kern w:val="0"/>
                <w:sz w:val="24"/>
                <w:szCs w:val="24"/>
                <w:highlight w:val="none"/>
                <w:lang w:val="en-US" w:eastAsia="zh-CN" w:bidi="ar-SA"/>
              </w:rPr>
              <w:t>.00</w:t>
            </w:r>
            <w:r>
              <w:rPr>
                <w:rFonts w:hint="eastAsia" w:ascii="宋体" w:hAnsi="宋体" w:eastAsia="宋体" w:cs="宋体"/>
                <w:color w:val="auto"/>
                <w:sz w:val="24"/>
                <w:highlight w:val="none"/>
                <w:lang w:val="en-US" w:eastAsia="zh-CN"/>
              </w:rPr>
              <w:t>元</w:t>
            </w:r>
            <w:r>
              <w:rPr>
                <w:rFonts w:hint="eastAsia" w:ascii="宋体" w:hAnsi="宋体" w:eastAsia="宋体" w:cs="宋体"/>
                <w:b/>
                <w:bCs/>
                <w:color w:val="auto"/>
                <w:sz w:val="24"/>
                <w:highlight w:val="none"/>
              </w:rPr>
              <w:t>。磋商报价高于</w:t>
            </w:r>
            <w:r>
              <w:rPr>
                <w:rFonts w:hint="eastAsia" w:ascii="宋体" w:hAnsi="宋体" w:eastAsia="宋体" w:cs="宋体"/>
                <w:b/>
                <w:bCs/>
                <w:color w:val="auto"/>
                <w:sz w:val="24"/>
                <w:highlight w:val="none"/>
                <w:lang w:val="en-US" w:eastAsia="zh-CN"/>
              </w:rPr>
              <w:t>最高限价</w:t>
            </w:r>
            <w:r>
              <w:rPr>
                <w:rFonts w:hint="eastAsia" w:ascii="宋体" w:hAnsi="宋体" w:eastAsia="宋体" w:cs="宋体"/>
                <w:b/>
                <w:bCs/>
                <w:color w:val="auto"/>
                <w:sz w:val="24"/>
                <w:highlight w:val="none"/>
              </w:rPr>
              <w:t>的响应文件无效。</w:t>
            </w:r>
          </w:p>
        </w:tc>
      </w:tr>
      <w:tr w14:paraId="0D330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41" w:type="dxa"/>
            <w:tcBorders>
              <w:top w:val="single" w:color="auto" w:sz="4" w:space="0"/>
              <w:bottom w:val="single" w:color="auto" w:sz="4" w:space="0"/>
              <w:right w:val="single" w:color="auto" w:sz="4" w:space="0"/>
            </w:tcBorders>
            <w:noWrap w:val="0"/>
            <w:vAlign w:val="center"/>
          </w:tcPr>
          <w:p w14:paraId="581761F5">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563F091">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履约保证金的收取及退还</w:t>
            </w:r>
          </w:p>
        </w:tc>
        <w:tc>
          <w:tcPr>
            <w:tcW w:w="6799" w:type="dxa"/>
            <w:tcBorders>
              <w:top w:val="single" w:color="auto" w:sz="4" w:space="0"/>
              <w:left w:val="single" w:color="auto" w:sz="4" w:space="0"/>
              <w:bottom w:val="single" w:color="auto" w:sz="4" w:space="0"/>
            </w:tcBorders>
            <w:noWrap w:val="0"/>
            <w:vAlign w:val="center"/>
          </w:tcPr>
          <w:p w14:paraId="340E26A6">
            <w:pPr>
              <w:autoSpaceDE w:val="0"/>
              <w:autoSpaceDN w:val="0"/>
              <w:snapToGrid w:val="0"/>
              <w:spacing w:line="300" w:lineRule="auto"/>
              <w:contextualSpacing/>
              <w:textAlignment w:val="bottom"/>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rPr>
              <w:t>项目实施前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向采购人交纳合同金额的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%作为履约保证金，履约保证金在项目</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val="en-US" w:eastAsia="zh-CN"/>
              </w:rPr>
              <w:t>10日</w:t>
            </w:r>
            <w:r>
              <w:rPr>
                <w:rFonts w:hint="eastAsia" w:ascii="宋体" w:hAnsi="宋体" w:eastAsia="宋体" w:cs="宋体"/>
                <w:color w:val="auto"/>
                <w:sz w:val="24"/>
                <w:szCs w:val="24"/>
                <w:highlight w:val="none"/>
              </w:rPr>
              <w:t>内无息退还。供应商应当</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kern w:val="0"/>
                <w:sz w:val="24"/>
                <w:highlight w:val="none"/>
              </w:rPr>
              <w:t>汇款/转账</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银行保函</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保险机构保证保险保单</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融资担保公司保函等非现金形式</w:t>
            </w:r>
            <w:r>
              <w:rPr>
                <w:rFonts w:hint="eastAsia" w:ascii="宋体" w:hAnsi="宋体" w:eastAsia="宋体" w:cs="宋体"/>
                <w:color w:val="auto"/>
                <w:sz w:val="24"/>
                <w:szCs w:val="24"/>
                <w:highlight w:val="none"/>
              </w:rPr>
              <w:t>提交。</w:t>
            </w:r>
          </w:p>
        </w:tc>
      </w:tr>
      <w:tr w14:paraId="32BF0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1" w:type="dxa"/>
            <w:tcBorders>
              <w:top w:val="single" w:color="auto" w:sz="4" w:space="0"/>
              <w:bottom w:val="single" w:color="auto" w:sz="4" w:space="0"/>
              <w:right w:val="single" w:color="auto" w:sz="4" w:space="0"/>
            </w:tcBorders>
            <w:noWrap w:val="0"/>
            <w:vAlign w:val="center"/>
          </w:tcPr>
          <w:p w14:paraId="4E741891">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DCE30FA">
            <w:pPr>
              <w:widowControl/>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付款方式</w:t>
            </w:r>
          </w:p>
        </w:tc>
        <w:tc>
          <w:tcPr>
            <w:tcW w:w="6799" w:type="dxa"/>
            <w:tcBorders>
              <w:top w:val="single" w:color="auto" w:sz="4" w:space="0"/>
              <w:left w:val="single" w:color="auto" w:sz="4" w:space="0"/>
              <w:bottom w:val="single" w:color="auto" w:sz="4" w:space="0"/>
            </w:tcBorders>
            <w:noWrap w:val="0"/>
            <w:vAlign w:val="center"/>
          </w:tcPr>
          <w:p w14:paraId="63EDD797">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详见专用合同条款第12条</w:t>
            </w:r>
            <w:r>
              <w:rPr>
                <w:rFonts w:hint="eastAsia" w:ascii="宋体" w:hAnsi="宋体" w:cs="宋体"/>
                <w:color w:val="auto"/>
                <w:kern w:val="0"/>
                <w:sz w:val="24"/>
                <w:szCs w:val="24"/>
                <w:highlight w:val="none"/>
                <w:lang w:eastAsia="zh-CN"/>
              </w:rPr>
              <w:t>。</w:t>
            </w:r>
          </w:p>
        </w:tc>
      </w:tr>
      <w:tr w14:paraId="240BB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64670844">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1CF5A12A">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采购资金来源</w:t>
            </w:r>
          </w:p>
        </w:tc>
        <w:tc>
          <w:tcPr>
            <w:tcW w:w="6799" w:type="dxa"/>
            <w:tcBorders>
              <w:top w:val="single" w:color="auto" w:sz="4" w:space="0"/>
              <w:left w:val="single" w:color="auto" w:sz="4" w:space="0"/>
              <w:bottom w:val="single" w:color="auto" w:sz="4" w:space="0"/>
            </w:tcBorders>
            <w:noWrap w:val="0"/>
            <w:vAlign w:val="center"/>
          </w:tcPr>
          <w:p w14:paraId="1C00E9C2">
            <w:pPr>
              <w:autoSpaceDE w:val="0"/>
              <w:autoSpaceDN w:val="0"/>
              <w:snapToGrid w:val="0"/>
              <w:spacing w:line="300" w:lineRule="auto"/>
              <w:contextualSpacing/>
              <w:textAlignment w:val="bottom"/>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自有资金及</w:t>
            </w:r>
            <w:r>
              <w:rPr>
                <w:rFonts w:hint="eastAsia" w:ascii="宋体" w:hAnsi="宋体" w:cs="宋体"/>
                <w:color w:val="auto"/>
                <w:sz w:val="24"/>
                <w:szCs w:val="24"/>
                <w:highlight w:val="none"/>
              </w:rPr>
              <w:t>财政资金</w:t>
            </w:r>
          </w:p>
        </w:tc>
      </w:tr>
      <w:tr w14:paraId="1FD12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0E1E387C">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2ACB11F">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响应文件有效期</w:t>
            </w:r>
          </w:p>
        </w:tc>
        <w:tc>
          <w:tcPr>
            <w:tcW w:w="6799" w:type="dxa"/>
            <w:tcBorders>
              <w:top w:val="single" w:color="auto" w:sz="4" w:space="0"/>
              <w:left w:val="single" w:color="auto" w:sz="4" w:space="0"/>
              <w:bottom w:val="single" w:color="auto" w:sz="4" w:space="0"/>
            </w:tcBorders>
            <w:noWrap w:val="0"/>
            <w:vAlign w:val="center"/>
          </w:tcPr>
          <w:p w14:paraId="469B1E9D">
            <w:pPr>
              <w:snapToGrid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90</w:t>
            </w:r>
            <w:r>
              <w:rPr>
                <w:rFonts w:hint="eastAsia" w:ascii="宋体" w:hAnsi="宋体" w:eastAsia="宋体" w:cs="宋体"/>
                <w:color w:val="auto"/>
                <w:sz w:val="24"/>
                <w:szCs w:val="24"/>
                <w:highlight w:val="none"/>
              </w:rPr>
              <w:t xml:space="preserve"> 天</w:t>
            </w:r>
          </w:p>
        </w:tc>
      </w:tr>
      <w:tr w14:paraId="19422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157D695B">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5C8ED187">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注册及磋商文件的获取</w:t>
            </w:r>
          </w:p>
        </w:tc>
        <w:tc>
          <w:tcPr>
            <w:tcW w:w="6799" w:type="dxa"/>
            <w:tcBorders>
              <w:top w:val="single" w:color="auto" w:sz="4" w:space="0"/>
              <w:left w:val="single" w:color="auto" w:sz="4" w:space="0"/>
              <w:bottom w:val="single" w:color="auto" w:sz="4" w:space="0"/>
            </w:tcBorders>
            <w:noWrap w:val="0"/>
            <w:vAlign w:val="center"/>
          </w:tcPr>
          <w:p w14:paraId="74DE9E32">
            <w:pPr>
              <w:snapToGrid w:val="0"/>
              <w:rPr>
                <w:rFonts w:hint="eastAsia" w:ascii="宋体" w:hAnsi="宋体" w:eastAsia="宋体" w:cs="宋体"/>
                <w:b/>
                <w:bCs/>
                <w:color w:val="auto"/>
                <w:sz w:val="24"/>
                <w:szCs w:val="24"/>
                <w:highlight w:val="none"/>
                <w:u w:val="single"/>
              </w:rPr>
            </w:pPr>
            <w:r>
              <w:rPr>
                <w:rFonts w:hint="eastAsia" w:ascii="宋体" w:hAnsi="宋体" w:eastAsia="宋体" w:cs="宋体"/>
                <w:bCs/>
                <w:color w:val="auto"/>
                <w:sz w:val="24"/>
                <w:highlight w:val="none"/>
              </w:rPr>
              <w:t>详见第一章</w:t>
            </w:r>
            <w:r>
              <w:rPr>
                <w:rFonts w:hint="eastAsia" w:ascii="宋体" w:hAnsi="宋体" w:eastAsia="宋体" w:cs="宋体"/>
                <w:color w:val="auto"/>
                <w:sz w:val="24"/>
                <w:szCs w:val="24"/>
                <w:highlight w:val="none"/>
              </w:rPr>
              <w:t>《竞争性磋商公告》第三条规定。</w:t>
            </w:r>
          </w:p>
        </w:tc>
      </w:tr>
      <w:tr w14:paraId="19071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41" w:type="dxa"/>
            <w:tcBorders>
              <w:top w:val="single" w:color="auto" w:sz="4" w:space="0"/>
              <w:bottom w:val="single" w:color="auto" w:sz="4" w:space="0"/>
              <w:right w:val="single" w:color="auto" w:sz="4" w:space="0"/>
            </w:tcBorders>
            <w:noWrap w:val="0"/>
            <w:vAlign w:val="center"/>
          </w:tcPr>
          <w:p w14:paraId="4D4D7008">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032E599">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信用记录</w:t>
            </w:r>
          </w:p>
        </w:tc>
        <w:tc>
          <w:tcPr>
            <w:tcW w:w="6799" w:type="dxa"/>
            <w:tcBorders>
              <w:top w:val="single" w:color="auto" w:sz="4" w:space="0"/>
              <w:left w:val="single" w:color="auto" w:sz="4" w:space="0"/>
              <w:bottom w:val="single" w:color="auto" w:sz="4" w:space="0"/>
            </w:tcBorders>
            <w:noWrap w:val="0"/>
            <w:vAlign w:val="center"/>
          </w:tcPr>
          <w:p w14:paraId="1D1C93BB">
            <w:pPr>
              <w:snapToGrid w:val="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文件将作无效处理。</w:t>
            </w:r>
          </w:p>
        </w:tc>
      </w:tr>
      <w:tr w14:paraId="7FD26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41" w:type="dxa"/>
            <w:tcBorders>
              <w:top w:val="single" w:color="auto" w:sz="4" w:space="0"/>
              <w:bottom w:val="single" w:color="auto" w:sz="4" w:space="0"/>
              <w:right w:val="single" w:color="auto" w:sz="4" w:space="0"/>
            </w:tcBorders>
            <w:noWrap w:val="0"/>
            <w:vAlign w:val="center"/>
          </w:tcPr>
          <w:p w14:paraId="4E0FDC30">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EC94A7F">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w:t>
            </w:r>
          </w:p>
        </w:tc>
        <w:tc>
          <w:tcPr>
            <w:tcW w:w="6799" w:type="dxa"/>
            <w:tcBorders>
              <w:top w:val="single" w:color="auto" w:sz="4" w:space="0"/>
              <w:left w:val="single" w:color="auto" w:sz="4" w:space="0"/>
              <w:bottom w:val="single" w:color="auto" w:sz="4" w:space="0"/>
            </w:tcBorders>
            <w:noWrap w:val="0"/>
            <w:vAlign w:val="center"/>
          </w:tcPr>
          <w:p w14:paraId="6A3AC53A">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本磋商文件的解释权属于竞争性磋商采购单位。</w:t>
            </w:r>
          </w:p>
        </w:tc>
      </w:tr>
      <w:tr w14:paraId="099AC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41" w:type="dxa"/>
            <w:tcBorders>
              <w:top w:val="single" w:color="auto" w:sz="4" w:space="0"/>
              <w:bottom w:val="single" w:color="auto" w:sz="4" w:space="0"/>
              <w:right w:val="single" w:color="auto" w:sz="4" w:space="0"/>
            </w:tcBorders>
            <w:shd w:val="clear" w:color="auto" w:fill="auto"/>
            <w:noWrap w:val="0"/>
            <w:vAlign w:val="center"/>
          </w:tcPr>
          <w:p w14:paraId="35B20ED8">
            <w:pPr>
              <w:shd w:val="clear"/>
              <w:snapToGrid w:val="0"/>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19</w:t>
            </w:r>
          </w:p>
        </w:tc>
        <w:tc>
          <w:tcPr>
            <w:tcW w:w="19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4BCB3C">
            <w:pPr>
              <w:snapToGrid w:val="0"/>
              <w:rPr>
                <w:rFonts w:hint="eastAsia" w:ascii="宋体" w:hAnsi="宋体" w:eastAsia="宋体" w:cs="宋体"/>
                <w:b/>
                <w:bCs/>
                <w:color w:val="000000"/>
                <w:kern w:val="2"/>
                <w:sz w:val="24"/>
                <w:szCs w:val="24"/>
                <w:highlight w:val="none"/>
                <w:lang w:val="en-US" w:eastAsia="zh-CN" w:bidi="ar-SA"/>
              </w:rPr>
            </w:pPr>
            <w:r>
              <w:rPr>
                <w:rFonts w:hint="eastAsia" w:ascii="宋体" w:hAnsi="宋体" w:cs="宋体"/>
                <w:b/>
                <w:bCs/>
                <w:sz w:val="24"/>
                <w:szCs w:val="24"/>
                <w:highlight w:val="none"/>
              </w:rPr>
              <w:t>招标代理服务费</w:t>
            </w:r>
          </w:p>
        </w:tc>
        <w:tc>
          <w:tcPr>
            <w:tcW w:w="6799" w:type="dxa"/>
            <w:tcBorders>
              <w:top w:val="single" w:color="auto" w:sz="4" w:space="0"/>
              <w:left w:val="single" w:color="auto" w:sz="4" w:space="0"/>
              <w:bottom w:val="single" w:color="auto" w:sz="4" w:space="0"/>
            </w:tcBorders>
            <w:shd w:val="clear" w:color="auto" w:fill="auto"/>
            <w:noWrap w:val="0"/>
            <w:vAlign w:val="center"/>
          </w:tcPr>
          <w:p w14:paraId="16EBE344">
            <w:pPr>
              <w:snapToGrid w:val="0"/>
              <w:spacing w:line="300" w:lineRule="auto"/>
              <w:contextualSpacing/>
              <w:rPr>
                <w:rFonts w:hint="eastAsia" w:ascii="宋体" w:hAnsi="宋体" w:cs="宋体"/>
                <w:b/>
                <w:bCs/>
                <w:sz w:val="24"/>
                <w:szCs w:val="24"/>
                <w:highlight w:val="none"/>
              </w:rPr>
            </w:pPr>
            <w:r>
              <w:rPr>
                <w:rFonts w:hint="eastAsia" w:ascii="宋体" w:hAnsi="宋体" w:cs="宋体"/>
                <w:b/>
                <w:bCs/>
                <w:sz w:val="24"/>
                <w:szCs w:val="24"/>
                <w:highlight w:val="none"/>
              </w:rPr>
              <w:t>本项目招标代理</w:t>
            </w:r>
            <w:r>
              <w:rPr>
                <w:rFonts w:hint="eastAsia" w:ascii="宋体" w:hAnsi="宋体" w:cs="宋体"/>
                <w:b/>
                <w:bCs/>
                <w:sz w:val="24"/>
                <w:szCs w:val="24"/>
                <w:highlight w:val="none"/>
                <w:lang w:val="en-US" w:eastAsia="zh-CN"/>
              </w:rPr>
              <w:t>服务费</w:t>
            </w:r>
            <w:r>
              <w:rPr>
                <w:rFonts w:hint="eastAsia" w:ascii="宋体" w:hAnsi="宋体" w:cs="宋体"/>
                <w:b/>
                <w:bCs/>
                <w:sz w:val="24"/>
                <w:szCs w:val="24"/>
                <w:highlight w:val="none"/>
              </w:rPr>
              <w:t>由中标单位支付。</w:t>
            </w:r>
          </w:p>
          <w:p w14:paraId="59065C2D">
            <w:pPr>
              <w:snapToGrid w:val="0"/>
              <w:spacing w:line="300" w:lineRule="auto"/>
              <w:contextualSpacing/>
              <w:rPr>
                <w:rFonts w:hint="eastAsia" w:ascii="宋体" w:hAnsi="宋体" w:cs="宋体"/>
                <w:sz w:val="24"/>
                <w:szCs w:val="24"/>
                <w:highlight w:val="none"/>
              </w:rPr>
            </w:pPr>
            <w:r>
              <w:rPr>
                <w:rFonts w:hint="eastAsia" w:ascii="宋体" w:hAnsi="宋体" w:cs="宋体"/>
                <w:b/>
                <w:sz w:val="24"/>
                <w:szCs w:val="24"/>
                <w:highlight w:val="none"/>
              </w:rPr>
              <w:t>本项目为</w:t>
            </w:r>
            <w:r>
              <w:rPr>
                <w:rFonts w:hint="eastAsia" w:ascii="宋体" w:hAnsi="宋体" w:cs="宋体"/>
                <w:b/>
                <w:sz w:val="24"/>
                <w:szCs w:val="24"/>
                <w:highlight w:val="none"/>
                <w:lang w:val="en-US" w:eastAsia="zh-CN"/>
              </w:rPr>
              <w:t>工程</w:t>
            </w:r>
            <w:r>
              <w:rPr>
                <w:rFonts w:hint="eastAsia" w:ascii="宋体" w:hAnsi="宋体" w:cs="宋体"/>
                <w:b/>
                <w:sz w:val="24"/>
                <w:szCs w:val="24"/>
                <w:highlight w:val="none"/>
              </w:rPr>
              <w:t>招标，招标代理服务费按国家收费标准下浮</w:t>
            </w:r>
            <w:r>
              <w:rPr>
                <w:rFonts w:hint="eastAsia" w:ascii="宋体" w:hAnsi="宋体" w:cs="宋体"/>
                <w:b/>
                <w:sz w:val="24"/>
                <w:szCs w:val="24"/>
                <w:highlight w:val="none"/>
                <w:lang w:val="en-US" w:eastAsia="zh-CN"/>
              </w:rPr>
              <w:t>20</w:t>
            </w:r>
            <w:r>
              <w:rPr>
                <w:rFonts w:hint="eastAsia" w:ascii="宋体" w:hAnsi="宋体" w:cs="宋体"/>
                <w:b/>
                <w:sz w:val="24"/>
                <w:szCs w:val="24"/>
                <w:highlight w:val="none"/>
              </w:rPr>
              <w:t>%收取</w:t>
            </w:r>
            <w:r>
              <w:rPr>
                <w:rFonts w:hint="eastAsia" w:ascii="宋体" w:hAnsi="宋体" w:cs="宋体"/>
                <w:sz w:val="24"/>
                <w:szCs w:val="24"/>
                <w:highlight w:val="none"/>
                <w:lang w:eastAsia="zh-CN"/>
              </w:rPr>
              <w:t>，</w:t>
            </w:r>
            <w:r>
              <w:rPr>
                <w:rFonts w:hint="eastAsia" w:ascii="宋体" w:hAnsi="宋体" w:cs="宋体"/>
                <w:sz w:val="24"/>
                <w:szCs w:val="24"/>
                <w:highlight w:val="none"/>
              </w:rPr>
              <w:t>投标人须按以下招标代理取费依据自行计算招标代理服务费并</w:t>
            </w:r>
            <w:r>
              <w:rPr>
                <w:rFonts w:hint="eastAsia" w:ascii="宋体" w:hAnsi="宋体" w:cs="宋体"/>
                <w:b/>
                <w:bCs/>
                <w:sz w:val="24"/>
                <w:szCs w:val="24"/>
                <w:highlight w:val="none"/>
              </w:rPr>
              <w:t>考虑在投标报价</w:t>
            </w:r>
            <w:r>
              <w:rPr>
                <w:rFonts w:hint="eastAsia" w:ascii="宋体" w:hAnsi="宋体" w:cs="宋体"/>
                <w:sz w:val="24"/>
                <w:szCs w:val="24"/>
                <w:highlight w:val="none"/>
              </w:rPr>
              <w:t>中，结算时不得以此理由向招标人提出索赔。招标代理服务费须在领取中标通知书时，由中标单位支付给招标代理机构。</w:t>
            </w:r>
          </w:p>
          <w:p w14:paraId="35760B29">
            <w:pPr>
              <w:snapToGrid w:val="0"/>
              <w:spacing w:line="300" w:lineRule="auto"/>
              <w:contextualSpacing/>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招标代理服务费收费标准参照《关于降低部分建设项目收费标准规范收费行为等有关问题的通知》（发改价格[2011]534号），服务类型为</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招标，具体如下：</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14:paraId="23924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05" w:type="dxa"/>
                  <w:noWrap w:val="0"/>
                  <w:vAlign w:val="top"/>
                </w:tcPr>
                <w:p w14:paraId="64D141C3">
                  <w:pPr>
                    <w:snapToGrid w:val="0"/>
                    <w:spacing w:before="100" w:beforeAutospacing="1" w:after="100" w:afterAutospacing="1" w:line="276" w:lineRule="auto"/>
                    <w:jc w:val="center"/>
                    <w:rPr>
                      <w:rFonts w:hint="eastAsia" w:ascii="宋体" w:hAnsi="宋体" w:cs="宋体"/>
                      <w:sz w:val="24"/>
                      <w:highlight w:val="none"/>
                    </w:rPr>
                  </w:pPr>
                  <w:r>
                    <w:rPr>
                      <w:rFonts w:hint="eastAsia" w:ascii="宋体" w:hAnsi="宋体" w:cs="宋体"/>
                      <w:sz w:val="24"/>
                      <w:highlight w:val="none"/>
                    </w:rPr>
                    <w:t>中标金额（万元）</w:t>
                  </w:r>
                </w:p>
              </w:tc>
              <w:tc>
                <w:tcPr>
                  <w:tcW w:w="2293" w:type="dxa"/>
                  <w:noWrap w:val="0"/>
                  <w:vAlign w:val="top"/>
                </w:tcPr>
                <w:p w14:paraId="3EF91F7A">
                  <w:pPr>
                    <w:snapToGrid w:val="0"/>
                    <w:spacing w:before="100" w:beforeAutospacing="1" w:after="100" w:afterAutospacing="1" w:line="276" w:lineRule="auto"/>
                    <w:jc w:val="center"/>
                    <w:rPr>
                      <w:rFonts w:hint="eastAsia" w:ascii="宋体" w:hAnsi="宋体" w:cs="宋体"/>
                      <w:sz w:val="24"/>
                      <w:highlight w:val="none"/>
                    </w:rPr>
                  </w:pPr>
                  <w:r>
                    <w:rPr>
                      <w:rFonts w:hint="eastAsia" w:ascii="宋体" w:hAnsi="宋体" w:cs="宋体"/>
                      <w:sz w:val="24"/>
                      <w:highlight w:val="none"/>
                    </w:rPr>
                    <w:t>费率</w:t>
                  </w:r>
                </w:p>
              </w:tc>
            </w:tr>
            <w:tr w14:paraId="33D02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noWrap w:val="0"/>
                  <w:vAlign w:val="top"/>
                </w:tcPr>
                <w:p w14:paraId="3B59D154">
                  <w:pPr>
                    <w:snapToGrid w:val="0"/>
                    <w:spacing w:before="100" w:beforeAutospacing="1" w:after="100" w:afterAutospacing="1" w:line="276" w:lineRule="auto"/>
                    <w:jc w:val="center"/>
                    <w:rPr>
                      <w:rFonts w:hint="eastAsia" w:ascii="宋体" w:hAnsi="宋体" w:cs="宋体"/>
                      <w:sz w:val="24"/>
                      <w:highlight w:val="none"/>
                    </w:rPr>
                  </w:pPr>
                  <w:r>
                    <w:rPr>
                      <w:rFonts w:hint="eastAsia" w:ascii="宋体" w:hAnsi="宋体" w:cs="宋体"/>
                      <w:sz w:val="24"/>
                      <w:highlight w:val="none"/>
                    </w:rPr>
                    <w:t>100以下</w:t>
                  </w:r>
                </w:p>
              </w:tc>
              <w:tc>
                <w:tcPr>
                  <w:tcW w:w="2293" w:type="dxa"/>
                  <w:noWrap w:val="0"/>
                  <w:vAlign w:val="top"/>
                </w:tcPr>
                <w:p w14:paraId="355E4DF9">
                  <w:pPr>
                    <w:snapToGrid w:val="0"/>
                    <w:spacing w:before="100" w:beforeAutospacing="1" w:after="100" w:afterAutospacing="1" w:line="276" w:lineRule="auto"/>
                    <w:jc w:val="center"/>
                    <w:rPr>
                      <w:rFonts w:hint="eastAsia"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w:t>
                  </w:r>
                </w:p>
              </w:tc>
            </w:tr>
            <w:tr w14:paraId="424F5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05" w:type="dxa"/>
                  <w:noWrap w:val="0"/>
                  <w:vAlign w:val="top"/>
                </w:tcPr>
                <w:p w14:paraId="35430398">
                  <w:pPr>
                    <w:snapToGrid w:val="0"/>
                    <w:spacing w:before="100" w:beforeAutospacing="1" w:after="100" w:afterAutospacing="1" w:line="276" w:lineRule="auto"/>
                    <w:jc w:val="center"/>
                    <w:rPr>
                      <w:rFonts w:hint="eastAsia" w:ascii="宋体" w:hAnsi="宋体" w:cs="宋体"/>
                      <w:sz w:val="24"/>
                      <w:highlight w:val="none"/>
                    </w:rPr>
                  </w:pPr>
                  <w:r>
                    <w:rPr>
                      <w:rFonts w:hint="eastAsia" w:ascii="宋体" w:hAnsi="宋体" w:cs="宋体"/>
                      <w:sz w:val="24"/>
                      <w:highlight w:val="none"/>
                    </w:rPr>
                    <w:t>100-500</w:t>
                  </w:r>
                </w:p>
              </w:tc>
              <w:tc>
                <w:tcPr>
                  <w:tcW w:w="2293" w:type="dxa"/>
                  <w:noWrap w:val="0"/>
                  <w:vAlign w:val="top"/>
                </w:tcPr>
                <w:p w14:paraId="472E46F5">
                  <w:pPr>
                    <w:snapToGrid w:val="0"/>
                    <w:spacing w:before="100" w:beforeAutospacing="1" w:after="100" w:afterAutospacing="1" w:line="276" w:lineRule="auto"/>
                    <w:jc w:val="center"/>
                    <w:rPr>
                      <w:rFonts w:hint="eastAsia"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7</w:t>
                  </w:r>
                  <w:r>
                    <w:rPr>
                      <w:rFonts w:hint="eastAsia" w:ascii="宋体" w:hAnsi="宋体" w:cs="宋体"/>
                      <w:sz w:val="24"/>
                      <w:highlight w:val="none"/>
                    </w:rPr>
                    <w:t>%</w:t>
                  </w:r>
                </w:p>
              </w:tc>
            </w:tr>
          </w:tbl>
          <w:p w14:paraId="0043E1EA">
            <w:pPr>
              <w:spacing w:line="293" w:lineRule="auto"/>
              <w:contextualSpacing/>
              <w:rPr>
                <w:rFonts w:hint="eastAsia" w:ascii="宋体" w:hAnsi="宋体" w:cs="宋体"/>
                <w:sz w:val="24"/>
                <w:szCs w:val="24"/>
                <w:highlight w:val="none"/>
              </w:rPr>
            </w:pPr>
            <w:r>
              <w:rPr>
                <w:rFonts w:hint="eastAsia" w:ascii="宋体" w:hAnsi="宋体" w:cs="宋体"/>
                <w:sz w:val="24"/>
                <w:szCs w:val="24"/>
                <w:highlight w:val="none"/>
              </w:rPr>
              <w:t>注：1.按本表费率计算的收费为招标代理服务全过程的收费基准价格；2.招标代理服务收费按差额定率累进法计算。</w:t>
            </w:r>
          </w:p>
          <w:p w14:paraId="45B86FC9">
            <w:pPr>
              <w:spacing w:line="293" w:lineRule="auto"/>
              <w:contextualSpacing/>
              <w:rPr>
                <w:rFonts w:hint="eastAsia" w:ascii="宋体" w:hAnsi="宋体" w:cs="宋体"/>
                <w:sz w:val="24"/>
                <w:szCs w:val="24"/>
                <w:highlight w:val="none"/>
              </w:rPr>
            </w:pPr>
            <w:r>
              <w:rPr>
                <w:rFonts w:hint="eastAsia" w:ascii="宋体" w:hAnsi="宋体" w:cs="宋体"/>
                <w:sz w:val="24"/>
                <w:szCs w:val="24"/>
                <w:highlight w:val="none"/>
              </w:rPr>
              <w:t>代理费交纳方式：可以是汇款或转账形式；</w:t>
            </w:r>
          </w:p>
          <w:p w14:paraId="748691F6">
            <w:pPr>
              <w:wordWrap w:val="0"/>
              <w:overflowPunct w:val="0"/>
              <w:autoSpaceDE w:val="0"/>
              <w:autoSpaceDN w:val="0"/>
              <w:snapToGrid w:val="0"/>
              <w:spacing w:before="24" w:beforeLines="10" w:after="24" w:afterLines="10" w:line="400" w:lineRule="exac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收款人名称：浙江中合工程管理有限公司嘉善分公司；</w:t>
            </w:r>
          </w:p>
          <w:p w14:paraId="77A117E6">
            <w:pPr>
              <w:wordWrap w:val="0"/>
              <w:overflowPunct w:val="0"/>
              <w:autoSpaceDE w:val="0"/>
              <w:autoSpaceDN w:val="0"/>
              <w:snapToGrid w:val="0"/>
              <w:spacing w:before="24" w:beforeLines="10" w:after="24" w:afterLines="10" w:line="400" w:lineRule="exac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开户银行：浙江嘉善农村商业银行股份有限公司魏塘支行；</w:t>
            </w:r>
          </w:p>
          <w:p w14:paraId="5121B66F">
            <w:pPr>
              <w:wordWrap w:val="0"/>
              <w:overflowPunct w:val="0"/>
              <w:autoSpaceDE w:val="0"/>
              <w:autoSpaceDN w:val="0"/>
              <w:snapToGrid w:val="0"/>
              <w:spacing w:before="24" w:beforeLines="10" w:after="24" w:afterLines="10" w:line="400" w:lineRule="exac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银行账号：201 000 217 247 654。</w:t>
            </w:r>
          </w:p>
          <w:p w14:paraId="06650EE4">
            <w:pPr>
              <w:wordWrap w:val="0"/>
              <w:topLinePunct/>
              <w:snapToGrid w:val="0"/>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sz w:val="24"/>
                <w:szCs w:val="24"/>
                <w:highlight w:val="none"/>
              </w:rPr>
              <w:t>注：请注明款项用途及项目名称，以便收款人确认。</w:t>
            </w:r>
          </w:p>
        </w:tc>
      </w:tr>
    </w:tbl>
    <w:p w14:paraId="70D117BE">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664D8829">
      <w:pPr>
        <w:pStyle w:val="4"/>
        <w:spacing w:before="0" w:after="0" w:line="30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30" w:name="_Toc22739"/>
      <w:bookmarkStart w:id="31" w:name="_Toc370"/>
      <w:r>
        <w:rPr>
          <w:rFonts w:hint="eastAsia" w:ascii="宋体" w:hAnsi="宋体" w:eastAsia="宋体" w:cs="宋体"/>
          <w:color w:val="auto"/>
          <w:highlight w:val="none"/>
        </w:rPr>
        <w:t>二、总  则</w:t>
      </w:r>
      <w:bookmarkEnd w:id="30"/>
      <w:bookmarkEnd w:id="31"/>
    </w:p>
    <w:p w14:paraId="17E202DD">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 适用范围</w:t>
      </w:r>
    </w:p>
    <w:p w14:paraId="0BE60B5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本磋商文件适用于</w:t>
      </w:r>
      <w:r>
        <w:rPr>
          <w:rFonts w:hint="eastAsia" w:ascii="宋体" w:hAnsi="宋体" w:cs="宋体"/>
          <w:color w:val="auto"/>
          <w:kern w:val="2"/>
          <w:sz w:val="24"/>
          <w:szCs w:val="24"/>
          <w:highlight w:val="none"/>
          <w:lang w:val="en-US" w:eastAsia="zh-CN" w:bidi="ar-SA"/>
        </w:rPr>
        <w:t>嘉善县实验小学2025年度校舍常规维修</w:t>
      </w:r>
      <w:r>
        <w:rPr>
          <w:rFonts w:hint="eastAsia" w:ascii="宋体" w:hAnsi="宋体" w:eastAsia="宋体" w:cs="宋体"/>
          <w:color w:val="auto"/>
          <w:sz w:val="24"/>
          <w:szCs w:val="24"/>
          <w:highlight w:val="none"/>
        </w:rPr>
        <w:t>的磋商、评审、定标、验收、合同履约、付款等（法律、法规另有规定的，从其规定）。</w:t>
      </w:r>
    </w:p>
    <w:p w14:paraId="1917CC91">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（二）定义</w:t>
      </w:r>
    </w:p>
    <w:p w14:paraId="2C5A482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1.“供应商”系指向代理机构提交磋商响应文</w:t>
      </w:r>
      <w:r>
        <w:rPr>
          <w:rFonts w:hint="eastAsia" w:ascii="宋体" w:hAnsi="宋体" w:eastAsia="宋体" w:cs="宋体"/>
          <w:color w:val="auto"/>
          <w:sz w:val="24"/>
          <w:highlight w:val="none"/>
        </w:rPr>
        <w:t>件的单位。</w:t>
      </w:r>
    </w:p>
    <w:p w14:paraId="6CAC0D4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2.“服务”系指磋商文件规定供应商须承担的</w:t>
      </w:r>
      <w:r>
        <w:rPr>
          <w:rFonts w:hint="eastAsia" w:ascii="宋体" w:hAnsi="宋体" w:cs="宋体"/>
          <w:color w:val="auto"/>
          <w:kern w:val="2"/>
          <w:sz w:val="24"/>
          <w:szCs w:val="24"/>
          <w:highlight w:val="none"/>
          <w:lang w:val="en-US" w:eastAsia="zh-CN" w:bidi="ar-SA"/>
        </w:rPr>
        <w:t>嘉善县实验小学2025年度校舍常规维修</w:t>
      </w:r>
      <w:r>
        <w:rPr>
          <w:rFonts w:hint="eastAsia" w:ascii="宋体" w:hAnsi="宋体" w:eastAsia="宋体" w:cs="宋体"/>
          <w:color w:val="auto"/>
          <w:sz w:val="24"/>
          <w:highlight w:val="none"/>
        </w:rPr>
        <w:t>。</w:t>
      </w:r>
    </w:p>
    <w:p w14:paraId="483771F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3.“施工”</w:t>
      </w:r>
      <w:r>
        <w:rPr>
          <w:rFonts w:hint="eastAsia" w:ascii="宋体" w:hAnsi="宋体" w:eastAsia="宋体" w:cs="宋体"/>
          <w:color w:val="auto"/>
          <w:sz w:val="24"/>
          <w:szCs w:val="24"/>
          <w:highlight w:val="none"/>
          <w:lang w:eastAsia="zh-CN"/>
        </w:rPr>
        <w:t>系指</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须按照竞争性磋商文件中规定的</w:t>
      </w:r>
      <w:r>
        <w:rPr>
          <w:rFonts w:hint="eastAsia" w:ascii="宋体" w:hAnsi="宋体" w:eastAsia="宋体" w:cs="宋体"/>
          <w:color w:val="auto"/>
          <w:sz w:val="24"/>
          <w:szCs w:val="24"/>
          <w:highlight w:val="none"/>
        </w:rPr>
        <w:t>招标范围和工程施工现场实际情况、合理的施工方法</w:t>
      </w:r>
      <w:r>
        <w:rPr>
          <w:rFonts w:hint="eastAsia" w:ascii="宋体" w:hAnsi="宋体" w:eastAsia="宋体" w:cs="宋体"/>
          <w:color w:val="auto"/>
          <w:sz w:val="24"/>
          <w:szCs w:val="24"/>
          <w:highlight w:val="none"/>
          <w:lang w:val="en-US" w:eastAsia="zh-CN"/>
        </w:rPr>
        <w:t>进行施工总承包。</w:t>
      </w:r>
    </w:p>
    <w:p w14:paraId="4AC01DF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．“项目”系指投标人按招标文件规定向采购人提供的</w:t>
      </w:r>
      <w:r>
        <w:rPr>
          <w:rFonts w:hint="eastAsia" w:ascii="宋体" w:hAnsi="宋体" w:eastAsia="宋体" w:cs="宋体"/>
          <w:color w:val="auto"/>
          <w:sz w:val="24"/>
          <w:szCs w:val="24"/>
          <w:highlight w:val="none"/>
          <w:lang w:val="en-US" w:eastAsia="zh-CN"/>
        </w:rPr>
        <w:t>施工和</w:t>
      </w:r>
      <w:r>
        <w:rPr>
          <w:rFonts w:hint="eastAsia" w:ascii="宋体" w:hAnsi="宋体" w:eastAsia="宋体" w:cs="宋体"/>
          <w:color w:val="auto"/>
          <w:sz w:val="24"/>
          <w:szCs w:val="24"/>
          <w:highlight w:val="none"/>
          <w:lang w:eastAsia="zh-CN"/>
        </w:rPr>
        <w:t>产品和服务。</w:t>
      </w:r>
    </w:p>
    <w:p w14:paraId="15334DF6">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.“书面形式”包括信函、传真、电报、电子文档等。</w:t>
      </w:r>
    </w:p>
    <w:p w14:paraId="013EA16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.“▲”系指实质性要求条款</w:t>
      </w:r>
      <w:r>
        <w:rPr>
          <w:rFonts w:hint="eastAsia" w:ascii="宋体" w:hAnsi="宋体" w:eastAsia="宋体" w:cs="宋体"/>
          <w:color w:val="auto"/>
          <w:sz w:val="24"/>
          <w:highlight w:val="none"/>
        </w:rPr>
        <w:t>，如有不满足，响应文件为无效文件</w:t>
      </w:r>
      <w:r>
        <w:rPr>
          <w:rFonts w:hint="eastAsia" w:ascii="宋体" w:hAnsi="宋体" w:eastAsia="宋体" w:cs="宋体"/>
          <w:color w:val="auto"/>
          <w:sz w:val="24"/>
          <w:szCs w:val="24"/>
          <w:highlight w:val="none"/>
        </w:rPr>
        <w:t>。</w:t>
      </w:r>
    </w:p>
    <w:p w14:paraId="77D2CC5F">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（三）磋商方式</w:t>
      </w:r>
    </w:p>
    <w:p w14:paraId="168DA055">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本次采购采用竞争性磋商方式进行</w:t>
      </w:r>
      <w:r>
        <w:rPr>
          <w:rFonts w:hint="eastAsia" w:ascii="宋体" w:hAnsi="宋体" w:eastAsia="宋体" w:cs="宋体"/>
          <w:color w:val="auto"/>
          <w:sz w:val="24"/>
          <w:szCs w:val="24"/>
          <w:highlight w:val="none"/>
        </w:rPr>
        <w:t>。</w:t>
      </w:r>
    </w:p>
    <w:p w14:paraId="61DDABBC">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（四）磋商委托</w:t>
      </w:r>
    </w:p>
    <w:p w14:paraId="7400A775">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如供应商代表不是法定代表人，还须有法定代表人出具的授权委托书。</w:t>
      </w:r>
    </w:p>
    <w:p w14:paraId="4DA66039">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（五）磋商费用</w:t>
      </w:r>
    </w:p>
    <w:p w14:paraId="372F36AA">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不论磋商结果如何，供应商均应自行承担所有与磋商有关的全部费用。</w:t>
      </w:r>
    </w:p>
    <w:p w14:paraId="0176FC30">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（六）联合体磋商</w:t>
      </w:r>
    </w:p>
    <w:p w14:paraId="29B02E8E">
      <w:pPr>
        <w:pageBreakBefore w:val="0"/>
        <w:widowControl w:val="0"/>
        <w:kinsoku/>
        <w:wordWrap/>
        <w:overflowPunct/>
        <w:topLinePunct w:val="0"/>
        <w:autoSpaceDE/>
        <w:autoSpaceDN/>
        <w:bidi w:val="0"/>
        <w:spacing w:line="450" w:lineRule="exact"/>
        <w:ind w:firstLine="715" w:firstLineChars="298"/>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接受联合体磋商</w:t>
      </w:r>
      <w:r>
        <w:rPr>
          <w:rFonts w:hint="eastAsia" w:ascii="宋体" w:hAnsi="宋体" w:eastAsia="宋体" w:cs="宋体"/>
          <w:b/>
          <w:bCs/>
          <w:color w:val="auto"/>
          <w:sz w:val="24"/>
          <w:szCs w:val="24"/>
          <w:highlight w:val="none"/>
          <w:lang w:val="en-US" w:eastAsia="zh-CN"/>
        </w:rPr>
        <w:t>。</w:t>
      </w:r>
    </w:p>
    <w:p w14:paraId="5738FD34">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（七）关联企业参与磋商</w:t>
      </w:r>
    </w:p>
    <w:p w14:paraId="3092B1B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1.本磋商文件所称关联企业,是指存在“关联关系”的企业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“关联关系”的界定适用《中华人民共和国公司法》216条之规定。</w:t>
      </w:r>
    </w:p>
    <w:p w14:paraId="3C6FB40D">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2.▲关联企业中,法定代表人为同一个的两个及两个以上法人，母公司、全资子公司及其控股公司，都不得同时参加磋商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一经发现，将导致磋商响应同时被拒绝。</w:t>
      </w:r>
    </w:p>
    <w:p w14:paraId="6AFAB64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磋商小组集体决定。</w:t>
      </w:r>
    </w:p>
    <w:p w14:paraId="521B59CD">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（八）转包与分包</w:t>
      </w:r>
    </w:p>
    <w:p w14:paraId="606952F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1.本项目不允许转包。</w:t>
      </w:r>
    </w:p>
    <w:p w14:paraId="657A751B">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bookmarkStart w:id="32" w:name="_Toc487793386"/>
      <w:bookmarkStart w:id="33" w:name="_Toc493699298"/>
      <w:bookmarkStart w:id="34" w:name="_Toc437979776"/>
      <w:bookmarkStart w:id="35" w:name="_Toc177870542"/>
      <w:bookmarkStart w:id="36" w:name="_Toc192313107"/>
      <w:bookmarkStart w:id="37" w:name="_Toc448487535"/>
      <w:bookmarkStart w:id="38" w:name="_Toc487802093"/>
      <w:bookmarkStart w:id="39" w:name="_Toc493082114"/>
      <w:bookmarkStart w:id="40" w:name="_Toc487802024"/>
      <w:r>
        <w:rPr>
          <w:rFonts w:hint="eastAsia" w:ascii="宋体" w:hAnsi="宋体" w:cs="宋体"/>
          <w:color w:val="auto"/>
          <w:sz w:val="24"/>
          <w:szCs w:val="24"/>
          <w:highlight w:val="none"/>
        </w:rPr>
        <w:t>2.本项目不可以</w:t>
      </w:r>
      <w:r>
        <w:rPr>
          <w:rFonts w:hint="eastAsia" w:ascii="宋体" w:hAnsi="宋体" w:cs="宋体"/>
          <w:color w:val="auto"/>
          <w:sz w:val="24"/>
          <w:szCs w:val="24"/>
          <w:highlight w:val="none"/>
          <w:lang w:eastAsia="zh-CN"/>
        </w:rPr>
        <w:t>违规</w:t>
      </w:r>
      <w:r>
        <w:rPr>
          <w:rFonts w:hint="eastAsia" w:ascii="宋体" w:hAnsi="宋体" w:cs="宋体"/>
          <w:color w:val="auto"/>
          <w:sz w:val="24"/>
          <w:szCs w:val="24"/>
          <w:highlight w:val="none"/>
        </w:rPr>
        <w:t>分</w:t>
      </w:r>
      <w:r>
        <w:rPr>
          <w:rFonts w:hint="eastAsia" w:ascii="宋体" w:hAnsi="宋体" w:eastAsia="宋体" w:cs="宋体"/>
          <w:color w:val="auto"/>
          <w:sz w:val="24"/>
          <w:szCs w:val="24"/>
          <w:highlight w:val="none"/>
        </w:rPr>
        <w:t>包</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在不涉及国家禁止的且由业主书面同意方可分包</w:t>
      </w:r>
      <w:r>
        <w:rPr>
          <w:rFonts w:hint="eastAsia" w:ascii="宋体" w:hAnsi="宋体" w:eastAsia="宋体" w:cs="宋体"/>
          <w:color w:val="auto"/>
          <w:sz w:val="24"/>
          <w:szCs w:val="24"/>
          <w:highlight w:val="none"/>
        </w:rPr>
        <w:t>。</w:t>
      </w:r>
    </w:p>
    <w:p w14:paraId="79787522">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（九）特别说明</w:t>
      </w:r>
      <w:bookmarkEnd w:id="32"/>
      <w:bookmarkEnd w:id="33"/>
      <w:bookmarkEnd w:id="34"/>
      <w:bookmarkEnd w:id="35"/>
      <w:bookmarkEnd w:id="36"/>
      <w:bookmarkEnd w:id="37"/>
      <w:bookmarkEnd w:id="38"/>
      <w:bookmarkEnd w:id="39"/>
      <w:bookmarkEnd w:id="40"/>
    </w:p>
    <w:p w14:paraId="65043DE6">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1.▲供应商磋商所使用的资格、信誉、荣誉、业绩与企业认证必须为本法人所拥有。</w:t>
      </w:r>
    </w:p>
    <w:p w14:paraId="58C2C4A2">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2.▲供应商磋商不得含有任何虚假材料,否则作无效处理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成交后发现的, 成交供应商须依照《中华人民共和国消费者权益保护法》第55条之规定赔偿采购人。民事上之赔偿不免除作假供应商之行政与刑事责任。</w:t>
      </w:r>
    </w:p>
    <w:p w14:paraId="343E06C8">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bookmarkStart w:id="41" w:name="_Toc493699299"/>
      <w:bookmarkStart w:id="42" w:name="_Toc448487536"/>
      <w:bookmarkStart w:id="43" w:name="_Toc487802094"/>
      <w:bookmarkStart w:id="44" w:name="_Toc487793387"/>
      <w:bookmarkStart w:id="45" w:name="_Toc487802025"/>
      <w:bookmarkStart w:id="46" w:name="_Toc493082115"/>
      <w:bookmarkStart w:id="47" w:name="_Toc192313108"/>
      <w:bookmarkStart w:id="48" w:name="_Toc177870543"/>
      <w:bookmarkStart w:id="49" w:name="_Toc437979777"/>
      <w:r>
        <w:rPr>
          <w:rFonts w:hint="eastAsia" w:ascii="宋体" w:hAnsi="宋体" w:eastAsia="宋体" w:cs="宋体"/>
          <w:b/>
          <w:bCs/>
          <w:color w:val="auto"/>
          <w:highlight w:val="none"/>
        </w:rPr>
        <w:t>（十）质疑</w:t>
      </w:r>
      <w:bookmarkEnd w:id="41"/>
      <w:bookmarkEnd w:id="42"/>
      <w:bookmarkEnd w:id="43"/>
      <w:bookmarkEnd w:id="44"/>
      <w:bookmarkEnd w:id="45"/>
      <w:bookmarkEnd w:id="46"/>
      <w:bookmarkEnd w:id="47"/>
      <w:bookmarkEnd w:id="48"/>
      <w:bookmarkEnd w:id="49"/>
    </w:p>
    <w:p w14:paraId="606F995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认为磋商文件、磋商过程和成交结果使自己的合法权益受到损害的，应当在知道或者应知其权益受到损害之日起七个工作日内，以书面形式一次性向采购人、采购代理机构提出针对同一采购程序环节的质疑。质疑供应商对采购人、招标代理机构的答复不满意，或者采购人、招标代理机构未在规定时间内作出答复的，可以在答复期满后15个工作日内向规定的财政部门提起投诉。质疑函范本、投诉书范本见附件。</w:t>
      </w:r>
    </w:p>
    <w:p w14:paraId="5C03EE8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2.质疑和投诉应当满足《政府采购质疑和投诉办法》（中华人民共和国财政部令第94号）要求。</w:t>
      </w:r>
    </w:p>
    <w:p w14:paraId="55408E6C">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50" w:name="_Toc25112"/>
      <w:bookmarkStart w:id="51" w:name="_Toc292"/>
      <w:r>
        <w:rPr>
          <w:rFonts w:hint="eastAsia" w:ascii="宋体" w:hAnsi="宋体" w:eastAsia="宋体" w:cs="宋体"/>
          <w:color w:val="auto"/>
          <w:highlight w:val="none"/>
        </w:rPr>
        <w:t>三、磋商文件</w:t>
      </w:r>
      <w:bookmarkEnd w:id="50"/>
      <w:bookmarkEnd w:id="51"/>
    </w:p>
    <w:p w14:paraId="5E592553">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（一）磋商文件的构成：</w:t>
      </w:r>
    </w:p>
    <w:p w14:paraId="4532F945">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1.竞争性磋商公告</w:t>
      </w:r>
    </w:p>
    <w:p w14:paraId="66BCD127">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2.磋商项目需求</w:t>
      </w:r>
    </w:p>
    <w:p w14:paraId="4EDB4081">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.供应商须知</w:t>
      </w:r>
    </w:p>
    <w:p w14:paraId="1FAB1293">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.评审办法及标准</w:t>
      </w:r>
    </w:p>
    <w:p w14:paraId="62E0F3ED">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.合同主要条款</w:t>
      </w:r>
    </w:p>
    <w:p w14:paraId="4E9B26D1">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.磋商文件相关文件格式</w:t>
      </w:r>
    </w:p>
    <w:p w14:paraId="6AEFFA6C">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.本项目磋商文件的澄清、答复、修改、补充的内容。澄清、答复、修改、补充的内容均作为磋商文件的组成部分，具有约束作用。</w:t>
      </w:r>
    </w:p>
    <w:p w14:paraId="58CA943C">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（二）存在的风险</w:t>
      </w:r>
    </w:p>
    <w:p w14:paraId="2014E8A0">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供应商没有按照磋商文件要求提供全部资料，或者供应商没有对磋商文件在各方面都作出实质性响应是供应商的风险，并可能导致其磋商被拒绝。</w:t>
      </w:r>
    </w:p>
    <w:p w14:paraId="0B37B9F7">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adjustRightInd/>
        <w:snapToGrid w:val="0"/>
        <w:spacing w:afterLines="0" w:line="450" w:lineRule="exact"/>
        <w:ind w:firstLine="281" w:firstLineChars="1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rPr>
        <w:t>（三）磋商文件的澄清与修改</w:t>
      </w:r>
      <w:r>
        <w:rPr>
          <w:rFonts w:hint="eastAsia" w:ascii="宋体" w:hAnsi="宋体" w:eastAsia="宋体" w:cs="宋体"/>
          <w:b/>
          <w:bCs/>
          <w:color w:val="auto"/>
          <w:sz w:val="28"/>
          <w:szCs w:val="28"/>
          <w:highlight w:val="none"/>
        </w:rPr>
        <w:t xml:space="preserve"> </w:t>
      </w:r>
    </w:p>
    <w:p w14:paraId="5D6C0DBE">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1.供应商应认真阅读本磋商文件，发现其中有误或有要求不合理的，供应商必须在在知道或者应当知道之日起七个工作日内以书面形式要求采购代理机构澄清，否则，由此产生的后果由供应商负责。</w:t>
      </w:r>
    </w:p>
    <w:p w14:paraId="1F06B91D">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2.采购代理机构必须以书面形式答复所有购买磋商文件的供应商（注：答复中不包含问题的来源）要求澄清的问题，同时认定其他澄清方式为无效。</w:t>
      </w:r>
    </w:p>
    <w:p w14:paraId="07D779F5">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代理机构对已发出的磋商文件进行必要澄清或者修改的，应当在财政部门指定的政府采购信息发布媒体上发布更正公告，并以书面形式通知所有磋商文件收受人。该澄清或者修改的内容为磋商文件的组成部分。</w:t>
      </w:r>
    </w:p>
    <w:p w14:paraId="6A351D79">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代理机构和采购单位可以视采购具体情况，延长提交磋商文件的截止时间和磋商时间，但至少应当在磋商文件要求提交磋商文件的截止时间5日前，将变更时间书面通知所有磋商文件收受人，并在财政部门指定的政府采购信息发布媒体上发布变更公告。</w:t>
      </w:r>
    </w:p>
    <w:p w14:paraId="36DC457D">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5.磋商文件的澄清或者修改都应该通过本代理机构以法定形式发布，采购人非通过本机构，不得擅自澄清或者修改磋商文件。</w:t>
      </w:r>
    </w:p>
    <w:p w14:paraId="1893CB15">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52" w:name="_Toc20030"/>
      <w:bookmarkStart w:id="53" w:name="_Toc30729"/>
      <w:r>
        <w:rPr>
          <w:rFonts w:hint="eastAsia" w:ascii="宋体" w:hAnsi="宋体" w:eastAsia="宋体" w:cs="宋体"/>
          <w:color w:val="auto"/>
          <w:highlight w:val="none"/>
        </w:rPr>
        <w:t>四、响应文件的编制</w:t>
      </w:r>
      <w:bookmarkEnd w:id="52"/>
      <w:bookmarkEnd w:id="53"/>
    </w:p>
    <w:p w14:paraId="396089B3">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u w:val="none"/>
          <w:lang w:eastAsia="zh-CN"/>
        </w:rPr>
      </w:pPr>
      <w:r>
        <w:rPr>
          <w:rFonts w:hint="eastAsia" w:ascii="宋体" w:hAnsi="宋体" w:eastAsia="宋体" w:cs="宋体"/>
          <w:b/>
          <w:bCs/>
          <w:color w:val="auto"/>
          <w:sz w:val="24"/>
          <w:highlight w:val="none"/>
          <w:u w:val="none"/>
          <w:lang w:val="en-US" w:eastAsia="zh-CN"/>
        </w:rPr>
        <w:t>响应</w:t>
      </w:r>
      <w:r>
        <w:rPr>
          <w:rFonts w:hint="eastAsia" w:ascii="宋体" w:hAnsi="宋体" w:eastAsia="宋体" w:cs="宋体"/>
          <w:b/>
          <w:bCs/>
          <w:color w:val="auto"/>
          <w:sz w:val="24"/>
          <w:highlight w:val="none"/>
          <w:u w:val="none"/>
        </w:rPr>
        <w:t>文件必须包括</w:t>
      </w:r>
      <w:r>
        <w:rPr>
          <w:rFonts w:hint="eastAsia" w:ascii="宋体" w:hAnsi="宋体" w:eastAsia="宋体" w:cs="宋体"/>
          <w:b/>
          <w:bCs/>
          <w:color w:val="auto"/>
          <w:sz w:val="24"/>
          <w:highlight w:val="none"/>
          <w:u w:val="none"/>
          <w:lang w:val="en-US" w:eastAsia="zh-CN"/>
        </w:rPr>
        <w:t>本章节“</w:t>
      </w:r>
      <w:r>
        <w:rPr>
          <w:rFonts w:hint="eastAsia" w:ascii="宋体" w:hAnsi="宋体" w:eastAsia="宋体" w:cs="宋体"/>
          <w:b/>
          <w:bCs/>
          <w:color w:val="auto"/>
          <w:sz w:val="24"/>
          <w:highlight w:val="none"/>
          <w:u w:val="none"/>
        </w:rPr>
        <w:t>磋商响应文件的组成</w:t>
      </w:r>
      <w:r>
        <w:rPr>
          <w:rFonts w:hint="eastAsia" w:ascii="宋体" w:hAnsi="宋体" w:eastAsia="宋体" w:cs="宋体"/>
          <w:b/>
          <w:bCs/>
          <w:color w:val="auto"/>
          <w:sz w:val="24"/>
          <w:highlight w:val="none"/>
          <w:u w:val="none"/>
          <w:lang w:val="en-US" w:eastAsia="zh-CN"/>
        </w:rPr>
        <w:t>”</w:t>
      </w:r>
      <w:r>
        <w:rPr>
          <w:rFonts w:hint="eastAsia" w:ascii="宋体" w:hAnsi="宋体" w:eastAsia="宋体" w:cs="宋体"/>
          <w:b/>
          <w:bCs/>
          <w:color w:val="auto"/>
          <w:sz w:val="24"/>
          <w:highlight w:val="none"/>
          <w:u w:val="none"/>
        </w:rPr>
        <w:t>规定的内容</w:t>
      </w:r>
      <w:r>
        <w:rPr>
          <w:rFonts w:hint="eastAsia" w:ascii="宋体" w:hAnsi="宋体" w:eastAsia="宋体" w:cs="宋体"/>
          <w:b/>
          <w:bCs/>
          <w:color w:val="auto"/>
          <w:sz w:val="24"/>
          <w:highlight w:val="none"/>
          <w:u w:val="none"/>
          <w:lang w:eastAsia="zh-CN"/>
        </w:rPr>
        <w:t>（</w:t>
      </w:r>
      <w:r>
        <w:rPr>
          <w:rFonts w:hint="eastAsia" w:ascii="宋体" w:hAnsi="宋体" w:eastAsia="宋体" w:cs="宋体"/>
          <w:b/>
          <w:bCs/>
          <w:color w:val="auto"/>
          <w:sz w:val="24"/>
          <w:highlight w:val="none"/>
          <w:u w:val="none"/>
          <w:lang w:val="en-US" w:eastAsia="zh-CN"/>
        </w:rPr>
        <w:t>除磋商采购文件另行说明外</w:t>
      </w:r>
      <w:r>
        <w:rPr>
          <w:rFonts w:hint="eastAsia" w:ascii="宋体" w:hAnsi="宋体" w:eastAsia="宋体" w:cs="宋体"/>
          <w:b/>
          <w:bCs/>
          <w:color w:val="auto"/>
          <w:sz w:val="24"/>
          <w:highlight w:val="none"/>
          <w:u w:val="none"/>
          <w:lang w:eastAsia="zh-CN"/>
        </w:rPr>
        <w:t>）</w:t>
      </w:r>
      <w:r>
        <w:rPr>
          <w:rFonts w:hint="eastAsia" w:ascii="宋体" w:hAnsi="宋体" w:eastAsia="宋体" w:cs="宋体"/>
          <w:b/>
          <w:bCs/>
          <w:color w:val="auto"/>
          <w:sz w:val="24"/>
          <w:highlight w:val="none"/>
          <w:u w:val="none"/>
        </w:rPr>
        <w:t>，</w:t>
      </w:r>
      <w:r>
        <w:rPr>
          <w:rFonts w:hint="eastAsia" w:ascii="宋体" w:hAnsi="宋体" w:eastAsia="宋体" w:cs="宋体"/>
          <w:b/>
          <w:bCs/>
          <w:color w:val="auto"/>
          <w:sz w:val="24"/>
          <w:highlight w:val="none"/>
          <w:u w:val="none"/>
          <w:lang w:val="en-US" w:eastAsia="zh-CN"/>
        </w:rPr>
        <w:t>供应商</w:t>
      </w:r>
      <w:r>
        <w:rPr>
          <w:rFonts w:hint="eastAsia" w:ascii="宋体" w:hAnsi="宋体" w:eastAsia="宋体" w:cs="宋体"/>
          <w:b/>
          <w:bCs/>
          <w:color w:val="auto"/>
          <w:sz w:val="24"/>
          <w:highlight w:val="none"/>
          <w:u w:val="none"/>
        </w:rPr>
        <w:t>提交的</w:t>
      </w:r>
      <w:r>
        <w:rPr>
          <w:rFonts w:hint="eastAsia" w:ascii="宋体" w:hAnsi="宋体" w:eastAsia="宋体" w:cs="宋体"/>
          <w:b/>
          <w:bCs/>
          <w:color w:val="auto"/>
          <w:sz w:val="24"/>
          <w:highlight w:val="none"/>
          <w:u w:val="none"/>
          <w:lang w:val="en-US" w:eastAsia="zh-CN"/>
        </w:rPr>
        <w:t>响应</w:t>
      </w:r>
      <w:r>
        <w:rPr>
          <w:rFonts w:hint="eastAsia" w:ascii="宋体" w:hAnsi="宋体" w:eastAsia="宋体" w:cs="宋体"/>
          <w:b/>
          <w:bCs/>
          <w:color w:val="auto"/>
          <w:sz w:val="24"/>
          <w:highlight w:val="none"/>
          <w:u w:val="none"/>
        </w:rPr>
        <w:t>文件应当使用</w:t>
      </w:r>
      <w:r>
        <w:rPr>
          <w:rFonts w:hint="eastAsia" w:ascii="宋体" w:hAnsi="宋体" w:eastAsia="宋体" w:cs="宋体"/>
          <w:b/>
          <w:bCs/>
          <w:color w:val="auto"/>
          <w:sz w:val="24"/>
          <w:highlight w:val="none"/>
          <w:u w:val="none"/>
          <w:lang w:val="en-US" w:eastAsia="zh-CN"/>
        </w:rPr>
        <w:t>磋商响应</w:t>
      </w:r>
      <w:r>
        <w:rPr>
          <w:rFonts w:hint="eastAsia" w:ascii="宋体" w:hAnsi="宋体" w:eastAsia="宋体" w:cs="宋体"/>
          <w:b/>
          <w:bCs/>
          <w:color w:val="auto"/>
          <w:sz w:val="24"/>
          <w:highlight w:val="none"/>
          <w:u w:val="none"/>
        </w:rPr>
        <w:t>文件所提供的</w:t>
      </w:r>
      <w:r>
        <w:rPr>
          <w:rFonts w:hint="eastAsia" w:ascii="宋体" w:hAnsi="宋体" w:eastAsia="宋体" w:cs="宋体"/>
          <w:b/>
          <w:bCs/>
          <w:color w:val="auto"/>
          <w:sz w:val="24"/>
          <w:highlight w:val="none"/>
          <w:u w:val="none"/>
          <w:lang w:val="en-US" w:eastAsia="zh-CN"/>
        </w:rPr>
        <w:t>响应</w:t>
      </w:r>
      <w:r>
        <w:rPr>
          <w:rFonts w:hint="eastAsia" w:ascii="宋体" w:hAnsi="宋体" w:eastAsia="宋体" w:cs="宋体"/>
          <w:b/>
          <w:bCs/>
          <w:color w:val="auto"/>
          <w:sz w:val="24"/>
          <w:highlight w:val="none"/>
          <w:u w:val="none"/>
        </w:rPr>
        <w:t>文件全部格式（</w:t>
      </w:r>
      <w:r>
        <w:rPr>
          <w:rFonts w:hint="eastAsia" w:ascii="宋体" w:hAnsi="宋体" w:eastAsia="宋体" w:cs="宋体"/>
          <w:b/>
          <w:bCs/>
          <w:color w:val="auto"/>
          <w:sz w:val="24"/>
          <w:highlight w:val="none"/>
          <w:u w:val="none"/>
          <w:lang w:val="en-US" w:eastAsia="zh-CN"/>
        </w:rPr>
        <w:t>除报价一览表外，其余</w:t>
      </w:r>
      <w:r>
        <w:rPr>
          <w:rFonts w:hint="eastAsia" w:ascii="宋体" w:hAnsi="宋体" w:eastAsia="宋体" w:cs="宋体"/>
          <w:b/>
          <w:bCs/>
          <w:color w:val="auto"/>
          <w:sz w:val="24"/>
          <w:highlight w:val="none"/>
          <w:u w:val="none"/>
        </w:rPr>
        <w:t>表格</w:t>
      </w:r>
      <w:r>
        <w:rPr>
          <w:rFonts w:hint="eastAsia" w:ascii="宋体" w:hAnsi="宋体" w:eastAsia="宋体" w:cs="宋体"/>
          <w:b/>
          <w:bCs/>
          <w:color w:val="auto"/>
          <w:sz w:val="24"/>
          <w:highlight w:val="none"/>
          <w:u w:val="none"/>
          <w:lang w:val="en-US" w:eastAsia="zh-CN"/>
        </w:rPr>
        <w:t>均</w:t>
      </w:r>
      <w:r>
        <w:rPr>
          <w:rFonts w:hint="eastAsia" w:ascii="宋体" w:hAnsi="宋体" w:eastAsia="宋体" w:cs="宋体"/>
          <w:b/>
          <w:bCs/>
          <w:color w:val="auto"/>
          <w:sz w:val="24"/>
          <w:highlight w:val="none"/>
          <w:u w:val="none"/>
        </w:rPr>
        <w:t>可以按同样格式扩展）</w:t>
      </w:r>
      <w:r>
        <w:rPr>
          <w:rFonts w:hint="eastAsia" w:ascii="宋体" w:hAnsi="宋体" w:eastAsia="宋体" w:cs="宋体"/>
          <w:b/>
          <w:bCs/>
          <w:color w:val="auto"/>
          <w:sz w:val="24"/>
          <w:highlight w:val="none"/>
          <w:u w:val="none"/>
          <w:lang w:eastAsia="zh-CN"/>
        </w:rPr>
        <w:t>，</w:t>
      </w:r>
      <w:r>
        <w:rPr>
          <w:rFonts w:hint="eastAsia" w:ascii="宋体" w:hAnsi="宋体" w:eastAsia="宋体" w:cs="宋体"/>
          <w:b/>
          <w:bCs/>
          <w:color w:val="auto"/>
          <w:sz w:val="24"/>
          <w:szCs w:val="24"/>
          <w:highlight w:val="none"/>
          <w:u w:val="none"/>
        </w:rPr>
        <w:t>未给出的格式请自拟。本项目所涉响应文件格式请详见</w:t>
      </w:r>
      <w:r>
        <w:rPr>
          <w:rFonts w:hint="eastAsia" w:ascii="宋体" w:hAnsi="宋体" w:eastAsia="宋体" w:cs="宋体"/>
          <w:b/>
          <w:bCs/>
          <w:color w:val="auto"/>
          <w:sz w:val="24"/>
          <w:szCs w:val="24"/>
          <w:highlight w:val="none"/>
          <w:u w:val="none"/>
          <w:lang w:eastAsia="zh-CN"/>
        </w:rPr>
        <w:t>第六章。</w:t>
      </w:r>
    </w:p>
    <w:p w14:paraId="40224934">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在电子响应文件中所有</w:t>
      </w:r>
      <w:r>
        <w:rPr>
          <w:rFonts w:hint="eastAsia" w:ascii="宋体" w:hAnsi="宋体" w:eastAsia="宋体" w:cs="宋体"/>
          <w:b/>
          <w:color w:val="auto"/>
          <w:sz w:val="24"/>
          <w:highlight w:val="none"/>
          <w:lang w:val="en-US" w:eastAsia="zh-CN"/>
        </w:rPr>
        <w:t>要求</w:t>
      </w:r>
      <w:r>
        <w:rPr>
          <w:rFonts w:hint="eastAsia" w:ascii="宋体" w:hAnsi="宋体" w:eastAsia="宋体" w:cs="宋体"/>
          <w:b/>
          <w:color w:val="auto"/>
          <w:sz w:val="24"/>
          <w:highlight w:val="none"/>
        </w:rPr>
        <w:t>加盖公章的均</w:t>
      </w:r>
      <w:r>
        <w:rPr>
          <w:rFonts w:hint="eastAsia" w:ascii="宋体" w:hAnsi="宋体" w:eastAsia="宋体" w:cs="宋体"/>
          <w:b/>
          <w:color w:val="auto"/>
          <w:sz w:val="24"/>
          <w:highlight w:val="none"/>
          <w:lang w:val="en-US" w:eastAsia="zh-CN"/>
        </w:rPr>
        <w:t>应</w:t>
      </w:r>
      <w:r>
        <w:rPr>
          <w:rFonts w:hint="eastAsia" w:ascii="宋体" w:hAnsi="宋体" w:eastAsia="宋体" w:cs="宋体"/>
          <w:b/>
          <w:color w:val="auto"/>
          <w:sz w:val="24"/>
          <w:highlight w:val="none"/>
        </w:rPr>
        <w:t>采用CA签章。</w:t>
      </w:r>
    </w:p>
    <w:p w14:paraId="54CCDC16">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（一）磋商响应文件的组成</w:t>
      </w:r>
    </w:p>
    <w:p w14:paraId="1B988A0B">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contextualSpacing/>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磋商响应文件由</w:t>
      </w:r>
      <w:r>
        <w:rPr>
          <w:rFonts w:hint="eastAsia" w:hAnsi="宋体" w:cs="宋体"/>
          <w:b/>
          <w:bCs/>
          <w:color w:val="auto"/>
          <w:sz w:val="24"/>
          <w:szCs w:val="24"/>
          <w:highlight w:val="none"/>
        </w:rPr>
        <w:t>资格文件、商务技术文件、报价文件</w:t>
      </w:r>
      <w:r>
        <w:rPr>
          <w:rFonts w:hint="eastAsia" w:ascii="宋体" w:hAnsi="宋体" w:cs="宋体"/>
          <w:b/>
          <w:bCs/>
          <w:color w:val="auto"/>
          <w:sz w:val="24"/>
          <w:szCs w:val="24"/>
          <w:highlight w:val="none"/>
        </w:rPr>
        <w:t>三部份组成：</w:t>
      </w:r>
    </w:p>
    <w:p w14:paraId="4BD71C6C">
      <w:pPr>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482"/>
        <w:contextualSpacing/>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资格文件（资格文件所需的证明材料均需加盖供应商公章</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且均须清晰可辨，否</w:t>
      </w:r>
    </w:p>
    <w:p w14:paraId="36C18625">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contextualSpacing/>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则后果自负</w:t>
      </w:r>
      <w:r>
        <w:rPr>
          <w:rFonts w:hint="eastAsia" w:ascii="宋体" w:hAnsi="宋体" w:cs="宋体"/>
          <w:b/>
          <w:bCs/>
          <w:color w:val="auto"/>
          <w:sz w:val="24"/>
          <w:szCs w:val="24"/>
          <w:highlight w:val="none"/>
        </w:rPr>
        <w:t>）：</w:t>
      </w:r>
    </w:p>
    <w:p w14:paraId="00F5760B">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（1）营业执照；</w:t>
      </w:r>
    </w:p>
    <w:p w14:paraId="02AE8221">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（2）符合参加政府采购活动应当具备的一般条件的承诺函（格式见第六章）；</w:t>
      </w:r>
    </w:p>
    <w:p w14:paraId="7663F521">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企业资质等级证书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要求</w:t>
      </w:r>
      <w:r>
        <w:rPr>
          <w:rFonts w:hint="eastAsia" w:ascii="宋体" w:hAnsi="宋体" w:cs="宋体"/>
          <w:color w:val="auto"/>
          <w:sz w:val="24"/>
          <w:szCs w:val="24"/>
          <w:highlight w:val="none"/>
        </w:rPr>
        <w:t>在有效期内，且企业资质等级、类别满足采购公告中的特定资格要求</w:t>
      </w:r>
      <w:r>
        <w:rPr>
          <w:rFonts w:hint="eastAsia" w:ascii="宋体" w:hAnsi="宋体" w:cs="宋体"/>
          <w:color w:val="auto"/>
          <w:sz w:val="24"/>
          <w:szCs w:val="24"/>
          <w:highlight w:val="none"/>
          <w:lang w:eastAsia="zh-CN"/>
        </w:rPr>
        <w:t>）；</w:t>
      </w:r>
    </w:p>
    <w:p w14:paraId="64A81249">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企业安全生产许可证（副本）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要求</w:t>
      </w:r>
      <w:r>
        <w:rPr>
          <w:rFonts w:hint="eastAsia" w:ascii="宋体" w:hAnsi="宋体" w:cs="宋体"/>
          <w:color w:val="auto"/>
          <w:sz w:val="24"/>
          <w:szCs w:val="24"/>
          <w:highlight w:val="none"/>
        </w:rPr>
        <w:t>在有效期内</w:t>
      </w:r>
      <w:r>
        <w:rPr>
          <w:rFonts w:hint="eastAsia" w:ascii="宋体" w:hAnsi="宋体" w:cs="宋体"/>
          <w:color w:val="auto"/>
          <w:sz w:val="24"/>
          <w:szCs w:val="24"/>
          <w:highlight w:val="none"/>
          <w:lang w:eastAsia="zh-CN"/>
        </w:rPr>
        <w:t>）；</w:t>
      </w:r>
    </w:p>
    <w:p w14:paraId="23F0CB74">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参加本次磋商的项目负责人的的建造师证书及B类人员证书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要求</w:t>
      </w:r>
      <w:r>
        <w:rPr>
          <w:rFonts w:hint="eastAsia" w:ascii="宋体" w:hAnsi="宋体" w:cs="宋体"/>
          <w:color w:val="auto"/>
          <w:sz w:val="24"/>
          <w:szCs w:val="24"/>
          <w:highlight w:val="none"/>
        </w:rPr>
        <w:t>在注册有效期内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注册单位与投标人名称一致；项目负责人资质等级、类别满足采购公告中的特定资格要求的项目负责人资质要求</w:t>
      </w:r>
      <w:r>
        <w:rPr>
          <w:rFonts w:hint="eastAsia" w:ascii="宋体" w:hAnsi="宋体" w:cs="宋体"/>
          <w:color w:val="auto"/>
          <w:sz w:val="24"/>
          <w:szCs w:val="24"/>
          <w:highlight w:val="none"/>
          <w:lang w:eastAsia="zh-CN"/>
        </w:rPr>
        <w:t>）；</w:t>
      </w:r>
    </w:p>
    <w:p w14:paraId="6F03CFAA">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中小企业声明函或监狱和戒毒企业企业证明材料或残疾人福利性单位声明函（格式见第六章）</w:t>
      </w:r>
      <w:r>
        <w:rPr>
          <w:rFonts w:hint="eastAsia" w:ascii="宋体" w:hAnsi="宋体" w:cs="宋体"/>
          <w:color w:val="auto"/>
          <w:sz w:val="24"/>
          <w:szCs w:val="24"/>
          <w:highlight w:val="none"/>
          <w:lang w:eastAsia="zh-CN"/>
        </w:rPr>
        <w:t>。</w:t>
      </w:r>
    </w:p>
    <w:p w14:paraId="30C2ECAD">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2.商务技术文件：</w:t>
      </w:r>
    </w:p>
    <w:p w14:paraId="5CF6E64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highlight w:val="none"/>
        </w:rPr>
        <w:t>磋商</w:t>
      </w:r>
      <w:r>
        <w:rPr>
          <w:rFonts w:hint="eastAsia" w:ascii="宋体" w:hAnsi="宋体" w:cs="宋体"/>
          <w:color w:val="auto"/>
          <w:sz w:val="24"/>
          <w:szCs w:val="24"/>
          <w:highlight w:val="none"/>
        </w:rPr>
        <w:t>声明书（格式见</w:t>
      </w:r>
      <w:r>
        <w:rPr>
          <w:rFonts w:hint="eastAsia" w:ascii="宋体" w:hAnsi="宋体" w:cs="宋体"/>
          <w:color w:val="auto"/>
          <w:sz w:val="24"/>
          <w:szCs w:val="24"/>
          <w:highlight w:val="none"/>
          <w:lang w:eastAsia="zh-CN"/>
        </w:rPr>
        <w:t>第六章</w:t>
      </w:r>
      <w:r>
        <w:rPr>
          <w:rFonts w:hint="eastAsia" w:ascii="宋体" w:hAnsi="宋体" w:cs="宋体"/>
          <w:color w:val="auto"/>
          <w:sz w:val="24"/>
          <w:szCs w:val="24"/>
          <w:highlight w:val="none"/>
        </w:rPr>
        <w:t>）；</w:t>
      </w:r>
    </w:p>
    <w:p w14:paraId="7D5D1E24">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）诚信承诺书（格式见</w:t>
      </w:r>
      <w:r>
        <w:rPr>
          <w:rFonts w:hint="eastAsia" w:ascii="宋体" w:hAnsi="宋体" w:cs="宋体"/>
          <w:color w:val="auto"/>
          <w:sz w:val="24"/>
          <w:szCs w:val="24"/>
          <w:highlight w:val="none"/>
          <w:lang w:eastAsia="zh-CN"/>
        </w:rPr>
        <w:t>第六章</w:t>
      </w:r>
      <w:r>
        <w:rPr>
          <w:rFonts w:hint="eastAsia" w:ascii="宋体" w:hAnsi="宋体" w:cs="宋体"/>
          <w:color w:val="auto"/>
          <w:sz w:val="24"/>
          <w:szCs w:val="24"/>
          <w:highlight w:val="none"/>
        </w:rPr>
        <w:t>）；</w:t>
      </w:r>
    </w:p>
    <w:p w14:paraId="5958C891">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）法定代表人授权委托书（格式见</w:t>
      </w:r>
      <w:r>
        <w:rPr>
          <w:rFonts w:hint="eastAsia" w:ascii="宋体" w:hAnsi="宋体" w:cs="宋体"/>
          <w:color w:val="auto"/>
          <w:sz w:val="24"/>
          <w:szCs w:val="24"/>
          <w:highlight w:val="none"/>
          <w:lang w:eastAsia="zh-CN"/>
        </w:rPr>
        <w:t>第六章</w:t>
      </w:r>
      <w:r>
        <w:rPr>
          <w:rFonts w:hint="eastAsia" w:ascii="宋体" w:hAnsi="宋体" w:cs="宋体"/>
          <w:color w:val="auto"/>
          <w:sz w:val="24"/>
          <w:szCs w:val="24"/>
          <w:highlight w:val="none"/>
        </w:rPr>
        <w:t>）；</w:t>
      </w:r>
    </w:p>
    <w:p w14:paraId="796860EF">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）供应商基本情况表（格式见</w:t>
      </w:r>
      <w:r>
        <w:rPr>
          <w:rFonts w:hint="eastAsia" w:ascii="宋体" w:hAnsi="宋体" w:cs="宋体"/>
          <w:color w:val="auto"/>
          <w:sz w:val="24"/>
          <w:szCs w:val="24"/>
          <w:highlight w:val="none"/>
          <w:lang w:eastAsia="zh-CN"/>
        </w:rPr>
        <w:t>第六章</w:t>
      </w:r>
      <w:r>
        <w:rPr>
          <w:rFonts w:hint="eastAsia" w:ascii="宋体" w:hAnsi="宋体" w:cs="宋体"/>
          <w:color w:val="auto"/>
          <w:sz w:val="24"/>
          <w:szCs w:val="24"/>
          <w:highlight w:val="none"/>
        </w:rPr>
        <w:t>）；</w:t>
      </w:r>
    </w:p>
    <w:p w14:paraId="63101AEE">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项目负责人简历表（格式见</w:t>
      </w:r>
      <w:r>
        <w:rPr>
          <w:rFonts w:hint="eastAsia" w:ascii="宋体" w:hAnsi="宋体" w:cs="宋体"/>
          <w:bCs/>
          <w:color w:val="auto"/>
          <w:sz w:val="24"/>
          <w:highlight w:val="none"/>
          <w:lang w:eastAsia="zh-CN"/>
        </w:rPr>
        <w:t>第六章</w:t>
      </w:r>
      <w:r>
        <w:rPr>
          <w:rFonts w:hint="eastAsia" w:ascii="宋体" w:hAnsi="宋体" w:cs="宋体"/>
          <w:bCs/>
          <w:color w:val="auto"/>
          <w:sz w:val="24"/>
          <w:highlight w:val="none"/>
        </w:rPr>
        <w:t>）；</w:t>
      </w:r>
    </w:p>
    <w:p w14:paraId="65E2084A">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auto"/>
          <w:sz w:val="24"/>
          <w:highlight w:val="none"/>
          <w:lang w:val="en-US" w:eastAsia="zh-CN"/>
        </w:rPr>
      </w:pPr>
      <w:r>
        <w:rPr>
          <w:rFonts w:hint="eastAsia"/>
          <w:color w:val="auto"/>
          <w:sz w:val="24"/>
          <w:highlight w:val="none"/>
          <w:lang w:val="en-US" w:eastAsia="zh-CN"/>
        </w:rPr>
        <w:t>（6）项目技术负责人简历表（格式自拟）；</w:t>
      </w:r>
    </w:p>
    <w:p w14:paraId="58E6BC6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color w:val="auto"/>
          <w:sz w:val="24"/>
          <w:highlight w:val="none"/>
          <w:lang w:val="en-US" w:eastAsia="zh-CN"/>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w:t>
      </w:r>
      <w:r>
        <w:rPr>
          <w:rFonts w:hint="eastAsia"/>
          <w:color w:val="auto"/>
          <w:sz w:val="24"/>
          <w:highlight w:val="none"/>
          <w:lang w:val="en-US" w:eastAsia="zh-CN"/>
        </w:rPr>
        <w:t>施工组织设计或施工方案；</w:t>
      </w:r>
    </w:p>
    <w:p w14:paraId="2647A4BC">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color w:val="auto"/>
          <w:sz w:val="24"/>
          <w:highlight w:val="none"/>
        </w:rPr>
        <w:t>①确保工程质量的技术组织措施；　</w:t>
      </w:r>
    </w:p>
    <w:p w14:paraId="67775E2E">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②</w:t>
      </w:r>
      <w:r>
        <w:rPr>
          <w:rFonts w:hint="eastAsia"/>
          <w:color w:val="auto"/>
          <w:sz w:val="24"/>
          <w:highlight w:val="none"/>
        </w:rPr>
        <w:t>确保安全生产的技术组织措施；</w:t>
      </w:r>
    </w:p>
    <w:p w14:paraId="231D5528">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③</w:t>
      </w:r>
      <w:r>
        <w:rPr>
          <w:rFonts w:hint="eastAsia"/>
          <w:color w:val="auto"/>
          <w:sz w:val="24"/>
          <w:highlight w:val="none"/>
        </w:rPr>
        <w:t>确保工期的技术组织措施；</w:t>
      </w:r>
    </w:p>
    <w:p w14:paraId="7DA9EF56">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④</w:t>
      </w:r>
      <w:r>
        <w:rPr>
          <w:rFonts w:hint="eastAsia"/>
          <w:color w:val="auto"/>
          <w:sz w:val="24"/>
          <w:highlight w:val="none"/>
        </w:rPr>
        <w:t>主要材料供应计划；</w:t>
      </w:r>
    </w:p>
    <w:p w14:paraId="08EBE203">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⑤</w:t>
      </w:r>
      <w:r>
        <w:rPr>
          <w:rFonts w:hint="eastAsia"/>
          <w:color w:val="auto"/>
          <w:sz w:val="24"/>
          <w:highlight w:val="none"/>
        </w:rPr>
        <w:t>劳动力</w:t>
      </w:r>
      <w:r>
        <w:rPr>
          <w:rFonts w:hint="eastAsia"/>
          <w:color w:val="auto"/>
          <w:sz w:val="24"/>
          <w:highlight w:val="none"/>
          <w:lang w:val="en-US" w:eastAsia="zh-CN"/>
        </w:rPr>
        <w:t>安</w:t>
      </w:r>
      <w:r>
        <w:rPr>
          <w:rFonts w:hint="eastAsia"/>
          <w:color w:val="auto"/>
          <w:sz w:val="24"/>
          <w:highlight w:val="none"/>
        </w:rPr>
        <w:t>排计划；</w:t>
      </w:r>
    </w:p>
    <w:p w14:paraId="536E666C">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⑥</w:t>
      </w:r>
      <w:r>
        <w:rPr>
          <w:rFonts w:hint="eastAsia" w:ascii="宋体" w:hAnsi="宋体" w:eastAsia="宋体" w:cs="宋体"/>
          <w:color w:val="auto"/>
          <w:sz w:val="24"/>
          <w:highlight w:val="none"/>
          <w:lang w:val="en-US" w:eastAsia="zh-CN"/>
        </w:rPr>
        <w:t>投标人</w:t>
      </w:r>
      <w:r>
        <w:rPr>
          <w:rFonts w:hint="eastAsia"/>
          <w:color w:val="auto"/>
          <w:sz w:val="24"/>
          <w:highlight w:val="none"/>
          <w:lang w:val="en-US" w:eastAsia="zh-CN"/>
        </w:rPr>
        <w:t>根据评标办法要求需要提供的其他内容</w:t>
      </w:r>
      <w:r>
        <w:rPr>
          <w:rFonts w:hint="eastAsia"/>
          <w:color w:val="auto"/>
          <w:sz w:val="24"/>
          <w:highlight w:val="none"/>
        </w:rPr>
        <w:t>。</w:t>
      </w:r>
    </w:p>
    <w:p w14:paraId="0DCCA876">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auto"/>
          <w:sz w:val="24"/>
          <w:highlight w:val="none"/>
          <w:lang w:val="en-US" w:eastAsia="zh-CN"/>
        </w:rPr>
      </w:pPr>
      <w:r>
        <w:rPr>
          <w:rFonts w:hint="eastAsia"/>
          <w:color w:val="auto"/>
          <w:sz w:val="24"/>
          <w:highlight w:val="none"/>
          <w:lang w:val="en-US" w:eastAsia="zh-CN"/>
        </w:rPr>
        <w:t>（8）农民工工资发放的保障体系。</w:t>
      </w:r>
    </w:p>
    <w:p w14:paraId="71C65BF3">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auto"/>
          <w:sz w:val="24"/>
          <w:highlight w:val="none"/>
          <w:lang w:val="en-US" w:eastAsia="zh-CN"/>
        </w:rPr>
      </w:pPr>
      <w:r>
        <w:rPr>
          <w:rFonts w:hint="eastAsia"/>
          <w:color w:val="auto"/>
          <w:sz w:val="24"/>
          <w:highlight w:val="none"/>
          <w:lang w:val="en-US" w:eastAsia="zh-CN"/>
        </w:rPr>
        <w:t>（9）拟投入施工现场的主要管理人员情况表（格式见第六章）。</w:t>
      </w:r>
    </w:p>
    <w:p w14:paraId="7751A7A9">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ascii="宋体" w:hAnsi="宋体" w:eastAsia="宋体" w:cs="宋体"/>
          <w:color w:val="auto"/>
          <w:sz w:val="24"/>
          <w:highlight w:val="none"/>
          <w:lang w:val="en-US" w:eastAsia="zh-CN"/>
        </w:rPr>
      </w:pPr>
      <w:r>
        <w:rPr>
          <w:rFonts w:hint="eastAsia"/>
          <w:color w:val="auto"/>
          <w:sz w:val="24"/>
          <w:highlight w:val="none"/>
          <w:lang w:val="en-US" w:eastAsia="zh-CN"/>
        </w:rPr>
        <w:t>（10）投标人根据评标办法需要提供的其他资料。</w:t>
      </w:r>
    </w:p>
    <w:p w14:paraId="43BD3E84">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contextualSpacing/>
        <w:jc w:val="both"/>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．报价文件：</w:t>
      </w:r>
    </w:p>
    <w:p w14:paraId="56F6EA9A">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（1）磋商函（格式见</w:t>
      </w:r>
      <w:r>
        <w:rPr>
          <w:rFonts w:hint="eastAsia" w:ascii="宋体" w:hAnsi="宋体" w:eastAsia="宋体" w:cs="宋体"/>
          <w:color w:val="auto"/>
          <w:sz w:val="24"/>
          <w:highlight w:val="none"/>
          <w:lang w:eastAsia="zh-CN"/>
        </w:rPr>
        <w:t>第</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lang w:eastAsia="zh-CN"/>
        </w:rPr>
        <w:t>章</w:t>
      </w:r>
      <w:r>
        <w:rPr>
          <w:rFonts w:hint="eastAsia" w:ascii="宋体" w:hAnsi="宋体" w:eastAsia="宋体" w:cs="宋体"/>
          <w:color w:val="auto"/>
          <w:sz w:val="24"/>
          <w:highlight w:val="none"/>
        </w:rPr>
        <w:t xml:space="preserve">）； </w:t>
      </w:r>
    </w:p>
    <w:p w14:paraId="20EEF501">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lang w:val="en-US" w:eastAsia="zh-CN"/>
        </w:rPr>
        <w:t>第壹轮报价一览表（格式见第六章）；</w:t>
      </w:r>
    </w:p>
    <w:p w14:paraId="6C5C14B7">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pacing w:val="-6"/>
          <w:sz w:val="24"/>
          <w:highlight w:val="none"/>
          <w:lang w:val="en-US" w:eastAsia="zh-CN"/>
        </w:rPr>
        <w:t>最终</w:t>
      </w:r>
      <w:r>
        <w:rPr>
          <w:rFonts w:hint="eastAsia" w:ascii="宋体" w:hAnsi="宋体" w:eastAsia="宋体" w:cs="宋体"/>
          <w:color w:val="auto"/>
          <w:spacing w:val="-6"/>
          <w:sz w:val="24"/>
          <w:highlight w:val="none"/>
        </w:rPr>
        <w:t>报价一览表（格式见</w:t>
      </w:r>
      <w:r>
        <w:rPr>
          <w:rFonts w:hint="eastAsia" w:ascii="宋体" w:hAnsi="宋体" w:eastAsia="宋体" w:cs="宋体"/>
          <w:color w:val="auto"/>
          <w:spacing w:val="-6"/>
          <w:sz w:val="24"/>
          <w:highlight w:val="none"/>
          <w:lang w:eastAsia="zh-CN"/>
        </w:rPr>
        <w:t>第六章</w:t>
      </w:r>
      <w:r>
        <w:rPr>
          <w:rFonts w:hint="eastAsia" w:ascii="宋体" w:hAnsi="宋体" w:eastAsia="宋体" w:cs="宋体"/>
          <w:color w:val="auto"/>
          <w:spacing w:val="-6"/>
          <w:sz w:val="24"/>
          <w:highlight w:val="none"/>
        </w:rPr>
        <w:t>）</w:t>
      </w:r>
      <w:r>
        <w:rPr>
          <w:rFonts w:hint="eastAsia" w:ascii="宋体" w:hAnsi="宋体" w:eastAsia="宋体" w:cs="宋体"/>
          <w:color w:val="auto"/>
          <w:spacing w:val="-6"/>
          <w:sz w:val="24"/>
          <w:highlight w:val="none"/>
          <w:lang w:eastAsia="zh-CN"/>
        </w:rPr>
        <w:t>；（</w:t>
      </w:r>
      <w:r>
        <w:rPr>
          <w:rFonts w:hint="eastAsia" w:ascii="宋体" w:hAnsi="宋体" w:eastAsia="宋体" w:cs="宋体"/>
          <w:b/>
          <w:bCs/>
          <w:color w:val="auto"/>
          <w:spacing w:val="-6"/>
          <w:sz w:val="24"/>
          <w:highlight w:val="none"/>
          <w:lang w:val="en-US" w:eastAsia="zh-CN"/>
        </w:rPr>
        <w:t>仅在开标时要求第二轮报价时按规定提供</w:t>
      </w:r>
      <w:r>
        <w:rPr>
          <w:rFonts w:hint="eastAsia" w:ascii="宋体" w:hAnsi="宋体" w:eastAsia="宋体" w:cs="宋体"/>
          <w:color w:val="auto"/>
          <w:spacing w:val="-6"/>
          <w:sz w:val="24"/>
          <w:highlight w:val="none"/>
          <w:lang w:eastAsia="zh-CN"/>
        </w:rPr>
        <w:t>）</w:t>
      </w:r>
    </w:p>
    <w:p w14:paraId="6B62E503">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分项报价明细表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①-⑳项格式见第六章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14:paraId="38F4AE8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eastAsia="zh-CN"/>
        </w:rPr>
        <w:t>报</w:t>
      </w:r>
      <w:r>
        <w:rPr>
          <w:rFonts w:hint="eastAsia" w:ascii="宋体" w:hAnsi="宋体" w:eastAsia="宋体" w:cs="宋体"/>
          <w:color w:val="auto"/>
          <w:sz w:val="24"/>
          <w:highlight w:val="none"/>
        </w:rPr>
        <w:t>价；</w:t>
      </w:r>
    </w:p>
    <w:p w14:paraId="31BC6F7C">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highlight w:val="none"/>
          <w:lang w:eastAsia="zh-CN"/>
        </w:rPr>
        <w:t>编制</w:t>
      </w:r>
      <w:r>
        <w:rPr>
          <w:rFonts w:hint="eastAsia" w:ascii="宋体" w:hAnsi="宋体" w:eastAsia="宋体" w:cs="宋体"/>
          <w:color w:val="auto"/>
          <w:sz w:val="24"/>
          <w:highlight w:val="none"/>
        </w:rPr>
        <w:t>说明；</w:t>
      </w:r>
    </w:p>
    <w:p w14:paraId="2A716615">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③</w:t>
      </w:r>
      <w:r>
        <w:rPr>
          <w:rFonts w:hint="eastAsia" w:ascii="宋体" w:hAnsi="宋体" w:eastAsia="宋体" w:cs="宋体"/>
          <w:color w:val="auto"/>
          <w:sz w:val="24"/>
          <w:highlight w:val="none"/>
        </w:rPr>
        <w:t>投标报价费用表；</w:t>
      </w:r>
    </w:p>
    <w:p w14:paraId="129BE59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rPr>
        <w:t>单位（专业）工程投标报价计算表；</w:t>
      </w:r>
    </w:p>
    <w:p w14:paraId="3ECD8A82">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⑤</w:t>
      </w:r>
      <w:r>
        <w:rPr>
          <w:rFonts w:hint="eastAsia" w:ascii="宋体" w:hAnsi="宋体" w:eastAsia="宋体" w:cs="宋体"/>
          <w:color w:val="auto"/>
          <w:sz w:val="24"/>
          <w:szCs w:val="24"/>
          <w:highlight w:val="none"/>
        </w:rPr>
        <w:t>分部分项工程量清单与计价表</w:t>
      </w:r>
      <w:r>
        <w:rPr>
          <w:rFonts w:hint="eastAsia" w:ascii="宋体" w:hAnsi="宋体" w:eastAsia="宋体" w:cs="宋体"/>
          <w:color w:val="auto"/>
          <w:sz w:val="24"/>
          <w:highlight w:val="none"/>
        </w:rPr>
        <w:t>；</w:t>
      </w:r>
    </w:p>
    <w:p w14:paraId="6D4E5CB6">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⑥</w:t>
      </w:r>
      <w:r>
        <w:rPr>
          <w:rFonts w:hint="eastAsia" w:ascii="宋体" w:hAnsi="宋体" w:eastAsia="宋体" w:cs="宋体"/>
          <w:color w:val="auto"/>
          <w:sz w:val="24"/>
          <w:highlight w:val="none"/>
        </w:rPr>
        <w:t>施工技术措施项目清单与计价表</w:t>
      </w:r>
      <w:r>
        <w:rPr>
          <w:rFonts w:hint="eastAsia" w:ascii="宋体" w:hAnsi="宋体" w:eastAsia="宋体" w:cs="宋体"/>
          <w:color w:val="auto"/>
          <w:sz w:val="24"/>
          <w:highlight w:val="none"/>
          <w:lang w:eastAsia="zh-CN"/>
        </w:rPr>
        <w:t>；</w:t>
      </w:r>
    </w:p>
    <w:p w14:paraId="1D3E4ABD">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lang w:val="en-US" w:eastAsia="zh-CN"/>
        </w:rPr>
        <w:t>⑦</w:t>
      </w:r>
      <w:r>
        <w:rPr>
          <w:rFonts w:hint="eastAsia" w:ascii="宋体" w:hAnsi="宋体" w:eastAsia="宋体" w:cs="宋体"/>
          <w:color w:val="auto"/>
          <w:sz w:val="24"/>
          <w:highlight w:val="none"/>
        </w:rPr>
        <w:t>综合单价计算表(注：含综合单价及技术措施)</w:t>
      </w:r>
      <w:r>
        <w:rPr>
          <w:rFonts w:hint="eastAsia" w:ascii="宋体" w:hAnsi="宋体" w:eastAsia="宋体" w:cs="宋体"/>
          <w:b/>
          <w:bCs/>
          <w:color w:val="auto"/>
          <w:sz w:val="24"/>
          <w:highlight w:val="none"/>
          <w:lang w:eastAsia="zh-CN"/>
        </w:rPr>
        <w:t>；</w:t>
      </w:r>
      <w:r>
        <w:rPr>
          <w:rFonts w:hint="eastAsia" w:ascii="宋体" w:hAnsi="宋体" w:eastAsia="宋体" w:cs="宋体"/>
          <w:b/>
          <w:color w:val="auto"/>
          <w:sz w:val="24"/>
          <w:highlight w:val="none"/>
        </w:rPr>
        <w:t>（仅在中标后的一份</w:t>
      </w:r>
      <w:r>
        <w:rPr>
          <w:rFonts w:hint="eastAsia" w:ascii="宋体" w:hAnsi="宋体" w:eastAsia="宋体" w:cs="宋体"/>
          <w:b/>
          <w:color w:val="auto"/>
          <w:sz w:val="24"/>
          <w:highlight w:val="none"/>
          <w:lang w:val="en-US" w:eastAsia="zh-CN"/>
        </w:rPr>
        <w:t>报价文件</w:t>
      </w:r>
      <w:r>
        <w:rPr>
          <w:rFonts w:hint="eastAsia" w:ascii="宋体" w:hAnsi="宋体" w:eastAsia="宋体" w:cs="宋体"/>
          <w:b/>
          <w:color w:val="auto"/>
          <w:sz w:val="24"/>
          <w:highlight w:val="none"/>
        </w:rPr>
        <w:t>副本中提供）</w:t>
      </w:r>
      <w:r>
        <w:rPr>
          <w:rFonts w:hint="eastAsia" w:ascii="宋体" w:hAnsi="宋体" w:eastAsia="宋体" w:cs="宋体"/>
          <w:b/>
          <w:color w:val="auto"/>
          <w:sz w:val="24"/>
          <w:highlight w:val="none"/>
          <w:lang w:eastAsia="zh-CN"/>
        </w:rPr>
        <w:t>；</w:t>
      </w:r>
    </w:p>
    <w:p w14:paraId="6A84E11F">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lang w:val="en-US" w:eastAsia="zh-CN"/>
        </w:rPr>
        <w:t>⑧</w:t>
      </w:r>
      <w:r>
        <w:rPr>
          <w:rFonts w:hint="eastAsia" w:ascii="宋体" w:hAnsi="宋体" w:eastAsia="宋体" w:cs="宋体"/>
          <w:color w:val="auto"/>
          <w:sz w:val="24"/>
          <w:highlight w:val="none"/>
        </w:rPr>
        <w:t>综合单价工料机分析表(注：含综合单价及技术措施)</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w:t>
      </w:r>
      <w:r>
        <w:rPr>
          <w:rFonts w:hint="eastAsia" w:ascii="宋体" w:hAnsi="宋体" w:eastAsia="宋体" w:cs="宋体"/>
          <w:b/>
          <w:color w:val="auto"/>
          <w:sz w:val="24"/>
          <w:highlight w:val="none"/>
        </w:rPr>
        <w:t>仅在中标后的一份</w:t>
      </w:r>
      <w:r>
        <w:rPr>
          <w:rFonts w:hint="eastAsia" w:ascii="宋体" w:hAnsi="宋体" w:eastAsia="宋体" w:cs="宋体"/>
          <w:b/>
          <w:color w:val="auto"/>
          <w:sz w:val="24"/>
          <w:highlight w:val="none"/>
          <w:lang w:val="en-US" w:eastAsia="zh-CN"/>
        </w:rPr>
        <w:t>报价文件</w:t>
      </w:r>
      <w:r>
        <w:rPr>
          <w:rFonts w:hint="eastAsia" w:ascii="宋体" w:hAnsi="宋体" w:eastAsia="宋体" w:cs="宋体"/>
          <w:b/>
          <w:color w:val="auto"/>
          <w:sz w:val="24"/>
          <w:highlight w:val="none"/>
        </w:rPr>
        <w:t>副本中提供）</w:t>
      </w:r>
      <w:r>
        <w:rPr>
          <w:rFonts w:hint="eastAsia" w:ascii="宋体" w:hAnsi="宋体" w:eastAsia="宋体" w:cs="宋体"/>
          <w:b/>
          <w:color w:val="auto"/>
          <w:sz w:val="24"/>
          <w:highlight w:val="none"/>
          <w:lang w:eastAsia="zh-CN"/>
        </w:rPr>
        <w:t>；</w:t>
      </w:r>
    </w:p>
    <w:p w14:paraId="3568A964">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⑨</w:t>
      </w:r>
      <w:r>
        <w:rPr>
          <w:rFonts w:hint="eastAsia" w:ascii="宋体" w:hAnsi="宋体" w:eastAsia="宋体" w:cs="宋体"/>
          <w:color w:val="auto"/>
          <w:sz w:val="24"/>
          <w:highlight w:val="none"/>
        </w:rPr>
        <w:t>施工组织（总价）措施项目清单与计价表</w:t>
      </w:r>
      <w:r>
        <w:rPr>
          <w:rFonts w:hint="eastAsia" w:ascii="宋体" w:hAnsi="宋体" w:eastAsia="宋体" w:cs="宋体"/>
          <w:color w:val="auto"/>
          <w:sz w:val="24"/>
          <w:highlight w:val="none"/>
          <w:lang w:eastAsia="zh-CN"/>
        </w:rPr>
        <w:t>；</w:t>
      </w:r>
    </w:p>
    <w:p w14:paraId="59E11D14">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⑩</w:t>
      </w:r>
      <w:r>
        <w:rPr>
          <w:rFonts w:hint="eastAsia" w:ascii="宋体" w:hAnsi="宋体" w:eastAsia="宋体" w:cs="宋体"/>
          <w:color w:val="auto"/>
          <w:sz w:val="24"/>
          <w:highlight w:val="none"/>
        </w:rPr>
        <w:t>其他项目清单与计价汇总表</w:t>
      </w:r>
      <w:r>
        <w:rPr>
          <w:rFonts w:hint="eastAsia" w:ascii="宋体" w:hAnsi="宋体" w:eastAsia="宋体" w:cs="宋体"/>
          <w:color w:val="auto"/>
          <w:sz w:val="24"/>
          <w:highlight w:val="none"/>
          <w:lang w:eastAsia="zh-CN"/>
        </w:rPr>
        <w:t>；</w:t>
      </w:r>
    </w:p>
    <w:p w14:paraId="330BC6FC">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⑪暂列金额明细表； </w:t>
      </w:r>
    </w:p>
    <w:p w14:paraId="3FC981D9">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⑫材料（工程设备）暂估单价表；</w:t>
      </w:r>
    </w:p>
    <w:p w14:paraId="014D0CD4">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⑬</w:t>
      </w:r>
      <w:r>
        <w:rPr>
          <w:rFonts w:hint="eastAsia" w:ascii="宋体" w:hAnsi="宋体" w:eastAsia="宋体" w:cs="宋体"/>
          <w:color w:val="auto"/>
          <w:sz w:val="24"/>
          <w:highlight w:val="none"/>
        </w:rPr>
        <w:t>专业工程暂估价表；</w:t>
      </w:r>
    </w:p>
    <w:p w14:paraId="733FC21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⑭</w:t>
      </w:r>
      <w:r>
        <w:rPr>
          <w:rFonts w:hint="eastAsia" w:ascii="宋体" w:hAnsi="宋体" w:eastAsia="宋体" w:cs="宋体"/>
          <w:color w:val="auto"/>
          <w:sz w:val="24"/>
          <w:highlight w:val="none"/>
        </w:rPr>
        <w:t>专项技术措施暂估价表</w:t>
      </w:r>
      <w:r>
        <w:rPr>
          <w:rFonts w:hint="eastAsia" w:ascii="宋体" w:hAnsi="宋体" w:eastAsia="宋体" w:cs="宋体"/>
          <w:color w:val="auto"/>
          <w:sz w:val="24"/>
          <w:highlight w:val="none"/>
          <w:lang w:eastAsia="zh-CN"/>
        </w:rPr>
        <w:t>；</w:t>
      </w:r>
    </w:p>
    <w:p w14:paraId="5BF68386">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⑮</w:t>
      </w:r>
      <w:r>
        <w:rPr>
          <w:rFonts w:hint="eastAsia" w:ascii="宋体" w:hAnsi="宋体" w:eastAsia="宋体" w:cs="宋体"/>
          <w:color w:val="auto"/>
          <w:sz w:val="24"/>
          <w:highlight w:val="none"/>
        </w:rPr>
        <w:t>计日工表</w:t>
      </w:r>
      <w:r>
        <w:rPr>
          <w:rFonts w:hint="eastAsia" w:ascii="宋体" w:hAnsi="宋体" w:eastAsia="宋体" w:cs="宋体"/>
          <w:color w:val="auto"/>
          <w:sz w:val="24"/>
          <w:highlight w:val="none"/>
          <w:lang w:eastAsia="zh-CN"/>
        </w:rPr>
        <w:t>；</w:t>
      </w:r>
    </w:p>
    <w:p w14:paraId="688EBAC3">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⑯</w:t>
      </w:r>
      <w:r>
        <w:rPr>
          <w:rFonts w:hint="eastAsia" w:ascii="宋体" w:hAnsi="宋体" w:eastAsia="宋体" w:cs="宋体"/>
          <w:color w:val="auto"/>
          <w:sz w:val="24"/>
          <w:highlight w:val="none"/>
        </w:rPr>
        <w:t>总承包服务费计价表</w:t>
      </w:r>
      <w:r>
        <w:rPr>
          <w:rFonts w:hint="eastAsia" w:ascii="宋体" w:hAnsi="宋体" w:eastAsia="宋体" w:cs="宋体"/>
          <w:color w:val="auto"/>
          <w:sz w:val="24"/>
          <w:highlight w:val="none"/>
          <w:lang w:val="en-US" w:eastAsia="zh-CN"/>
        </w:rPr>
        <w:t>；</w:t>
      </w:r>
    </w:p>
    <w:p w14:paraId="0D102C15">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⑰</w:t>
      </w:r>
      <w:r>
        <w:rPr>
          <w:rFonts w:hint="eastAsia" w:ascii="宋体" w:hAnsi="宋体" w:eastAsia="宋体" w:cs="宋体"/>
          <w:color w:val="auto"/>
          <w:sz w:val="24"/>
          <w:highlight w:val="none"/>
        </w:rPr>
        <w:t>主要工日一览表；</w:t>
      </w:r>
    </w:p>
    <w:p w14:paraId="567775AE">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⑱</w:t>
      </w:r>
      <w:r>
        <w:rPr>
          <w:rFonts w:hint="eastAsia" w:ascii="宋体" w:hAnsi="宋体" w:eastAsia="宋体" w:cs="宋体"/>
          <w:color w:val="auto"/>
          <w:sz w:val="24"/>
          <w:highlight w:val="none"/>
        </w:rPr>
        <w:t>发包人提供材料和工程设备一览表</w:t>
      </w:r>
      <w:r>
        <w:rPr>
          <w:rFonts w:hint="eastAsia" w:ascii="宋体" w:hAnsi="宋体" w:eastAsia="宋体" w:cs="宋体"/>
          <w:color w:val="auto"/>
          <w:sz w:val="24"/>
          <w:szCs w:val="24"/>
          <w:highlight w:val="none"/>
          <w:lang w:eastAsia="zh-CN"/>
        </w:rPr>
        <w:t>；</w:t>
      </w:r>
    </w:p>
    <w:p w14:paraId="71EA84E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⑲</w:t>
      </w:r>
      <w:r>
        <w:rPr>
          <w:rFonts w:hint="eastAsia" w:ascii="宋体" w:hAnsi="宋体" w:eastAsia="宋体" w:cs="宋体"/>
          <w:color w:val="auto"/>
          <w:sz w:val="24"/>
          <w:highlight w:val="none"/>
        </w:rPr>
        <w:t>主要材料和工程设备一览表</w:t>
      </w:r>
      <w:r>
        <w:rPr>
          <w:rFonts w:hint="eastAsia" w:ascii="宋体" w:hAnsi="宋体" w:eastAsia="宋体" w:cs="宋体"/>
          <w:color w:val="auto"/>
          <w:sz w:val="24"/>
          <w:highlight w:val="none"/>
          <w:lang w:eastAsia="zh-CN"/>
        </w:rPr>
        <w:t>；</w:t>
      </w:r>
    </w:p>
    <w:p w14:paraId="7AF17492">
      <w:pPr>
        <w:pStyle w:val="8"/>
        <w:keepNext w:val="0"/>
        <w:keepLines w:val="0"/>
        <w:pageBreakBefore w:val="0"/>
        <w:widowControl w:val="0"/>
        <w:numPr>
          <w:ilvl w:val="0"/>
          <w:numId w:val="0"/>
        </w:numPr>
        <w:kinsoku/>
        <w:wordWrap/>
        <w:overflowPunct/>
        <w:topLinePunct w:val="0"/>
        <w:autoSpaceDE/>
        <w:autoSpaceDN/>
        <w:bidi w:val="0"/>
        <w:adjustRightInd/>
        <w:snapToGrid/>
        <w:spacing w:after="0" w:line="450" w:lineRule="exact"/>
        <w:ind w:left="0" w:leftChars="0" w:right="0" w:rightChars="0" w:firstLine="720" w:firstLineChars="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⑳</w:t>
      </w:r>
      <w:r>
        <w:rPr>
          <w:rFonts w:hint="eastAsia" w:ascii="宋体" w:hAnsi="宋体" w:eastAsia="宋体" w:cs="宋体"/>
          <w:color w:val="auto"/>
          <w:sz w:val="24"/>
          <w:highlight w:val="none"/>
        </w:rPr>
        <w:t>主要机械台班一览表</w:t>
      </w:r>
      <w:r>
        <w:rPr>
          <w:rFonts w:hint="eastAsia" w:ascii="宋体" w:hAnsi="宋体" w:eastAsia="宋体" w:cs="宋体"/>
          <w:color w:val="auto"/>
          <w:sz w:val="24"/>
          <w:highlight w:val="none"/>
          <w:lang w:eastAsia="zh-CN"/>
        </w:rPr>
        <w:t>。</w:t>
      </w:r>
    </w:p>
    <w:p w14:paraId="4FFE2122">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委托编制协议</w:t>
      </w:r>
      <w:r>
        <w:rPr>
          <w:rFonts w:hint="eastAsia" w:ascii="宋体" w:hAnsi="宋体" w:eastAsia="宋体" w:cs="宋体"/>
          <w:color w:val="auto"/>
          <w:sz w:val="24"/>
          <w:szCs w:val="22"/>
          <w:highlight w:val="none"/>
          <w:lang w:val="en-US" w:eastAsia="zh-CN"/>
        </w:rPr>
        <w:t>原件扫描件</w:t>
      </w:r>
      <w:r>
        <w:rPr>
          <w:rFonts w:hint="eastAsia" w:ascii="宋体" w:hAnsi="宋体" w:eastAsia="宋体" w:cs="宋体"/>
          <w:color w:val="auto"/>
          <w:sz w:val="24"/>
          <w:szCs w:val="22"/>
          <w:highlight w:val="none"/>
        </w:rPr>
        <w:t>（如工程量清单投标报价委托其他单位编制的需提供）</w:t>
      </w:r>
      <w:r>
        <w:rPr>
          <w:rFonts w:hint="eastAsia" w:ascii="宋体" w:hAnsi="宋体" w:eastAsia="宋体" w:cs="宋体"/>
          <w:color w:val="auto"/>
          <w:sz w:val="24"/>
          <w:szCs w:val="22"/>
          <w:highlight w:val="none"/>
          <w:lang w:eastAsia="zh-CN"/>
        </w:rPr>
        <w:t>；</w:t>
      </w:r>
    </w:p>
    <w:p w14:paraId="0E144ED3">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供应商需要说明的其他事项。</w:t>
      </w:r>
    </w:p>
    <w:p w14:paraId="0DEE6F17">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cs="宋体"/>
          <w:b/>
          <w:bCs/>
          <w:color w:val="auto"/>
          <w:highlight w:val="none"/>
        </w:rPr>
      </w:pPr>
      <w:r>
        <w:rPr>
          <w:rFonts w:hint="eastAsia" w:ascii="宋体" w:hAnsi="宋体" w:cs="宋体"/>
          <w:b/>
          <w:bCs/>
          <w:color w:val="auto"/>
          <w:highlight w:val="none"/>
        </w:rPr>
        <w:t>注：</w:t>
      </w:r>
      <w:r>
        <w:rPr>
          <w:rFonts w:hint="eastAsia" w:ascii="宋体" w:hAnsi="宋体" w:cs="宋体"/>
          <w:b/>
          <w:bCs/>
          <w:color w:val="auto"/>
          <w:highlight w:val="none"/>
          <w:lang w:val="en-US" w:eastAsia="zh-CN"/>
        </w:rPr>
        <w:t>1.</w:t>
      </w:r>
      <w:r>
        <w:rPr>
          <w:rFonts w:hint="eastAsia" w:ascii="宋体" w:hAnsi="宋体" w:cs="宋体"/>
          <w:b/>
          <w:bCs/>
          <w:color w:val="auto"/>
          <w:highlight w:val="none"/>
        </w:rPr>
        <w:t>法定代表人授权委托书、磋商声明书必须由法定代表人（</w:t>
      </w:r>
      <w:r>
        <w:rPr>
          <w:rFonts w:hint="eastAsia" w:ascii="宋体" w:hAnsi="宋体" w:cs="宋体"/>
          <w:b/>
          <w:bCs/>
          <w:color w:val="auto"/>
          <w:highlight w:val="none"/>
          <w:lang w:val="en-US" w:eastAsia="zh-CN"/>
        </w:rPr>
        <w:t>签字</w:t>
      </w:r>
      <w:r>
        <w:rPr>
          <w:rFonts w:hint="eastAsia" w:ascii="宋体" w:hAnsi="宋体" w:cs="宋体"/>
          <w:b/>
          <w:bCs/>
          <w:color w:val="auto"/>
          <w:highlight w:val="none"/>
        </w:rPr>
        <w:t>或盖章）并加盖CA公章；诚信承诺书、磋商函、报价一览表</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分项报价明细表中的</w:t>
      </w:r>
      <w:r>
        <w:rPr>
          <w:rFonts w:hint="eastAsia" w:ascii="宋体" w:hAnsi="宋体" w:eastAsia="宋体" w:cs="宋体"/>
          <w:b/>
          <w:bCs/>
          <w:color w:val="auto"/>
          <w:highlight w:val="none"/>
        </w:rPr>
        <w:t>投标</w:t>
      </w:r>
      <w:r>
        <w:rPr>
          <w:rFonts w:hint="eastAsia" w:ascii="宋体" w:hAnsi="宋体" w:eastAsia="宋体" w:cs="宋体"/>
          <w:b/>
          <w:bCs/>
          <w:color w:val="auto"/>
          <w:highlight w:val="none"/>
          <w:lang w:eastAsia="zh-CN"/>
        </w:rPr>
        <w:t>报</w:t>
      </w:r>
      <w:r>
        <w:rPr>
          <w:rFonts w:hint="eastAsia" w:ascii="宋体" w:hAnsi="宋体" w:eastAsia="宋体" w:cs="宋体"/>
          <w:b/>
          <w:bCs/>
          <w:color w:val="auto"/>
          <w:highlight w:val="none"/>
        </w:rPr>
        <w:t>价</w:t>
      </w:r>
      <w:r>
        <w:rPr>
          <w:rFonts w:hint="eastAsia" w:ascii="宋体" w:hAnsi="宋体" w:eastAsia="宋体" w:cs="宋体"/>
          <w:b/>
          <w:bCs/>
          <w:color w:val="auto"/>
          <w:highlight w:val="none"/>
          <w:lang w:val="en-US" w:eastAsia="zh-CN"/>
        </w:rPr>
        <w:t>表、</w:t>
      </w:r>
      <w:r>
        <w:rPr>
          <w:rFonts w:hint="eastAsia" w:ascii="宋体" w:hAnsi="宋体" w:eastAsia="宋体" w:cs="宋体"/>
          <w:b/>
          <w:bCs/>
          <w:color w:val="auto"/>
          <w:highlight w:val="none"/>
        </w:rPr>
        <w:t>供应</w:t>
      </w:r>
      <w:r>
        <w:rPr>
          <w:rFonts w:hint="eastAsia" w:ascii="宋体" w:hAnsi="宋体" w:cs="宋体"/>
          <w:b/>
          <w:bCs/>
          <w:color w:val="auto"/>
          <w:highlight w:val="none"/>
        </w:rPr>
        <w:t>商基本情况表、项目负责人简历表、拟投入施工现场的主要管理人员情况</w:t>
      </w:r>
      <w:r>
        <w:rPr>
          <w:rFonts w:hint="eastAsia" w:ascii="宋体" w:hAnsi="宋体" w:cs="宋体"/>
          <w:b/>
          <w:bCs/>
          <w:color w:val="auto"/>
          <w:highlight w:val="none"/>
          <w:lang w:val="en-US" w:eastAsia="zh-CN"/>
        </w:rPr>
        <w:t>表、</w:t>
      </w:r>
      <w:r>
        <w:rPr>
          <w:rFonts w:hint="eastAsia" w:ascii="宋体" w:hAnsi="宋体" w:cs="宋体"/>
          <w:b/>
          <w:bCs/>
          <w:color w:val="auto"/>
          <w:highlight w:val="none"/>
        </w:rPr>
        <w:t>残疾人福利性单位声明函</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如有</w:t>
      </w:r>
      <w:r>
        <w:rPr>
          <w:rFonts w:hint="eastAsia" w:ascii="宋体" w:hAnsi="宋体" w:cs="宋体"/>
          <w:b/>
          <w:bCs/>
          <w:color w:val="auto"/>
          <w:highlight w:val="none"/>
          <w:lang w:eastAsia="zh-CN"/>
        </w:rPr>
        <w:t>）</w:t>
      </w:r>
      <w:r>
        <w:rPr>
          <w:rFonts w:hint="eastAsia" w:ascii="宋体" w:hAnsi="宋体" w:cs="宋体"/>
          <w:b/>
          <w:bCs/>
          <w:color w:val="auto"/>
          <w:highlight w:val="none"/>
        </w:rPr>
        <w:t>必须由法定代表人或授权</w:t>
      </w:r>
      <w:r>
        <w:rPr>
          <w:rFonts w:hint="eastAsia" w:ascii="宋体" w:hAnsi="宋体" w:cs="宋体"/>
          <w:b/>
          <w:bCs/>
          <w:color w:val="auto"/>
          <w:highlight w:val="none"/>
          <w:lang w:val="en-US" w:eastAsia="zh-CN"/>
        </w:rPr>
        <w:t>代表</w:t>
      </w:r>
      <w:r>
        <w:rPr>
          <w:rFonts w:hint="eastAsia" w:ascii="宋体" w:hAnsi="宋体" w:cs="宋体"/>
          <w:b/>
          <w:bCs/>
          <w:color w:val="auto"/>
          <w:highlight w:val="none"/>
        </w:rPr>
        <w:t>（</w:t>
      </w:r>
      <w:r>
        <w:rPr>
          <w:rFonts w:hint="eastAsia" w:ascii="宋体" w:hAnsi="宋体" w:cs="宋体"/>
          <w:b/>
          <w:bCs/>
          <w:color w:val="auto"/>
          <w:highlight w:val="none"/>
          <w:lang w:val="en-US" w:eastAsia="zh-CN"/>
        </w:rPr>
        <w:t>签字</w:t>
      </w:r>
      <w:r>
        <w:rPr>
          <w:rFonts w:hint="eastAsia" w:ascii="宋体" w:hAnsi="宋体" w:cs="宋体"/>
          <w:b/>
          <w:bCs/>
          <w:color w:val="auto"/>
          <w:highlight w:val="none"/>
        </w:rPr>
        <w:t>或盖章）并加盖CA公章；中小企业声明函必须加盖CA公章；签章不齐的视同未提供。</w:t>
      </w:r>
    </w:p>
    <w:p w14:paraId="4E5A7CDC">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eastAsia="宋体" w:cs="宋体"/>
          <w:b/>
          <w:bCs/>
          <w:color w:val="auto"/>
          <w:highlight w:val="none"/>
          <w:lang w:val="en-US" w:eastAsia="zh-CN"/>
        </w:rPr>
      </w:pPr>
      <w:r>
        <w:rPr>
          <w:rFonts w:hint="eastAsia" w:ascii="宋体" w:hAnsi="宋体"/>
          <w:b/>
          <w:bCs/>
          <w:color w:val="auto"/>
          <w:kern w:val="2"/>
          <w:szCs w:val="21"/>
          <w:highlight w:val="none"/>
          <w:lang w:val="en-US" w:eastAsia="zh-CN"/>
        </w:rPr>
        <w:t>2.</w:t>
      </w:r>
      <w:r>
        <w:rPr>
          <w:rFonts w:hint="eastAsia" w:ascii="宋体" w:hAnsi="宋体"/>
          <w:b/>
          <w:bCs/>
          <w:color w:val="auto"/>
          <w:kern w:val="2"/>
          <w:szCs w:val="21"/>
          <w:highlight w:val="none"/>
        </w:rPr>
        <w:t>《</w:t>
      </w:r>
      <w:r>
        <w:rPr>
          <w:rFonts w:hint="eastAsia" w:ascii="宋体" w:hAnsi="宋体"/>
          <w:b/>
          <w:bCs/>
          <w:color w:val="auto"/>
          <w:kern w:val="2"/>
          <w:szCs w:val="21"/>
          <w:highlight w:val="none"/>
          <w:lang w:val="en-US" w:eastAsia="zh-CN"/>
        </w:rPr>
        <w:t>报价</w:t>
      </w:r>
      <w:r>
        <w:rPr>
          <w:rFonts w:hint="eastAsia" w:ascii="宋体" w:hAnsi="宋体"/>
          <w:b/>
          <w:bCs/>
          <w:color w:val="auto"/>
          <w:kern w:val="2"/>
          <w:szCs w:val="21"/>
          <w:highlight w:val="none"/>
        </w:rPr>
        <w:t>一览表》应要求按格式填写、统一规范，不得自行增减内容</w:t>
      </w:r>
      <w:r>
        <w:rPr>
          <w:rFonts w:hint="eastAsia" w:ascii="宋体" w:hAnsi="宋体"/>
          <w:b/>
          <w:bCs/>
          <w:color w:val="auto"/>
          <w:kern w:val="2"/>
          <w:szCs w:val="21"/>
          <w:highlight w:val="none"/>
          <w:lang w:eastAsia="zh-CN"/>
        </w:rPr>
        <w:t>。</w:t>
      </w:r>
    </w:p>
    <w:p w14:paraId="2864323C">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3</w:t>
      </w:r>
      <w:r>
        <w:rPr>
          <w:rFonts w:hint="eastAsia" w:ascii="宋体" w:hAnsi="宋体" w:eastAsia="宋体" w:cs="宋体"/>
          <w:b/>
          <w:bCs/>
          <w:color w:val="auto"/>
          <w:kern w:val="0"/>
          <w:sz w:val="24"/>
          <w:szCs w:val="24"/>
          <w:highlight w:val="none"/>
          <w:lang w:val="en-US" w:eastAsia="zh-CN" w:bidi="ar-SA"/>
        </w:rPr>
        <w:t>.本项目投标时无须提供纸质投标文件。</w:t>
      </w:r>
      <w:r>
        <w:rPr>
          <w:rFonts w:hint="eastAsia" w:ascii="宋体" w:hAnsi="宋体" w:cs="宋体"/>
          <w:b/>
          <w:bCs/>
          <w:color w:val="auto"/>
          <w:kern w:val="0"/>
          <w:sz w:val="24"/>
          <w:szCs w:val="24"/>
          <w:highlight w:val="none"/>
          <w:lang w:val="en-US" w:eastAsia="zh-CN" w:bidi="ar-SA"/>
        </w:rPr>
        <w:t>成交</w:t>
      </w:r>
      <w:r>
        <w:rPr>
          <w:rFonts w:hint="eastAsia" w:ascii="宋体" w:hAnsi="宋体" w:eastAsia="宋体" w:cs="宋体"/>
          <w:b/>
          <w:bCs/>
          <w:color w:val="auto"/>
          <w:kern w:val="0"/>
          <w:sz w:val="24"/>
          <w:szCs w:val="24"/>
          <w:highlight w:val="none"/>
          <w:lang w:val="en-US" w:eastAsia="zh-CN" w:bidi="ar-SA"/>
        </w:rPr>
        <w:t>通知书发出前，</w:t>
      </w:r>
      <w:r>
        <w:rPr>
          <w:rFonts w:hint="eastAsia" w:ascii="宋体" w:hAnsi="宋体" w:cs="宋体"/>
          <w:b/>
          <w:bCs/>
          <w:color w:val="auto"/>
          <w:kern w:val="0"/>
          <w:sz w:val="24"/>
          <w:szCs w:val="24"/>
          <w:highlight w:val="none"/>
          <w:lang w:val="en-US" w:eastAsia="zh-CN" w:bidi="ar-SA"/>
        </w:rPr>
        <w:t>成交供应商</w:t>
      </w:r>
      <w:r>
        <w:rPr>
          <w:rFonts w:hint="eastAsia" w:ascii="宋体" w:hAnsi="宋体" w:eastAsia="宋体" w:cs="宋体"/>
          <w:b/>
          <w:bCs/>
          <w:color w:val="auto"/>
          <w:kern w:val="0"/>
          <w:sz w:val="24"/>
          <w:szCs w:val="24"/>
          <w:highlight w:val="none"/>
          <w:lang w:val="en-US" w:eastAsia="zh-CN" w:bidi="ar-SA"/>
        </w:rPr>
        <w:t>须向招标人（招标代理机构）提供纸质投标文件一式肆份（其中一份</w:t>
      </w:r>
      <w:r>
        <w:rPr>
          <w:rFonts w:hint="eastAsia" w:ascii="宋体" w:hAnsi="宋体" w:cs="宋体"/>
          <w:b/>
          <w:bCs/>
          <w:color w:val="auto"/>
          <w:kern w:val="0"/>
          <w:sz w:val="24"/>
          <w:szCs w:val="24"/>
          <w:highlight w:val="none"/>
          <w:lang w:val="en-US" w:eastAsia="zh-CN" w:bidi="ar-SA"/>
        </w:rPr>
        <w:t>报价文件</w:t>
      </w:r>
      <w:r>
        <w:rPr>
          <w:rFonts w:hint="eastAsia" w:ascii="宋体" w:hAnsi="宋体" w:eastAsia="宋体" w:cs="宋体"/>
          <w:b/>
          <w:bCs/>
          <w:color w:val="auto"/>
          <w:kern w:val="0"/>
          <w:sz w:val="24"/>
          <w:szCs w:val="24"/>
          <w:highlight w:val="none"/>
          <w:lang w:val="en-US" w:eastAsia="zh-CN" w:bidi="ar-SA"/>
        </w:rPr>
        <w:t>副本中须包含“综合单价计算表(注：含综合单价及技术措施)”、“综合单价工料机分析表(注：含综合单价及技术措施)”）。提供的纸质投标文件须与投标时的电子投标文件内容完全一致。</w:t>
      </w:r>
    </w:p>
    <w:p w14:paraId="05DC4BA1">
      <w:pPr>
        <w:keepNext w:val="0"/>
        <w:keepLines w:val="0"/>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（二）响应文件的语言及计量</w:t>
      </w:r>
    </w:p>
    <w:p w14:paraId="04716BF2">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响应文件以及磋商双方就有关磋商事宜的所有来往函电，均应以中文汉语书写。除签名、盖章、专用名称等特殊情形外，以中文汉语以外的文字表述的响应文件视同未提供。</w:t>
      </w:r>
    </w:p>
    <w:p w14:paraId="42D73A3E">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磋商计量单位，磋商文件已有明确规定的，使用磋商文件规定的计量单位；磋商文件没有规定的，应采用中华人民共和国法定计量单位（货币单位：人民币元），否则视同未响应。</w:t>
      </w:r>
    </w:p>
    <w:p w14:paraId="45C9E5EF">
      <w:pPr>
        <w:keepNext w:val="0"/>
        <w:keepLines w:val="0"/>
        <w:pageBreakBefore w:val="0"/>
        <w:widowControl w:val="0"/>
        <w:numPr>
          <w:ilvl w:val="0"/>
          <w:numId w:val="5"/>
        </w:numPr>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highlight w:val="none"/>
        </w:rPr>
        <w:t>磋商报价</w:t>
      </w:r>
    </w:p>
    <w:p w14:paraId="570DF761">
      <w:pPr>
        <w:keepNext w:val="0"/>
        <w:keepLines w:val="0"/>
        <w:pageBreakBefore w:val="0"/>
        <w:widowControl w:val="0"/>
        <w:numPr>
          <w:ilvl w:val="0"/>
          <w:numId w:val="0"/>
        </w:numPr>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详见磋商需求</w:t>
      </w:r>
    </w:p>
    <w:p w14:paraId="7AFBB8E9">
      <w:pPr>
        <w:pStyle w:val="5"/>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（四）响应文件的有效期</w:t>
      </w:r>
    </w:p>
    <w:p w14:paraId="0CE8D0DE">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t>▲</w:t>
      </w: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自提交首次响应文件截止日起</w:t>
      </w:r>
      <w:r>
        <w:rPr>
          <w:rFonts w:hint="eastAsia" w:ascii="宋体" w:hAnsi="宋体" w:eastAsia="宋体" w:cs="宋体"/>
          <w:b/>
          <w:bCs/>
          <w:color w:val="auto"/>
          <w:sz w:val="24"/>
          <w:szCs w:val="24"/>
          <w:highlight w:val="none"/>
        </w:rPr>
        <w:t>90天</w:t>
      </w:r>
      <w:r>
        <w:rPr>
          <w:rFonts w:hint="eastAsia" w:ascii="宋体" w:hAnsi="宋体" w:eastAsia="宋体" w:cs="宋体"/>
          <w:color w:val="auto"/>
          <w:sz w:val="24"/>
          <w:szCs w:val="24"/>
          <w:highlight w:val="none"/>
        </w:rPr>
        <w:t>响应文件应保持有效。有效期不足的响应文件将被拒绝。</w:t>
      </w:r>
    </w:p>
    <w:p w14:paraId="08E6855B">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在特殊情况下，招标人可与供应商协商延长响应文件的有效期，这种要求和答复均以书面形式进行。</w:t>
      </w:r>
    </w:p>
    <w:p w14:paraId="0AF2B27D">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供应商可拒绝接受延期要求。同意延长有效期的不能修改响应文件。</w:t>
      </w:r>
    </w:p>
    <w:p w14:paraId="1A35878F">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成交供应商的响应文件文件自磋商之日起至合同履行完毕止均应保持有效。</w:t>
      </w:r>
    </w:p>
    <w:p w14:paraId="54311458">
      <w:pPr>
        <w:pStyle w:val="5"/>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（五）响应文件的递交</w:t>
      </w:r>
    </w:p>
    <w:p w14:paraId="5300E466">
      <w:pPr>
        <w:keepNext w:val="0"/>
        <w:keepLines w:val="0"/>
        <w:pageBreakBefore w:val="0"/>
        <w:widowControl w:val="0"/>
        <w:kinsoku/>
        <w:wordWrap/>
        <w:overflowPunct/>
        <w:topLinePunct w:val="0"/>
        <w:autoSpaceDE/>
        <w:autoSpaceDN/>
        <w:bidi w:val="0"/>
        <w:snapToGrid w:val="0"/>
        <w:spacing w:line="450" w:lineRule="exact"/>
        <w:ind w:firstLine="472" w:firstLineChars="196"/>
        <w:jc w:val="left"/>
        <w:textAlignment w:val="auto"/>
        <w:outlineLvl w:val="0"/>
        <w:rPr>
          <w:rFonts w:hint="eastAsia" w:ascii="宋体" w:hAnsi="宋体" w:eastAsia="宋体" w:cs="宋体"/>
          <w:b/>
          <w:color w:val="auto"/>
          <w:sz w:val="24"/>
          <w:highlight w:val="none"/>
        </w:rPr>
      </w:pPr>
      <w:bookmarkStart w:id="54" w:name="_Toc30503"/>
      <w:bookmarkStart w:id="55" w:name="_Toc8274"/>
      <w:r>
        <w:rPr>
          <w:rFonts w:hint="eastAsia" w:ascii="宋体" w:hAnsi="宋体" w:eastAsia="宋体" w:cs="宋体"/>
          <w:b/>
          <w:color w:val="auto"/>
          <w:sz w:val="24"/>
          <w:highlight w:val="none"/>
        </w:rPr>
        <w:t>电子响应文件</w:t>
      </w:r>
      <w:bookmarkEnd w:id="54"/>
      <w:bookmarkEnd w:id="55"/>
    </w:p>
    <w:p w14:paraId="7134F1F0">
      <w:pPr>
        <w:keepNext w:val="0"/>
        <w:keepLines w:val="0"/>
        <w:pageBreakBefore w:val="0"/>
        <w:widowControl w:val="0"/>
        <w:kinsoku/>
        <w:wordWrap/>
        <w:overflowPunct/>
        <w:topLinePunct w:val="0"/>
        <w:autoSpaceDE/>
        <w:autoSpaceDN/>
        <w:bidi w:val="0"/>
        <w:snapToGrid w:val="0"/>
        <w:spacing w:line="450" w:lineRule="exact"/>
        <w:ind w:firstLine="470" w:firstLineChars="196"/>
        <w:jc w:val="left"/>
        <w:textAlignment w:val="auto"/>
        <w:outlineLvl w:val="0"/>
        <w:rPr>
          <w:rFonts w:hint="eastAsia" w:ascii="宋体" w:hAnsi="宋体" w:eastAsia="宋体" w:cs="宋体"/>
          <w:color w:val="auto"/>
          <w:kern w:val="0"/>
          <w:sz w:val="24"/>
          <w:highlight w:val="none"/>
        </w:rPr>
      </w:pPr>
      <w:bookmarkStart w:id="56" w:name="_Toc29804"/>
      <w:bookmarkStart w:id="57" w:name="_Toc25626"/>
      <w:r>
        <w:rPr>
          <w:rFonts w:hint="eastAsia" w:ascii="宋体" w:hAnsi="宋体" w:eastAsia="宋体" w:cs="宋体"/>
          <w:color w:val="auto"/>
          <w:kern w:val="0"/>
          <w:sz w:val="24"/>
          <w:highlight w:val="none"/>
        </w:rPr>
        <w:t>电子响应文件按政采云平台供应商电子招投标操作指南（网址：</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"https://help.zcygov.cn/web/site_2/2018/12-28/2573.html）及本招标文件规定的格式和顺序编制电子投标文件并进行关联定位。"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szCs w:val="22"/>
          <w:highlight w:val="none"/>
        </w:rPr>
        <w:fldChar w:fldCharType="begin"/>
      </w:r>
      <w:r>
        <w:rPr>
          <w:rStyle w:val="28"/>
          <w:rFonts w:hint="eastAsia" w:ascii="宋体" w:hAnsi="宋体" w:eastAsia="宋体" w:cs="宋体"/>
          <w:color w:val="auto"/>
          <w:kern w:val="0"/>
          <w:sz w:val="24"/>
          <w:szCs w:val="22"/>
          <w:highlight w:val="none"/>
        </w:rPr>
        <w:instrText xml:space="preserve"> HYPERLINK "https://service.zcygov.cn/" \l "/knowledges/CW1EtGwBFdiHxlNd6I3m/6IMVAG0BFdiHxlNdQ8Na" </w:instrText>
      </w:r>
      <w:r>
        <w:rPr>
          <w:rFonts w:hint="eastAsia" w:ascii="宋体" w:hAnsi="宋体" w:eastAsia="宋体" w:cs="宋体"/>
          <w:color w:val="auto"/>
          <w:kern w:val="0"/>
          <w:sz w:val="24"/>
          <w:szCs w:val="22"/>
          <w:highlight w:val="none"/>
        </w:rPr>
        <w:fldChar w:fldCharType="separate"/>
      </w:r>
      <w:r>
        <w:rPr>
          <w:rStyle w:val="28"/>
          <w:rFonts w:hint="eastAsia" w:ascii="宋体" w:hAnsi="宋体" w:eastAsia="宋体" w:cs="宋体"/>
          <w:color w:val="auto"/>
          <w:kern w:val="0"/>
          <w:sz w:val="24"/>
          <w:szCs w:val="22"/>
          <w:highlight w:val="none"/>
        </w:rPr>
        <w:t>https://service.zcygov.cn/#/knowledges/CW1EtGwBFdiHxlNd6I3m/6IMVAG0BFdiHxlNdQ8Na</w:t>
      </w:r>
      <w:r>
        <w:rPr>
          <w:rFonts w:hint="eastAsia" w:ascii="宋体" w:hAnsi="宋体" w:eastAsia="宋体" w:cs="宋体"/>
          <w:color w:val="auto"/>
          <w:kern w:val="0"/>
          <w:sz w:val="24"/>
          <w:szCs w:val="22"/>
          <w:highlight w:val="none"/>
        </w:rPr>
        <w:fldChar w:fldCharType="end"/>
      </w:r>
      <w:r>
        <w:rPr>
          <w:rStyle w:val="28"/>
          <w:rFonts w:hint="eastAsia" w:ascii="宋体" w:hAnsi="宋体" w:eastAsia="宋体" w:cs="宋体"/>
          <w:color w:val="auto"/>
          <w:kern w:val="0"/>
          <w:sz w:val="24"/>
          <w:highlight w:val="none"/>
        </w:rPr>
        <w:t>）及本磋商文件规定的格式和顺序编制电子响应文件并进行关联定位。</w:t>
      </w:r>
      <w:r>
        <w:rPr>
          <w:rFonts w:hint="eastAsia" w:ascii="宋体" w:hAnsi="宋体" w:eastAsia="宋体" w:cs="宋体"/>
          <w:color w:val="auto"/>
          <w:kern w:val="0"/>
          <w:sz w:val="24"/>
          <w:highlight w:val="none"/>
        </w:rPr>
        <w:fldChar w:fldCharType="end"/>
      </w:r>
      <w:bookmarkEnd w:id="56"/>
      <w:bookmarkEnd w:id="57"/>
    </w:p>
    <w:p w14:paraId="38400C36">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szCs w:val="21"/>
          <w:highlight w:val="none"/>
        </w:rPr>
        <w:t>供应商</w:t>
      </w:r>
      <w:r>
        <w:rPr>
          <w:rFonts w:hint="eastAsia" w:ascii="宋体" w:hAnsi="宋体" w:eastAsia="宋体" w:cs="宋体"/>
          <w:color w:val="auto"/>
          <w:sz w:val="24"/>
          <w:szCs w:val="21"/>
          <w:highlight w:val="none"/>
        </w:rPr>
        <w:t>应于</w:t>
      </w:r>
      <w:r>
        <w:rPr>
          <w:rFonts w:hint="eastAsia" w:ascii="宋体" w:hAnsi="宋体" w:cs="宋体"/>
          <w:color w:val="auto"/>
          <w:sz w:val="24"/>
          <w:szCs w:val="21"/>
          <w:highlight w:val="none"/>
          <w:lang w:eastAsia="zh-CN"/>
        </w:rPr>
        <w:t>2025年</w:t>
      </w:r>
      <w:r>
        <w:rPr>
          <w:rFonts w:hint="eastAsia" w:ascii="宋体" w:hAnsi="宋体" w:cs="宋体"/>
          <w:color w:val="auto"/>
          <w:sz w:val="24"/>
          <w:szCs w:val="21"/>
          <w:highlight w:val="none"/>
          <w:lang w:val="en-US" w:eastAsia="zh-CN"/>
        </w:rPr>
        <w:t>7</w:t>
      </w:r>
      <w:r>
        <w:rPr>
          <w:rFonts w:hint="eastAsia" w:ascii="宋体" w:hAnsi="宋体" w:eastAsia="宋体" w:cs="宋体"/>
          <w:color w:val="auto"/>
          <w:sz w:val="24"/>
          <w:szCs w:val="21"/>
          <w:highlight w:val="none"/>
        </w:rPr>
        <w:t>月</w:t>
      </w:r>
      <w:r>
        <w:rPr>
          <w:rFonts w:hint="eastAsia" w:ascii="宋体" w:hAnsi="宋体" w:cs="宋体"/>
          <w:color w:val="auto"/>
          <w:sz w:val="24"/>
          <w:szCs w:val="21"/>
          <w:highlight w:val="none"/>
          <w:lang w:val="en-US" w:eastAsia="zh-CN"/>
        </w:rPr>
        <w:t>4</w:t>
      </w:r>
      <w:r>
        <w:rPr>
          <w:rFonts w:hint="eastAsia" w:ascii="宋体" w:hAnsi="宋体" w:eastAsia="宋体" w:cs="宋体"/>
          <w:color w:val="auto"/>
          <w:sz w:val="24"/>
          <w:szCs w:val="21"/>
          <w:highlight w:val="none"/>
        </w:rPr>
        <w:t>日</w:t>
      </w:r>
      <w:r>
        <w:rPr>
          <w:rFonts w:hint="eastAsia" w:ascii="宋体" w:hAnsi="宋体" w:cs="宋体"/>
          <w:color w:val="auto"/>
          <w:sz w:val="24"/>
          <w:szCs w:val="21"/>
          <w:highlight w:val="none"/>
          <w:lang w:val="en-US" w:eastAsia="zh-CN"/>
        </w:rPr>
        <w:t>14</w:t>
      </w:r>
      <w:r>
        <w:rPr>
          <w:rFonts w:hint="eastAsia" w:ascii="宋体" w:hAnsi="宋体" w:eastAsia="宋体" w:cs="宋体"/>
          <w:color w:val="auto"/>
          <w:sz w:val="24"/>
          <w:szCs w:val="21"/>
          <w:highlight w:val="none"/>
        </w:rPr>
        <w:t>：</w:t>
      </w:r>
      <w:r>
        <w:rPr>
          <w:rFonts w:hint="eastAsia" w:ascii="宋体" w:hAnsi="宋体" w:cs="宋体"/>
          <w:color w:val="auto"/>
          <w:sz w:val="24"/>
          <w:szCs w:val="21"/>
          <w:highlight w:val="none"/>
          <w:lang w:val="en-US" w:eastAsia="zh-CN"/>
        </w:rPr>
        <w:t>00</w:t>
      </w:r>
      <w:r>
        <w:rPr>
          <w:rFonts w:hint="eastAsia" w:ascii="宋体" w:hAnsi="宋体" w:eastAsia="宋体" w:cs="宋体"/>
          <w:color w:val="auto"/>
          <w:sz w:val="24"/>
          <w:szCs w:val="21"/>
          <w:highlight w:val="none"/>
        </w:rPr>
        <w:t>前在“政采云”上自行加密上传电子响应文件，逾期上传或未按要求上传的响应文件将予以拒收。</w:t>
      </w:r>
    </w:p>
    <w:p w14:paraId="7AF035C1">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2.代理机构在规定的响应截止时间以后“政采云平台”将不接收响应文件。</w:t>
      </w:r>
    </w:p>
    <w:p w14:paraId="3312EEA3">
      <w:pPr>
        <w:pStyle w:val="12"/>
        <w:keepNext w:val="0"/>
        <w:keepLines w:val="0"/>
        <w:pageBreakBefore w:val="0"/>
        <w:widowControl w:val="0"/>
        <w:kinsoku/>
        <w:wordWrap/>
        <w:overflowPunct/>
        <w:topLinePunct w:val="0"/>
        <w:autoSpaceDE/>
        <w:autoSpaceDN/>
        <w:bidi w:val="0"/>
        <w:spacing w:beforeLines="0" w:afterLines="0" w:line="45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响应文件解密</w:t>
      </w:r>
    </w:p>
    <w:p w14:paraId="5314B56F">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响应文件提交截止时间后半小时内（</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前）供应商可以登录“政采云”平台，用“项目采购-开标评标”功能进行解密响应文件。若供应商在规定时间内（</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前）无法解密或解密失败，将导致投响应无效或失败。</w:t>
      </w:r>
    </w:p>
    <w:p w14:paraId="65A98FE4">
      <w:pPr>
        <w:pStyle w:val="12"/>
        <w:keepNext w:val="0"/>
        <w:keepLines w:val="0"/>
        <w:pageBreakBefore w:val="0"/>
        <w:widowControl w:val="0"/>
        <w:kinsoku/>
        <w:wordWrap/>
        <w:overflowPunct/>
        <w:topLinePunct w:val="0"/>
        <w:autoSpaceDE/>
        <w:autoSpaceDN/>
        <w:bidi w:val="0"/>
        <w:adjustRightInd w:val="0"/>
        <w:snapToGrid w:val="0"/>
        <w:spacing w:beforeLines="0" w:afterLines="0"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b/>
          <w:color w:val="auto"/>
          <w:sz w:val="24"/>
          <w:szCs w:val="24"/>
          <w:highlight w:val="none"/>
        </w:rPr>
        <w:t>为确保采购项目顺利实施，避免因解密失败导致供应商响应无效，供应商可在</w:t>
      </w:r>
      <w:r>
        <w:rPr>
          <w:rFonts w:hint="eastAsia" w:hAnsi="宋体" w:cs="宋体"/>
          <w:b/>
          <w:color w:val="auto"/>
          <w:sz w:val="24"/>
          <w:szCs w:val="24"/>
          <w:highlight w:val="none"/>
          <w:lang w:eastAsia="zh-CN"/>
        </w:rPr>
        <w:t>2025年</w:t>
      </w:r>
      <w:r>
        <w:rPr>
          <w:rFonts w:hint="eastAsia"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月</w:t>
      </w:r>
      <w:r>
        <w:rPr>
          <w:rFonts w:hint="eastAsia"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日</w:t>
      </w:r>
      <w:r>
        <w:rPr>
          <w:rFonts w:hint="eastAsia" w:hAnsi="宋体" w:cs="宋体"/>
          <w:b/>
          <w:color w:val="auto"/>
          <w:sz w:val="24"/>
          <w:szCs w:val="24"/>
          <w:highlight w:val="none"/>
          <w:lang w:val="en-US" w:eastAsia="zh-CN"/>
        </w:rPr>
        <w:t>14</w:t>
      </w:r>
      <w:r>
        <w:rPr>
          <w:rFonts w:hint="eastAsia" w:ascii="宋体" w:hAnsi="宋体" w:eastAsia="宋体" w:cs="宋体"/>
          <w:b/>
          <w:color w:val="auto"/>
          <w:sz w:val="24"/>
          <w:szCs w:val="24"/>
          <w:highlight w:val="none"/>
        </w:rPr>
        <w:t>:</w:t>
      </w:r>
      <w:r>
        <w:rPr>
          <w:rFonts w:hint="eastAsia" w:hAnsi="宋体" w:cs="宋体"/>
          <w:b/>
          <w:color w:val="auto"/>
          <w:sz w:val="24"/>
          <w:szCs w:val="24"/>
          <w:highlight w:val="none"/>
          <w:lang w:val="en-US" w:eastAsia="zh-CN"/>
        </w:rPr>
        <w:t>00</w:t>
      </w:r>
      <w:r>
        <w:rPr>
          <w:rFonts w:hint="eastAsia" w:ascii="宋体" w:hAnsi="宋体" w:eastAsia="宋体" w:cs="宋体"/>
          <w:b/>
          <w:color w:val="auto"/>
          <w:sz w:val="24"/>
          <w:szCs w:val="24"/>
          <w:highlight w:val="none"/>
        </w:rPr>
        <w:t>前将在政采云平台上最后生成的具备电子签章的备份电子标文件</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光盘上应当用不褪色墨水笔注明供应商名称、项目名称、标项以及法定代表人或其委托代理人签名，供应商应当确保电子光盘能够打开运行并正常使用</w:t>
      </w:r>
      <w:r>
        <w:rPr>
          <w:rFonts w:hint="eastAsia" w:ascii="宋体" w:hAnsi="宋体" w:eastAsia="宋体" w:cs="宋体"/>
          <w:color w:val="auto"/>
          <w:sz w:val="24"/>
          <w:szCs w:val="24"/>
          <w:highlight w:val="none"/>
        </w:rPr>
        <w:t>）装袋密封后邮寄或直接送达至</w:t>
      </w:r>
      <w:r>
        <w:rPr>
          <w:rFonts w:hint="eastAsia" w:hAnsi="宋体" w:cs="宋体"/>
          <w:color w:val="auto"/>
          <w:sz w:val="24"/>
          <w:highlight w:val="none"/>
          <w:lang w:eastAsia="zh-CN"/>
        </w:rPr>
        <w:t>浙江中合工程管理有限公司</w:t>
      </w:r>
      <w:r>
        <w:rPr>
          <w:rFonts w:hint="eastAsia" w:ascii="宋体" w:hAnsi="宋体" w:eastAsia="宋体" w:cs="宋体"/>
          <w:color w:val="auto"/>
          <w:sz w:val="24"/>
          <w:szCs w:val="24"/>
          <w:highlight w:val="none"/>
        </w:rPr>
        <w:t>，密封袋上有接缝处均需加盖单位公章和法定代表人印章（送达地址：</w:t>
      </w:r>
      <w:r>
        <w:rPr>
          <w:rFonts w:hint="eastAsia" w:ascii="宋体" w:hAnsi="宋体" w:eastAsia="宋体" w:cs="宋体"/>
          <w:color w:val="auto"/>
          <w:sz w:val="24"/>
          <w:szCs w:val="24"/>
          <w:highlight w:val="none"/>
          <w:lang w:eastAsia="zh-CN"/>
        </w:rPr>
        <w:t>嘉善县罗星街道乔克国贸中心2-1002室</w:t>
      </w:r>
      <w:r>
        <w:rPr>
          <w:rFonts w:hint="eastAsia" w:ascii="宋体" w:hAnsi="宋体" w:eastAsia="宋体" w:cs="宋体"/>
          <w:color w:val="auto"/>
          <w:sz w:val="24"/>
          <w:szCs w:val="24"/>
          <w:highlight w:val="none"/>
        </w:rPr>
        <w:t>，收件人：</w:t>
      </w:r>
      <w:r>
        <w:rPr>
          <w:rFonts w:hint="eastAsia" w:hAnsi="宋体" w:cs="宋体"/>
          <w:color w:val="auto"/>
          <w:sz w:val="24"/>
          <w:szCs w:val="24"/>
          <w:highlight w:val="none"/>
          <w:lang w:val="en-US" w:eastAsia="zh-CN"/>
        </w:rPr>
        <w:t>胡女士</w:t>
      </w:r>
      <w:r>
        <w:rPr>
          <w:rFonts w:hint="eastAsia" w:ascii="宋体" w:hAnsi="宋体" w:eastAsia="宋体" w:cs="宋体"/>
          <w:color w:val="auto"/>
          <w:sz w:val="24"/>
          <w:szCs w:val="24"/>
          <w:highlight w:val="none"/>
        </w:rPr>
        <w:t>，联系电话：</w:t>
      </w:r>
      <w:r>
        <w:rPr>
          <w:rFonts w:hint="eastAsia" w:hAnsi="宋体" w:cs="宋体"/>
          <w:color w:val="auto"/>
          <w:sz w:val="24"/>
          <w:szCs w:val="24"/>
          <w:highlight w:val="none"/>
          <w:lang w:eastAsia="zh-CN"/>
        </w:rPr>
        <w:t>0573-84033354</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，如在开标过程中出现解密失败情况，以备份文件作为替代响应文件，如供应商未按照规定时间及要求提供有效备份文件，同时政采云上响应文件解密失败的，将导致响应无效。</w:t>
      </w:r>
    </w:p>
    <w:p w14:paraId="72C2B6E5">
      <w:pPr>
        <w:keepNext w:val="0"/>
        <w:keepLines w:val="0"/>
        <w:pageBreakBefore w:val="0"/>
        <w:widowControl w:val="0"/>
        <w:kinsoku/>
        <w:wordWrap/>
        <w:overflowPunct/>
        <w:topLinePunct w:val="0"/>
        <w:autoSpaceDE/>
        <w:autoSpaceDN/>
        <w:bidi w:val="0"/>
        <w:snapToGrid w:val="0"/>
        <w:spacing w:line="450" w:lineRule="exact"/>
        <w:ind w:firstLine="482"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b/>
          <w:bCs/>
          <w:color w:val="auto"/>
          <w:sz w:val="24"/>
          <w:highlight w:val="none"/>
        </w:rPr>
        <w:t>3.</w:t>
      </w:r>
      <w:r>
        <w:rPr>
          <w:rFonts w:hint="eastAsia" w:ascii="宋体" w:hAnsi="宋体" w:eastAsia="宋体" w:cs="宋体"/>
          <w:color w:val="auto"/>
          <w:sz w:val="24"/>
          <w:szCs w:val="21"/>
          <w:highlight w:val="none"/>
        </w:rPr>
        <w:t>供应商在提交响应文件以后，在规定的响应截止时间之前，可以以重新补充修改或撤回已上传的响应文件，补充、修改的内容为响应文件的组成部分。</w:t>
      </w:r>
    </w:p>
    <w:p w14:paraId="6ABB881E">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在响应截止时间之后，供应商不得对其投标做任何修改。</w:t>
      </w:r>
    </w:p>
    <w:p w14:paraId="7C0E78EE">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从响应截止时间至供应商在响应文件中确定的响应有效期期满这段时间内，供应商不得撤回其响应文件。</w:t>
      </w:r>
    </w:p>
    <w:p w14:paraId="01F89155">
      <w:pPr>
        <w:pStyle w:val="5"/>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（六）响应无效的情形</w:t>
      </w:r>
    </w:p>
    <w:p w14:paraId="61975150">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1.有下列情形之一的，视为供应商串通投标，其投标无效：</w:t>
      </w:r>
    </w:p>
    <w:p w14:paraId="2744E0AA">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1.1不同供应商的响应文件由同一单位或者个人编制；</w:t>
      </w:r>
    </w:p>
    <w:p w14:paraId="5263CED3">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1.2不同供应商委托同一单位或者个人办理投标事宜；</w:t>
      </w:r>
    </w:p>
    <w:p w14:paraId="29BCF13E">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1.3不同供应商的响应文件载明的项目管理成员或者联系人员为同一人；</w:t>
      </w:r>
    </w:p>
    <w:p w14:paraId="5711BD02">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1.4不同供应商的响应文件异常一致或者磋商报价呈规律性差异；</w:t>
      </w:r>
    </w:p>
    <w:p w14:paraId="4E91DA39">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1.5不同供应商的响应文件相互混装。</w:t>
      </w:r>
    </w:p>
    <w:p w14:paraId="64A77B53">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firstLine="480"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实质上没有响应磋商文件要求的响应将被视为无效。供应商不得通过修正或撤消不合要求的偏离或保留从而使其响应文件成为实质上的响应，但经磋商认定属于供应商疏忽、笔误所造成的差错，应当允许其在磋商结束之前进行修改或者补正（可以是复印件、传真件等，原件必须加盖单位公章）。修改或者补正响应文件必须以书面形式进行，并应在成交结果公告之前查核原件。限期内不补正或经补正后仍不符合磋商文件要求的，应认定其响应文件无效。供应商修改、补正响应文件后，不影响磋商小组对其响应文件所作的评价和评分结果。</w:t>
      </w:r>
    </w:p>
    <w:p w14:paraId="27584877">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firstLine="482" w:firstLineChars="200"/>
        <w:jc w:val="both"/>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.未通过资格审查、商务技术文件符合性审查、技术评审、报价评审的响应文件均被视为无效，具体详见第四章评审办法第二条评审程序。</w:t>
      </w:r>
    </w:p>
    <w:p w14:paraId="050B1736">
      <w:pPr>
        <w:pStyle w:val="10"/>
        <w:keepNext w:val="0"/>
        <w:keepLines w:val="0"/>
        <w:pageBreakBefore w:val="0"/>
        <w:widowControl w:val="0"/>
        <w:kinsoku/>
        <w:wordWrap/>
        <w:overflowPunct/>
        <w:topLinePunct w:val="0"/>
        <w:autoSpaceDE/>
        <w:autoSpaceDN/>
        <w:bidi w:val="0"/>
        <w:snapToGrid w:val="0"/>
        <w:spacing w:line="450" w:lineRule="exact"/>
        <w:ind w:firstLine="472" w:firstLineChars="196"/>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.被拒绝的响应文件为无效。</w:t>
      </w:r>
    </w:p>
    <w:p w14:paraId="0E758F31">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58" w:name="_Toc5235"/>
      <w:bookmarkStart w:id="59" w:name="_Toc30756"/>
      <w:r>
        <w:rPr>
          <w:rFonts w:hint="eastAsia" w:ascii="宋体" w:hAnsi="宋体" w:eastAsia="宋体" w:cs="宋体"/>
          <w:color w:val="auto"/>
          <w:highlight w:val="none"/>
        </w:rPr>
        <w:t>五、磋商前的准备</w:t>
      </w:r>
      <w:bookmarkEnd w:id="58"/>
      <w:bookmarkEnd w:id="59"/>
    </w:p>
    <w:p w14:paraId="2F37372B">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（一）</w:t>
      </w:r>
      <w:r>
        <w:rPr>
          <w:rFonts w:hint="eastAsia" w:ascii="宋体" w:hAnsi="宋体" w:eastAsia="宋体" w:cs="宋体"/>
          <w:color w:val="auto"/>
          <w:sz w:val="24"/>
          <w:szCs w:val="24"/>
          <w:highlight w:val="none"/>
        </w:rPr>
        <w:t>采购代理机构将在规定的时间和地点启封磋商响应文件，供应商的法定代表人或其委托代理人应准时在线参加会议。</w:t>
      </w:r>
    </w:p>
    <w:p w14:paraId="16304E1F">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（二）</w:t>
      </w:r>
      <w:r>
        <w:rPr>
          <w:rFonts w:hint="eastAsia" w:ascii="宋体" w:hAnsi="宋体" w:eastAsia="宋体" w:cs="宋体"/>
          <w:b/>
          <w:color w:val="auto"/>
          <w:sz w:val="24"/>
          <w:szCs w:val="24"/>
          <w:highlight w:val="none"/>
        </w:rPr>
        <w:t>准备工作程序：</w:t>
      </w:r>
    </w:p>
    <w:p w14:paraId="78E013FD">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1.开标的准备工作由采购组织机构负责落实；</w:t>
      </w:r>
    </w:p>
    <w:p w14:paraId="490DDB73">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组织机构将按照招标文件规定的时间通过“政府采购云平台”组织开标、开启响应文件，所有供应商均应当准时在线参加。供应商如不参加开标的，视同认可磋商结果，事后不得对采购相关人员、磋商过程和磋商结果提出异议，同时供应商因未在线参加磋商而导致响应文件无法按时解密等一切后果由供应商自己承担。</w:t>
      </w:r>
    </w:p>
    <w:p w14:paraId="7DAB9F15">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60" w:name="_Toc5580"/>
      <w:bookmarkStart w:id="61" w:name="_Toc13713"/>
      <w:r>
        <w:rPr>
          <w:rFonts w:hint="eastAsia" w:ascii="宋体" w:hAnsi="宋体" w:eastAsia="宋体" w:cs="宋体"/>
          <w:color w:val="auto"/>
          <w:highlight w:val="none"/>
        </w:rPr>
        <w:t>六、磋商程序</w:t>
      </w:r>
      <w:bookmarkEnd w:id="60"/>
      <w:bookmarkEnd w:id="61"/>
    </w:p>
    <w:p w14:paraId="6ADED991">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color w:val="auto"/>
          <w:sz w:val="24"/>
          <w:szCs w:val="24"/>
          <w:highlight w:val="none"/>
        </w:rPr>
      </w:pPr>
      <w:bookmarkStart w:id="62" w:name="_Toc522609461"/>
      <w:bookmarkStart w:id="63" w:name="_Toc332724041"/>
      <w:r>
        <w:rPr>
          <w:rFonts w:hint="eastAsia" w:ascii="宋体" w:hAnsi="宋体" w:eastAsia="宋体" w:cs="宋体"/>
          <w:b/>
          <w:color w:val="auto"/>
          <w:sz w:val="24"/>
          <w:highlight w:val="none"/>
        </w:rPr>
        <w:t>（一）</w:t>
      </w:r>
      <w:r>
        <w:rPr>
          <w:rFonts w:hint="eastAsia" w:ascii="宋体" w:hAnsi="宋体" w:eastAsia="宋体" w:cs="宋体"/>
          <w:b/>
          <w:color w:val="auto"/>
          <w:sz w:val="24"/>
          <w:szCs w:val="24"/>
          <w:highlight w:val="none"/>
        </w:rPr>
        <w:t>磋商流程</w:t>
      </w:r>
    </w:p>
    <w:p w14:paraId="7D8F1FC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1.磋商小组讨论、通过磋商工作流程和磋商要点。</w:t>
      </w:r>
    </w:p>
    <w:p w14:paraId="2F5D64FB">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2.主持人宣布磋商的有关事项。</w:t>
      </w:r>
    </w:p>
    <w:p w14:paraId="0A59FDC1">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3.采购组织机构将按照招标文件规定的时间通过“政府采购云平台”组织开标、开启响应文件，所有供应商均应当准时在线参加。</w:t>
      </w:r>
    </w:p>
    <w:p w14:paraId="64D21E5E">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向各供应商发出电子加密响应文件【开始解密】通知，由供应商按磋商文件规定的时间内自行进行响应文件解密。供应商在规定的时间内无法完成已递交的“电子加密投标文件”解密的，如已按规定递交了备份响应文件的，将由采购组织机构按“政府采购云平台”操作规范将备份响应文件上传至“政府采购云平台”，上传成功后，“电子加密投标文件”自动失效。</w:t>
      </w:r>
    </w:p>
    <w:p w14:paraId="57B86AF3">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5.响应文件解密结束。</w:t>
      </w:r>
    </w:p>
    <w:p w14:paraId="43A6F2A8">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6.开启响应文件，进入资格审查。</w:t>
      </w:r>
    </w:p>
    <w:p w14:paraId="4A23FA63">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7.资格审查通过的供应商的商务技术文件进入商务及技术文件符合性审查、技术评审。</w:t>
      </w:r>
    </w:p>
    <w:p w14:paraId="5E1A4AB0">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8.商务及技术文件符合性审查、技术评审结束后。</w:t>
      </w:r>
    </w:p>
    <w:p w14:paraId="05E13ADD">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9.开启有效供应商的初次《报价文件》，由评标委员会对报价的合理性、准确性等进行审查核实。</w:t>
      </w:r>
    </w:p>
    <w:p w14:paraId="2D269FCF">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10.磋商小组通过电话等方式在线与各磋商响应方就公司情况、项目需求、服务内容、售后服务、价格构成、付款方式等要素分别进行磋商。逐家磋商</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次为</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个轮次，本磋商轮次为</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轮。</w:t>
      </w:r>
    </w:p>
    <w:p w14:paraId="226E0250">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11.磋商结束后，主持人宣布本次最终报价的最高限价，并要求各磋商响应方在规定时间内进行在线最终报价并签章。在规定时间内没有提交最终报价的磋商供应商，其磋商响应文件视为无效。</w:t>
      </w:r>
    </w:p>
    <w:p w14:paraId="283C1443">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12.在各磋商响应方最终报价过程中，同时磋商小组根据评审方法及评分标准对各磋商响应方的资信技术情况进行评审打分。工作人员按照磋商小组独立评定结果进行算术平均值计算。</w:t>
      </w:r>
    </w:p>
    <w:p w14:paraId="102B075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13.主持人宣布磋商最终报价评审的有关事项。</w:t>
      </w:r>
    </w:p>
    <w:p w14:paraId="2B70B39B">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14.工作人员根据各磋商响应方提交的按规定进入价格评审的磋商最终报价，并公开宣读最终报价。</w:t>
      </w:r>
    </w:p>
    <w:p w14:paraId="4CD6C3FC">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磋商小组对最终报价的合理性进行审核，决定是否结束磋商。若报价合理，磋商小组则根据评审方法计算出总得分并推荐成交供应商。</w:t>
      </w:r>
    </w:p>
    <w:p w14:paraId="0BBE8BA4">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15.磋商结束后，主持人公布有效磋商响应方的总得分结果和推荐的成交候选供应商。</w:t>
      </w:r>
    </w:p>
    <w:p w14:paraId="0746FD08">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5F92942C">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特别说明：如遇“政府采购云平台”电子化开标或评审程序调整的，按调整后程序执行。</w:t>
      </w:r>
    </w:p>
    <w:p w14:paraId="0A1CCA76">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（二）响应文件的澄清</w:t>
      </w:r>
      <w:bookmarkEnd w:id="62"/>
      <w:bookmarkEnd w:id="63"/>
    </w:p>
    <w:p w14:paraId="6AED5F4F">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1.在磋商期间，磋商小组有权要求供应商对其响应文件含义不明确、同类问题表述不一致或者有明显文字和计算错误的内容进行澄清。供应商应派授权代表和技术服务人员按磋商小组通知的时间、方式接受询标。</w:t>
      </w:r>
    </w:p>
    <w:p w14:paraId="293D4FE4">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2.磋商小组认为有必要，可要求供应商对某些问题作出必要的澄清、说明和纠正。供应商的澄清、说明或者补正应当采用系统在线澄清、说明或者补正形式，由其授权的代表签字，</w:t>
      </w:r>
      <w:r>
        <w:rPr>
          <w:rFonts w:hint="eastAsia" w:ascii="宋体" w:hAnsi="宋体" w:eastAsia="宋体" w:cs="宋体"/>
          <w:color w:val="auto"/>
          <w:kern w:val="0"/>
          <w:sz w:val="24"/>
          <w:highlight w:val="none"/>
        </w:rPr>
        <w:t>并不得超出响应文件的范围或者改变响应文件的实质性内容</w:t>
      </w:r>
      <w:r>
        <w:rPr>
          <w:rFonts w:hint="eastAsia" w:ascii="宋体" w:hAnsi="宋体" w:eastAsia="宋体" w:cs="宋体"/>
          <w:color w:val="auto"/>
          <w:sz w:val="24"/>
          <w:highlight w:val="none"/>
        </w:rPr>
        <w:t>。供应商的书面澄清材料作为响应文件的补充。</w:t>
      </w:r>
    </w:p>
    <w:p w14:paraId="1F491DD1">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3.供应商不按磋商小组规定的时间作书面澄清，将视为放弃该权利。</w:t>
      </w:r>
    </w:p>
    <w:p w14:paraId="711822CA">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4.并非每个供应商都将被询标。</w:t>
      </w:r>
      <w:bookmarkStart w:id="64" w:name="_Toc522609462"/>
      <w:bookmarkStart w:id="65" w:name="_Toc332724042"/>
    </w:p>
    <w:p w14:paraId="47DD179C">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（三）确定成交供应商</w:t>
      </w:r>
      <w:bookmarkEnd w:id="64"/>
      <w:bookmarkEnd w:id="65"/>
    </w:p>
    <w:p w14:paraId="6660B42E">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1.磋商小组将对通过资格性审查和符合性审查的响应文件进行评价和比较。</w:t>
      </w:r>
    </w:p>
    <w:p w14:paraId="6B1E1484">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2.磋商小组按磋商文件公布的评定成交标准对响应文件进行评审</w:t>
      </w:r>
      <w:bookmarkStart w:id="66" w:name="_Toc522609463"/>
      <w:bookmarkStart w:id="67" w:name="_Toc332724043"/>
      <w:r>
        <w:rPr>
          <w:rFonts w:hint="eastAsia" w:ascii="宋体" w:hAnsi="宋体" w:eastAsia="宋体" w:cs="宋体"/>
          <w:color w:val="auto"/>
          <w:sz w:val="24"/>
          <w:highlight w:val="none"/>
        </w:rPr>
        <w:t>，确定成交候选人。最低报价等任何单项因素的最优不能作为成交的保证。</w:t>
      </w:r>
    </w:p>
    <w:p w14:paraId="6F1B96B6">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（四）磋商过程保密</w:t>
      </w:r>
      <w:bookmarkEnd w:id="66"/>
      <w:bookmarkEnd w:id="67"/>
    </w:p>
    <w:p w14:paraId="077A5E32">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1.在宣布成交结果之前，凡属于审查、澄清、评价、比较磋商文件等有关信息，相关当事人均不得泄露给任何磋商供应商或与磋商工作无关的人员。</w:t>
      </w:r>
    </w:p>
    <w:p w14:paraId="69D604CF">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2.供应商不得探听上述信息，不得以任何行为影响磋商过程，否则其响应文件将被作为无效响应文件。</w:t>
      </w:r>
    </w:p>
    <w:p w14:paraId="7EF38AE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3.在磋商期间，招标代理机构将有专门人员与供应商进行联络。</w:t>
      </w:r>
    </w:p>
    <w:p w14:paraId="3EDEB67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4.招标代理机构和磋商小组不向未成交的供应商解释未成交原因，也不对磋商过程中的细节问题进行公布。</w:t>
      </w:r>
      <w:bookmarkStart w:id="68" w:name="_Toc522609464"/>
      <w:bookmarkStart w:id="69" w:name="_Toc332724044"/>
    </w:p>
    <w:p w14:paraId="12BB0616">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（五）供应商不足三家的处理</w:t>
      </w:r>
      <w:bookmarkEnd w:id="68"/>
      <w:bookmarkEnd w:id="69"/>
    </w:p>
    <w:p w14:paraId="1C63DED6">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至磋商报价截止时间，各标项供应商不足3家以及在磋商期间出现符合专业条件的供应商或者对采购文件做出实质性响应的供应商不足3家的，按照《财政部关于政府采购竞争性磋商采购方式管理暂行办法有关问题的补充通知》（财库【2015】124号）办理。</w:t>
      </w:r>
    </w:p>
    <w:p w14:paraId="2C25EA32">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70" w:name="_Toc2461"/>
      <w:r>
        <w:rPr>
          <w:rFonts w:hint="eastAsia" w:ascii="宋体" w:hAnsi="宋体" w:eastAsia="宋体" w:cs="宋体"/>
          <w:color w:val="auto"/>
          <w:highlight w:val="none"/>
        </w:rPr>
        <w:t>七、评审</w:t>
      </w:r>
      <w:bookmarkEnd w:id="70"/>
    </w:p>
    <w:p w14:paraId="72B4D141">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（一）组建磋商小组</w:t>
      </w:r>
    </w:p>
    <w:p w14:paraId="3FD59598">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本项目磋商小组由政府采购评审专家2人、采购人代表1人，共3人组成。</w:t>
      </w:r>
    </w:p>
    <w:p w14:paraId="76F417A8">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（二）磋商的方式</w:t>
      </w:r>
    </w:p>
    <w:p w14:paraId="5C10F16B">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本项目采用</w:t>
      </w:r>
      <w:r>
        <w:rPr>
          <w:rFonts w:hint="eastAsia" w:ascii="宋体" w:hAnsi="宋体" w:eastAsia="宋体" w:cs="宋体"/>
          <w:color w:val="auto"/>
          <w:kern w:val="0"/>
          <w:sz w:val="24"/>
          <w:highlight w:val="none"/>
          <w:lang w:val="en-US" w:eastAsia="zh-CN"/>
        </w:rPr>
        <w:t>不</w:t>
      </w:r>
      <w:r>
        <w:rPr>
          <w:rFonts w:hint="eastAsia" w:ascii="宋体" w:hAnsi="宋体" w:eastAsia="宋体" w:cs="宋体"/>
          <w:color w:val="auto"/>
          <w:kern w:val="0"/>
          <w:sz w:val="24"/>
          <w:highlight w:val="none"/>
        </w:rPr>
        <w:t>公开方式</w:t>
      </w:r>
      <w:r>
        <w:rPr>
          <w:rFonts w:hint="eastAsia" w:ascii="宋体" w:hAnsi="宋体" w:eastAsia="宋体" w:cs="宋体"/>
          <w:b/>
          <w:bCs/>
          <w:color w:val="auto"/>
          <w:kern w:val="0"/>
          <w:sz w:val="24"/>
          <w:highlight w:val="none"/>
        </w:rPr>
        <w:t>磋商</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评标</w:t>
      </w:r>
      <w:r>
        <w:rPr>
          <w:rFonts w:hint="eastAsia" w:ascii="宋体" w:hAnsi="宋体" w:eastAsia="宋体" w:cs="宋体"/>
          <w:color w:val="auto"/>
          <w:kern w:val="0"/>
          <w:sz w:val="24"/>
          <w:highlight w:val="none"/>
        </w:rPr>
        <w:t>的依据为竞争性磋商文件和</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响应文件。</w:t>
      </w:r>
    </w:p>
    <w:p w14:paraId="060AD482">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（三）磋商程序</w:t>
      </w:r>
    </w:p>
    <w:p w14:paraId="5085EC62">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1.形式审查</w:t>
      </w:r>
    </w:p>
    <w:p w14:paraId="2B9945F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磋商小组对磋商供应商的资格和响应文件的完整性、合法性等进行审查。</w:t>
      </w:r>
    </w:p>
    <w:p w14:paraId="61AC16D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2.实质审查与比较</w:t>
      </w:r>
    </w:p>
    <w:p w14:paraId="30A8271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2.1磋商小组审查响应文件的实质性内容是否符合磋商文件的实质性要求。</w:t>
      </w:r>
    </w:p>
    <w:p w14:paraId="4A1ACA97">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2.2磋商小组将根据磋商供应商的响应文件进行审查、核对,如有疑问,将对磋商供应商进行询标,磋商供应商要向磋商小组澄清有关问题,并最终以书面形式进行答复。</w:t>
      </w:r>
    </w:p>
    <w:p w14:paraId="28789EB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询标时，磋商供应商代表未到场或者拒绝澄清或者澄清的内容改变了响应文件的实质性内容的，磋商小组有权对该响应文件作出不利于磋商供应商的评判。</w:t>
      </w:r>
    </w:p>
    <w:p w14:paraId="08EDBCA5">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2.3各磋商供应商的商务及技术分按照磋商小组成员的独立评分汇总后的算术平均分计算。</w:t>
      </w:r>
    </w:p>
    <w:p w14:paraId="2B5B4EB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2.4代理公司工作人员协助磋商小组根据本项目的评分标准操作政府采购业务系统，由系统计算各磋商供应商的商务报价得分。</w:t>
      </w:r>
    </w:p>
    <w:p w14:paraId="0C8955D7">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2.5磋商小组完成评审后,评委对各部分得分汇总,计算出本项目最终得分、性价比、评标价等。磋商小组按评审原则推荐成交候选人同时起草评审报告。</w:t>
      </w:r>
    </w:p>
    <w:p w14:paraId="1655F3EC">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（四）澄清问题的形式</w:t>
      </w:r>
    </w:p>
    <w:p w14:paraId="456DF5BD">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对磋商响应文件中含义不明确、同类问题表述不一致或者有明显文字和计算错误的内容，评标委员会可要求供应商作出必要的澄清、说明或者纠正。</w:t>
      </w:r>
    </w:p>
    <w:p w14:paraId="0070E4C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评标委员会可以在“政采云”平台在线询标要求供应商对同一份磋商响应文件含义不明确或同类问题表述不一致的内容（招标文件其它地方有规定处理方法的除外）作必要的澄清或说明。供应商应</w:t>
      </w:r>
      <w:r>
        <w:rPr>
          <w:rFonts w:hint="eastAsia" w:ascii="宋体" w:hAnsi="宋体" w:eastAsia="宋体" w:cs="宋体"/>
          <w:color w:val="auto"/>
          <w:kern w:val="0"/>
          <w:sz w:val="24"/>
          <w:highlight w:val="none"/>
          <w:lang w:val="en-US" w:eastAsia="zh-CN"/>
        </w:rPr>
        <w:t>在</w:t>
      </w:r>
      <w:r>
        <w:rPr>
          <w:rFonts w:hint="eastAsia" w:ascii="宋体" w:hAnsi="宋体" w:eastAsia="宋体" w:cs="宋体"/>
          <w:color w:val="auto"/>
          <w:kern w:val="0"/>
          <w:sz w:val="24"/>
          <w:highlight w:val="none"/>
        </w:rPr>
        <w:t>规定时间内在线进行澄清或说明，但不得超出磋商响应文件的范围或改变磋商响应文件的实质性内容。凡属于评标委员会在评标中发现的计算错误并进行核实的修改不在此列。</w:t>
      </w:r>
    </w:p>
    <w:p w14:paraId="79F7B9A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如果供应商代表拒绝或未按评标委员会要求</w:t>
      </w:r>
      <w:r>
        <w:rPr>
          <w:rFonts w:hint="eastAsia" w:ascii="宋体" w:hAnsi="宋体" w:eastAsia="宋体" w:cs="宋体"/>
          <w:color w:val="auto"/>
          <w:kern w:val="0"/>
          <w:sz w:val="24"/>
          <w:highlight w:val="none"/>
          <w:lang w:val="en-US" w:eastAsia="zh-CN"/>
        </w:rPr>
        <w:t>的规定时间内在</w:t>
      </w:r>
      <w:r>
        <w:rPr>
          <w:rFonts w:hint="eastAsia" w:ascii="宋体" w:hAnsi="宋体" w:eastAsia="宋体" w:cs="宋体"/>
          <w:color w:val="auto"/>
          <w:kern w:val="0"/>
          <w:sz w:val="24"/>
          <w:highlight w:val="none"/>
        </w:rPr>
        <w:t>“政采云”平台作出在线回复的，评标委员会可以对其作出无效标处理。</w:t>
      </w:r>
    </w:p>
    <w:p w14:paraId="0A1B827C">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val="en-US" w:eastAsia="zh-CN"/>
        </w:rPr>
        <w:t>五</w:t>
      </w:r>
      <w:r>
        <w:rPr>
          <w:rFonts w:hint="eastAsia" w:ascii="宋体" w:hAnsi="宋体" w:eastAsia="宋体" w:cs="宋体"/>
          <w:b/>
          <w:bCs/>
          <w:color w:val="auto"/>
          <w:kern w:val="0"/>
          <w:sz w:val="24"/>
          <w:highlight w:val="none"/>
        </w:rPr>
        <w:t>）错误修正</w:t>
      </w:r>
    </w:p>
    <w:p w14:paraId="6DB48681">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响应文件如果出现计算或表达上的错误，修正错误的原则如下：</w:t>
      </w:r>
    </w:p>
    <w:p w14:paraId="04E6A08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1.投标文件中的大写金额与小写金额不一致的，以大写金额为准；</w:t>
      </w:r>
    </w:p>
    <w:p w14:paraId="5331287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2.总价金额与依据单价计算出的结果不一致的，以单价金额为准修正总价，但单价金额小数点有明显错误的除外；</w:t>
      </w:r>
    </w:p>
    <w:p w14:paraId="771C17A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3.当单价与数量相乘不等于合价时，以单价计算为准，如果单价有明显的小数点位置差错，应以标出的合价为准，同时对单价予以修正；</w:t>
      </w:r>
    </w:p>
    <w:p w14:paraId="52795A3A">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4.当各子目的合价累积不等于总价时，应以各子目合价累积计数为准，修正总价。</w:t>
      </w:r>
    </w:p>
    <w:p w14:paraId="650A1BE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5.在招标人给定的工程量清单中漏报了某个工程子目的单价、合价或总额价，则漏报的工程子目单价、合价和总额价或单价、合价和总额价中减少的报价内容视为已含入其他工程子目的单价、合价和总额价之中。</w:t>
      </w:r>
    </w:p>
    <w:p w14:paraId="65C7D75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6.在招标人给定的工程量清单中多报了某个工程子目的单价、合价或总额价，则从投标报价中扣除多报的工程子目报价或工程子目报价中增加了报价范围的部分报价。</w:t>
      </w:r>
    </w:p>
    <w:p w14:paraId="54A6A88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7.修正后的最终投标报价若超过</w:t>
      </w:r>
      <w:r>
        <w:rPr>
          <w:rFonts w:hint="eastAsia" w:ascii="宋体" w:hAnsi="宋体" w:eastAsia="宋体" w:cs="宋体"/>
          <w:color w:val="auto"/>
          <w:kern w:val="0"/>
          <w:sz w:val="24"/>
          <w:highlight w:val="none"/>
          <w:lang w:val="en-US" w:eastAsia="zh-CN"/>
        </w:rPr>
        <w:t>最高投标限价，</w:t>
      </w:r>
      <w:r>
        <w:rPr>
          <w:rFonts w:hint="eastAsia" w:ascii="宋体" w:hAnsi="宋体" w:eastAsia="宋体" w:cs="宋体"/>
          <w:color w:val="auto"/>
          <w:kern w:val="0"/>
          <w:sz w:val="24"/>
          <w:highlight w:val="none"/>
        </w:rPr>
        <w:t>投标人的投标文件作废标处理。</w:t>
      </w:r>
    </w:p>
    <w:p w14:paraId="10CDCC2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上述修正错误的原则及方法调整或修正响应文件的报价，评审小组应当通过电子交易平台要求供应商对修正后的报价予以确认并对供应商产生约束力，如果磋商供应商不接受修正后的报价或在规定的时间内不予确认的，则其响应将作为无效响应处理。</w:t>
      </w:r>
    </w:p>
    <w:p w14:paraId="7C7A2433">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val="en-US" w:eastAsia="zh-CN"/>
        </w:rPr>
        <w:t>六</w:t>
      </w:r>
      <w:r>
        <w:rPr>
          <w:rFonts w:hint="eastAsia" w:ascii="宋体" w:hAnsi="宋体" w:eastAsia="宋体" w:cs="宋体"/>
          <w:b/>
          <w:bCs/>
          <w:color w:val="auto"/>
          <w:kern w:val="0"/>
          <w:sz w:val="24"/>
          <w:highlight w:val="none"/>
        </w:rPr>
        <w:t>）评审原则和评审办法</w:t>
      </w:r>
    </w:p>
    <w:p w14:paraId="7C293BC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评审原则。磋商小组必须公平、公正、客观，不带任何倾向性和启发性；不得向外界透露任何与评审有关的内容；任何单位和个人不得干扰、影响评审的正常进行；磋商小组及有关工作人员不得私下与磋商供应商接触。</w:t>
      </w:r>
    </w:p>
    <w:p w14:paraId="720B97E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2.评审办法。本项目评审办法是综合评分法，具体评审内容及评分标准等详见《第四章：评审办法及评分标准》。</w:t>
      </w:r>
    </w:p>
    <w:p w14:paraId="5C96C446">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val="en-US" w:eastAsia="zh-CN"/>
        </w:rPr>
        <w:t>七</w:t>
      </w:r>
      <w:r>
        <w:rPr>
          <w:rFonts w:hint="eastAsia" w:ascii="宋体" w:hAnsi="宋体" w:eastAsia="宋体" w:cs="宋体"/>
          <w:b/>
          <w:bCs/>
          <w:color w:val="auto"/>
          <w:kern w:val="0"/>
          <w:sz w:val="24"/>
          <w:highlight w:val="none"/>
        </w:rPr>
        <w:t>）磋商过程的监控</w:t>
      </w:r>
    </w:p>
    <w:p w14:paraId="2313F2D6">
      <w:pPr>
        <w:bidi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本项目磋商过程实行全程录音、录像监控，并由相关监督管理部门进行现场监督。供</w:t>
      </w:r>
      <w:r>
        <w:rPr>
          <w:rFonts w:hint="eastAsia" w:ascii="宋体" w:hAnsi="宋体" w:eastAsia="宋体" w:cs="宋体"/>
          <w:color w:val="auto"/>
          <w:kern w:val="0"/>
          <w:sz w:val="24"/>
          <w:szCs w:val="24"/>
          <w:highlight w:val="none"/>
        </w:rPr>
        <w:t>应商在评审过程中所进行的试图影响评审结果的不公正活动，可能导致其响应被拒绝。</w:t>
      </w:r>
    </w:p>
    <w:p w14:paraId="2D872FA6">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71" w:name="_Toc27113"/>
      <w:bookmarkStart w:id="72" w:name="_Toc15789"/>
      <w:r>
        <w:rPr>
          <w:rFonts w:hint="eastAsia" w:ascii="宋体" w:hAnsi="宋体" w:eastAsia="宋体" w:cs="宋体"/>
          <w:color w:val="auto"/>
          <w:highlight w:val="none"/>
        </w:rPr>
        <w:t>八、磋商结果的确定</w:t>
      </w:r>
      <w:bookmarkEnd w:id="71"/>
      <w:bookmarkEnd w:id="72"/>
    </w:p>
    <w:p w14:paraId="69A818D0">
      <w:pPr>
        <w:keepNext w:val="0"/>
        <w:keepLines w:val="0"/>
        <w:pageBreakBefore w:val="0"/>
        <w:widowControl w:val="0"/>
        <w:kinsoku/>
        <w:wordWrap/>
        <w:overflowPunct/>
        <w:topLinePunct w:val="0"/>
        <w:autoSpaceDE/>
        <w:autoSpaceDN/>
        <w:bidi w:val="0"/>
        <w:adjustRightInd/>
        <w:spacing w:line="45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（一）磋商结果确定</w:t>
      </w:r>
    </w:p>
    <w:p w14:paraId="59969981">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1.采购单位事先授权磋商小组直接确定成交供应商，磋商小组可直接确定成交供应商。</w:t>
      </w:r>
    </w:p>
    <w:p w14:paraId="088D1DEB">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2.没有事先授权的，采购代理机构在磋商结束后2个工作日内将磋商结果交采购人确认。采购人应在收到后5个工作日内对磋商结果进行确认。</w:t>
      </w:r>
    </w:p>
    <w:p w14:paraId="65CC0FCB">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（二）成交公告：成交公告期限为1个工作日。</w:t>
      </w:r>
    </w:p>
    <w:p w14:paraId="0524B300">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三</w:t>
      </w:r>
      <w:r>
        <w:rPr>
          <w:rFonts w:hint="eastAsia" w:ascii="宋体" w:hAnsi="宋体" w:eastAsia="宋体" w:cs="宋体"/>
          <w:b w:val="0"/>
          <w:bCs w:val="0"/>
          <w:color w:val="auto"/>
          <w:kern w:val="0"/>
          <w:sz w:val="24"/>
          <w:szCs w:val="24"/>
          <w:highlight w:val="none"/>
        </w:rPr>
        <w:t>）在公告成交结果</w:t>
      </w:r>
      <w:r>
        <w:rPr>
          <w:rFonts w:hint="eastAsia" w:ascii="宋体" w:hAnsi="宋体" w:eastAsia="宋体" w:cs="宋体"/>
          <w:color w:val="auto"/>
          <w:kern w:val="0"/>
          <w:sz w:val="24"/>
          <w:szCs w:val="24"/>
          <w:highlight w:val="none"/>
        </w:rPr>
        <w:t>的同时，代理机构向成交供应商发出成交通知书。</w:t>
      </w:r>
    </w:p>
    <w:p w14:paraId="04F13CAF">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p>
    <w:p w14:paraId="5DB3DE82">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73" w:name="_Toc20813"/>
      <w:bookmarkStart w:id="74" w:name="_Toc2403"/>
      <w:r>
        <w:rPr>
          <w:rFonts w:hint="eastAsia" w:ascii="宋体" w:hAnsi="宋体" w:eastAsia="宋体" w:cs="宋体"/>
          <w:color w:val="auto"/>
          <w:highlight w:val="none"/>
        </w:rPr>
        <w:t>九、合同授予</w:t>
      </w:r>
      <w:bookmarkEnd w:id="73"/>
      <w:bookmarkEnd w:id="74"/>
    </w:p>
    <w:p w14:paraId="09B3AA2F">
      <w:pPr>
        <w:pStyle w:val="12"/>
        <w:keepNext w:val="0"/>
        <w:keepLines w:val="0"/>
        <w:pageBreakBefore w:val="0"/>
        <w:widowControl w:val="0"/>
        <w:kinsoku/>
        <w:wordWrap/>
        <w:overflowPunct/>
        <w:topLinePunct w:val="0"/>
        <w:autoSpaceDE/>
        <w:autoSpaceDN/>
        <w:bidi w:val="0"/>
        <w:adjustRightInd/>
        <w:snapToGrid w:val="0"/>
        <w:spacing w:beforeLines="0" w:afterLines="0" w:line="45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（一）签订合同</w:t>
      </w:r>
    </w:p>
    <w:p w14:paraId="371DBF4F">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1．成交供应商应自接到成交通知书后</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天内与采购人签订合同。同时，采购代理机构对合同内容进行审查，如发现与采购结果和磋商响应承诺内容不一致的，应予以纠正。</w:t>
      </w:r>
    </w:p>
    <w:p w14:paraId="17011BC2">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2．成交供应商拖延、拒签合同的，将被取消成交资格。</w:t>
      </w:r>
    </w:p>
    <w:p w14:paraId="00C6C1AC">
      <w:pPr>
        <w:pStyle w:val="12"/>
        <w:keepNext w:val="0"/>
        <w:keepLines w:val="0"/>
        <w:pageBreakBefore w:val="0"/>
        <w:widowControl w:val="0"/>
        <w:kinsoku/>
        <w:wordWrap/>
        <w:overflowPunct/>
        <w:topLinePunct w:val="0"/>
        <w:autoSpaceDE/>
        <w:autoSpaceDN/>
        <w:bidi w:val="0"/>
        <w:adjustRightInd/>
        <w:snapToGrid w:val="0"/>
        <w:spacing w:beforeLines="0" w:afterLines="0" w:line="45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（二）履约保证金</w:t>
      </w:r>
    </w:p>
    <w:p w14:paraId="45E5B022">
      <w:pPr>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项目实施前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向采购人交纳合同金额的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%作为履约保证金，履约保证金在项目</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val="en-US" w:eastAsia="zh-CN"/>
        </w:rPr>
        <w:t>10日</w:t>
      </w:r>
      <w:r>
        <w:rPr>
          <w:rFonts w:hint="eastAsia" w:ascii="宋体" w:hAnsi="宋体" w:eastAsia="宋体" w:cs="宋体"/>
          <w:color w:val="auto"/>
          <w:sz w:val="24"/>
          <w:szCs w:val="24"/>
          <w:highlight w:val="none"/>
        </w:rPr>
        <w:t>内无息退还。供应商应当</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kern w:val="0"/>
          <w:sz w:val="24"/>
          <w:highlight w:val="none"/>
        </w:rPr>
        <w:t>汇款/转账</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银行保函</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保险机构保证保险保单</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融资担保公司保函等非现金形式</w:t>
      </w:r>
      <w:r>
        <w:rPr>
          <w:rFonts w:hint="eastAsia" w:ascii="宋体" w:hAnsi="宋体" w:eastAsia="宋体" w:cs="宋体"/>
          <w:color w:val="auto"/>
          <w:sz w:val="24"/>
          <w:szCs w:val="24"/>
          <w:highlight w:val="none"/>
        </w:rPr>
        <w:t>提交。</w:t>
      </w:r>
    </w:p>
    <w:p w14:paraId="256309CE">
      <w:pPr>
        <w:ind w:firstLine="480" w:firstLineChars="200"/>
        <w:rPr>
          <w:rFonts w:hint="eastAsia" w:ascii="宋体" w:hAnsi="宋体" w:eastAsia="宋体" w:cs="宋体"/>
          <w:color w:val="auto"/>
          <w:highlight w:val="none"/>
          <w:lang w:eastAsia="zh-CN"/>
        </w:rPr>
      </w:pPr>
      <w:r>
        <w:rPr>
          <w:rFonts w:hint="eastAsia" w:ascii="宋体" w:hAnsi="宋体" w:cs="宋体"/>
          <w:color w:val="auto"/>
          <w:sz w:val="24"/>
          <w:szCs w:val="24"/>
          <w:highlight w:val="none"/>
        </w:rPr>
        <w:t>2．签订合同后，如中标人不按双方签订合同约定履约，则没收其全部履约保证金，履约保证金不足以赔偿损失的，按实际损失赔偿。</w:t>
      </w:r>
      <w:r>
        <w:rPr>
          <w:rFonts w:hint="eastAsia" w:ascii="宋体" w:hAnsi="宋体" w:eastAsia="宋体" w:cs="宋体"/>
          <w:color w:val="auto"/>
          <w:highlight w:val="none"/>
          <w:lang w:eastAsia="zh-CN"/>
        </w:rPr>
        <w:br w:type="page"/>
      </w:r>
    </w:p>
    <w:p w14:paraId="6102A0A3">
      <w:pPr>
        <w:pStyle w:val="23"/>
        <w:rPr>
          <w:rFonts w:hint="eastAsia" w:ascii="宋体" w:hAnsi="宋体" w:eastAsia="宋体" w:cs="宋体"/>
          <w:color w:val="auto"/>
          <w:sz w:val="36"/>
          <w:szCs w:val="36"/>
          <w:highlight w:val="none"/>
        </w:rPr>
      </w:pPr>
      <w:bookmarkStart w:id="75" w:name="_Toc20224"/>
      <w:bookmarkStart w:id="76" w:name="_Toc1454"/>
      <w:r>
        <w:rPr>
          <w:rFonts w:hint="eastAsia" w:ascii="宋体" w:hAnsi="宋体" w:eastAsia="宋体" w:cs="宋体"/>
          <w:color w:val="auto"/>
          <w:sz w:val="36"/>
          <w:szCs w:val="36"/>
          <w:highlight w:val="none"/>
        </w:rPr>
        <w:t>第</w:t>
      </w:r>
      <w:r>
        <w:rPr>
          <w:rFonts w:hint="eastAsia" w:ascii="宋体" w:hAnsi="宋体" w:eastAsia="宋体" w:cs="宋体"/>
          <w:color w:val="auto"/>
          <w:sz w:val="36"/>
          <w:szCs w:val="36"/>
          <w:highlight w:val="none"/>
          <w:lang w:val="en-US" w:eastAsia="zh-CN"/>
        </w:rPr>
        <w:t>四</w:t>
      </w:r>
      <w:r>
        <w:rPr>
          <w:rFonts w:hint="eastAsia" w:ascii="宋体" w:hAnsi="宋体" w:eastAsia="宋体" w:cs="宋体"/>
          <w:color w:val="auto"/>
          <w:sz w:val="36"/>
          <w:szCs w:val="36"/>
          <w:highlight w:val="none"/>
        </w:rPr>
        <w:t>章  评审办法</w:t>
      </w:r>
      <w:bookmarkEnd w:id="75"/>
      <w:bookmarkEnd w:id="76"/>
    </w:p>
    <w:p w14:paraId="2DCA4E5F">
      <w:pPr>
        <w:pStyle w:val="12"/>
        <w:spacing w:beforeLines="0" w:afterLines="0" w:line="300" w:lineRule="auto"/>
        <w:ind w:firstLine="148" w:firstLineChars="49"/>
        <w:jc w:val="center"/>
        <w:rPr>
          <w:rFonts w:hint="eastAsia" w:ascii="宋体" w:hAnsi="宋体" w:eastAsia="宋体" w:cs="宋体"/>
          <w:b/>
          <w:bCs/>
          <w:color w:val="auto"/>
          <w:sz w:val="30"/>
          <w:szCs w:val="30"/>
          <w:highlight w:val="none"/>
        </w:rPr>
      </w:pPr>
      <w:r>
        <w:rPr>
          <w:rFonts w:hint="eastAsia" w:hAnsi="宋体" w:cs="宋体"/>
          <w:b/>
          <w:bCs/>
          <w:color w:val="auto"/>
          <w:sz w:val="30"/>
          <w:szCs w:val="30"/>
          <w:highlight w:val="none"/>
          <w:lang w:val="en-US" w:eastAsia="zh-CN"/>
        </w:rPr>
        <w:t>嘉善县实验小学2025年度校舍常规维修</w:t>
      </w:r>
      <w:r>
        <w:rPr>
          <w:rFonts w:hint="eastAsia" w:ascii="宋体" w:hAnsi="宋体" w:eastAsia="宋体" w:cs="宋体"/>
          <w:b/>
          <w:bCs/>
          <w:color w:val="auto"/>
          <w:sz w:val="30"/>
          <w:szCs w:val="30"/>
          <w:highlight w:val="none"/>
        </w:rPr>
        <w:t>评审办法</w:t>
      </w:r>
    </w:p>
    <w:p w14:paraId="47C782CC">
      <w:pPr>
        <w:keepNext w:val="0"/>
        <w:keepLines w:val="0"/>
        <w:pageBreakBefore w:val="0"/>
        <w:widowControl w:val="0"/>
        <w:kinsoku/>
        <w:wordWrap/>
        <w:overflowPunct/>
        <w:topLinePunct w:val="0"/>
        <w:autoSpaceDE/>
        <w:autoSpaceDN/>
        <w:bidi w:val="0"/>
        <w:adjustRightInd/>
        <w:spacing w:line="400" w:lineRule="exact"/>
        <w:ind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highlight w:val="none"/>
        </w:rPr>
        <w:t>为公正、公平、科学地选择成交供应商，根据《中华人民共和国政府采购法》、《中华人民共和国政府采购法实施条例》、《政府采购竞争性磋商采购方式管理暂行办法》、《浙江省政府采购活动现场组织管理办法》等规定等有关法律法规的规定，并结合本项目的实际，制定本办法。</w:t>
      </w:r>
      <w:r>
        <w:rPr>
          <w:rFonts w:hint="eastAsia" w:ascii="宋体" w:hAnsi="宋体" w:eastAsia="宋体" w:cs="宋体"/>
          <w:color w:val="auto"/>
          <w:sz w:val="24"/>
          <w:szCs w:val="24"/>
          <w:highlight w:val="none"/>
        </w:rPr>
        <w:t>本办法适用于</w:t>
      </w:r>
      <w:r>
        <w:rPr>
          <w:rFonts w:hint="eastAsia" w:ascii="宋体" w:hAnsi="宋体" w:cs="宋体"/>
          <w:color w:val="auto"/>
          <w:sz w:val="24"/>
          <w:szCs w:val="24"/>
          <w:highlight w:val="none"/>
          <w:lang w:val="en-US" w:eastAsia="zh-CN"/>
        </w:rPr>
        <w:t>嘉善县实验小学2025年度校舍常规维修</w:t>
      </w:r>
      <w:r>
        <w:rPr>
          <w:rFonts w:hint="eastAsia" w:ascii="宋体" w:hAnsi="宋体" w:eastAsia="宋体" w:cs="宋体"/>
          <w:color w:val="auto"/>
          <w:sz w:val="24"/>
          <w:szCs w:val="24"/>
          <w:highlight w:val="none"/>
        </w:rPr>
        <w:t>项目。</w:t>
      </w:r>
    </w:p>
    <w:p w14:paraId="07B774B5">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一、总则</w:t>
      </w:r>
    </w:p>
    <w:p w14:paraId="1C7361E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本次评审采用综合评分法，总分为100分，其中价格分</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rPr>
        <w:t>商务技术</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合格供应商的评审得分为各项目汇总得分，成交候选供应商资格按评审总分由高到低顺序排列，评审总分相同的，按照最后报价由低到高的顺序推荐，评审总分且最后报价相同的，按照技术指标优劣顺序推荐。综合得分排名第一的供应商为第一成交候选供应商，综合得分排名第二的供应商为第二成交候选供应商，其他供应商的成交候选资格依此类推</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评分过程中采用四舍五入法，并保留小数2位。</w:t>
      </w:r>
    </w:p>
    <w:p w14:paraId="764E33F6">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二、评审程序</w:t>
      </w:r>
    </w:p>
    <w:p w14:paraId="7E19E209">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（一）对供应商的资格进行审查。资格证明材料不全的，或者不符合磋商文件标明的资格要求的，响应文件将被视为无效。</w:t>
      </w:r>
    </w:p>
    <w:p w14:paraId="63F2B817">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（二）磋商小组对</w:t>
      </w:r>
      <w:r>
        <w:rPr>
          <w:rFonts w:hint="eastAsia" w:ascii="宋体" w:hAnsi="宋体" w:cs="宋体"/>
          <w:b/>
          <w:bCs/>
          <w:color w:val="auto"/>
          <w:sz w:val="24"/>
          <w:szCs w:val="24"/>
          <w:highlight w:val="none"/>
        </w:rPr>
        <w:t>商务</w:t>
      </w:r>
      <w:r>
        <w:rPr>
          <w:rFonts w:hint="eastAsia" w:ascii="宋体" w:hAnsi="宋体" w:cs="宋体"/>
          <w:b/>
          <w:color w:val="auto"/>
          <w:sz w:val="24"/>
          <w:highlight w:val="none"/>
        </w:rPr>
        <w:t>技术文件进行符合性审查、技术评审，对报价文件进行报价评审。</w:t>
      </w:r>
    </w:p>
    <w:p w14:paraId="642B2B8A">
      <w:pPr>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1.在商务技术文件符合性审查时，如发现下列情形之一的，响应文件将被视为无效：</w:t>
      </w:r>
    </w:p>
    <w:p w14:paraId="375F8B3C">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（1）电子投标文件未按规定要求提供电子签章的；</w:t>
      </w:r>
    </w:p>
    <w:p w14:paraId="0153B3C5">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在商务及技术文件中出现报价的；</w:t>
      </w:r>
    </w:p>
    <w:p w14:paraId="331CDD9C">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bCs/>
          <w:color w:val="auto"/>
          <w:kern w:val="0"/>
          <w:sz w:val="24"/>
          <w:highlight w:val="none"/>
        </w:rPr>
      </w:pPr>
      <w:r>
        <w:rPr>
          <w:rFonts w:hint="eastAsia" w:ascii="宋体" w:hAnsi="宋体" w:cs="宋体"/>
          <w:color w:val="auto"/>
          <w:sz w:val="24"/>
          <w:highlight w:val="none"/>
        </w:rPr>
        <w:t>（3）商务及技术文件法定代表人或授权代表</w:t>
      </w:r>
      <w:r>
        <w:rPr>
          <w:rFonts w:hint="eastAsia" w:ascii="宋体" w:hAnsi="宋体" w:cs="宋体"/>
          <w:b w:val="0"/>
          <w:bCs w:val="0"/>
          <w:color w:val="auto"/>
          <w:sz w:val="24"/>
          <w:highlight w:val="none"/>
          <w:lang w:val="en-US" w:eastAsia="zh-CN"/>
        </w:rPr>
        <w:t>未按规定</w:t>
      </w:r>
      <w:r>
        <w:rPr>
          <w:rFonts w:hint="eastAsia" w:ascii="宋体" w:hAnsi="宋体" w:cs="宋体"/>
          <w:color w:val="auto"/>
          <w:sz w:val="24"/>
          <w:highlight w:val="none"/>
          <w:lang w:val="en-US" w:eastAsia="zh-CN"/>
        </w:rPr>
        <w:t>进行</w:t>
      </w:r>
      <w:r>
        <w:rPr>
          <w:rFonts w:hint="eastAsia" w:ascii="宋体" w:hAnsi="宋体" w:cs="宋体"/>
          <w:color w:val="auto"/>
          <w:sz w:val="24"/>
          <w:highlight w:val="none"/>
        </w:rPr>
        <w:t>签字（或盖章），或未</w:t>
      </w:r>
      <w:r>
        <w:rPr>
          <w:rFonts w:hint="eastAsia" w:ascii="宋体" w:hAnsi="宋体" w:cs="宋体"/>
          <w:bCs/>
          <w:color w:val="auto"/>
          <w:kern w:val="0"/>
          <w:sz w:val="24"/>
          <w:highlight w:val="none"/>
        </w:rPr>
        <w:t>提供法定代表人授权委托书、磋商声明书或者填写项目不齐全的；</w:t>
      </w:r>
    </w:p>
    <w:p w14:paraId="6A251FBF">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（4）供应商代表未能出具身份证明或与法定代表人授权委托人身份不符的；</w:t>
      </w:r>
    </w:p>
    <w:p w14:paraId="69A5469F">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kern w:val="2"/>
          <w:szCs w:val="28"/>
          <w:highlight w:val="none"/>
        </w:rPr>
      </w:pPr>
      <w:r>
        <w:rPr>
          <w:rFonts w:hint="eastAsia" w:ascii="宋体" w:hAnsi="宋体" w:cs="宋体"/>
          <w:color w:val="auto"/>
          <w:kern w:val="2"/>
          <w:szCs w:val="28"/>
          <w:highlight w:val="none"/>
        </w:rPr>
        <w:t>（5）</w:t>
      </w:r>
      <w:r>
        <w:rPr>
          <w:rFonts w:hint="eastAsia" w:ascii="宋体" w:hAnsi="宋体" w:cs="宋体"/>
          <w:bCs/>
          <w:color w:val="auto"/>
          <w:highlight w:val="none"/>
        </w:rPr>
        <w:t>商务及技术文件</w:t>
      </w:r>
      <w:r>
        <w:rPr>
          <w:rFonts w:hint="eastAsia" w:ascii="宋体" w:hAnsi="宋体" w:cs="宋体"/>
          <w:color w:val="auto"/>
          <w:kern w:val="2"/>
          <w:szCs w:val="28"/>
          <w:highlight w:val="none"/>
        </w:rPr>
        <w:t>格式不规范、项目不齐全或者内容虚假的；</w:t>
      </w:r>
    </w:p>
    <w:p w14:paraId="06ECE440">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kern w:val="2"/>
          <w:szCs w:val="28"/>
          <w:highlight w:val="none"/>
        </w:rPr>
      </w:pPr>
      <w:r>
        <w:rPr>
          <w:rFonts w:hint="eastAsia" w:ascii="宋体" w:hAnsi="宋体" w:cs="宋体"/>
          <w:bCs/>
          <w:color w:val="auto"/>
          <w:kern w:val="2"/>
          <w:szCs w:val="28"/>
          <w:highlight w:val="none"/>
        </w:rPr>
        <w:t>（6）商务及技术文件的实质性内容未使用中文表述、意思表述不明确、前后矛盾</w:t>
      </w:r>
      <w:r>
        <w:rPr>
          <w:rFonts w:hint="eastAsia" w:ascii="宋体" w:hAnsi="宋体" w:cs="宋体"/>
          <w:color w:val="auto"/>
          <w:kern w:val="2"/>
          <w:szCs w:val="28"/>
          <w:highlight w:val="none"/>
        </w:rPr>
        <w:t>或者使用计量单位不符合磋商文件要求的（经磋商小组认定并允许其当场更正的笔误除外）；</w:t>
      </w:r>
    </w:p>
    <w:p w14:paraId="1DB2E9C9">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（7）未实质性响应磋商文件要求或者响应文件有采购方不能接受的附加条件的；</w:t>
      </w:r>
    </w:p>
    <w:p w14:paraId="1A40E9BB">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bCs/>
          <w:color w:val="auto"/>
          <w:kern w:val="0"/>
          <w:sz w:val="24"/>
          <w:highlight w:val="none"/>
        </w:rPr>
      </w:pPr>
      <w:r>
        <w:rPr>
          <w:rFonts w:hint="eastAsia" w:ascii="宋体" w:hAnsi="宋体" w:cs="宋体"/>
          <w:bCs/>
          <w:color w:val="auto"/>
          <w:kern w:val="0"/>
          <w:sz w:val="24"/>
          <w:highlight w:val="none"/>
        </w:rPr>
        <w:t>（8）不符合本磋商文件中的实质性要求条款。</w:t>
      </w:r>
    </w:p>
    <w:p w14:paraId="48B9CDDE">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color w:val="auto"/>
          <w:highlight w:val="none"/>
        </w:rPr>
      </w:pPr>
      <w:r>
        <w:rPr>
          <w:rFonts w:hint="eastAsia" w:ascii="宋体" w:hAnsi="宋体" w:cs="宋体"/>
          <w:b/>
          <w:bCs/>
          <w:color w:val="auto"/>
          <w:highlight w:val="none"/>
        </w:rPr>
        <w:t>2.在技术评审时，如发现下列情形之一的，响应文件将被视为无效：</w:t>
      </w:r>
    </w:p>
    <w:p w14:paraId="6FD53E2F">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（1）未提供或未如实提供</w:t>
      </w:r>
      <w:r>
        <w:rPr>
          <w:rFonts w:hint="eastAsia"/>
          <w:color w:val="auto"/>
          <w:sz w:val="24"/>
          <w:highlight w:val="none"/>
          <w:lang w:val="en-US" w:eastAsia="zh-CN"/>
        </w:rPr>
        <w:t>施工组织设计或施工方案</w:t>
      </w:r>
      <w:r>
        <w:rPr>
          <w:rFonts w:hint="eastAsia" w:ascii="宋体" w:hAnsi="宋体" w:cs="宋体"/>
          <w:color w:val="auto"/>
          <w:highlight w:val="none"/>
        </w:rPr>
        <w:t>，或者投标文件标明的响应或偏离与事实不符或虚假投标的；</w:t>
      </w:r>
    </w:p>
    <w:p w14:paraId="23C57399">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snapToGrid w:val="0"/>
          <w:color w:val="auto"/>
          <w:highlight w:val="none"/>
        </w:rPr>
        <w:t>明显不符合</w:t>
      </w:r>
      <w:r>
        <w:rPr>
          <w:rFonts w:hint="eastAsia" w:ascii="宋体" w:hAnsi="宋体" w:cs="宋体"/>
          <w:snapToGrid w:val="0"/>
          <w:color w:val="auto"/>
          <w:highlight w:val="none"/>
          <w:lang w:val="en-US" w:eastAsia="zh-CN"/>
        </w:rPr>
        <w:t>采购</w:t>
      </w:r>
      <w:r>
        <w:rPr>
          <w:rFonts w:hint="eastAsia" w:ascii="宋体" w:hAnsi="宋体" w:cs="宋体"/>
          <w:snapToGrid w:val="0"/>
          <w:color w:val="auto"/>
          <w:highlight w:val="none"/>
        </w:rPr>
        <w:t>文件要求的</w:t>
      </w:r>
      <w:r>
        <w:rPr>
          <w:rFonts w:hint="eastAsia" w:ascii="宋体"/>
          <w:color w:val="auto"/>
          <w:sz w:val="24"/>
          <w:szCs w:val="24"/>
          <w:highlight w:val="none"/>
        </w:rPr>
        <w:t>工程质量目标、主要技术方案、安全目标</w:t>
      </w:r>
      <w:r>
        <w:rPr>
          <w:rFonts w:hint="eastAsia" w:ascii="宋体" w:hAnsi="宋体" w:cs="宋体"/>
          <w:snapToGrid w:val="0"/>
          <w:color w:val="auto"/>
          <w:highlight w:val="none"/>
        </w:rPr>
        <w:t>，或者与</w:t>
      </w:r>
      <w:r>
        <w:rPr>
          <w:rFonts w:hint="eastAsia" w:ascii="宋体" w:hAnsi="宋体" w:cs="宋体"/>
          <w:color w:val="auto"/>
          <w:highlight w:val="none"/>
        </w:rPr>
        <w:t>招标文件中标“▲”的技术指标、主要功能项目发生实质性偏离的；</w:t>
      </w:r>
    </w:p>
    <w:p w14:paraId="161578F5">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（3）投标</w:t>
      </w:r>
      <w:r>
        <w:rPr>
          <w:rFonts w:hint="eastAsia" w:ascii="宋体" w:hAnsi="宋体" w:cs="宋体"/>
          <w:color w:val="auto"/>
          <w:highlight w:val="none"/>
          <w:lang w:val="en-US" w:eastAsia="zh-CN"/>
        </w:rPr>
        <w:t>施工</w:t>
      </w:r>
      <w:r>
        <w:rPr>
          <w:rFonts w:hint="eastAsia" w:ascii="宋体" w:hAnsi="宋体" w:cs="宋体"/>
          <w:color w:val="auto"/>
          <w:highlight w:val="none"/>
        </w:rPr>
        <w:t>方案不明确，存在一个或一个以上备选（替代）投标方案的；</w:t>
      </w:r>
    </w:p>
    <w:p w14:paraId="64FBE546">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（4）与其他参加本次磋商供应商的响应文件（技术文件）的文字表述内容相同连续20行以上或者差错相同2处以上的。</w:t>
      </w:r>
    </w:p>
    <w:p w14:paraId="0B7053F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（5）不符合本磋商文件中的实质性要求条款。</w:t>
      </w:r>
    </w:p>
    <w:p w14:paraId="1CC1804F">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color w:val="auto"/>
          <w:highlight w:val="none"/>
        </w:rPr>
      </w:pPr>
      <w:r>
        <w:rPr>
          <w:rFonts w:hint="eastAsia" w:ascii="宋体" w:hAnsi="宋体" w:cs="宋体"/>
          <w:b/>
          <w:bCs/>
          <w:color w:val="auto"/>
          <w:highlight w:val="none"/>
        </w:rPr>
        <w:t>3.在报价评审时，如发现下列情形之一的，响应文件将被视为无效：</w:t>
      </w:r>
    </w:p>
    <w:p w14:paraId="15983E89">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（1）未按照磋商文件的要求报价的；</w:t>
      </w:r>
    </w:p>
    <w:p w14:paraId="6E09828A">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（2）报价具有选择性或者价格与响应文件承诺的优惠（折扣）价格不一致的；</w:t>
      </w:r>
    </w:p>
    <w:p w14:paraId="2B21FAD2">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（3）报价超过</w:t>
      </w:r>
      <w:r>
        <w:rPr>
          <w:rFonts w:hint="eastAsia" w:ascii="宋体" w:hAnsi="宋体" w:cs="宋体"/>
          <w:color w:val="auto"/>
          <w:highlight w:val="none"/>
          <w:lang w:val="en-US" w:eastAsia="zh-CN"/>
        </w:rPr>
        <w:t>最高限价</w:t>
      </w:r>
      <w:r>
        <w:rPr>
          <w:rFonts w:hint="eastAsia" w:ascii="宋体" w:hAnsi="宋体" w:cs="宋体"/>
          <w:color w:val="auto"/>
          <w:highlight w:val="none"/>
        </w:rPr>
        <w:t>；</w:t>
      </w:r>
    </w:p>
    <w:p w14:paraId="670E3BA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color w:val="auto"/>
          <w:highlight w:val="none"/>
          <w:lang w:eastAsia="zh-CN"/>
        </w:rPr>
      </w:pPr>
      <w:r>
        <w:rPr>
          <w:rFonts w:hint="eastAsia" w:ascii="宋体" w:hAnsi="宋体" w:cs="宋体"/>
          <w:color w:val="auto"/>
          <w:highlight w:val="none"/>
        </w:rPr>
        <w:t>（4）报价明显低于其他通过符合性审查供应商的报价，且供应商不能证明其报价合理性并提供证明材料的</w:t>
      </w:r>
      <w:r>
        <w:rPr>
          <w:rFonts w:hint="eastAsia" w:ascii="宋体" w:hAnsi="宋体" w:cs="宋体"/>
          <w:color w:val="auto"/>
          <w:highlight w:val="none"/>
          <w:lang w:eastAsia="zh-CN"/>
        </w:rPr>
        <w:t>；</w:t>
      </w:r>
    </w:p>
    <w:p w14:paraId="60629A85">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（5）响应文件有效期、</w:t>
      </w:r>
      <w:r>
        <w:rPr>
          <w:rFonts w:hint="eastAsia" w:ascii="宋体" w:hAnsi="宋体" w:cs="宋体"/>
          <w:color w:val="auto"/>
          <w:highlight w:val="none"/>
          <w:lang w:val="en-US" w:eastAsia="zh-CN"/>
        </w:rPr>
        <w:t>工期</w:t>
      </w:r>
      <w:r>
        <w:rPr>
          <w:rFonts w:hint="eastAsia" w:ascii="宋体" w:hAnsi="宋体" w:cs="宋体"/>
          <w:color w:val="auto"/>
          <w:highlight w:val="none"/>
        </w:rPr>
        <w:t>等条款不能满足磋商文件要求的；</w:t>
      </w:r>
    </w:p>
    <w:p w14:paraId="44B9489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报价</w:t>
      </w:r>
      <w:r>
        <w:rPr>
          <w:rFonts w:hint="eastAsia" w:ascii="宋体"/>
          <w:color w:val="auto"/>
          <w:sz w:val="24"/>
          <w:szCs w:val="24"/>
          <w:highlight w:val="none"/>
        </w:rPr>
        <w:t>文件上未按照</w:t>
      </w:r>
      <w:r>
        <w:rPr>
          <w:rFonts w:hint="eastAsia" w:ascii="宋体"/>
          <w:color w:val="auto"/>
          <w:sz w:val="24"/>
          <w:szCs w:val="24"/>
          <w:highlight w:val="none"/>
          <w:lang w:val="en-US" w:eastAsia="zh-CN"/>
        </w:rPr>
        <w:t>竞争性磋商</w:t>
      </w:r>
      <w:r>
        <w:rPr>
          <w:rFonts w:hint="eastAsia" w:ascii="宋体"/>
          <w:color w:val="auto"/>
          <w:sz w:val="24"/>
          <w:szCs w:val="24"/>
          <w:highlight w:val="none"/>
        </w:rPr>
        <w:t>文件规定加盖法人公章、法定代表人或法定代表人授权的代理人的印章或签字</w:t>
      </w:r>
      <w:r>
        <w:rPr>
          <w:rFonts w:hint="eastAsia" w:ascii="宋体" w:hAnsi="宋体" w:cs="宋体"/>
          <w:color w:val="auto"/>
          <w:highlight w:val="none"/>
        </w:rPr>
        <w:t>；</w:t>
      </w:r>
    </w:p>
    <w:p w14:paraId="281E565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（7）报价文件格式不规范、项目不齐全或者内容虚假的；</w:t>
      </w:r>
    </w:p>
    <w:p w14:paraId="1BDB8DE5">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8</w:t>
      </w:r>
      <w:r>
        <w:rPr>
          <w:rFonts w:hint="eastAsia" w:ascii="宋体" w:hAnsi="宋体" w:cs="宋体"/>
          <w:color w:val="auto"/>
          <w:highlight w:val="none"/>
          <w:lang w:eastAsia="zh-CN"/>
        </w:rPr>
        <w:t>）</w:t>
      </w:r>
      <w:r>
        <w:rPr>
          <w:rFonts w:hint="eastAsia" w:ascii="宋体" w:hAnsi="宋体"/>
          <w:color w:val="auto"/>
          <w:sz w:val="24"/>
          <w:szCs w:val="24"/>
          <w:highlight w:val="none"/>
        </w:rPr>
        <w:t>同一工程量清单报价编制人员为二个及以上同一项目的投标人提供工程量清单报价服务的</w:t>
      </w:r>
      <w:r>
        <w:rPr>
          <w:rFonts w:hint="eastAsia" w:ascii="宋体" w:hAnsi="宋体"/>
          <w:color w:val="auto"/>
          <w:sz w:val="24"/>
          <w:szCs w:val="24"/>
          <w:highlight w:val="none"/>
          <w:lang w:eastAsia="zh-CN"/>
        </w:rPr>
        <w:t>；</w:t>
      </w:r>
    </w:p>
    <w:p w14:paraId="5FD99CD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Times New Roman"/>
          <w:color w:val="auto"/>
          <w:kern w:val="0"/>
          <w:sz w:val="24"/>
          <w:szCs w:val="24"/>
          <w:highlight w:val="none"/>
          <w:lang w:val="en-US" w:eastAsia="zh-CN" w:bidi="ar-SA"/>
        </w:rPr>
      </w:pPr>
      <w:r>
        <w:rPr>
          <w:rFonts w:hint="eastAsia" w:ascii="宋体"/>
          <w:color w:val="auto"/>
          <w:sz w:val="24"/>
          <w:szCs w:val="24"/>
          <w:highlight w:val="none"/>
          <w:lang w:eastAsia="zh-CN"/>
        </w:rPr>
        <w:t>（</w:t>
      </w:r>
      <w:r>
        <w:rPr>
          <w:rFonts w:hint="eastAsia" w:ascii="宋体"/>
          <w:color w:val="auto"/>
          <w:sz w:val="24"/>
          <w:szCs w:val="24"/>
          <w:highlight w:val="none"/>
          <w:lang w:val="en-US" w:eastAsia="zh-CN"/>
        </w:rPr>
        <w:t>9</w:t>
      </w:r>
      <w:r>
        <w:rPr>
          <w:rFonts w:hint="eastAsia" w:ascii="宋体"/>
          <w:color w:val="auto"/>
          <w:sz w:val="24"/>
          <w:szCs w:val="24"/>
          <w:highlight w:val="none"/>
          <w:lang w:eastAsia="zh-CN"/>
        </w:rPr>
        <w:t>）</w:t>
      </w:r>
      <w:r>
        <w:rPr>
          <w:rFonts w:hint="eastAsia" w:ascii="宋体" w:hAnsi="宋体" w:eastAsia="宋体" w:cs="Times New Roman"/>
          <w:color w:val="auto"/>
          <w:kern w:val="0"/>
          <w:sz w:val="24"/>
          <w:szCs w:val="24"/>
          <w:highlight w:val="none"/>
          <w:lang w:val="en-US" w:eastAsia="zh-CN" w:bidi="ar-SA"/>
        </w:rPr>
        <w:t>投标报价表上未盖投标单位编制人员专业资格章的，委托造价咨询机构编制投标报价的未提供委托编制协议、或未加盖编制人员相应专业资格章；同一编制人员为二个及以上同一项目的投标人提供工程量清单报价编制服务的；受托的编制人员所在单位同时接受同一项目另一投标人委托的；</w:t>
      </w:r>
    </w:p>
    <w:p w14:paraId="7E33642A">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bCs/>
          <w:color w:val="auto"/>
          <w:kern w:val="0"/>
          <w:sz w:val="24"/>
          <w:szCs w:val="24"/>
          <w:highlight w:val="none"/>
          <w:lang w:val="en-US" w:eastAsia="zh-CN" w:bidi="ar-SA"/>
        </w:rPr>
        <w:t>注：1.编制人员应为造价工程师</w:t>
      </w:r>
      <w:r>
        <w:rPr>
          <w:rFonts w:hint="eastAsia" w:ascii="宋体" w:hAnsi="宋体" w:cs="Times New Roman"/>
          <w:b/>
          <w:bCs/>
          <w:color w:val="auto"/>
          <w:kern w:val="0"/>
          <w:sz w:val="24"/>
          <w:szCs w:val="24"/>
          <w:highlight w:val="none"/>
          <w:lang w:val="en-US" w:eastAsia="zh-CN" w:bidi="ar-SA"/>
        </w:rPr>
        <w:t>；</w:t>
      </w:r>
      <w:r>
        <w:rPr>
          <w:rFonts w:hint="eastAsia" w:ascii="宋体" w:hAnsi="宋体" w:eastAsia="宋体" w:cs="Times New Roman"/>
          <w:b/>
          <w:bCs/>
          <w:color w:val="auto"/>
          <w:kern w:val="0"/>
          <w:sz w:val="24"/>
          <w:szCs w:val="24"/>
          <w:highlight w:val="none"/>
          <w:lang w:val="en-US" w:eastAsia="zh-CN" w:bidi="ar-SA"/>
        </w:rPr>
        <w:t>2.如注册单位与投标人或委托编制单位不一致的，还须提供该造价工程师开标截止期前半年内任何连续三个月的社保部门盖章的参保证明，或者经由社保系统自助拉取的参保证明，且缴费证明材料所示单位应是投标人（或其分支机构）或委托编制单位（或其分支机构</w:t>
      </w:r>
      <w:r>
        <w:rPr>
          <w:rFonts w:hint="eastAsia" w:ascii="宋体" w:hAnsi="宋体" w:cs="Times New Roman"/>
          <w:b/>
          <w:bCs/>
          <w:color w:val="auto"/>
          <w:kern w:val="0"/>
          <w:sz w:val="24"/>
          <w:szCs w:val="24"/>
          <w:highlight w:val="none"/>
          <w:lang w:val="en-US" w:eastAsia="zh-CN" w:bidi="ar-SA"/>
        </w:rPr>
        <w:t>）</w:t>
      </w:r>
      <w:r>
        <w:rPr>
          <w:rFonts w:hint="eastAsia" w:ascii="宋体" w:hAnsi="宋体" w:eastAsia="宋体" w:cs="Times New Roman"/>
          <w:b/>
          <w:bCs/>
          <w:color w:val="auto"/>
          <w:kern w:val="0"/>
          <w:sz w:val="24"/>
          <w:szCs w:val="24"/>
          <w:highlight w:val="none"/>
          <w:lang w:val="en-US" w:eastAsia="zh-CN" w:bidi="ar-SA"/>
        </w:rPr>
        <w:t>。</w:t>
      </w:r>
    </w:p>
    <w:p w14:paraId="2EEF168E">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lang w:eastAsia="zh-CN"/>
        </w:rPr>
        <w:t>）</w:t>
      </w:r>
      <w:r>
        <w:rPr>
          <w:rFonts w:hint="eastAsia" w:ascii="宋体" w:hAnsi="宋体"/>
          <w:color w:val="auto"/>
          <w:sz w:val="24"/>
          <w:szCs w:val="24"/>
          <w:highlight w:val="none"/>
        </w:rPr>
        <w:t>招标人在工程量清单中提供材料、设备的暂估价的，或设置暂列金额项目，投标文件中暂估价和暂列金额报价与</w:t>
      </w:r>
      <w:r>
        <w:rPr>
          <w:rFonts w:hint="eastAsia" w:ascii="宋体" w:hAnsi="宋体"/>
          <w:color w:val="auto"/>
          <w:sz w:val="24"/>
          <w:szCs w:val="24"/>
          <w:highlight w:val="none"/>
          <w:lang w:val="en-US" w:eastAsia="zh-CN"/>
        </w:rPr>
        <w:t>磋商采购</w:t>
      </w:r>
      <w:r>
        <w:rPr>
          <w:rFonts w:hint="eastAsia" w:ascii="宋体" w:hAnsi="宋体"/>
          <w:color w:val="auto"/>
          <w:sz w:val="24"/>
          <w:szCs w:val="24"/>
          <w:highlight w:val="none"/>
        </w:rPr>
        <w:t>文件及</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答疑等补充文件的规定不一致的；</w:t>
      </w:r>
    </w:p>
    <w:p w14:paraId="1828BC93">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lang w:eastAsia="zh-CN"/>
        </w:rPr>
        <w:t>）</w:t>
      </w:r>
      <w:r>
        <w:rPr>
          <w:rFonts w:hint="eastAsia" w:ascii="宋体" w:hAnsi="宋体"/>
          <w:color w:val="auto"/>
          <w:sz w:val="24"/>
          <w:szCs w:val="24"/>
          <w:highlight w:val="none"/>
        </w:rPr>
        <w:t>未按照工程量清单报价表的要求填报单价和总价的；</w:t>
      </w:r>
    </w:p>
    <w:p w14:paraId="2A02027C">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lang w:eastAsia="zh-CN"/>
        </w:rPr>
        <w:t>）</w:t>
      </w:r>
      <w:r>
        <w:rPr>
          <w:rFonts w:hint="eastAsia" w:ascii="宋体" w:hAnsi="宋体"/>
          <w:color w:val="auto"/>
          <w:sz w:val="24"/>
          <w:szCs w:val="24"/>
          <w:highlight w:val="none"/>
        </w:rPr>
        <w:t>工程项目总价表中合计金额与投标总价不一致，且未注明原因的；</w:t>
      </w:r>
    </w:p>
    <w:p w14:paraId="7F582D4A">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lang w:eastAsia="zh-CN"/>
        </w:rPr>
        <w:t>）</w:t>
      </w:r>
      <w:r>
        <w:rPr>
          <w:rFonts w:hint="eastAsia" w:ascii="宋体" w:hAnsi="宋体"/>
          <w:color w:val="auto"/>
          <w:sz w:val="24"/>
          <w:szCs w:val="24"/>
          <w:highlight w:val="none"/>
        </w:rPr>
        <w:t>采用工程量清单招标项目，投标文件工程量清单与招标人提供的清单（包括招标答疑等补充文件）的项目编码、项目名称、项目特征、计量单位和工程量不一致的；</w:t>
      </w:r>
    </w:p>
    <w:p w14:paraId="2EBD061A">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b/>
          <w:bCs/>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lang w:eastAsia="zh-CN"/>
        </w:rPr>
        <w:t>）</w:t>
      </w:r>
      <w:r>
        <w:rPr>
          <w:rFonts w:hint="eastAsia" w:ascii="宋体" w:hAnsi="宋体"/>
          <w:b/>
          <w:bCs/>
          <w:color w:val="auto"/>
          <w:sz w:val="24"/>
          <w:szCs w:val="24"/>
          <w:highlight w:val="none"/>
          <w:lang w:val="en-US" w:eastAsia="zh-CN"/>
        </w:rPr>
        <w:t>投标报价中安全文明施工费、税金、规费未明确具体数值或未按规定计取的</w:t>
      </w:r>
      <w:r>
        <w:rPr>
          <w:rFonts w:hint="eastAsia" w:ascii="宋体" w:hAnsi="宋体"/>
          <w:b/>
          <w:bCs/>
          <w:color w:val="auto"/>
          <w:sz w:val="24"/>
          <w:szCs w:val="24"/>
          <w:highlight w:val="none"/>
        </w:rPr>
        <w:t>；</w:t>
      </w:r>
    </w:p>
    <w:p w14:paraId="2791BCBB">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lang w:eastAsia="zh-CN"/>
        </w:rPr>
        <w:t>）</w:t>
      </w:r>
      <w:r>
        <w:rPr>
          <w:rFonts w:hint="eastAsia" w:ascii="宋体" w:hAnsi="宋体"/>
          <w:color w:val="auto"/>
          <w:sz w:val="24"/>
          <w:szCs w:val="24"/>
          <w:highlight w:val="none"/>
        </w:rPr>
        <w:t>投标文件工程量清单存在算术计算错误等情况属重大偏差；</w:t>
      </w:r>
    </w:p>
    <w:p w14:paraId="2464A56F">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16</w:t>
      </w:r>
      <w:r>
        <w:rPr>
          <w:rFonts w:hint="eastAsia" w:ascii="宋体" w:hAnsi="宋体" w:cs="宋体"/>
          <w:color w:val="auto"/>
          <w:highlight w:val="none"/>
        </w:rPr>
        <w:t>）</w:t>
      </w:r>
      <w:r>
        <w:rPr>
          <w:rFonts w:hint="eastAsia" w:ascii="宋体" w:hAnsi="宋体" w:cs="宋体"/>
          <w:bCs/>
          <w:color w:val="auto"/>
          <w:highlight w:val="none"/>
        </w:rPr>
        <w:t>报价文件</w:t>
      </w:r>
      <w:r>
        <w:rPr>
          <w:rFonts w:hint="eastAsia" w:ascii="宋体" w:hAnsi="宋体" w:cs="宋体"/>
          <w:color w:val="auto"/>
          <w:kern w:val="2"/>
          <w:szCs w:val="28"/>
          <w:highlight w:val="none"/>
        </w:rPr>
        <w:t>的实质性内容未使用中文表述、意思表述不明确、前后矛盾或者使用计量单位不符合磋商文件要求的（经磋商小组认定并允许其当场更正的笔误除外）；</w:t>
      </w:r>
    </w:p>
    <w:p w14:paraId="12E3D1CC">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17</w:t>
      </w:r>
      <w:r>
        <w:rPr>
          <w:rFonts w:hint="eastAsia" w:ascii="宋体" w:hAnsi="宋体" w:cs="宋体"/>
          <w:color w:val="auto"/>
          <w:highlight w:val="none"/>
        </w:rPr>
        <w:t>）未实质性响应磋商文件要求或者响应文件有采购方不能接受的附加条件的</w:t>
      </w:r>
      <w:r>
        <w:rPr>
          <w:rFonts w:hint="eastAsia" w:ascii="宋体" w:hAnsi="宋体" w:cs="宋体"/>
          <w:b/>
          <w:bCs/>
          <w:color w:val="auto"/>
          <w:highlight w:val="none"/>
        </w:rPr>
        <w:t>(供应商的商务技术分低于商务技术分总分60%的，视为采购人不能接受的附加条件)</w:t>
      </w:r>
      <w:r>
        <w:rPr>
          <w:rFonts w:hint="eastAsia" w:ascii="宋体" w:hAnsi="宋体" w:cs="宋体"/>
          <w:color w:val="auto"/>
          <w:highlight w:val="none"/>
        </w:rPr>
        <w:t>；</w:t>
      </w:r>
    </w:p>
    <w:p w14:paraId="4673E24A">
      <w:pPr>
        <w:pStyle w:val="14"/>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）不符合本磋商文件中的实质性要求条款。</w:t>
      </w:r>
    </w:p>
    <w:p w14:paraId="220F6D43">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三、评审内容及标准</w:t>
      </w:r>
    </w:p>
    <w:p w14:paraId="2E21D126">
      <w:pPr>
        <w:keepNext w:val="0"/>
        <w:keepLines w:val="0"/>
        <w:pageBreakBefore w:val="0"/>
        <w:widowControl w:val="0"/>
        <w:kinsoku/>
        <w:wordWrap/>
        <w:overflowPunct/>
        <w:topLinePunct w:val="0"/>
        <w:autoSpaceDE/>
        <w:autoSpaceDN/>
        <w:bidi w:val="0"/>
        <w:adjustRightInd/>
        <w:spacing w:line="400" w:lineRule="exact"/>
        <w:ind w:firstLine="569" w:firstLineChars="236"/>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（一）价格分（</w:t>
      </w:r>
      <w:r>
        <w:rPr>
          <w:rFonts w:hint="eastAsia" w:ascii="宋体" w:hAnsi="宋体" w:cs="宋体"/>
          <w:b/>
          <w:color w:val="auto"/>
          <w:sz w:val="24"/>
          <w:szCs w:val="24"/>
          <w:highlight w:val="none"/>
          <w:lang w:val="en-US" w:eastAsia="zh-CN"/>
        </w:rPr>
        <w:t>30</w:t>
      </w:r>
      <w:r>
        <w:rPr>
          <w:rFonts w:hint="eastAsia" w:ascii="宋体" w:hAnsi="宋体" w:cs="宋体"/>
          <w:b/>
          <w:color w:val="auto"/>
          <w:sz w:val="24"/>
          <w:szCs w:val="24"/>
          <w:highlight w:val="none"/>
        </w:rPr>
        <w:t>分）</w:t>
      </w:r>
    </w:p>
    <w:p w14:paraId="3A321D07">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1.价格分采用低价优先法计算，即满足磋商文件要求且最后报价最低的供应商的价格为磋商基准价，其价格分为满分。其他供应商的价格分统一按照下列公式计算：</w:t>
      </w:r>
    </w:p>
    <w:p w14:paraId="540BE627">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磋商报价得分=（磋商基准价/最后磋商报价）×</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%×100</w:t>
      </w:r>
    </w:p>
    <w:p w14:paraId="4C0A3BD4">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.供应商的磋商报价超过</w:t>
      </w:r>
      <w:r>
        <w:rPr>
          <w:rFonts w:hint="eastAsia" w:ascii="宋体" w:hAnsi="宋体" w:cs="宋体"/>
          <w:color w:val="auto"/>
          <w:sz w:val="24"/>
          <w:szCs w:val="24"/>
          <w:highlight w:val="none"/>
          <w:lang w:val="en-US" w:eastAsia="zh-CN"/>
        </w:rPr>
        <w:t>最高限价</w:t>
      </w:r>
      <w:r>
        <w:rPr>
          <w:rFonts w:hint="eastAsia" w:ascii="宋体" w:hAnsi="宋体" w:cs="宋体"/>
          <w:color w:val="auto"/>
          <w:sz w:val="24"/>
          <w:szCs w:val="24"/>
          <w:highlight w:val="none"/>
        </w:rPr>
        <w:t>的，其响应无效。供应商报价低于项目预算50%的，应当在报价响应文件中详细阐述不影响</w:t>
      </w:r>
      <w:r>
        <w:rPr>
          <w:rFonts w:hint="eastAsia" w:ascii="宋体" w:hAnsi="宋体" w:cs="宋体"/>
          <w:color w:val="auto"/>
          <w:sz w:val="24"/>
          <w:szCs w:val="24"/>
          <w:highlight w:val="none"/>
          <w:lang w:val="en-US" w:eastAsia="zh-CN"/>
        </w:rPr>
        <w:t>工程</w:t>
      </w:r>
      <w:r>
        <w:rPr>
          <w:rFonts w:hint="eastAsia" w:ascii="宋体" w:hAnsi="宋体" w:cs="宋体"/>
          <w:color w:val="auto"/>
          <w:sz w:val="24"/>
          <w:szCs w:val="24"/>
          <w:highlight w:val="none"/>
        </w:rPr>
        <w:t>质量或者诚信履约的具体原因。磋商小组认为供应商的报价明显低于其他通过符合性审查供应商的报价，有可能影响</w:t>
      </w:r>
      <w:r>
        <w:rPr>
          <w:rFonts w:hint="eastAsia" w:ascii="宋体" w:hAnsi="宋体" w:cs="宋体"/>
          <w:color w:val="auto"/>
          <w:sz w:val="24"/>
          <w:szCs w:val="24"/>
          <w:highlight w:val="none"/>
          <w:lang w:val="en-US" w:eastAsia="zh-CN"/>
        </w:rPr>
        <w:t>施工</w:t>
      </w:r>
      <w:r>
        <w:rPr>
          <w:rFonts w:hint="eastAsia" w:ascii="宋体" w:hAnsi="宋体" w:cs="宋体"/>
          <w:color w:val="auto"/>
          <w:sz w:val="24"/>
          <w:szCs w:val="24"/>
          <w:highlight w:val="none"/>
        </w:rPr>
        <w:t>质量或者不能诚信履约的，应当要求其在磋商现场合理的时间内提供书面说明，必要时提交相关证明材料；供应商不能证明其报价合理性的，磋商小组应当将其作为无效响应处理。</w:t>
      </w:r>
    </w:p>
    <w:p w14:paraId="0B297207">
      <w:pPr>
        <w:keepNext w:val="0"/>
        <w:keepLines w:val="0"/>
        <w:pageBreakBefore w:val="0"/>
        <w:widowControl w:val="0"/>
        <w:kinsoku/>
        <w:wordWrap/>
        <w:overflowPunct/>
        <w:topLinePunct w:val="0"/>
        <w:autoSpaceDE/>
        <w:autoSpaceDN/>
        <w:bidi w:val="0"/>
        <w:adjustRightInd/>
        <w:spacing w:line="400" w:lineRule="exact"/>
        <w:ind w:firstLine="569" w:firstLineChars="236"/>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最高</w:t>
      </w:r>
      <w:r>
        <w:rPr>
          <w:rFonts w:hint="eastAsia" w:ascii="宋体" w:hAnsi="宋体" w:cs="宋体"/>
          <w:b/>
          <w:color w:val="auto"/>
          <w:sz w:val="24"/>
          <w:szCs w:val="24"/>
          <w:highlight w:val="none"/>
        </w:rPr>
        <w:t>限价：本次采购设定</w:t>
      </w:r>
      <w:r>
        <w:rPr>
          <w:rFonts w:hint="eastAsia" w:ascii="宋体" w:hAnsi="宋体" w:cs="宋体"/>
          <w:b/>
          <w:color w:val="auto"/>
          <w:sz w:val="24"/>
          <w:szCs w:val="24"/>
          <w:highlight w:val="none"/>
          <w:lang w:val="en-US" w:eastAsia="zh-CN"/>
        </w:rPr>
        <w:t>最高限</w:t>
      </w:r>
      <w:r>
        <w:rPr>
          <w:rFonts w:hint="eastAsia" w:ascii="宋体" w:hAnsi="宋体" w:cs="宋体"/>
          <w:b/>
          <w:color w:val="auto"/>
          <w:sz w:val="24"/>
          <w:szCs w:val="24"/>
          <w:highlight w:val="none"/>
        </w:rPr>
        <w:t>价，</w:t>
      </w:r>
      <w:r>
        <w:rPr>
          <w:rFonts w:hint="eastAsia" w:ascii="宋体" w:hAnsi="宋体" w:cs="宋体"/>
          <w:b/>
          <w:color w:val="auto"/>
          <w:sz w:val="24"/>
          <w:highlight w:val="none"/>
        </w:rPr>
        <w:t>本项目报价</w:t>
      </w:r>
      <w:r>
        <w:rPr>
          <w:rFonts w:hint="eastAsia" w:ascii="宋体" w:hAnsi="宋体" w:cs="宋体"/>
          <w:b/>
          <w:color w:val="auto"/>
          <w:sz w:val="24"/>
          <w:highlight w:val="none"/>
          <w:lang w:val="en-US" w:eastAsia="zh-CN"/>
        </w:rPr>
        <w:t>最高限价为</w:t>
      </w:r>
      <w:r>
        <w:rPr>
          <w:rFonts w:hint="eastAsia" w:ascii="宋体" w:hAnsi="宋体" w:cs="宋体"/>
          <w:color w:val="auto"/>
          <w:sz w:val="24"/>
          <w:szCs w:val="24"/>
          <w:highlight w:val="none"/>
          <w:lang w:val="en-US" w:eastAsia="zh-CN"/>
        </w:rPr>
        <w:t xml:space="preserve"> </w:t>
      </w:r>
      <w:r>
        <w:rPr>
          <w:rFonts w:hint="eastAsia" w:ascii="宋体" w:hAnsi="宋体" w:cs="宋体"/>
          <w:color w:val="auto"/>
          <w:kern w:val="0"/>
          <w:sz w:val="24"/>
          <w:szCs w:val="24"/>
          <w:highlight w:val="none"/>
          <w:lang w:val="en-US" w:eastAsia="zh-CN" w:bidi="ar-SA"/>
        </w:rPr>
        <w:t>691633</w:t>
      </w:r>
      <w:r>
        <w:rPr>
          <w:rFonts w:hint="eastAsia" w:ascii="宋体" w:hAnsi="宋体" w:cs="宋体"/>
          <w:color w:val="auto"/>
          <w:sz w:val="24"/>
          <w:szCs w:val="24"/>
          <w:highlight w:val="none"/>
          <w:lang w:val="en-US" w:eastAsia="zh-CN"/>
        </w:rPr>
        <w:t>.00元</w:t>
      </w:r>
      <w:r>
        <w:rPr>
          <w:rFonts w:hint="eastAsia" w:ascii="宋体" w:hAnsi="宋体" w:cs="宋体"/>
          <w:b/>
          <w:color w:val="auto"/>
          <w:sz w:val="24"/>
          <w:highlight w:val="none"/>
          <w:lang w:val="en-US" w:eastAsia="zh-CN"/>
        </w:rPr>
        <w:t>。</w:t>
      </w:r>
      <w:r>
        <w:rPr>
          <w:rFonts w:hint="eastAsia" w:ascii="宋体" w:hAnsi="宋体" w:cs="宋体"/>
          <w:b/>
          <w:color w:val="auto"/>
          <w:sz w:val="24"/>
          <w:szCs w:val="24"/>
          <w:highlight w:val="none"/>
        </w:rPr>
        <w:t>磋商报价高于</w:t>
      </w:r>
      <w:r>
        <w:rPr>
          <w:rFonts w:hint="eastAsia" w:ascii="宋体" w:hAnsi="宋体" w:cs="宋体"/>
          <w:b/>
          <w:color w:val="auto"/>
          <w:sz w:val="24"/>
          <w:szCs w:val="24"/>
          <w:highlight w:val="none"/>
          <w:lang w:val="en-US" w:eastAsia="zh-CN"/>
        </w:rPr>
        <w:t>最高</w:t>
      </w:r>
      <w:r>
        <w:rPr>
          <w:rFonts w:hint="eastAsia" w:ascii="宋体" w:hAnsi="宋体" w:cs="宋体"/>
          <w:b/>
          <w:color w:val="auto"/>
          <w:sz w:val="24"/>
          <w:szCs w:val="24"/>
          <w:highlight w:val="none"/>
        </w:rPr>
        <w:t>限价的响应文件无效。</w:t>
      </w:r>
    </w:p>
    <w:p w14:paraId="1C1498D1">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cs="宋体"/>
          <w:b/>
          <w:color w:val="auto"/>
          <w:sz w:val="24"/>
          <w:szCs w:val="24"/>
          <w:highlight w:val="none"/>
        </w:rPr>
        <w:t>商务技术</w:t>
      </w:r>
      <w:r>
        <w:rPr>
          <w:rFonts w:hint="eastAsia" w:ascii="宋体" w:hAnsi="宋体" w:eastAsia="宋体" w:cs="宋体"/>
          <w:b/>
          <w:color w:val="auto"/>
          <w:sz w:val="24"/>
          <w:szCs w:val="24"/>
          <w:highlight w:val="none"/>
        </w:rPr>
        <w:t>分（</w:t>
      </w:r>
      <w:r>
        <w:rPr>
          <w:rFonts w:hint="eastAsia" w:ascii="宋体" w:hAnsi="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bl>
      <w:tblPr>
        <w:tblStyle w:val="24"/>
        <w:tblW w:w="9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554"/>
        <w:gridCol w:w="6140"/>
      </w:tblGrid>
      <w:tr w14:paraId="4A68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471" w:type="dxa"/>
            <w:gridSpan w:val="3"/>
            <w:tcBorders>
              <w:top w:val="single" w:color="auto" w:sz="4" w:space="0"/>
              <w:left w:val="single" w:color="auto" w:sz="4" w:space="0"/>
              <w:bottom w:val="single" w:color="auto" w:sz="4" w:space="0"/>
              <w:right w:val="single" w:color="auto" w:sz="4" w:space="0"/>
            </w:tcBorders>
            <w:noWrap w:val="0"/>
            <w:vAlign w:val="center"/>
          </w:tcPr>
          <w:p w14:paraId="59693F83">
            <w:pPr>
              <w:spacing w:line="380" w:lineRule="exact"/>
              <w:ind w:firstLine="0" w:firstLineChars="0"/>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评分标准及分值</w:t>
            </w:r>
          </w:p>
        </w:tc>
      </w:tr>
      <w:tr w14:paraId="3440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right"/>
        </w:trPr>
        <w:tc>
          <w:tcPr>
            <w:tcW w:w="777" w:type="dxa"/>
            <w:vMerge w:val="restart"/>
            <w:tcBorders>
              <w:top w:val="single" w:color="auto" w:sz="4" w:space="0"/>
              <w:left w:val="single" w:color="auto" w:sz="4" w:space="0"/>
              <w:right w:val="single" w:color="auto" w:sz="4" w:space="0"/>
            </w:tcBorders>
            <w:noWrap w:val="0"/>
            <w:vAlign w:val="center"/>
          </w:tcPr>
          <w:p w14:paraId="37FD772F">
            <w:pPr>
              <w:spacing w:line="300" w:lineRule="auto"/>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技术分</w:t>
            </w:r>
          </w:p>
          <w:p w14:paraId="6D69EB30">
            <w:pPr>
              <w:spacing w:line="300" w:lineRule="auto"/>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70</w:t>
            </w:r>
            <w:r>
              <w:rPr>
                <w:rFonts w:hint="eastAsia" w:ascii="宋体" w:hAnsi="宋体" w:cs="宋体"/>
                <w:color w:val="auto"/>
                <w:sz w:val="21"/>
                <w:szCs w:val="21"/>
                <w:highlight w:val="none"/>
              </w:rPr>
              <w:t>分）</w:t>
            </w:r>
          </w:p>
        </w:tc>
        <w:tc>
          <w:tcPr>
            <w:tcW w:w="2554" w:type="dxa"/>
            <w:tcBorders>
              <w:top w:val="single" w:color="auto" w:sz="4" w:space="0"/>
              <w:left w:val="single" w:color="auto" w:sz="4" w:space="0"/>
              <w:right w:val="single" w:color="auto" w:sz="4" w:space="0"/>
            </w:tcBorders>
            <w:noWrap w:val="0"/>
            <w:vAlign w:val="center"/>
          </w:tcPr>
          <w:p w14:paraId="14A75B5C">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施工部署及现场施工组织管理机构（</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70275505">
            <w:pPr>
              <w:pStyle w:val="22"/>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施工部署及现场施工组织管理机构</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1596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77" w:type="dxa"/>
            <w:vMerge w:val="continue"/>
            <w:tcBorders>
              <w:left w:val="single" w:color="auto" w:sz="4" w:space="0"/>
              <w:right w:val="single" w:color="auto" w:sz="4" w:space="0"/>
            </w:tcBorders>
            <w:noWrap w:val="0"/>
            <w:vAlign w:val="center"/>
          </w:tcPr>
          <w:p w14:paraId="2F8C439F">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38E8EE22">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施工总进度计划及保证措施（</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-10分）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291AB25A">
            <w:pPr>
              <w:adjustRightInd w:val="0"/>
              <w:snapToGrid w:val="0"/>
              <w:spacing w:line="30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施工总进度计划及保证措施</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3E2B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right"/>
        </w:trPr>
        <w:tc>
          <w:tcPr>
            <w:tcW w:w="777" w:type="dxa"/>
            <w:vMerge w:val="continue"/>
            <w:tcBorders>
              <w:left w:val="single" w:color="auto" w:sz="4" w:space="0"/>
              <w:right w:val="single" w:color="auto" w:sz="4" w:space="0"/>
            </w:tcBorders>
            <w:noWrap w:val="0"/>
            <w:vAlign w:val="center"/>
          </w:tcPr>
          <w:p w14:paraId="4C9A15B1">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64B39FB5">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劳动力配备计划</w:t>
            </w:r>
          </w:p>
          <w:p w14:paraId="61D7CA92">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-8分）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096C1680">
            <w:pPr>
              <w:spacing w:line="300" w:lineRule="auto"/>
              <w:ind w:firstLine="0" w:firstLineChars="0"/>
              <w:contextualSpacing/>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劳动力配备计划</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7F9B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777" w:type="dxa"/>
            <w:vMerge w:val="continue"/>
            <w:tcBorders>
              <w:left w:val="single" w:color="auto" w:sz="4" w:space="0"/>
              <w:right w:val="single" w:color="auto" w:sz="4" w:space="0"/>
            </w:tcBorders>
            <w:noWrap w:val="0"/>
            <w:vAlign w:val="center"/>
          </w:tcPr>
          <w:p w14:paraId="7C71945A">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6067A03D">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现场投入主要机械设备及检测仪器（</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-5分）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6DD1C4E1">
            <w:pPr>
              <w:pStyle w:val="22"/>
              <w:snapToGrid w:val="0"/>
              <w:spacing w:line="30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现场投入主要机械设备及检测仪器</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3E96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777" w:type="dxa"/>
            <w:vMerge w:val="continue"/>
            <w:tcBorders>
              <w:left w:val="single" w:color="auto" w:sz="4" w:space="0"/>
              <w:right w:val="single" w:color="auto" w:sz="4" w:space="0"/>
            </w:tcBorders>
            <w:noWrap w:val="0"/>
            <w:vAlign w:val="center"/>
          </w:tcPr>
          <w:p w14:paraId="32591F06">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2E81F1E7">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主要材料、构配件供应进度计划（</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-5分）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09BE13F0">
            <w:pPr>
              <w:pStyle w:val="22"/>
              <w:snapToGrid w:val="0"/>
              <w:spacing w:line="30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主要材料、构配件供应进度计划</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1DA9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777" w:type="dxa"/>
            <w:vMerge w:val="continue"/>
            <w:tcBorders>
              <w:left w:val="single" w:color="auto" w:sz="4" w:space="0"/>
              <w:right w:val="single" w:color="auto" w:sz="4" w:space="0"/>
            </w:tcBorders>
            <w:noWrap w:val="0"/>
            <w:vAlign w:val="center"/>
          </w:tcPr>
          <w:p w14:paraId="2F6AF61B">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409FA0D0">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主要分部分项施工方法及技术措施（</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-6分）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79E07BE2">
            <w:pPr>
              <w:spacing w:line="300" w:lineRule="auto"/>
              <w:ind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主要分部分项施工方法及技术</w:t>
            </w:r>
            <w:r>
              <w:rPr>
                <w:rFonts w:hint="eastAsia" w:ascii="宋体" w:hAnsi="宋体" w:eastAsia="宋体" w:cs="宋体"/>
                <w:bCs/>
                <w:color w:val="auto"/>
                <w:sz w:val="21"/>
                <w:szCs w:val="21"/>
                <w:highlight w:val="none"/>
              </w:rPr>
              <w:t>等内容，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6618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right"/>
        </w:trPr>
        <w:tc>
          <w:tcPr>
            <w:tcW w:w="777" w:type="dxa"/>
            <w:vMerge w:val="continue"/>
            <w:tcBorders>
              <w:left w:val="single" w:color="auto" w:sz="4" w:space="0"/>
              <w:right w:val="single" w:color="auto" w:sz="4" w:space="0"/>
            </w:tcBorders>
            <w:noWrap w:val="0"/>
            <w:vAlign w:val="center"/>
          </w:tcPr>
          <w:p w14:paraId="4C068577">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0515538A">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质量保证体系及控制要点（</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2AB96AF5">
            <w:pPr>
              <w:widowControl/>
              <w:adjustRightInd w:val="0"/>
              <w:snapToGrid w:val="0"/>
              <w:spacing w:line="300" w:lineRule="auto"/>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根据项目</w:t>
            </w:r>
            <w:r>
              <w:rPr>
                <w:rFonts w:hint="eastAsia" w:ascii="宋体" w:hAnsi="宋体" w:eastAsia="宋体" w:cs="宋体"/>
                <w:color w:val="auto"/>
                <w:kern w:val="2"/>
                <w:sz w:val="21"/>
                <w:szCs w:val="21"/>
                <w:highlight w:val="none"/>
                <w:lang w:val="en-US" w:eastAsia="zh-CN" w:bidi="ar-SA"/>
              </w:rPr>
              <w:t>质量保证体系及控制要点</w:t>
            </w:r>
            <w:r>
              <w:rPr>
                <w:rFonts w:hint="eastAsia" w:ascii="宋体" w:hAnsi="宋体" w:eastAsia="宋体" w:cs="宋体"/>
                <w:color w:val="auto"/>
                <w:sz w:val="21"/>
                <w:szCs w:val="21"/>
                <w:highlight w:val="none"/>
              </w:rPr>
              <w:t>等情况进行评分，</w:t>
            </w:r>
            <w:r>
              <w:rPr>
                <w:rFonts w:hint="eastAsia" w:ascii="宋体" w:hAnsi="宋体" w:cs="宋体"/>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2208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right"/>
        </w:trPr>
        <w:tc>
          <w:tcPr>
            <w:tcW w:w="777" w:type="dxa"/>
            <w:vMerge w:val="continue"/>
            <w:tcBorders>
              <w:left w:val="single" w:color="auto" w:sz="4" w:space="0"/>
              <w:right w:val="single" w:color="auto" w:sz="4" w:space="0"/>
            </w:tcBorders>
            <w:noWrap w:val="0"/>
            <w:vAlign w:val="center"/>
          </w:tcPr>
          <w:p w14:paraId="5BCF4D40">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39C9AB62">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安全保证体系及安全文明施工措施要点（</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3A0A763C">
            <w:pPr>
              <w:spacing w:line="300" w:lineRule="auto"/>
              <w:ind w:firstLine="0" w:firstLineChars="0"/>
              <w:contextualSpacing/>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安全保证体系及安全文明施工措施要点</w:t>
            </w:r>
            <w:r>
              <w:rPr>
                <w:rFonts w:hint="eastAsia" w:ascii="宋体" w:hAnsi="宋体" w:eastAsia="宋体" w:cs="宋体"/>
                <w:bCs/>
                <w:color w:val="auto"/>
                <w:sz w:val="21"/>
                <w:szCs w:val="21"/>
                <w:highlight w:val="none"/>
              </w:rPr>
              <w:t>等内容，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3083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right"/>
        </w:trPr>
        <w:tc>
          <w:tcPr>
            <w:tcW w:w="777" w:type="dxa"/>
            <w:vMerge w:val="continue"/>
            <w:tcBorders>
              <w:left w:val="single" w:color="auto" w:sz="4" w:space="0"/>
              <w:right w:val="single" w:color="auto" w:sz="4" w:space="0"/>
            </w:tcBorders>
            <w:noWrap w:val="0"/>
            <w:vAlign w:val="center"/>
          </w:tcPr>
          <w:p w14:paraId="021244DE">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3FCE29A1">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民工工资发放安排及控制体系（</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634AEE8F">
            <w:pPr>
              <w:adjustRightInd w:val="0"/>
              <w:snapToGrid w:val="0"/>
              <w:spacing w:line="30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民工工资发放安排及控制体系</w:t>
            </w:r>
            <w:r>
              <w:rPr>
                <w:rFonts w:hint="eastAsia" w:ascii="宋体" w:hAnsi="宋体" w:eastAsia="宋体" w:cs="宋体"/>
                <w:bCs/>
                <w:color w:val="auto"/>
                <w:sz w:val="21"/>
                <w:szCs w:val="21"/>
                <w:highlight w:val="none"/>
              </w:rPr>
              <w:t>等内容，</w:t>
            </w:r>
            <w:r>
              <w:rPr>
                <w:rFonts w:hint="eastAsia" w:ascii="宋体" w:hAnsi="宋体" w:eastAsia="宋体" w:cs="宋体"/>
                <w:color w:val="auto"/>
                <w:sz w:val="21"/>
                <w:szCs w:val="21"/>
                <w:highlight w:val="none"/>
              </w:rPr>
              <w:t>由评委综合评分，</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bl>
    <w:p w14:paraId="2DEF149A">
      <w:pPr>
        <w:pStyle w:val="32"/>
        <w:snapToGrid w:val="0"/>
        <w:spacing w:line="30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注：</w:t>
      </w:r>
    </w:p>
    <w:p w14:paraId="421E52CE">
      <w:pPr>
        <w:pStyle w:val="32"/>
        <w:snapToGrid w:val="0"/>
        <w:spacing w:line="30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1.如在响应文件中未涉及上述商务技术评分内容的，按0分计。</w:t>
      </w:r>
    </w:p>
    <w:p w14:paraId="18562F1A">
      <w:pPr>
        <w:pStyle w:val="32"/>
        <w:snapToGrid w:val="0"/>
        <w:spacing w:line="300" w:lineRule="auto"/>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2.响应文件中应提供有关证明材料扫描件加盖CA章。</w:t>
      </w:r>
    </w:p>
    <w:p w14:paraId="45CA3020">
      <w:pPr>
        <w:pStyle w:val="32"/>
        <w:snapToGrid w:val="0"/>
        <w:spacing w:line="300" w:lineRule="auto"/>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3.响应文件中提供的证明材料均应清晰可辨，否则不得分。</w:t>
      </w:r>
    </w:p>
    <w:p w14:paraId="26CD22DF">
      <w:pPr>
        <w:pStyle w:val="32"/>
        <w:snapToGrid w:val="0"/>
        <w:spacing w:line="300" w:lineRule="auto"/>
        <w:ind w:firstLine="413" w:firstLineChars="196"/>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4.</w:t>
      </w:r>
      <w:r>
        <w:rPr>
          <w:rFonts w:hint="eastAsia" w:ascii="宋体" w:hAnsi="宋体" w:cs="宋体"/>
          <w:b/>
          <w:color w:val="auto"/>
          <w:highlight w:val="none"/>
        </w:rPr>
        <w:t>供应商的商务技术分低于商务技术分总分60%的，视为采购人不能接受的附加条件，该投标文件将在报价评审时被视为无效。</w:t>
      </w:r>
    </w:p>
    <w:p w14:paraId="52E5DC4A">
      <w:pPr>
        <w:pStyle w:val="32"/>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eastAsia" w:ascii="宋体" w:hAnsi="宋体" w:cs="宋体"/>
          <w:b/>
          <w:bCs/>
          <w:color w:val="auto"/>
          <w:sz w:val="24"/>
          <w:szCs w:val="24"/>
          <w:highlight w:val="none"/>
        </w:rPr>
      </w:pPr>
      <w:r>
        <w:rPr>
          <w:rFonts w:hint="eastAsia" w:ascii="宋体" w:hAnsi="宋体" w:eastAsia="宋体" w:cs="宋体"/>
          <w:b/>
          <w:color w:val="auto"/>
          <w:kern w:val="2"/>
          <w:sz w:val="24"/>
          <w:szCs w:val="24"/>
          <w:highlight w:val="none"/>
          <w:lang w:val="en-US" w:eastAsia="zh-CN" w:bidi="ar-SA"/>
        </w:rPr>
        <w:t>（三）商务技术</w:t>
      </w:r>
      <w:r>
        <w:rPr>
          <w:rFonts w:hint="eastAsia" w:ascii="宋体" w:hAnsi="宋体" w:cs="宋体"/>
          <w:b/>
          <w:bCs/>
          <w:color w:val="auto"/>
          <w:sz w:val="24"/>
          <w:szCs w:val="24"/>
          <w:highlight w:val="none"/>
        </w:rPr>
        <w:t>分的计算</w:t>
      </w:r>
    </w:p>
    <w:p w14:paraId="7AAC87B3">
      <w:pPr>
        <w:keepNext w:val="0"/>
        <w:keepLines w:val="0"/>
        <w:pageBreakBefore w:val="0"/>
        <w:kinsoku/>
        <w:wordWrap/>
        <w:overflowPunct/>
        <w:topLinePunct w:val="0"/>
        <w:autoSpaceDE/>
        <w:autoSpaceDN/>
        <w:bidi w:val="0"/>
        <w:adjustRightInd/>
        <w:spacing w:line="264"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商务技术分得分按照磋商成员的独立评分结果合计数的算术平均分计算，计算公式为：</w:t>
      </w:r>
    </w:p>
    <w:p w14:paraId="3F1E58E8">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商务技术分得分=磋商小组所有成员评分合计数/磋商小组组成人员数</w:t>
      </w:r>
    </w:p>
    <w:p w14:paraId="5F1976BF">
      <w:pPr>
        <w:spacing w:line="300" w:lineRule="auto"/>
        <w:ind w:firstLine="472" w:firstLineChars="196"/>
        <w:rPr>
          <w:rFonts w:hint="eastAsia" w:ascii="宋体" w:hAnsi="宋体" w:eastAsia="宋体" w:cs="宋体"/>
          <w:b/>
          <w:color w:val="auto"/>
          <w:highlight w:val="none"/>
        </w:rPr>
      </w:pPr>
      <w:r>
        <w:rPr>
          <w:rFonts w:hint="eastAsia" w:ascii="宋体" w:hAnsi="宋体" w:eastAsia="宋体" w:cs="宋体"/>
          <w:b/>
          <w:bCs/>
          <w:color w:val="auto"/>
          <w:highlight w:val="none"/>
        </w:rPr>
        <w:t>四、</w:t>
      </w:r>
      <w:r>
        <w:rPr>
          <w:rFonts w:hint="eastAsia" w:ascii="宋体" w:hAnsi="宋体" w:eastAsia="宋体" w:cs="宋体"/>
          <w:b/>
          <w:color w:val="auto"/>
          <w:highlight w:val="none"/>
        </w:rPr>
        <w:t>成交候选人确定</w:t>
      </w:r>
    </w:p>
    <w:p w14:paraId="3798AF4B">
      <w:pPr>
        <w:pStyle w:val="18"/>
        <w:spacing w:line="300" w:lineRule="auto"/>
        <w:ind w:left="0" w:leftChars="0" w:firstLine="480" w:firstLineChars="200"/>
        <w:rPr>
          <w:rFonts w:hint="eastAsia" w:ascii="宋体" w:hAnsi="宋体" w:eastAsia="宋体" w:cs="宋体"/>
          <w:bCs/>
          <w:color w:val="auto"/>
          <w:highlight w:val="none"/>
        </w:rPr>
      </w:pPr>
      <w:r>
        <w:rPr>
          <w:rFonts w:hint="eastAsia" w:ascii="宋体" w:hAnsi="宋体" w:eastAsia="宋体" w:cs="宋体"/>
          <w:bCs/>
          <w:color w:val="auto"/>
          <w:sz w:val="24"/>
          <w:highlight w:val="none"/>
        </w:rPr>
        <w:t>磋商小组应当推荐有效供应商中按分值从高到低排名为第一名、第二名、第三名为成交候选人。</w:t>
      </w:r>
    </w:p>
    <w:p w14:paraId="26F0B77B">
      <w:pPr>
        <w:spacing w:line="300" w:lineRule="auto"/>
        <w:ind w:firstLine="482" w:firstLineChars="200"/>
        <w:jc w:val="left"/>
        <w:rPr>
          <w:rFonts w:hint="eastAsia" w:ascii="宋体" w:hAnsi="宋体" w:eastAsia="宋体" w:cs="宋体"/>
          <w:color w:val="auto"/>
          <w:highlight w:val="none"/>
        </w:rPr>
      </w:pPr>
      <w:r>
        <w:rPr>
          <w:rFonts w:hint="eastAsia" w:ascii="宋体" w:hAnsi="宋体" w:eastAsia="宋体" w:cs="宋体"/>
          <w:b/>
          <w:bCs/>
          <w:color w:val="auto"/>
          <w:highlight w:val="none"/>
        </w:rPr>
        <w:t>五、评审报告</w:t>
      </w:r>
    </w:p>
    <w:p w14:paraId="3FBCC780">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评审报告应由磋商起草，按少数服从多数的原则通过。磋商小组全体成员须在评审报告上签字认可，专家如有保留意见可以在评审报告中阐明。</w:t>
      </w:r>
    </w:p>
    <w:p w14:paraId="5100D177">
      <w:pPr>
        <w:spacing w:line="30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六、成交公告</w:t>
      </w:r>
    </w:p>
    <w:p w14:paraId="7E6EDEDE">
      <w:pPr>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采购代理机构自评审结束之日起2个工作日内将评审报告送交采购人。采购人在收到评审报告之日起5个工作日内在评审报告推荐的成交候选人中按顺序确定排名第一的成交候选人为成交供应商。</w:t>
      </w:r>
    </w:p>
    <w:p w14:paraId="324FDEB4">
      <w:pPr>
        <w:bidi w:val="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采购代理机构自成交供应商确定之日起2个工作日内，发出成交通知书，并在发布磋商公告的网站上公告成交结果。</w:t>
      </w:r>
    </w:p>
    <w:p w14:paraId="60A62C34">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5CBA23AD">
      <w:pPr>
        <w:pStyle w:val="23"/>
        <w:rPr>
          <w:rFonts w:hint="eastAsia" w:ascii="宋体" w:hAnsi="宋体" w:eastAsia="宋体" w:cs="宋体"/>
          <w:color w:val="auto"/>
          <w:sz w:val="36"/>
          <w:szCs w:val="36"/>
          <w:highlight w:val="none"/>
        </w:rPr>
      </w:pPr>
      <w:bookmarkStart w:id="77" w:name="_Toc30263"/>
      <w:bookmarkStart w:id="78" w:name="_Toc24252"/>
      <w:r>
        <w:rPr>
          <w:rFonts w:hint="eastAsia" w:ascii="宋体" w:hAnsi="宋体" w:eastAsia="宋体" w:cs="宋体"/>
          <w:color w:val="auto"/>
          <w:sz w:val="36"/>
          <w:szCs w:val="36"/>
          <w:highlight w:val="none"/>
        </w:rPr>
        <w:t>第</w:t>
      </w:r>
      <w:r>
        <w:rPr>
          <w:rFonts w:hint="eastAsia" w:ascii="宋体" w:hAnsi="宋体" w:eastAsia="宋体" w:cs="宋体"/>
          <w:color w:val="auto"/>
          <w:sz w:val="36"/>
          <w:szCs w:val="36"/>
          <w:highlight w:val="none"/>
          <w:lang w:val="en-US" w:eastAsia="zh-CN"/>
        </w:rPr>
        <w:t>五</w:t>
      </w:r>
      <w:r>
        <w:rPr>
          <w:rFonts w:hint="eastAsia" w:ascii="宋体" w:hAnsi="宋体" w:eastAsia="宋体" w:cs="宋体"/>
          <w:color w:val="auto"/>
          <w:sz w:val="36"/>
          <w:szCs w:val="36"/>
          <w:highlight w:val="none"/>
        </w:rPr>
        <w:t>章  嘉善县政府采购合同</w:t>
      </w:r>
      <w:bookmarkEnd w:id="77"/>
      <w:bookmarkEnd w:id="78"/>
    </w:p>
    <w:p w14:paraId="425AA9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一、通用必备条款部分</w:t>
      </w:r>
    </w:p>
    <w:p w14:paraId="4174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合同编号：</w:t>
      </w:r>
    </w:p>
    <w:p w14:paraId="32A1C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政府采购计划（预算）确认书编号：</w:t>
      </w:r>
      <w:r>
        <w:rPr>
          <w:rFonts w:hint="eastAsia" w:ascii="宋体" w:hAnsi="宋体" w:eastAsia="宋体" w:cs="宋体"/>
          <w:color w:val="auto"/>
          <w:highlight w:val="none"/>
          <w:lang w:eastAsia="zh-CN"/>
        </w:rPr>
        <w:t>善财采确</w:t>
      </w:r>
      <w:r>
        <w:rPr>
          <w:rFonts w:hint="eastAsia" w:ascii="宋体" w:hAnsi="宋体" w:eastAsia="宋体" w:cs="宋体"/>
          <w:color w:val="auto"/>
          <w:highlight w:val="none"/>
          <w:lang w:val="en-US" w:eastAsia="zh-CN"/>
        </w:rPr>
        <w:t>临</w:t>
      </w:r>
      <w:r>
        <w:rPr>
          <w:rFonts w:hint="eastAsia" w:ascii="宋体" w:hAnsi="宋体" w:eastAsia="宋体" w:cs="宋体"/>
          <w:color w:val="auto"/>
          <w:highlight w:val="none"/>
          <w:lang w:eastAsia="zh-CN"/>
        </w:rPr>
        <w:t>[20</w:t>
      </w:r>
      <w:r>
        <w:rPr>
          <w:rFonts w:hint="eastAsia" w:ascii="宋体" w:hAnsi="宋体" w:cs="宋体"/>
          <w:color w:val="auto"/>
          <w:highlight w:val="none"/>
          <w:lang w:val="en-US" w:eastAsia="zh-CN"/>
        </w:rPr>
        <w:t>25</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1455</w:t>
      </w:r>
      <w:r>
        <w:rPr>
          <w:rFonts w:hint="eastAsia" w:ascii="宋体" w:hAnsi="宋体" w:eastAsia="宋体" w:cs="宋体"/>
          <w:color w:val="auto"/>
          <w:highlight w:val="none"/>
          <w:lang w:val="en-US" w:eastAsia="zh-CN"/>
        </w:rPr>
        <w:t>号</w:t>
      </w:r>
    </w:p>
    <w:p w14:paraId="61878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预算金额：</w:t>
      </w:r>
      <w:r>
        <w:rPr>
          <w:rFonts w:hint="eastAsia" w:ascii="宋体" w:hAnsi="宋体" w:cs="宋体"/>
          <w:color w:val="auto"/>
          <w:sz w:val="24"/>
          <w:szCs w:val="24"/>
          <w:highlight w:val="none"/>
          <w:lang w:val="en-US" w:eastAsia="zh-CN"/>
        </w:rPr>
        <w:t>693100.00</w:t>
      </w:r>
      <w:r>
        <w:rPr>
          <w:rFonts w:hint="eastAsia" w:ascii="宋体" w:hAnsi="宋体" w:eastAsia="宋体" w:cs="宋体"/>
          <w:color w:val="auto"/>
          <w:sz w:val="24"/>
          <w:szCs w:val="24"/>
          <w:highlight w:val="none"/>
        </w:rPr>
        <w:t>元</w:t>
      </w:r>
    </w:p>
    <w:p w14:paraId="68EC3680">
      <w:pPr>
        <w:pStyle w:val="12"/>
        <w:snapToGrid w:val="0"/>
        <w:spacing w:beforeLines="0" w:afterLines="0" w:line="30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采购人（以下称甲方）：</w:t>
      </w:r>
      <w:r>
        <w:rPr>
          <w:rFonts w:hint="eastAsia" w:hAnsi="宋体" w:cs="宋体"/>
          <w:color w:val="auto"/>
          <w:sz w:val="24"/>
          <w:szCs w:val="24"/>
          <w:highlight w:val="none"/>
          <w:u w:val="none"/>
          <w:lang w:val="en-US" w:eastAsia="zh-CN"/>
        </w:rPr>
        <w:t>嘉善县实验小学</w:t>
      </w:r>
    </w:p>
    <w:p w14:paraId="5F13C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供应商（以下称乙方）：</w:t>
      </w:r>
    </w:p>
    <w:p w14:paraId="50488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采购代理机构：</w:t>
      </w:r>
      <w:r>
        <w:rPr>
          <w:rFonts w:hint="eastAsia" w:ascii="宋体" w:hAnsi="宋体" w:cs="宋体"/>
          <w:color w:val="auto"/>
          <w:kern w:val="0"/>
          <w:sz w:val="24"/>
          <w:highlight w:val="none"/>
          <w:lang w:eastAsia="zh-CN"/>
        </w:rPr>
        <w:t>浙江中合工程管理有限公司</w:t>
      </w:r>
    </w:p>
    <w:p w14:paraId="45490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采购方式：竞争性磋商</w:t>
      </w:r>
    </w:p>
    <w:p w14:paraId="74690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采购文件编号：</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ZHJS（CS)-2025-009</w:t>
      </w:r>
    </w:p>
    <w:p w14:paraId="4EBCB0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u w:val="single"/>
        </w:rPr>
      </w:pPr>
    </w:p>
    <w:p w14:paraId="44919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sz w:val="24"/>
          <w:szCs w:val="24"/>
          <w:highlight w:val="none"/>
          <w:u w:val="single"/>
          <w:lang w:val="en-US" w:eastAsia="zh-CN"/>
        </w:rPr>
        <w:t>嘉善县实验小学2025年度校舍常规维修</w:t>
      </w:r>
      <w:r>
        <w:rPr>
          <w:rFonts w:hint="eastAsia" w:ascii="宋体" w:hAnsi="宋体" w:eastAsia="宋体" w:cs="宋体"/>
          <w:color w:val="auto"/>
          <w:kern w:val="0"/>
          <w:sz w:val="24"/>
          <w:highlight w:val="none"/>
        </w:rPr>
        <w:t>采购结果签订本合同。</w:t>
      </w:r>
    </w:p>
    <w:p w14:paraId="3362B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第一条 合同组成</w:t>
      </w:r>
    </w:p>
    <w:p w14:paraId="6198D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本次政府采购活动的相关文件为本合同的组成部分，这些文件包括但不限于：</w:t>
      </w:r>
    </w:p>
    <w:p w14:paraId="0E9EE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（1）本合同文本；</w:t>
      </w:r>
    </w:p>
    <w:p w14:paraId="26F6C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（2）磋商文件与磋商响应文件；</w:t>
      </w:r>
    </w:p>
    <w:p w14:paraId="169A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（3）成交通知书；</w:t>
      </w:r>
    </w:p>
    <w:p w14:paraId="77FC5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组成本合同的所有文件必须为书面形式（其中磋商响应文件以</w:t>
      </w:r>
      <w:r>
        <w:rPr>
          <w:rFonts w:hint="eastAsia" w:ascii="宋体" w:hAnsi="宋体" w:eastAsia="宋体" w:cs="宋体"/>
          <w:color w:val="auto"/>
          <w:kern w:val="0"/>
          <w:sz w:val="24"/>
          <w:szCs w:val="24"/>
          <w:highlight w:val="none"/>
        </w:rPr>
        <w:t>在政采云平台上最后生成的具备电子签章的电子响应文件为准</w:t>
      </w:r>
      <w:r>
        <w:rPr>
          <w:rFonts w:hint="eastAsia" w:ascii="宋体" w:hAnsi="宋体" w:eastAsia="宋体" w:cs="宋体"/>
          <w:color w:val="auto"/>
          <w:kern w:val="0"/>
          <w:sz w:val="24"/>
          <w:highlight w:val="none"/>
        </w:rPr>
        <w:t>）。政府采购合同备案时，须提供以上（1）、（3）两项，如由社会中介机构代理，须提供代理协议，合同如有变更的，须提供变更协议。</w:t>
      </w:r>
    </w:p>
    <w:p w14:paraId="0823A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第二条 合同标的与相关属性</w:t>
      </w:r>
    </w:p>
    <w:p w14:paraId="3F05E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1.本次采购的是</w:t>
      </w:r>
      <w:r>
        <w:rPr>
          <w:rFonts w:hint="eastAsia" w:ascii="宋体" w:hAnsi="宋体" w:cs="宋体"/>
          <w:color w:val="auto"/>
          <w:sz w:val="24"/>
          <w:szCs w:val="24"/>
          <w:highlight w:val="none"/>
          <w:u w:val="single"/>
          <w:lang w:val="en-US" w:eastAsia="zh-CN"/>
        </w:rPr>
        <w:t>嘉善县实验小学2025年度校舍常规维修</w:t>
      </w:r>
      <w:r>
        <w:rPr>
          <w:rFonts w:hint="eastAsia" w:ascii="宋体" w:hAnsi="宋体" w:eastAsia="宋体" w:cs="宋体"/>
          <w:color w:val="auto"/>
          <w:sz w:val="24"/>
          <w:szCs w:val="24"/>
          <w:highlight w:val="none"/>
          <w:u w:val="single"/>
        </w:rPr>
        <w:t>。</w:t>
      </w:r>
    </w:p>
    <w:p w14:paraId="5B21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2.乙方是否属于中小微企业：□是□否</w:t>
      </w:r>
    </w:p>
    <w:p w14:paraId="39E69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3.本合同项下产品属于（可多选）：□环保产品；□节能产品；□进口产品</w:t>
      </w:r>
    </w:p>
    <w:p w14:paraId="779EC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第三条 合同价款</w:t>
      </w:r>
    </w:p>
    <w:p w14:paraId="51937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color w:val="auto"/>
          <w:kern w:val="0"/>
          <w:sz w:val="24"/>
          <w:highlight w:val="none"/>
        </w:rPr>
        <w:t>1.本合同项下总价款为人民币（大写）</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，分项价款见“价格清单”。</w:t>
      </w:r>
      <w:r>
        <w:rPr>
          <w:rFonts w:hint="eastAsia" w:ascii="宋体" w:hAnsi="宋体" w:eastAsia="宋体" w:cs="宋体"/>
          <w:color w:val="auto"/>
          <w:kern w:val="2"/>
          <w:sz w:val="24"/>
          <w:szCs w:val="24"/>
          <w:highlight w:val="none"/>
          <w:lang w:val="en-US" w:eastAsia="zh-CN"/>
        </w:rPr>
        <w:t>成交下浮率为</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none"/>
          <w:lang w:val="en-US" w:eastAsia="zh-CN"/>
        </w:rPr>
        <w:t>。</w:t>
      </w:r>
      <w:r>
        <w:rPr>
          <w:rFonts w:hint="eastAsia" w:ascii="宋体" w:hAnsi="宋体" w:eastAsia="宋体" w:cs="宋体"/>
          <w:b/>
          <w:color w:val="auto"/>
          <w:kern w:val="2"/>
          <w:sz w:val="24"/>
          <w:szCs w:val="24"/>
          <w:highlight w:val="none"/>
          <w:u w:val="single"/>
        </w:rPr>
        <w:t>最终以结算审计为准</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本工程结算方式：按</w:t>
      </w:r>
      <w:r>
        <w:rPr>
          <w:rFonts w:hint="eastAsia" w:ascii="宋体" w:hAnsi="宋体" w:cs="宋体"/>
          <w:b/>
          <w:color w:val="auto"/>
          <w:kern w:val="2"/>
          <w:sz w:val="24"/>
          <w:szCs w:val="24"/>
          <w:highlight w:val="none"/>
          <w:u w:val="single"/>
          <w:lang w:val="en-US" w:eastAsia="zh-CN"/>
        </w:rPr>
        <w:t>嘉善县实验小学2025年度校舍常规维修</w:t>
      </w:r>
      <w:r>
        <w:rPr>
          <w:rFonts w:hint="eastAsia" w:ascii="宋体" w:hAnsi="宋体" w:eastAsia="宋体" w:cs="宋体"/>
          <w:b/>
          <w:color w:val="auto"/>
          <w:kern w:val="2"/>
          <w:sz w:val="24"/>
          <w:szCs w:val="24"/>
          <w:highlight w:val="none"/>
          <w:u w:val="single"/>
          <w:lang w:val="en-US" w:eastAsia="zh-CN"/>
        </w:rPr>
        <w:t>中标报价文件中第壹轮报价的计算口径，按实际工程量计算所得工程造价</w:t>
      </w:r>
      <w:r>
        <w:rPr>
          <w:rFonts w:hint="eastAsia" w:ascii="宋体" w:hAnsi="宋体" w:eastAsia="宋体" w:cs="宋体"/>
          <w:b/>
          <w:color w:val="auto"/>
          <w:kern w:val="2"/>
          <w:sz w:val="24"/>
          <w:szCs w:val="24"/>
          <w:highlight w:val="none"/>
          <w:u w:val="single"/>
        </w:rPr>
        <w:t>×</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1-成交下浮率</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 xml:space="preserve">。  </w:t>
      </w:r>
    </w:p>
    <w:p w14:paraId="766C4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szCs w:val="24"/>
          <w:highlight w:val="none"/>
        </w:rPr>
        <w:t>本合同总价款含所有</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文件所确定的招标范围内全部工作内容的价格</w:t>
      </w:r>
      <w:r>
        <w:rPr>
          <w:rFonts w:hint="eastAsia" w:ascii="宋体" w:hAnsi="宋体" w:eastAsia="宋体" w:cs="宋体"/>
          <w:color w:val="auto"/>
          <w:sz w:val="24"/>
          <w:highlight w:val="none"/>
        </w:rPr>
        <w:t>。</w:t>
      </w:r>
    </w:p>
    <w:p w14:paraId="6F73E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3.本项目资金来源性质为以下第</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w:t>
      </w:r>
    </w:p>
    <w:p w14:paraId="3DE34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政府预算</w:t>
      </w:r>
      <w:r>
        <w:rPr>
          <w:rFonts w:hint="eastAsia" w:ascii="宋体" w:hAnsi="宋体" w:cs="宋体"/>
          <w:color w:val="auto"/>
          <w:kern w:val="0"/>
          <w:sz w:val="24"/>
          <w:highlight w:val="none"/>
        </w:rPr>
        <w:t>资金；（2）</w:t>
      </w:r>
      <w:r>
        <w:rPr>
          <w:rFonts w:hint="eastAsia" w:ascii="宋体" w:hAnsi="宋体" w:cs="宋体"/>
          <w:color w:val="auto"/>
          <w:kern w:val="0"/>
          <w:sz w:val="24"/>
          <w:highlight w:val="none"/>
          <w:lang w:val="en-US" w:eastAsia="zh-CN"/>
        </w:rPr>
        <w:t>财政专户管理</w:t>
      </w:r>
      <w:r>
        <w:rPr>
          <w:rFonts w:hint="eastAsia" w:ascii="宋体" w:hAnsi="宋体" w:cs="宋体"/>
          <w:color w:val="auto"/>
          <w:kern w:val="0"/>
          <w:sz w:val="24"/>
          <w:highlight w:val="none"/>
        </w:rPr>
        <w:t>资金；（3）</w:t>
      </w:r>
      <w:r>
        <w:rPr>
          <w:rFonts w:hint="eastAsia" w:ascii="宋体" w:hAnsi="宋体" w:cs="宋体"/>
          <w:color w:val="auto"/>
          <w:kern w:val="0"/>
          <w:sz w:val="24"/>
          <w:highlight w:val="none"/>
          <w:lang w:val="en-US" w:eastAsia="zh-CN"/>
        </w:rPr>
        <w:t>单位</w:t>
      </w:r>
      <w:r>
        <w:rPr>
          <w:rFonts w:hint="eastAsia" w:ascii="宋体" w:hAnsi="宋体" w:cs="宋体"/>
          <w:color w:val="auto"/>
          <w:kern w:val="0"/>
          <w:sz w:val="24"/>
          <w:highlight w:val="none"/>
        </w:rPr>
        <w:t>资金；（4）</w:t>
      </w:r>
      <w:r>
        <w:rPr>
          <w:rFonts w:hint="eastAsia" w:ascii="宋体" w:hAnsi="宋体" w:cs="宋体"/>
          <w:color w:val="auto"/>
          <w:kern w:val="0"/>
          <w:sz w:val="24"/>
          <w:highlight w:val="none"/>
          <w:lang w:val="en-US" w:eastAsia="zh-CN"/>
        </w:rPr>
        <w:t>事业单位经营性收入资金</w:t>
      </w:r>
      <w:r>
        <w:rPr>
          <w:rFonts w:hint="eastAsia" w:ascii="宋体" w:hAnsi="宋体" w:cs="宋体"/>
          <w:color w:val="auto"/>
          <w:kern w:val="0"/>
          <w:sz w:val="24"/>
          <w:highlight w:val="none"/>
        </w:rPr>
        <w:t>；（5）政府预算资金暂存；（6）其他收入资金；（7）事业收入资金。</w:t>
      </w:r>
    </w:p>
    <w:p w14:paraId="4F31F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4.本合同付款方式为以下第</w:t>
      </w:r>
      <w:r>
        <w:rPr>
          <w:rFonts w:hint="eastAsia" w:ascii="宋体" w:hAnsi="宋体" w:eastAsia="宋体" w:cs="宋体"/>
          <w:color w:val="auto"/>
          <w:kern w:val="0"/>
          <w:sz w:val="24"/>
          <w:highlight w:val="none"/>
          <w:u w:val="single"/>
        </w:rPr>
        <w:t xml:space="preserve">   （3）   </w:t>
      </w:r>
      <w:r>
        <w:rPr>
          <w:rFonts w:hint="eastAsia" w:ascii="宋体" w:hAnsi="宋体" w:eastAsia="宋体" w:cs="宋体"/>
          <w:color w:val="auto"/>
          <w:kern w:val="0"/>
          <w:sz w:val="24"/>
          <w:highlight w:val="none"/>
        </w:rPr>
        <w:t>项：</w:t>
      </w:r>
    </w:p>
    <w:p w14:paraId="037D9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（1）本合同项下的采购资金系甲方自行支付，付款程序为</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w:t>
      </w:r>
    </w:p>
    <w:p w14:paraId="764FE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（2）本合同项下的采购资金须财政直接支付，付款程序为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C46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（3）其他方式：</w:t>
      </w:r>
      <w:r>
        <w:rPr>
          <w:rFonts w:hint="eastAsia" w:ascii="宋体" w:hAnsi="宋体" w:eastAsia="宋体" w:cs="宋体"/>
          <w:color w:val="auto"/>
          <w:kern w:val="0"/>
          <w:sz w:val="24"/>
          <w:highlight w:val="none"/>
          <w:u w:val="single"/>
        </w:rPr>
        <w:t>授权支付。</w:t>
      </w:r>
    </w:p>
    <w:p w14:paraId="6A1DF96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cs="宋体"/>
          <w:color w:val="auto"/>
          <w:kern w:val="0"/>
          <w:sz w:val="24"/>
          <w:highlight w:val="none"/>
        </w:rPr>
        <w:t>本合同项下的采购资金付款进度按磋商文件与响应文件规定，未规定时按以下第</w:t>
      </w:r>
      <w:r>
        <w:rPr>
          <w:rFonts w:hint="eastAsia" w:ascii="宋体" w:hAnsi="宋体" w:cs="宋体"/>
          <w:color w:val="auto"/>
          <w:kern w:val="0"/>
          <w:sz w:val="24"/>
          <w:highlight w:val="none"/>
          <w:u w:val="single"/>
        </w:rPr>
        <w:t>（2）</w:t>
      </w:r>
      <w:r>
        <w:rPr>
          <w:rFonts w:hint="eastAsia" w:ascii="宋体" w:hAnsi="宋体" w:cs="宋体"/>
          <w:color w:val="auto"/>
          <w:kern w:val="0"/>
          <w:sz w:val="24"/>
          <w:highlight w:val="none"/>
        </w:rPr>
        <w:t>项支付</w:t>
      </w:r>
      <w:r>
        <w:rPr>
          <w:rFonts w:hint="eastAsia" w:ascii="宋体" w:hAnsi="宋体" w:cs="Arial"/>
          <w:color w:val="auto"/>
          <w:kern w:val="0"/>
          <w:sz w:val="24"/>
          <w:szCs w:val="24"/>
          <w:highlight w:val="none"/>
        </w:rPr>
        <w:t>：</w:t>
      </w:r>
    </w:p>
    <w:p w14:paraId="1138DC9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（1）一次性付款：乙方合同履行达到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（条件）时，一次性付款；</w:t>
      </w:r>
    </w:p>
    <w:p w14:paraId="0CAA4C8A">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（2）分期付款：</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详见专用合同条款第12</w:t>
      </w:r>
      <w:r>
        <w:rPr>
          <w:rFonts w:hint="eastAsia" w:ascii="宋体" w:hAnsi="宋体" w:cs="宋体"/>
          <w:color w:val="auto"/>
          <w:kern w:val="0"/>
          <w:sz w:val="24"/>
          <w:szCs w:val="24"/>
          <w:highlight w:val="none"/>
          <w:u w:val="single"/>
          <w:lang w:val="en-US" w:eastAsia="zh-CN"/>
        </w:rPr>
        <w:t>条</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21E9E831">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第四条 履约保证金</w:t>
      </w:r>
    </w:p>
    <w:p w14:paraId="56AE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按以下第</w:t>
      </w:r>
      <w:r>
        <w:rPr>
          <w:rFonts w:hint="eastAsia" w:ascii="宋体" w:hAnsi="宋体" w:eastAsia="宋体" w:cs="宋体"/>
          <w:color w:val="auto"/>
          <w:kern w:val="0"/>
          <w:sz w:val="24"/>
          <w:highlight w:val="none"/>
          <w:u w:val="single"/>
        </w:rPr>
        <w:t xml:space="preserve">   1   </w:t>
      </w:r>
      <w:r>
        <w:rPr>
          <w:rFonts w:hint="eastAsia" w:ascii="宋体" w:hAnsi="宋体" w:eastAsia="宋体" w:cs="宋体"/>
          <w:color w:val="auto"/>
          <w:kern w:val="0"/>
          <w:sz w:val="24"/>
          <w:highlight w:val="none"/>
        </w:rPr>
        <w:t>项处理：</w:t>
      </w:r>
    </w:p>
    <w:p w14:paraId="5834F542">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本项目设置履约保证金，乙方应于项目实施前以汇款/转账</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银行保函</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保险机构保证保险保单</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融资担保公司保函等非现金形式向甲方提交履约保证金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元（本合同金额的</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%）。履约保证金在</w:t>
      </w:r>
      <w:r>
        <w:rPr>
          <w:rFonts w:hint="eastAsia" w:ascii="宋体" w:hAnsi="宋体" w:eastAsia="宋体" w:cs="宋体"/>
          <w:color w:val="auto"/>
          <w:kern w:val="0"/>
          <w:sz w:val="24"/>
          <w:highlight w:val="none"/>
          <w:lang w:val="en-US" w:eastAsia="zh-CN"/>
        </w:rPr>
        <w:t>工程竣工验收合格</w:t>
      </w:r>
      <w:r>
        <w:rPr>
          <w:rFonts w:hint="eastAsia" w:ascii="宋体" w:hAnsi="宋体" w:eastAsia="宋体" w:cs="宋体"/>
          <w:color w:val="auto"/>
          <w:kern w:val="0"/>
          <w:sz w:val="24"/>
          <w:highlight w:val="none"/>
        </w:rPr>
        <w:t>后</w:t>
      </w:r>
      <w:r>
        <w:rPr>
          <w:rFonts w:hint="eastAsia" w:ascii="宋体" w:hAnsi="宋体" w:eastAsia="宋体" w:cs="宋体"/>
          <w:color w:val="auto"/>
          <w:kern w:val="0"/>
          <w:sz w:val="24"/>
          <w:highlight w:val="none"/>
          <w:lang w:val="en-US" w:eastAsia="zh-CN"/>
        </w:rPr>
        <w:t>10日</w:t>
      </w:r>
      <w:r>
        <w:rPr>
          <w:rFonts w:hint="eastAsia" w:ascii="宋体" w:hAnsi="宋体" w:eastAsia="宋体" w:cs="宋体"/>
          <w:color w:val="auto"/>
          <w:kern w:val="0"/>
          <w:sz w:val="24"/>
          <w:highlight w:val="none"/>
        </w:rPr>
        <w:t>内无息退还。</w:t>
      </w:r>
    </w:p>
    <w:p w14:paraId="71E88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2.本项目不设置履约保证金。</w:t>
      </w:r>
    </w:p>
    <w:p w14:paraId="2893523A">
      <w:pPr>
        <w:spacing w:line="300" w:lineRule="auto"/>
        <w:ind w:firstLine="482" w:firstLineChars="200"/>
        <w:rPr>
          <w:rFonts w:hint="eastAsia" w:ascii="宋体" w:hAnsi="宋体" w:eastAsia="宋体" w:cs="宋体"/>
          <w:b/>
          <w:bCs/>
          <w:color w:val="auto"/>
          <w:sz w:val="24"/>
          <w:highlight w:val="none"/>
          <w:lang w:val="en-US"/>
        </w:rPr>
      </w:pPr>
      <w:r>
        <w:rPr>
          <w:rFonts w:hint="eastAsia" w:ascii="宋体" w:hAnsi="宋体" w:eastAsia="宋体" w:cs="宋体"/>
          <w:b/>
          <w:bCs/>
          <w:color w:val="auto"/>
          <w:kern w:val="0"/>
          <w:sz w:val="24"/>
          <w:highlight w:val="none"/>
        </w:rPr>
        <w:t>第五</w:t>
      </w:r>
      <w:r>
        <w:rPr>
          <w:rFonts w:hint="eastAsia" w:ascii="宋体" w:hAnsi="宋体" w:eastAsia="宋体" w:cs="宋体"/>
          <w:b/>
          <w:color w:val="auto"/>
          <w:kern w:val="0"/>
          <w:sz w:val="24"/>
          <w:highlight w:val="none"/>
        </w:rPr>
        <w:t xml:space="preserve">条 </w:t>
      </w:r>
      <w:r>
        <w:rPr>
          <w:rFonts w:hint="eastAsia" w:ascii="宋体" w:hAnsi="宋体" w:eastAsia="宋体" w:cs="宋体"/>
          <w:b/>
          <w:bCs/>
          <w:color w:val="auto"/>
          <w:sz w:val="24"/>
          <w:highlight w:val="none"/>
          <w:lang w:val="en-US" w:eastAsia="zh-CN"/>
        </w:rPr>
        <w:t>合同履行期限</w:t>
      </w:r>
    </w:p>
    <w:p w14:paraId="550AE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w:t>
      </w:r>
    </w:p>
    <w:p w14:paraId="6D09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六</w:t>
      </w:r>
      <w:r>
        <w:rPr>
          <w:rFonts w:hint="eastAsia" w:ascii="宋体" w:hAnsi="宋体" w:eastAsia="宋体" w:cs="宋体"/>
          <w:b/>
          <w:color w:val="auto"/>
          <w:kern w:val="0"/>
          <w:sz w:val="24"/>
          <w:highlight w:val="none"/>
        </w:rPr>
        <w:t>条 合同的变更和终止</w:t>
      </w:r>
    </w:p>
    <w:p w14:paraId="17CA5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14:paraId="39230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七</w:t>
      </w:r>
      <w:r>
        <w:rPr>
          <w:rFonts w:hint="eastAsia" w:ascii="宋体" w:hAnsi="宋体" w:eastAsia="宋体" w:cs="宋体"/>
          <w:b/>
          <w:color w:val="auto"/>
          <w:kern w:val="0"/>
          <w:sz w:val="24"/>
          <w:highlight w:val="none"/>
        </w:rPr>
        <w:t>条 合同的转让与分包</w:t>
      </w:r>
    </w:p>
    <w:p w14:paraId="6CAEE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szCs w:val="24"/>
          <w:highlight w:val="none"/>
        </w:rPr>
        <w:t>本项目不允许转让；</w:t>
      </w:r>
      <w:r>
        <w:rPr>
          <w:rFonts w:hint="eastAsia" w:ascii="宋体" w:hAnsi="宋体" w:cs="宋体"/>
          <w:color w:val="auto"/>
          <w:sz w:val="24"/>
          <w:szCs w:val="24"/>
          <w:highlight w:val="none"/>
        </w:rPr>
        <w:t>本项目不可以</w:t>
      </w:r>
      <w:r>
        <w:rPr>
          <w:rFonts w:hint="eastAsia" w:ascii="宋体" w:hAnsi="宋体" w:cs="宋体"/>
          <w:color w:val="auto"/>
          <w:sz w:val="24"/>
          <w:szCs w:val="24"/>
          <w:highlight w:val="none"/>
          <w:lang w:eastAsia="zh-CN"/>
        </w:rPr>
        <w:t>违规</w:t>
      </w:r>
      <w:r>
        <w:rPr>
          <w:rFonts w:hint="eastAsia" w:ascii="宋体" w:hAnsi="宋体" w:cs="宋体"/>
          <w:color w:val="auto"/>
          <w:sz w:val="24"/>
          <w:szCs w:val="24"/>
          <w:highlight w:val="none"/>
        </w:rPr>
        <w:t>分</w:t>
      </w:r>
      <w:r>
        <w:rPr>
          <w:rFonts w:hint="eastAsia" w:ascii="宋体" w:hAnsi="宋体" w:eastAsia="宋体" w:cs="宋体"/>
          <w:color w:val="auto"/>
          <w:sz w:val="24"/>
          <w:szCs w:val="24"/>
          <w:highlight w:val="none"/>
        </w:rPr>
        <w:t>包</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在不涉及国家禁止的且由业主书面同意方可分包</w:t>
      </w:r>
      <w:r>
        <w:rPr>
          <w:rFonts w:hint="eastAsia" w:ascii="宋体" w:hAnsi="宋体" w:cs="宋体"/>
          <w:color w:val="auto"/>
          <w:kern w:val="0"/>
          <w:sz w:val="24"/>
          <w:szCs w:val="24"/>
          <w:highlight w:val="none"/>
        </w:rPr>
        <w:t>。</w:t>
      </w:r>
    </w:p>
    <w:p w14:paraId="01D5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八</w:t>
      </w:r>
      <w:r>
        <w:rPr>
          <w:rFonts w:hint="eastAsia" w:ascii="宋体" w:hAnsi="宋体" w:eastAsia="宋体" w:cs="宋体"/>
          <w:b/>
          <w:color w:val="auto"/>
          <w:kern w:val="0"/>
          <w:sz w:val="24"/>
          <w:highlight w:val="none"/>
        </w:rPr>
        <w:t>条 争议的解决</w:t>
      </w:r>
    </w:p>
    <w:p w14:paraId="61028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eastAsia="宋体" w:cs="宋体"/>
          <w:color w:val="auto"/>
          <w:kern w:val="0"/>
          <w:sz w:val="24"/>
          <w:highlight w:val="none"/>
          <w:u w:val="single"/>
        </w:rPr>
        <w:t>（1）</w:t>
      </w:r>
      <w:r>
        <w:rPr>
          <w:rFonts w:hint="eastAsia" w:ascii="宋体" w:hAnsi="宋体" w:eastAsia="宋体" w:cs="宋体"/>
          <w:color w:val="auto"/>
          <w:kern w:val="0"/>
          <w:sz w:val="24"/>
          <w:highlight w:val="none"/>
        </w:rPr>
        <w:t>种方式解决争议：</w:t>
      </w:r>
    </w:p>
    <w:p w14:paraId="6E2ED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（1）向甲方所在地有管辖权的人民法院提起诉讼；</w:t>
      </w:r>
    </w:p>
    <w:p w14:paraId="6933D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（2）向</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仲裁委员申请仲裁。</w:t>
      </w:r>
    </w:p>
    <w:p w14:paraId="6DF3E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九</w:t>
      </w:r>
      <w:r>
        <w:rPr>
          <w:rFonts w:hint="eastAsia" w:ascii="宋体" w:hAnsi="宋体" w:eastAsia="宋体" w:cs="宋体"/>
          <w:b/>
          <w:color w:val="auto"/>
          <w:kern w:val="0"/>
          <w:sz w:val="24"/>
          <w:highlight w:val="none"/>
        </w:rPr>
        <w:t>条 合同及其他</w:t>
      </w:r>
    </w:p>
    <w:p w14:paraId="0DEF2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1.合同经双方法定代表人或授权代表签字并加盖单位公章后生效。</w:t>
      </w:r>
    </w:p>
    <w:p w14:paraId="3C90C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2.合同执行中涉及采购资金和采购内容修改或补充的，须经甲方审批，并签书面补充协议备案，方可作为主合同不可分割的一部分。</w:t>
      </w:r>
    </w:p>
    <w:p w14:paraId="2AA5B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3.本项目的磋商文件、响应文件及磋商过程中形成的文字资料、询标记录均作为本合同的组成部分，具有同等效力。本合同未尽事宜，遵照《</w:t>
      </w:r>
      <w:r>
        <w:rPr>
          <w:rFonts w:hint="eastAsia" w:ascii="宋体" w:hAnsi="宋体" w:eastAsia="宋体" w:cs="宋体"/>
          <w:color w:val="auto"/>
          <w:kern w:val="0"/>
          <w:sz w:val="24"/>
          <w:highlight w:val="none"/>
        </w:rPr>
        <w:t>中华人民共和国民法典</w:t>
      </w:r>
      <w:r>
        <w:rPr>
          <w:rFonts w:hint="eastAsia" w:ascii="宋体" w:hAnsi="宋体" w:eastAsia="宋体" w:cs="宋体"/>
          <w:color w:val="auto"/>
          <w:sz w:val="24"/>
          <w:szCs w:val="24"/>
          <w:highlight w:val="none"/>
        </w:rPr>
        <w:t>》有关条文执行。</w:t>
      </w:r>
    </w:p>
    <w:p w14:paraId="7E58101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w:t>
      </w:r>
      <w:r>
        <w:rPr>
          <w:rFonts w:hint="eastAsia" w:ascii="宋体" w:hAnsi="宋体" w:eastAsia="宋体" w:cs="宋体"/>
          <w:color w:val="auto"/>
          <w:kern w:val="0"/>
          <w:sz w:val="24"/>
          <w:highlight w:val="none"/>
        </w:rPr>
        <w:t>本合同一式九份，甲乙双方各持三份、县财政局、财政支付（核算）中心、招标代理机构各持一份</w:t>
      </w:r>
      <w:r>
        <w:rPr>
          <w:rFonts w:hint="eastAsia" w:ascii="宋体" w:hAnsi="宋体" w:eastAsia="宋体" w:cs="宋体"/>
          <w:color w:val="auto"/>
          <w:kern w:val="0"/>
          <w:sz w:val="24"/>
          <w:szCs w:val="24"/>
          <w:highlight w:val="none"/>
        </w:rPr>
        <w:t>。</w:t>
      </w:r>
    </w:p>
    <w:p w14:paraId="3B67F0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二、特殊专用条款部分</w:t>
      </w:r>
    </w:p>
    <w:p w14:paraId="1D87588D">
      <w:pPr>
        <w:keepNext/>
        <w:keepLines/>
        <w:autoSpaceDE/>
        <w:autoSpaceDN/>
        <w:snapToGrid w:val="0"/>
        <w:spacing w:before="260" w:after="260" w:line="360" w:lineRule="auto"/>
        <w:jc w:val="center"/>
        <w:outlineLvl w:val="1"/>
        <w:rPr>
          <w:rFonts w:hint="eastAsia" w:ascii="宋体" w:hAnsi="宋体" w:eastAsia="宋体" w:cs="宋体"/>
          <w:b/>
          <w:bCs/>
          <w:color w:val="auto"/>
          <w:kern w:val="2"/>
          <w:sz w:val="30"/>
          <w:szCs w:val="32"/>
          <w:highlight w:val="none"/>
        </w:rPr>
      </w:pPr>
      <w:bookmarkStart w:id="79" w:name="_Toc366510845"/>
      <w:bookmarkStart w:id="80" w:name="_Toc11224"/>
      <w:bookmarkStart w:id="81" w:name="_Toc25907"/>
      <w:bookmarkStart w:id="82" w:name="_Toc78877550"/>
      <w:bookmarkStart w:id="83" w:name="_Toc31920"/>
      <w:bookmarkStart w:id="84" w:name="_Toc88063521"/>
      <w:bookmarkStart w:id="85" w:name="_Toc366227287"/>
      <w:r>
        <w:rPr>
          <w:rFonts w:hint="eastAsia" w:ascii="宋体" w:hAnsi="宋体" w:eastAsia="宋体" w:cs="宋体"/>
          <w:b/>
          <w:bCs/>
          <w:color w:val="auto"/>
          <w:kern w:val="2"/>
          <w:sz w:val="30"/>
          <w:szCs w:val="32"/>
          <w:highlight w:val="none"/>
        </w:rPr>
        <w:t>第一部分合同协议书</w:t>
      </w:r>
      <w:bookmarkEnd w:id="79"/>
      <w:bookmarkEnd w:id="80"/>
      <w:bookmarkEnd w:id="81"/>
      <w:bookmarkEnd w:id="82"/>
      <w:bookmarkEnd w:id="83"/>
      <w:bookmarkEnd w:id="84"/>
      <w:bookmarkEnd w:id="85"/>
    </w:p>
    <w:p w14:paraId="39559DAC">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rPr>
        <w:t>发包人（全称）：</w:t>
      </w:r>
      <w:r>
        <w:rPr>
          <w:rFonts w:hint="eastAsia" w:ascii="宋体" w:hAnsi="宋体" w:cs="宋体"/>
          <w:color w:val="auto"/>
          <w:sz w:val="24"/>
          <w:szCs w:val="24"/>
          <w:highlight w:val="none"/>
          <w:u w:val="single"/>
          <w:lang w:val="en-US" w:eastAsia="zh-CN"/>
        </w:rPr>
        <w:t>嘉善县实验小学</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lang w:val="en-US" w:eastAsia="zh-CN"/>
        </w:rPr>
        <w:t xml:space="preserve">        </w:t>
      </w:r>
    </w:p>
    <w:p w14:paraId="3BB5CFF5">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u w:val="single"/>
        </w:rPr>
      </w:pPr>
      <w:r>
        <w:rPr>
          <w:rFonts w:hint="eastAsia" w:ascii="宋体" w:hAnsi="宋体" w:eastAsia="宋体" w:cs="宋体"/>
          <w:b/>
          <w:color w:val="auto"/>
          <w:kern w:val="2"/>
          <w:sz w:val="24"/>
          <w:szCs w:val="24"/>
          <w:highlight w:val="none"/>
        </w:rPr>
        <w:t>承包人（全称）：</w:t>
      </w:r>
      <w:r>
        <w:rPr>
          <w:rFonts w:hint="eastAsia" w:ascii="宋体" w:hAnsi="宋体" w:eastAsia="宋体" w:cs="宋体"/>
          <w:b/>
          <w:color w:val="auto"/>
          <w:kern w:val="2"/>
          <w:sz w:val="24"/>
          <w:szCs w:val="24"/>
          <w:highlight w:val="none"/>
          <w:u w:val="single"/>
        </w:rPr>
        <w:t xml:space="preserve">                           </w:t>
      </w:r>
    </w:p>
    <w:p w14:paraId="596E433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根据《中华人民共和国民法典》、《中华人民共和国建筑法》及有关法律规定，遵循平等、自愿、公平和诚实信用的原则，双方就</w:t>
      </w:r>
      <w:r>
        <w:rPr>
          <w:rFonts w:hint="eastAsia" w:ascii="宋体" w:hAnsi="宋体" w:cs="宋体"/>
          <w:color w:val="auto"/>
          <w:sz w:val="24"/>
          <w:szCs w:val="24"/>
          <w:highlight w:val="none"/>
          <w:u w:val="single"/>
          <w:lang w:val="en-US" w:eastAsia="zh-CN"/>
        </w:rPr>
        <w:t>嘉善县实验小学2025年度校舍常规维修</w:t>
      </w:r>
      <w:r>
        <w:rPr>
          <w:rFonts w:hint="eastAsia" w:ascii="宋体" w:hAnsi="宋体" w:eastAsia="宋体" w:cs="宋体"/>
          <w:color w:val="auto"/>
          <w:kern w:val="2"/>
          <w:sz w:val="24"/>
          <w:szCs w:val="24"/>
          <w:highlight w:val="none"/>
        </w:rPr>
        <w:t>及有关事项协商一致，共同达成如下协议：</w:t>
      </w:r>
    </w:p>
    <w:p w14:paraId="04496FEF">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color w:val="auto"/>
          <w:kern w:val="2"/>
          <w:sz w:val="24"/>
          <w:szCs w:val="24"/>
          <w:highlight w:val="none"/>
        </w:rPr>
      </w:pPr>
      <w:bookmarkStart w:id="86" w:name="_Toc351203481"/>
      <w:r>
        <w:rPr>
          <w:rFonts w:hint="eastAsia" w:ascii="宋体" w:hAnsi="宋体" w:eastAsia="宋体" w:cs="宋体"/>
          <w:b/>
          <w:bCs/>
          <w:color w:val="auto"/>
          <w:kern w:val="2"/>
          <w:sz w:val="24"/>
          <w:szCs w:val="24"/>
          <w:highlight w:val="none"/>
        </w:rPr>
        <w:t>一、工程概况</w:t>
      </w:r>
      <w:bookmarkEnd w:id="86"/>
    </w:p>
    <w:p w14:paraId="0A1C72E1">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bCs/>
          <w:color w:val="auto"/>
          <w:kern w:val="2"/>
          <w:sz w:val="24"/>
          <w:szCs w:val="24"/>
          <w:highlight w:val="none"/>
        </w:rPr>
        <w:t>1.工程名称</w:t>
      </w:r>
      <w:r>
        <w:rPr>
          <w:rFonts w:hint="eastAsia" w:ascii="宋体" w:hAnsi="宋体" w:eastAsia="宋体" w:cs="宋体"/>
          <w:b/>
          <w:color w:val="auto"/>
          <w:kern w:val="2"/>
          <w:sz w:val="24"/>
          <w:szCs w:val="24"/>
          <w:highlight w:val="none"/>
        </w:rPr>
        <w:t>：</w:t>
      </w:r>
      <w:r>
        <w:rPr>
          <w:rFonts w:hint="eastAsia" w:ascii="宋体" w:hAnsi="宋体" w:cs="宋体"/>
          <w:color w:val="auto"/>
          <w:sz w:val="24"/>
          <w:szCs w:val="24"/>
          <w:highlight w:val="none"/>
          <w:u w:val="single"/>
          <w:lang w:val="en-US" w:eastAsia="zh-CN"/>
        </w:rPr>
        <w:t>嘉善县实验小学2025年度校舍常规维修</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1DFDB2DA">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2.工程地点：</w:t>
      </w:r>
      <w:r>
        <w:rPr>
          <w:rFonts w:hint="eastAsia" w:ascii="宋体" w:hAnsi="宋体" w:eastAsia="宋体" w:cs="宋体"/>
          <w:color w:val="auto"/>
          <w:kern w:val="2"/>
          <w:sz w:val="24"/>
          <w:szCs w:val="24"/>
          <w:highlight w:val="none"/>
          <w:u w:val="single"/>
        </w:rPr>
        <w:t xml:space="preserve">  </w:t>
      </w:r>
      <w:r>
        <w:rPr>
          <w:rFonts w:hint="eastAsia" w:ascii="宋体" w:hAnsi="宋体" w:cs="宋体"/>
          <w:color w:val="auto"/>
          <w:sz w:val="24"/>
          <w:szCs w:val="24"/>
          <w:highlight w:val="none"/>
          <w:u w:val="single"/>
          <w:lang w:val="en-US" w:eastAsia="zh-CN"/>
        </w:rPr>
        <w:t>嘉善县实验小学</w:t>
      </w:r>
      <w:r>
        <w:rPr>
          <w:rFonts w:hint="eastAsia" w:ascii="宋体" w:hAnsi="宋体" w:eastAsia="宋体" w:cs="宋体"/>
          <w:color w:val="auto"/>
          <w:kern w:val="2"/>
          <w:sz w:val="24"/>
          <w:szCs w:val="24"/>
          <w:highlight w:val="none"/>
          <w:u w:val="single"/>
          <w:lang w:eastAsia="zh-CN"/>
        </w:rPr>
        <w:t>内</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35EDCF40">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3.工程立项批准文号：</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rPr>
        <w:t>。</w:t>
      </w:r>
    </w:p>
    <w:p w14:paraId="2FBDF0D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4.资金来源：</w:t>
      </w:r>
      <w:r>
        <w:rPr>
          <w:rFonts w:hint="eastAsia" w:ascii="宋体" w:hAnsi="宋体" w:eastAsia="宋体" w:cs="宋体"/>
          <w:color w:val="auto"/>
          <w:kern w:val="2"/>
          <w:sz w:val="24"/>
          <w:szCs w:val="24"/>
          <w:highlight w:val="none"/>
          <w:u w:val="single"/>
          <w:lang w:eastAsia="zh-CN"/>
        </w:rPr>
        <w:t>财政资金</w:t>
      </w:r>
      <w:r>
        <w:rPr>
          <w:rFonts w:hint="eastAsia" w:ascii="宋体" w:hAnsi="宋体" w:eastAsia="宋体" w:cs="宋体"/>
          <w:bCs/>
          <w:color w:val="auto"/>
          <w:kern w:val="2"/>
          <w:sz w:val="24"/>
          <w:szCs w:val="24"/>
          <w:highlight w:val="none"/>
        </w:rPr>
        <w:t>。</w:t>
      </w:r>
    </w:p>
    <w:p w14:paraId="3DD91611">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5.工程内容</w:t>
      </w:r>
      <w:r>
        <w:rPr>
          <w:rFonts w:hint="eastAsia" w:ascii="宋体" w:hAnsi="宋体" w:eastAsia="宋体" w:cs="宋体"/>
          <w:color w:val="auto"/>
          <w:kern w:val="2"/>
          <w:sz w:val="24"/>
          <w:szCs w:val="24"/>
          <w:highlight w:val="none"/>
          <w:u w:val="single"/>
        </w:rPr>
        <w:t>：</w:t>
      </w:r>
      <w:r>
        <w:rPr>
          <w:rFonts w:hint="eastAsia" w:ascii="宋体" w:hAnsi="宋体" w:cs="宋体"/>
          <w:color w:val="auto"/>
          <w:sz w:val="24"/>
          <w:szCs w:val="24"/>
          <w:highlight w:val="none"/>
          <w:u w:val="single"/>
          <w:lang w:val="en-US" w:eastAsia="zh-CN"/>
        </w:rPr>
        <w:t>嘉善县实验小学2025年度校舍常规维修</w:t>
      </w:r>
      <w:r>
        <w:rPr>
          <w:rFonts w:hint="eastAsia" w:ascii="宋体" w:hAnsi="宋体" w:eastAsia="宋体" w:cs="宋体"/>
          <w:color w:val="auto"/>
          <w:kern w:val="2"/>
          <w:sz w:val="24"/>
          <w:szCs w:val="24"/>
          <w:highlight w:val="none"/>
          <w:u w:val="single"/>
        </w:rPr>
        <w:t>，具体详见工程量清单</w:t>
      </w:r>
      <w:r>
        <w:rPr>
          <w:rFonts w:hint="eastAsia" w:ascii="宋体" w:hAnsi="宋体" w:eastAsia="宋体" w:cs="宋体"/>
          <w:bCs/>
          <w:color w:val="auto"/>
          <w:kern w:val="2"/>
          <w:sz w:val="24"/>
          <w:szCs w:val="24"/>
          <w:highlight w:val="none"/>
        </w:rPr>
        <w:t>。</w:t>
      </w:r>
    </w:p>
    <w:p w14:paraId="02D55F0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rPr>
        <w:t>6.工程承包范围：</w:t>
      </w:r>
      <w:r>
        <w:rPr>
          <w:rFonts w:hint="eastAsia" w:ascii="宋体" w:hAnsi="宋体" w:cs="宋体"/>
          <w:color w:val="auto"/>
          <w:sz w:val="24"/>
          <w:szCs w:val="24"/>
          <w:highlight w:val="none"/>
          <w:u w:val="single"/>
          <w:lang w:val="en-US" w:eastAsia="zh-CN"/>
        </w:rPr>
        <w:t>嘉善县实验小学2025年度校舍常规维修</w:t>
      </w:r>
      <w:r>
        <w:rPr>
          <w:rFonts w:hint="eastAsia" w:ascii="宋体" w:hAnsi="宋体" w:eastAsia="宋体" w:cs="宋体"/>
          <w:color w:val="auto"/>
          <w:kern w:val="2"/>
          <w:sz w:val="24"/>
          <w:szCs w:val="24"/>
          <w:highlight w:val="none"/>
          <w:u w:val="single"/>
        </w:rPr>
        <w:t>，具体详见工程量清单</w:t>
      </w:r>
      <w:r>
        <w:rPr>
          <w:rFonts w:hint="eastAsia" w:ascii="宋体" w:hAnsi="宋体" w:eastAsia="宋体" w:cs="宋体"/>
          <w:color w:val="auto"/>
          <w:kern w:val="2"/>
          <w:sz w:val="24"/>
          <w:szCs w:val="24"/>
          <w:highlight w:val="none"/>
        </w:rPr>
        <w:t>。</w:t>
      </w:r>
    </w:p>
    <w:p w14:paraId="7CB1A318">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bCs/>
          <w:color w:val="auto"/>
          <w:kern w:val="2"/>
          <w:sz w:val="24"/>
          <w:szCs w:val="24"/>
          <w:highlight w:val="none"/>
        </w:rPr>
      </w:pPr>
      <w:bookmarkStart w:id="87" w:name="_Toc351203482"/>
      <w:r>
        <w:rPr>
          <w:rFonts w:hint="eastAsia" w:ascii="宋体" w:hAnsi="宋体" w:eastAsia="宋体" w:cs="宋体"/>
          <w:b/>
          <w:bCs/>
          <w:color w:val="auto"/>
          <w:kern w:val="2"/>
          <w:sz w:val="24"/>
          <w:szCs w:val="24"/>
          <w:highlight w:val="none"/>
        </w:rPr>
        <w:t>二、合同工期</w:t>
      </w:r>
      <w:bookmarkEnd w:id="87"/>
    </w:p>
    <w:p w14:paraId="4393E9A0">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计划开工日期：</w:t>
      </w:r>
      <w:r>
        <w:rPr>
          <w:rFonts w:hint="eastAsia" w:ascii="宋体" w:hAnsi="宋体" w:eastAsia="宋体" w:cs="宋体"/>
          <w:b/>
          <w:color w:val="auto"/>
          <w:kern w:val="2"/>
          <w:sz w:val="24"/>
          <w:szCs w:val="24"/>
          <w:highlight w:val="none"/>
          <w:u w:val="single"/>
        </w:rPr>
        <w:t>暂定</w:t>
      </w:r>
      <w:r>
        <w:rPr>
          <w:rFonts w:hint="eastAsia" w:ascii="宋体" w:hAnsi="宋体" w:cs="宋体"/>
          <w:b/>
          <w:color w:val="auto"/>
          <w:kern w:val="2"/>
          <w:sz w:val="24"/>
          <w:szCs w:val="24"/>
          <w:highlight w:val="none"/>
          <w:u w:val="single"/>
          <w:lang w:eastAsia="zh-CN"/>
        </w:rPr>
        <w:t>2025年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w:t>
      </w:r>
    </w:p>
    <w:p w14:paraId="48287FB6">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计划竣工日期：</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w:t>
      </w:r>
    </w:p>
    <w:p w14:paraId="363F7109">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工期总日历天数：</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。工期总日历天数与根据前述计划开竣工日期计算的工期天数不一致的，以工期总日历天数为准。</w:t>
      </w:r>
    </w:p>
    <w:p w14:paraId="32357129">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color w:val="auto"/>
          <w:kern w:val="2"/>
          <w:sz w:val="24"/>
          <w:szCs w:val="24"/>
          <w:highlight w:val="none"/>
        </w:rPr>
      </w:pPr>
      <w:bookmarkStart w:id="88" w:name="_Toc351203483"/>
      <w:r>
        <w:rPr>
          <w:rFonts w:hint="eastAsia" w:ascii="宋体" w:hAnsi="宋体" w:eastAsia="宋体" w:cs="宋体"/>
          <w:b/>
          <w:bCs/>
          <w:color w:val="auto"/>
          <w:kern w:val="2"/>
          <w:sz w:val="24"/>
          <w:szCs w:val="24"/>
          <w:highlight w:val="none"/>
        </w:rPr>
        <w:t>三、质量标准</w:t>
      </w:r>
      <w:bookmarkEnd w:id="88"/>
    </w:p>
    <w:p w14:paraId="6A723D8E">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highlight w:val="none"/>
        </w:rPr>
        <w:t>工程质量</w:t>
      </w:r>
      <w:r>
        <w:rPr>
          <w:rFonts w:hint="eastAsia" w:ascii="宋体" w:hAnsi="宋体" w:eastAsia="宋体" w:cs="宋体"/>
          <w:b/>
          <w:color w:val="auto"/>
          <w:kern w:val="2"/>
          <w:sz w:val="24"/>
          <w:szCs w:val="24"/>
          <w:highlight w:val="none"/>
          <w:u w:val="single"/>
          <w:lang w:eastAsia="zh-CN"/>
        </w:rPr>
        <w:t>达到现行国家验收标准的合格等级</w:t>
      </w:r>
      <w:r>
        <w:rPr>
          <w:rFonts w:hint="eastAsia" w:ascii="宋体" w:hAnsi="宋体" w:eastAsia="宋体" w:cs="宋体"/>
          <w:color w:val="auto"/>
          <w:sz w:val="24"/>
          <w:szCs w:val="24"/>
          <w:highlight w:val="none"/>
        </w:rPr>
        <w:t>。</w:t>
      </w:r>
    </w:p>
    <w:p w14:paraId="14498CC5">
      <w:pPr>
        <w:pStyle w:val="17"/>
        <w:pageBreakBefore w:val="0"/>
        <w:widowControl w:val="0"/>
        <w:tabs>
          <w:tab w:val="right" w:leader="dot" w:pos="8296"/>
        </w:tabs>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双方约定，工程质量由业主、监理、设计、施工共同评定。</w:t>
      </w:r>
    </w:p>
    <w:p w14:paraId="27632C9A">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color w:val="auto"/>
          <w:kern w:val="2"/>
          <w:sz w:val="24"/>
          <w:szCs w:val="24"/>
          <w:highlight w:val="none"/>
        </w:rPr>
      </w:pPr>
      <w:bookmarkStart w:id="89" w:name="_Toc351203484"/>
      <w:r>
        <w:rPr>
          <w:rFonts w:hint="eastAsia" w:ascii="宋体" w:hAnsi="宋体" w:eastAsia="宋体" w:cs="宋体"/>
          <w:b/>
          <w:color w:val="auto"/>
          <w:kern w:val="2"/>
          <w:sz w:val="24"/>
          <w:szCs w:val="24"/>
          <w:highlight w:val="none"/>
        </w:rPr>
        <w:t>四、签约合同价与合同价格形式</w:t>
      </w:r>
      <w:bookmarkEnd w:id="89"/>
      <w:r>
        <w:rPr>
          <w:rFonts w:hint="eastAsia" w:ascii="宋体" w:hAnsi="宋体" w:eastAsia="宋体" w:cs="宋体"/>
          <w:b/>
          <w:color w:val="auto"/>
          <w:kern w:val="2"/>
          <w:sz w:val="24"/>
          <w:szCs w:val="24"/>
          <w:highlight w:val="none"/>
        </w:rPr>
        <w:tab/>
      </w:r>
    </w:p>
    <w:p w14:paraId="1900214C">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1.签约合同价为：</w:t>
      </w:r>
    </w:p>
    <w:p w14:paraId="5320DF1B">
      <w:pPr>
        <w:pageBreakBefore w:val="0"/>
        <w:widowControl w:val="0"/>
        <w:kinsoku/>
        <w:wordWrap/>
        <w:overflowPunct/>
        <w:topLinePunct w:val="0"/>
        <w:autoSpaceDE/>
        <w:autoSpaceDN/>
        <w:bidi w:val="0"/>
        <w:spacing w:line="460" w:lineRule="exact"/>
        <w:ind w:left="0" w:leftChars="0" w:right="0" w:firstLine="480" w:firstLineChars="200"/>
        <w:jc w:val="both"/>
        <w:textAlignment w:val="auto"/>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rPr>
        <w:t>人民币（大写）</w:t>
      </w:r>
      <w:r>
        <w:rPr>
          <w:rFonts w:hint="eastAsia" w:ascii="宋体" w:hAnsi="宋体" w:eastAsia="宋体" w:cs="宋体"/>
          <w:b/>
          <w:color w:val="auto"/>
          <w:kern w:val="2"/>
          <w:sz w:val="24"/>
          <w:szCs w:val="24"/>
          <w:highlight w:val="none"/>
          <w:u w:val="single"/>
        </w:rPr>
        <w:t>按</w:t>
      </w:r>
      <w:r>
        <w:rPr>
          <w:rFonts w:hint="eastAsia" w:ascii="宋体" w:hAnsi="宋体" w:eastAsia="宋体" w:cs="宋体"/>
          <w:b/>
          <w:color w:val="auto"/>
          <w:kern w:val="2"/>
          <w:sz w:val="24"/>
          <w:szCs w:val="24"/>
          <w:highlight w:val="none"/>
          <w:u w:val="single"/>
          <w:lang w:eastAsia="zh-CN"/>
        </w:rPr>
        <w:t>成交</w:t>
      </w:r>
      <w:r>
        <w:rPr>
          <w:rFonts w:hint="eastAsia" w:ascii="宋体" w:hAnsi="宋体" w:eastAsia="宋体" w:cs="宋体"/>
          <w:b/>
          <w:color w:val="auto"/>
          <w:kern w:val="2"/>
          <w:sz w:val="24"/>
          <w:szCs w:val="24"/>
          <w:highlight w:val="none"/>
          <w:u w:val="single"/>
        </w:rPr>
        <w:t>价</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rPr>
        <w:t>按</w:t>
      </w:r>
      <w:r>
        <w:rPr>
          <w:rFonts w:hint="eastAsia" w:ascii="宋体" w:hAnsi="宋体" w:eastAsia="宋体" w:cs="宋体"/>
          <w:b/>
          <w:color w:val="auto"/>
          <w:kern w:val="2"/>
          <w:sz w:val="24"/>
          <w:szCs w:val="24"/>
          <w:highlight w:val="none"/>
          <w:u w:val="single"/>
          <w:lang w:eastAsia="zh-CN"/>
        </w:rPr>
        <w:t>成交</w:t>
      </w:r>
      <w:r>
        <w:rPr>
          <w:rFonts w:hint="eastAsia" w:ascii="宋体" w:hAnsi="宋体" w:eastAsia="宋体" w:cs="宋体"/>
          <w:b/>
          <w:color w:val="auto"/>
          <w:kern w:val="2"/>
          <w:sz w:val="24"/>
          <w:szCs w:val="24"/>
          <w:highlight w:val="none"/>
          <w:u w:val="single"/>
        </w:rPr>
        <w:t xml:space="preserve">价  </w:t>
      </w:r>
      <w:r>
        <w:rPr>
          <w:rFonts w:hint="eastAsia" w:ascii="宋体" w:hAnsi="宋体" w:eastAsia="宋体" w:cs="宋体"/>
          <w:color w:val="auto"/>
          <w:kern w:val="2"/>
          <w:sz w:val="24"/>
          <w:szCs w:val="24"/>
          <w:highlight w:val="none"/>
        </w:rPr>
        <w:t>元)</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成交下浮率为</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none"/>
          <w:lang w:val="en-US" w:eastAsia="zh-CN"/>
        </w:rPr>
        <w:t>。</w:t>
      </w:r>
      <w:r>
        <w:rPr>
          <w:rFonts w:hint="eastAsia" w:ascii="宋体" w:hAnsi="宋体" w:eastAsia="宋体" w:cs="宋体"/>
          <w:b/>
          <w:color w:val="auto"/>
          <w:kern w:val="2"/>
          <w:sz w:val="24"/>
          <w:szCs w:val="24"/>
          <w:highlight w:val="none"/>
          <w:u w:val="single"/>
        </w:rPr>
        <w:t>最终以结算审计为准</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本工程结算方式：按</w:t>
      </w:r>
      <w:r>
        <w:rPr>
          <w:rFonts w:hint="eastAsia" w:ascii="宋体" w:hAnsi="宋体" w:cs="宋体"/>
          <w:b/>
          <w:bCs/>
          <w:color w:val="auto"/>
          <w:sz w:val="24"/>
          <w:szCs w:val="24"/>
          <w:highlight w:val="none"/>
          <w:u w:val="single"/>
          <w:lang w:val="en-US" w:eastAsia="zh-CN"/>
        </w:rPr>
        <w:t>嘉善县实验小学2025年度校舍常规维修</w:t>
      </w:r>
      <w:r>
        <w:rPr>
          <w:rFonts w:hint="eastAsia" w:ascii="宋体" w:hAnsi="宋体" w:eastAsia="宋体" w:cs="宋体"/>
          <w:b/>
          <w:color w:val="auto"/>
          <w:kern w:val="2"/>
          <w:sz w:val="24"/>
          <w:szCs w:val="24"/>
          <w:highlight w:val="none"/>
          <w:u w:val="single"/>
          <w:lang w:val="en-US" w:eastAsia="zh-CN"/>
        </w:rPr>
        <w:t>中标报价文件中第壹轮报价的计算口径，按实际工程量计算所得工程造价</w:t>
      </w:r>
      <w:r>
        <w:rPr>
          <w:rFonts w:hint="eastAsia" w:ascii="宋体" w:hAnsi="宋体" w:eastAsia="宋体" w:cs="宋体"/>
          <w:b/>
          <w:color w:val="auto"/>
          <w:kern w:val="2"/>
          <w:sz w:val="24"/>
          <w:szCs w:val="24"/>
          <w:highlight w:val="none"/>
          <w:u w:val="single"/>
        </w:rPr>
        <w:t>×</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1-成交下浮率</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w:t>
      </w:r>
    </w:p>
    <w:p w14:paraId="6671BEF1">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其中：</w:t>
      </w:r>
    </w:p>
    <w:p w14:paraId="23F39FB0">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（1）安全文明施工费：</w:t>
      </w:r>
    </w:p>
    <w:p w14:paraId="6288901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p>
    <w:p w14:paraId="49752953">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（2）材料和工程设备暂估价金额：</w:t>
      </w:r>
    </w:p>
    <w:p w14:paraId="51519047">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p>
    <w:p w14:paraId="4ED41916">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（3）专业工程暂估价金额：</w:t>
      </w:r>
    </w:p>
    <w:p w14:paraId="20751041">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p>
    <w:p w14:paraId="540BAA4D">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（4）暂列金额：</w:t>
      </w:r>
    </w:p>
    <w:p w14:paraId="4024C22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p>
    <w:p w14:paraId="101AF8F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2.合同价格形式：</w:t>
      </w:r>
      <w:r>
        <w:rPr>
          <w:rFonts w:hint="eastAsia" w:ascii="宋体" w:hAnsi="宋体" w:eastAsia="宋体" w:cs="宋体"/>
          <w:color w:val="auto"/>
          <w:kern w:val="2"/>
          <w:sz w:val="24"/>
          <w:szCs w:val="24"/>
          <w:highlight w:val="none"/>
          <w:u w:val="single"/>
        </w:rPr>
        <w:t>采用单价合同。</w:t>
      </w:r>
    </w:p>
    <w:p w14:paraId="1B4D4AE8">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bCs/>
          <w:color w:val="auto"/>
          <w:kern w:val="2"/>
          <w:sz w:val="24"/>
          <w:szCs w:val="24"/>
          <w:highlight w:val="none"/>
        </w:rPr>
      </w:pPr>
      <w:bookmarkStart w:id="90" w:name="_Toc351203485"/>
      <w:r>
        <w:rPr>
          <w:rFonts w:hint="eastAsia" w:ascii="宋体" w:hAnsi="宋体" w:eastAsia="宋体" w:cs="宋体"/>
          <w:b/>
          <w:bCs/>
          <w:color w:val="auto"/>
          <w:kern w:val="2"/>
          <w:sz w:val="24"/>
          <w:szCs w:val="24"/>
          <w:highlight w:val="none"/>
        </w:rPr>
        <w:t>五、</w:t>
      </w:r>
      <w:bookmarkEnd w:id="90"/>
      <w:r>
        <w:rPr>
          <w:rFonts w:hint="eastAsia" w:ascii="宋体" w:hAnsi="宋体" w:eastAsia="宋体" w:cs="宋体"/>
          <w:b/>
          <w:bCs/>
          <w:color w:val="auto"/>
          <w:kern w:val="2"/>
          <w:sz w:val="24"/>
          <w:szCs w:val="24"/>
          <w:highlight w:val="none"/>
        </w:rPr>
        <w:t>项目经理</w:t>
      </w:r>
    </w:p>
    <w:p w14:paraId="0EC8B6B3">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承包人项目经理：</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p>
    <w:p w14:paraId="776A68A3">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color w:val="auto"/>
          <w:kern w:val="2"/>
          <w:sz w:val="24"/>
          <w:szCs w:val="24"/>
          <w:highlight w:val="none"/>
        </w:rPr>
      </w:pPr>
      <w:bookmarkStart w:id="91" w:name="_Toc351203486"/>
      <w:r>
        <w:rPr>
          <w:rFonts w:hint="eastAsia" w:ascii="宋体" w:hAnsi="宋体" w:eastAsia="宋体" w:cs="宋体"/>
          <w:b/>
          <w:bCs/>
          <w:color w:val="auto"/>
          <w:kern w:val="2"/>
          <w:sz w:val="24"/>
          <w:szCs w:val="24"/>
          <w:highlight w:val="none"/>
        </w:rPr>
        <w:t>六、合同文件构成</w:t>
      </w:r>
      <w:bookmarkEnd w:id="91"/>
    </w:p>
    <w:p w14:paraId="4BDF7469">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本协议书与下列文件一起构成合同文件：</w:t>
      </w:r>
    </w:p>
    <w:p w14:paraId="1859AEE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eastAsia="zh-CN"/>
        </w:rPr>
        <w:t>成交</w:t>
      </w:r>
      <w:r>
        <w:rPr>
          <w:rFonts w:hint="eastAsia" w:ascii="宋体" w:hAnsi="宋体" w:eastAsia="宋体" w:cs="宋体"/>
          <w:color w:val="auto"/>
          <w:kern w:val="2"/>
          <w:sz w:val="24"/>
          <w:szCs w:val="24"/>
          <w:highlight w:val="none"/>
        </w:rPr>
        <w:t>通知书（如果有）；</w:t>
      </w:r>
    </w:p>
    <w:p w14:paraId="1739B7BE">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（2）投标函及其附录（如果有）； </w:t>
      </w:r>
    </w:p>
    <w:p w14:paraId="1B7D82C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（3）专用合同条款及其附件；</w:t>
      </w:r>
    </w:p>
    <w:p w14:paraId="439A16D3">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（4）通用合同条款；</w:t>
      </w:r>
    </w:p>
    <w:p w14:paraId="585FCE95">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（5）技术标准和要求；</w:t>
      </w:r>
    </w:p>
    <w:p w14:paraId="7F8272E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（6）图纸；</w:t>
      </w:r>
    </w:p>
    <w:p w14:paraId="26F1FD17">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（7）已标价工程量清单或预算书；</w:t>
      </w:r>
    </w:p>
    <w:p w14:paraId="4B60647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（8）其他合同文件。</w:t>
      </w:r>
    </w:p>
    <w:p w14:paraId="106AD46C">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在合同订立及履行过程中形成的与合同有关的文件均构成合同文件组成部分。</w:t>
      </w:r>
    </w:p>
    <w:p w14:paraId="3D89F17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45812083">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2" w:name="_Toc351203487"/>
      <w:r>
        <w:rPr>
          <w:rFonts w:hint="eastAsia" w:ascii="宋体" w:hAnsi="宋体" w:eastAsia="宋体" w:cs="宋体"/>
          <w:b/>
          <w:color w:val="auto"/>
          <w:kern w:val="2"/>
          <w:sz w:val="24"/>
          <w:szCs w:val="24"/>
          <w:highlight w:val="none"/>
        </w:rPr>
        <w:t>七、承诺</w:t>
      </w:r>
      <w:bookmarkEnd w:id="92"/>
    </w:p>
    <w:p w14:paraId="6BE2F5B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1.发包人承诺按照法律规定履行项目审批手续、筹集工程建设资金并按照合同约定的期限和方式支付合同价款。</w:t>
      </w:r>
    </w:p>
    <w:p w14:paraId="103BB2A8">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2.承包人承诺按照法律规定及合同约定组织完成工程施工，确保工程质量和安全，不进行转包及违法分包，并在缺陷责任期及保修期内承担相应的工程维修责任。</w:t>
      </w:r>
    </w:p>
    <w:p w14:paraId="3EB2F25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3.发包人和承包人通过招投标形式签订合同的，双方理解并承诺不再就同一工程另行签订与合同实质性内容相背离的协议。</w:t>
      </w:r>
    </w:p>
    <w:p w14:paraId="6E396BED">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3" w:name="_Toc351203488"/>
      <w:r>
        <w:rPr>
          <w:rFonts w:hint="eastAsia" w:ascii="宋体" w:hAnsi="宋体" w:eastAsia="宋体" w:cs="宋体"/>
          <w:b/>
          <w:color w:val="auto"/>
          <w:kern w:val="2"/>
          <w:sz w:val="24"/>
          <w:szCs w:val="24"/>
          <w:highlight w:val="none"/>
        </w:rPr>
        <w:t>八、词语含义</w:t>
      </w:r>
      <w:bookmarkEnd w:id="93"/>
    </w:p>
    <w:p w14:paraId="021A8ABC">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本协议书中词语含义与第二部分通用合同条款中赋予的含义相同。</w:t>
      </w:r>
    </w:p>
    <w:p w14:paraId="219803E0">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4" w:name="_Toc351203489"/>
      <w:r>
        <w:rPr>
          <w:rFonts w:hint="eastAsia" w:ascii="宋体" w:hAnsi="宋体" w:eastAsia="宋体" w:cs="宋体"/>
          <w:b/>
          <w:color w:val="auto"/>
          <w:kern w:val="2"/>
          <w:sz w:val="24"/>
          <w:szCs w:val="24"/>
          <w:highlight w:val="none"/>
        </w:rPr>
        <w:t>九、签订时间</w:t>
      </w:r>
      <w:bookmarkEnd w:id="94"/>
    </w:p>
    <w:p w14:paraId="24BA39A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本合同于</w:t>
      </w:r>
      <w:r>
        <w:rPr>
          <w:rFonts w:hint="eastAsia" w:ascii="宋体" w:hAnsi="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single"/>
          <w:lang w:eastAsia="zh-CN"/>
        </w:rPr>
        <w:t>年</w:t>
      </w:r>
      <w:r>
        <w:rPr>
          <w:rFonts w:hint="eastAsia" w:ascii="宋体" w:hAnsi="宋体" w:eastAsia="宋体" w:cs="宋体"/>
          <w:color w:val="auto"/>
          <w:kern w:val="2"/>
          <w:sz w:val="24"/>
          <w:szCs w:val="24"/>
          <w:highlight w:val="none"/>
          <w:u w:val="single"/>
        </w:rPr>
        <w:t xml:space="preserve">   月    日</w:t>
      </w:r>
      <w:r>
        <w:rPr>
          <w:rFonts w:hint="eastAsia" w:ascii="宋体" w:hAnsi="宋体" w:eastAsia="宋体" w:cs="宋体"/>
          <w:color w:val="auto"/>
          <w:kern w:val="2"/>
          <w:sz w:val="24"/>
          <w:szCs w:val="24"/>
          <w:highlight w:val="none"/>
        </w:rPr>
        <w:t>签订。</w:t>
      </w:r>
    </w:p>
    <w:p w14:paraId="3E426F78">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5" w:name="_Toc351203490"/>
      <w:r>
        <w:rPr>
          <w:rFonts w:hint="eastAsia" w:ascii="宋体" w:hAnsi="宋体" w:eastAsia="宋体" w:cs="宋体"/>
          <w:b/>
          <w:color w:val="auto"/>
          <w:kern w:val="2"/>
          <w:sz w:val="24"/>
          <w:szCs w:val="24"/>
          <w:highlight w:val="none"/>
        </w:rPr>
        <w:t>十、签订地点</w:t>
      </w:r>
      <w:bookmarkEnd w:id="95"/>
    </w:p>
    <w:p w14:paraId="5322E307">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本合同在</w:t>
      </w:r>
      <w:r>
        <w:rPr>
          <w:rFonts w:hint="eastAsia" w:ascii="宋体" w:hAnsi="宋体" w:eastAsia="宋体" w:cs="宋体"/>
          <w:color w:val="auto"/>
          <w:sz w:val="24"/>
          <w:szCs w:val="24"/>
          <w:highlight w:val="none"/>
          <w:u w:val="single"/>
        </w:rPr>
        <w:t>工程所在地或发包人所在地</w:t>
      </w:r>
      <w:r>
        <w:rPr>
          <w:rFonts w:hint="eastAsia" w:ascii="宋体" w:hAnsi="宋体" w:eastAsia="宋体" w:cs="宋体"/>
          <w:color w:val="auto"/>
          <w:kern w:val="2"/>
          <w:sz w:val="24"/>
          <w:szCs w:val="24"/>
          <w:highlight w:val="none"/>
        </w:rPr>
        <w:t>签订。</w:t>
      </w:r>
    </w:p>
    <w:p w14:paraId="4FFED42A">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6" w:name="_Toc351203491"/>
      <w:r>
        <w:rPr>
          <w:rFonts w:hint="eastAsia" w:ascii="宋体" w:hAnsi="宋体" w:eastAsia="宋体" w:cs="宋体"/>
          <w:b/>
          <w:color w:val="auto"/>
          <w:kern w:val="2"/>
          <w:sz w:val="24"/>
          <w:szCs w:val="24"/>
          <w:highlight w:val="none"/>
        </w:rPr>
        <w:t>十一、补充协议</w:t>
      </w:r>
      <w:bookmarkEnd w:id="96"/>
    </w:p>
    <w:p w14:paraId="147DA7DB">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合同未尽事宜，合同当事人另行签订补充协议，补充协议是合同的组成部分。</w:t>
      </w:r>
    </w:p>
    <w:p w14:paraId="0D6D8B6B">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7" w:name="_Toc351203492"/>
      <w:r>
        <w:rPr>
          <w:rFonts w:hint="eastAsia" w:ascii="宋体" w:hAnsi="宋体" w:eastAsia="宋体" w:cs="宋体"/>
          <w:b/>
          <w:color w:val="auto"/>
          <w:kern w:val="2"/>
          <w:sz w:val="24"/>
          <w:szCs w:val="24"/>
          <w:highlight w:val="none"/>
        </w:rPr>
        <w:t>十二、合同生效</w:t>
      </w:r>
      <w:bookmarkEnd w:id="97"/>
    </w:p>
    <w:p w14:paraId="6F075387">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本合同自</w:t>
      </w:r>
      <w:r>
        <w:rPr>
          <w:rFonts w:hint="eastAsia" w:ascii="宋体" w:hAnsi="宋体" w:eastAsia="宋体" w:cs="宋体"/>
          <w:color w:val="auto"/>
          <w:kern w:val="2"/>
          <w:sz w:val="24"/>
          <w:szCs w:val="24"/>
          <w:highlight w:val="none"/>
          <w:u w:val="single"/>
        </w:rPr>
        <w:t>法定代表人或委托代理人签字加盖公章</w:t>
      </w:r>
      <w:r>
        <w:rPr>
          <w:rFonts w:hint="eastAsia" w:ascii="宋体" w:hAnsi="宋体" w:eastAsia="宋体" w:cs="宋体"/>
          <w:color w:val="auto"/>
          <w:kern w:val="2"/>
          <w:sz w:val="24"/>
          <w:szCs w:val="24"/>
          <w:highlight w:val="none"/>
        </w:rPr>
        <w:t>生效。</w:t>
      </w:r>
    </w:p>
    <w:p w14:paraId="40CFE616">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8" w:name="_Toc351203493"/>
      <w:r>
        <w:rPr>
          <w:rFonts w:hint="eastAsia" w:ascii="宋体" w:hAnsi="宋体" w:eastAsia="宋体" w:cs="宋体"/>
          <w:b/>
          <w:color w:val="auto"/>
          <w:kern w:val="2"/>
          <w:sz w:val="24"/>
          <w:szCs w:val="24"/>
          <w:highlight w:val="none"/>
        </w:rPr>
        <w:t>十三、合同份数</w:t>
      </w:r>
      <w:bookmarkEnd w:id="98"/>
    </w:p>
    <w:p w14:paraId="596163CA">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本合同一式</w:t>
      </w:r>
      <w:r>
        <w:rPr>
          <w:rFonts w:hint="eastAsia" w:ascii="宋体" w:hAnsi="宋体" w:eastAsia="宋体" w:cs="宋体"/>
          <w:color w:val="auto"/>
          <w:kern w:val="2"/>
          <w:sz w:val="24"/>
          <w:szCs w:val="24"/>
          <w:highlight w:val="none"/>
          <w:u w:val="single"/>
        </w:rPr>
        <w:t>陆</w:t>
      </w:r>
      <w:r>
        <w:rPr>
          <w:rFonts w:hint="eastAsia" w:ascii="宋体" w:hAnsi="宋体" w:eastAsia="宋体" w:cs="宋体"/>
          <w:color w:val="auto"/>
          <w:kern w:val="2"/>
          <w:sz w:val="24"/>
          <w:szCs w:val="24"/>
          <w:highlight w:val="none"/>
        </w:rPr>
        <w:t>份，均具有同等法律效力，发包人执</w:t>
      </w:r>
      <w:r>
        <w:rPr>
          <w:rFonts w:hint="eastAsia" w:ascii="宋体" w:hAnsi="宋体" w:eastAsia="宋体" w:cs="宋体"/>
          <w:color w:val="auto"/>
          <w:kern w:val="2"/>
          <w:sz w:val="24"/>
          <w:szCs w:val="24"/>
          <w:highlight w:val="none"/>
          <w:u w:val="single"/>
        </w:rPr>
        <w:t>叁</w:t>
      </w:r>
      <w:r>
        <w:rPr>
          <w:rFonts w:hint="eastAsia" w:ascii="宋体" w:hAnsi="宋体" w:eastAsia="宋体" w:cs="宋体"/>
          <w:color w:val="auto"/>
          <w:kern w:val="2"/>
          <w:sz w:val="24"/>
          <w:szCs w:val="24"/>
          <w:highlight w:val="none"/>
        </w:rPr>
        <w:t>份，承包人执</w:t>
      </w:r>
      <w:r>
        <w:rPr>
          <w:rFonts w:hint="eastAsia" w:ascii="宋体" w:hAnsi="宋体" w:eastAsia="宋体" w:cs="宋体"/>
          <w:color w:val="auto"/>
          <w:kern w:val="2"/>
          <w:sz w:val="24"/>
          <w:szCs w:val="24"/>
          <w:highlight w:val="none"/>
          <w:u w:val="single"/>
        </w:rPr>
        <w:t>叁</w:t>
      </w:r>
      <w:r>
        <w:rPr>
          <w:rFonts w:hint="eastAsia" w:ascii="宋体" w:hAnsi="宋体" w:eastAsia="宋体" w:cs="宋体"/>
          <w:color w:val="auto"/>
          <w:kern w:val="2"/>
          <w:sz w:val="24"/>
          <w:szCs w:val="24"/>
          <w:highlight w:val="none"/>
        </w:rPr>
        <w:t>份。</w:t>
      </w:r>
    </w:p>
    <w:p w14:paraId="06626BA6">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p>
    <w:p w14:paraId="223139AF">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发包人：  (公章)             承包人：  (公章)                            </w:t>
      </w:r>
    </w:p>
    <w:p w14:paraId="6FDC91BE">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法定代表人或其委托代理人：  法定代表人或其委托代理人：</w:t>
      </w:r>
    </w:p>
    <w:p w14:paraId="531F359E">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（签字）                    （签字）</w:t>
      </w:r>
    </w:p>
    <w:p w14:paraId="622EF2C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组织机构代码：               组织机构代码：             </w:t>
      </w:r>
    </w:p>
    <w:p w14:paraId="75801CC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地  址：                     地  址：               </w:t>
      </w:r>
    </w:p>
    <w:p w14:paraId="1DB9C8B9">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邮政编码：                   邮政编码：           </w:t>
      </w:r>
    </w:p>
    <w:p w14:paraId="25C1FA56">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法定代表人：                 法定代表人：               </w:t>
      </w:r>
    </w:p>
    <w:p w14:paraId="1E506FE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委托代理人：                 委托代理人：               </w:t>
      </w:r>
    </w:p>
    <w:p w14:paraId="5AD6A8D9">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电  话：                     电  话：             </w:t>
      </w:r>
    </w:p>
    <w:p w14:paraId="5EBEAAC6">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sz w:val="24"/>
          <w:szCs w:val="24"/>
          <w:highlight w:val="none"/>
        </w:rPr>
        <w:t xml:space="preserve">传  真：                     传  真：        </w:t>
      </w:r>
      <w:r>
        <w:rPr>
          <w:rFonts w:hint="eastAsia" w:ascii="宋体" w:hAnsi="宋体" w:eastAsia="宋体" w:cs="宋体"/>
          <w:color w:val="auto"/>
          <w:kern w:val="2"/>
          <w:highlight w:val="none"/>
        </w:rPr>
        <w:t xml:space="preserve">     </w:t>
      </w:r>
    </w:p>
    <w:p w14:paraId="0078C408">
      <w:pPr>
        <w:pageBreakBefore w:val="0"/>
        <w:widowControl w:val="0"/>
        <w:kinsoku/>
        <w:wordWrap/>
        <w:overflowPunct/>
        <w:topLinePunct w:val="0"/>
        <w:autoSpaceDE/>
        <w:autoSpaceDN/>
        <w:bidi w:val="0"/>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电子信箱：                   电子信箱：           </w:t>
      </w:r>
    </w:p>
    <w:p w14:paraId="0BBDB86B">
      <w:pPr>
        <w:pageBreakBefore w:val="0"/>
        <w:widowControl w:val="0"/>
        <w:kinsoku/>
        <w:wordWrap/>
        <w:overflowPunct/>
        <w:topLinePunct w:val="0"/>
        <w:autoSpaceDE/>
        <w:autoSpaceDN/>
        <w:bidi w:val="0"/>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开户银行：                   开户银行：           </w:t>
      </w:r>
    </w:p>
    <w:p w14:paraId="30C7B481">
      <w:pPr>
        <w:bidi w:val="0"/>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账  号：                     账  号：</w:t>
      </w:r>
    </w:p>
    <w:p w14:paraId="38BFB9A3">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br w:type="page"/>
      </w:r>
    </w:p>
    <w:p w14:paraId="27B981B9">
      <w:pPr>
        <w:keepNext w:val="0"/>
        <w:keepLines w:val="0"/>
        <w:pageBreakBefore w:val="0"/>
        <w:kinsoku/>
        <w:wordWrap/>
        <w:overflowPunct/>
        <w:topLinePunct w:val="0"/>
        <w:bidi w:val="0"/>
        <w:spacing w:line="312" w:lineRule="auto"/>
        <w:ind w:firstLine="602" w:firstLineChars="200"/>
        <w:jc w:val="center"/>
        <w:textAlignment w:val="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t>第二部分  通用合同条款</w:t>
      </w:r>
    </w:p>
    <w:p w14:paraId="4A1415DC">
      <w:pPr>
        <w:keepNext w:val="0"/>
        <w:keepLines w:val="0"/>
        <w:pageBreakBefore w:val="0"/>
        <w:kinsoku/>
        <w:wordWrap/>
        <w:overflowPunct/>
        <w:topLinePunct w:val="0"/>
        <w:bidi w:val="0"/>
        <w:spacing w:line="312" w:lineRule="auto"/>
        <w:ind w:firstLine="435"/>
        <w:jc w:val="center"/>
        <w:textAlignment w:val="auto"/>
        <w:rPr>
          <w:rFonts w:hint="eastAsia" w:ascii="宋体" w:hAnsi="宋体" w:eastAsia="宋体" w:cs="宋体"/>
          <w:color w:val="auto"/>
          <w:sz w:val="30"/>
          <w:highlight w:val="none"/>
        </w:rPr>
      </w:pPr>
    </w:p>
    <w:p w14:paraId="32A6CE6B">
      <w:pPr>
        <w:keepNext w:val="0"/>
        <w:keepLines w:val="0"/>
        <w:pageBreakBefore w:val="0"/>
        <w:kinsoku/>
        <w:wordWrap/>
        <w:overflowPunct/>
        <w:topLinePunct w:val="0"/>
        <w:bidi w:val="0"/>
        <w:spacing w:line="312" w:lineRule="auto"/>
        <w:ind w:firstLine="520" w:firstLineChars="217"/>
        <w:textAlignment w:val="auto"/>
        <w:rPr>
          <w:color w:val="auto"/>
          <w:sz w:val="24"/>
          <w:highlight w:val="none"/>
        </w:rPr>
      </w:pPr>
      <w:r>
        <w:rPr>
          <w:rFonts w:hint="eastAsia"/>
          <w:color w:val="auto"/>
          <w:sz w:val="24"/>
          <w:highlight w:val="none"/>
        </w:rPr>
        <w:t>合同通用条款采用住房城乡建设部、国家工商行政管理总局201</w:t>
      </w:r>
      <w:r>
        <w:rPr>
          <w:rFonts w:hint="eastAsia"/>
          <w:color w:val="auto"/>
          <w:sz w:val="24"/>
          <w:highlight w:val="none"/>
          <w:lang w:val="en-US" w:eastAsia="zh-CN"/>
        </w:rPr>
        <w:t>7</w:t>
      </w:r>
      <w:r>
        <w:rPr>
          <w:rFonts w:hint="eastAsia"/>
          <w:color w:val="auto"/>
          <w:sz w:val="24"/>
          <w:highlight w:val="none"/>
        </w:rPr>
        <w:t>年</w:t>
      </w:r>
      <w:r>
        <w:rPr>
          <w:rFonts w:hint="eastAsia"/>
          <w:color w:val="auto"/>
          <w:sz w:val="24"/>
          <w:highlight w:val="none"/>
          <w:lang w:val="en-US" w:eastAsia="zh-CN"/>
        </w:rPr>
        <w:t>9</w:t>
      </w:r>
      <w:r>
        <w:rPr>
          <w:rFonts w:hint="eastAsia"/>
          <w:color w:val="auto"/>
          <w:sz w:val="24"/>
          <w:highlight w:val="none"/>
        </w:rPr>
        <w:t>月</w:t>
      </w:r>
      <w:r>
        <w:rPr>
          <w:rFonts w:hint="eastAsia"/>
          <w:color w:val="auto"/>
          <w:sz w:val="24"/>
          <w:highlight w:val="none"/>
          <w:lang w:val="en-US" w:eastAsia="zh-CN"/>
        </w:rPr>
        <w:t>22</w:t>
      </w:r>
      <w:r>
        <w:rPr>
          <w:rFonts w:hint="eastAsia"/>
          <w:color w:val="auto"/>
          <w:sz w:val="24"/>
          <w:highlight w:val="none"/>
        </w:rPr>
        <w:t>日印发的《建设工程施工合同（示范文本</w:t>
      </w:r>
      <w:r>
        <w:rPr>
          <w:bCs/>
          <w:color w:val="auto"/>
          <w:sz w:val="24"/>
          <w:highlight w:val="none"/>
        </w:rPr>
        <w:t>GF—201</w:t>
      </w:r>
      <w:r>
        <w:rPr>
          <w:rFonts w:hint="eastAsia"/>
          <w:bCs/>
          <w:color w:val="auto"/>
          <w:sz w:val="24"/>
          <w:highlight w:val="none"/>
          <w:lang w:val="en-US" w:eastAsia="zh-CN"/>
        </w:rPr>
        <w:t>7</w:t>
      </w:r>
      <w:r>
        <w:rPr>
          <w:bCs/>
          <w:color w:val="auto"/>
          <w:sz w:val="24"/>
          <w:highlight w:val="none"/>
        </w:rPr>
        <w:t>—</w:t>
      </w:r>
      <w:r>
        <w:rPr>
          <w:rFonts w:hint="eastAsia"/>
          <w:bCs/>
          <w:color w:val="auto"/>
          <w:sz w:val="24"/>
          <w:highlight w:val="none"/>
        </w:rPr>
        <w:t>0201</w:t>
      </w:r>
      <w:r>
        <w:rPr>
          <w:rFonts w:hint="eastAsia"/>
          <w:color w:val="auto"/>
          <w:sz w:val="24"/>
          <w:highlight w:val="none"/>
        </w:rPr>
        <w:t>）的通用条款。</w:t>
      </w:r>
    </w:p>
    <w:p w14:paraId="644EA5AF">
      <w:pPr>
        <w:keepNext w:val="0"/>
        <w:keepLines w:val="0"/>
        <w:pageBreakBefore w:val="0"/>
        <w:kinsoku/>
        <w:wordWrap/>
        <w:overflowPunct/>
        <w:topLinePunct w:val="0"/>
        <w:bidi w:val="0"/>
        <w:spacing w:line="312" w:lineRule="auto"/>
        <w:ind w:firstLine="42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第三部分　　专用合同条款</w:t>
      </w:r>
    </w:p>
    <w:p w14:paraId="7C9A50D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一般约定</w:t>
      </w:r>
    </w:p>
    <w:p w14:paraId="016915B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11866A2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1.1.1合同</w:t>
      </w:r>
    </w:p>
    <w:p w14:paraId="4182393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1.1.1.10其他合同文件包括：</w:t>
      </w:r>
      <w:r>
        <w:rPr>
          <w:rFonts w:hint="eastAsia" w:ascii="宋体" w:hAnsi="宋体" w:eastAsia="宋体" w:cs="宋体"/>
          <w:color w:val="auto"/>
          <w:kern w:val="0"/>
          <w:sz w:val="24"/>
          <w:szCs w:val="24"/>
          <w:highlight w:val="none"/>
          <w:u w:val="single"/>
        </w:rPr>
        <w:t>履行合同过程中双方总经理以上管理者（或双方工地代表人）书面确认的对合同内容有实质性影响的会议纪要、签证、设计变更等资料</w:t>
      </w:r>
      <w:r>
        <w:rPr>
          <w:rFonts w:hint="eastAsia" w:ascii="宋体" w:hAnsi="宋体" w:eastAsia="宋体" w:cs="宋体"/>
          <w:color w:val="auto"/>
          <w:sz w:val="24"/>
          <w:szCs w:val="24"/>
          <w:highlight w:val="none"/>
          <w:u w:val="single"/>
        </w:rPr>
        <w:t>。</w:t>
      </w:r>
    </w:p>
    <w:p w14:paraId="3775F99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1B1E653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14:paraId="27118C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15D152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31C7C0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FD8CC1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3CDBA2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E569DA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7A9EACE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F7FD91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2B2118D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7058AC7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228859C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E29336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5563994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C35FAB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1.1.3.9 永久占地包括：</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2375873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1.1.3.10 临时占地包括：</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514E56B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14:paraId="217E180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国家、省、市、县发布的有关合同和招投标管理以及建筑安全、质量相关规范性文件等。</w:t>
      </w:r>
      <w:r>
        <w:rPr>
          <w:rFonts w:hint="eastAsia" w:ascii="宋体" w:hAnsi="宋体" w:eastAsia="宋体" w:cs="宋体"/>
          <w:color w:val="auto"/>
          <w:sz w:val="24"/>
          <w:szCs w:val="24"/>
          <w:highlight w:val="none"/>
        </w:rPr>
        <w:t xml:space="preserve">     </w:t>
      </w:r>
    </w:p>
    <w:p w14:paraId="64D0197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6B2C978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以施工图明确的标准、规范为准。包括国家现行的设计规范、国家现行的施工规范、国家现行的验收规范、国家现行的质量验评标准及国家及地方现行施工验收及施工安全技术规范等。</w:t>
      </w:r>
    </w:p>
    <w:p w14:paraId="32CABAD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发包人提供国外标准、规范的名称：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E42B6C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发包人提供国外标准、规范的份数：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53371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发包人提供国外标准、规范的名称：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06E0C8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kern w:val="0"/>
          <w:sz w:val="24"/>
          <w:szCs w:val="24"/>
          <w:highlight w:val="none"/>
          <w:u w:val="single"/>
        </w:rPr>
        <w:t>无</w:t>
      </w:r>
      <w:r>
        <w:rPr>
          <w:rFonts w:hint="eastAsia" w:ascii="宋体" w:hAnsi="宋体" w:eastAsia="宋体" w:cs="宋体"/>
          <w:color w:val="auto"/>
          <w:sz w:val="24"/>
          <w:szCs w:val="24"/>
          <w:highlight w:val="none"/>
        </w:rPr>
        <w:t xml:space="preserve"> 。</w:t>
      </w:r>
    </w:p>
    <w:p w14:paraId="1654D6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687841B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1）合同协议书；（2）中标通知书；（3）投标函；（4）专用合同条款及其附件；（5）通用合同条款；（6）技术标准和要求；（7）图纸；（8）招标文件；（9）已标价工程量清单或预算书；（10）其他合同文件。</w:t>
      </w:r>
    </w:p>
    <w:p w14:paraId="187E459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198F12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w:t>
      </w:r>
    </w:p>
    <w:p w14:paraId="25383C8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59F5900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45E7AE4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ED851B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7DC17AF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施工组织设计及详细的工期、质量、安全文明保证措施方案等 ；</w:t>
      </w:r>
    </w:p>
    <w:p w14:paraId="5462AF3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color w:val="auto"/>
          <w:sz w:val="24"/>
          <w:szCs w:val="24"/>
          <w:highlight w:val="none"/>
          <w:u w:val="single"/>
          <w:lang w:val="en-US" w:eastAsia="zh-CN"/>
        </w:rPr>
        <w:t>技术交底</w:t>
      </w:r>
      <w:r>
        <w:rPr>
          <w:rFonts w:hint="eastAsia" w:ascii="宋体" w:hAnsi="宋体" w:eastAsia="宋体" w:cs="宋体"/>
          <w:color w:val="auto"/>
          <w:sz w:val="24"/>
          <w:szCs w:val="24"/>
          <w:highlight w:val="none"/>
          <w:u w:val="single"/>
        </w:rPr>
        <w:t>后7天内</w:t>
      </w:r>
      <w:r>
        <w:rPr>
          <w:rFonts w:hint="eastAsia" w:ascii="宋体" w:hAnsi="宋体" w:eastAsia="宋体" w:cs="宋体"/>
          <w:color w:val="auto"/>
          <w:sz w:val="24"/>
          <w:szCs w:val="24"/>
          <w:highlight w:val="none"/>
        </w:rPr>
        <w:t>；</w:t>
      </w:r>
    </w:p>
    <w:p w14:paraId="452230B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贰份</w:t>
      </w:r>
      <w:r>
        <w:rPr>
          <w:rFonts w:hint="eastAsia" w:ascii="宋体" w:hAnsi="宋体" w:eastAsia="宋体" w:cs="宋体"/>
          <w:color w:val="auto"/>
          <w:sz w:val="24"/>
          <w:szCs w:val="24"/>
          <w:highlight w:val="none"/>
        </w:rPr>
        <w:t>；</w:t>
      </w:r>
    </w:p>
    <w:p w14:paraId="187221E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b/>
          <w:bCs/>
          <w:color w:val="auto"/>
          <w:sz w:val="24"/>
          <w:szCs w:val="24"/>
          <w:highlight w:val="none"/>
          <w:u w:val="single"/>
        </w:rPr>
        <w:t>提交发包人住现场代表，实行签收记录</w:t>
      </w:r>
      <w:r>
        <w:rPr>
          <w:rFonts w:hint="eastAsia" w:ascii="宋体" w:hAnsi="宋体" w:eastAsia="宋体" w:cs="宋体"/>
          <w:color w:val="auto"/>
          <w:sz w:val="24"/>
          <w:szCs w:val="24"/>
          <w:highlight w:val="none"/>
        </w:rPr>
        <w:t>；</w:t>
      </w:r>
    </w:p>
    <w:p w14:paraId="7B77847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b/>
          <w:color w:val="auto"/>
          <w:sz w:val="24"/>
          <w:szCs w:val="24"/>
          <w:highlight w:val="none"/>
          <w:u w:val="single"/>
        </w:rPr>
        <w:t>从收到之日起7个有效工作日内给予确认</w:t>
      </w:r>
      <w:r>
        <w:rPr>
          <w:rFonts w:hint="eastAsia" w:ascii="宋体" w:hAnsi="宋体" w:eastAsia="宋体" w:cs="宋体"/>
          <w:color w:val="auto"/>
          <w:sz w:val="24"/>
          <w:szCs w:val="24"/>
          <w:highlight w:val="none"/>
        </w:rPr>
        <w:t>。</w:t>
      </w:r>
    </w:p>
    <w:p w14:paraId="50C311B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5AD38C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color w:val="auto"/>
          <w:sz w:val="24"/>
          <w:szCs w:val="24"/>
          <w:highlight w:val="none"/>
          <w:u w:val="single"/>
        </w:rPr>
        <w:t>执行通用条款1.6.5条。</w:t>
      </w:r>
    </w:p>
    <w:p w14:paraId="262E37E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666BAEA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1.7.1发包人和承包人应当在</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天内将与合同有关的通知、批准、证明、证书、指示、指令、要求、请求、同意、意见、确定和决定等书面函件送达对方当事人。</w:t>
      </w:r>
    </w:p>
    <w:p w14:paraId="1E3EBB7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发包人接收文件的地点：</w:t>
      </w:r>
      <w:r>
        <w:rPr>
          <w:rFonts w:hint="eastAsia" w:ascii="宋体" w:hAnsi="宋体" w:eastAsia="宋体" w:cs="宋体"/>
          <w:color w:val="auto"/>
          <w:sz w:val="24"/>
          <w:szCs w:val="24"/>
          <w:highlight w:val="none"/>
          <w:u w:val="single"/>
        </w:rPr>
        <w:t>发包人办公室</w:t>
      </w:r>
      <w:r>
        <w:rPr>
          <w:rFonts w:hint="eastAsia" w:ascii="宋体" w:hAnsi="宋体" w:eastAsia="宋体" w:cs="宋体"/>
          <w:color w:val="auto"/>
          <w:sz w:val="24"/>
          <w:szCs w:val="24"/>
          <w:highlight w:val="none"/>
        </w:rPr>
        <w:t>；</w:t>
      </w:r>
    </w:p>
    <w:p w14:paraId="151811D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发包人指定的接收人为：</w:t>
      </w:r>
      <w:r>
        <w:rPr>
          <w:rFonts w:hint="eastAsia" w:ascii="宋体" w:hAnsi="宋体" w:eastAsia="宋体" w:cs="宋体"/>
          <w:color w:val="auto"/>
          <w:sz w:val="24"/>
          <w:szCs w:val="24"/>
          <w:highlight w:val="none"/>
          <w:u w:val="single"/>
        </w:rPr>
        <w:t>业主派驻现场代表</w:t>
      </w:r>
      <w:r>
        <w:rPr>
          <w:rFonts w:hint="eastAsia" w:ascii="宋体" w:hAnsi="宋体" w:eastAsia="宋体" w:cs="宋体"/>
          <w:color w:val="auto"/>
          <w:sz w:val="24"/>
          <w:szCs w:val="24"/>
          <w:highlight w:val="none"/>
        </w:rPr>
        <w:t>。</w:t>
      </w:r>
    </w:p>
    <w:p w14:paraId="477DE27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承包人接收文件的地点：</w:t>
      </w:r>
      <w:r>
        <w:rPr>
          <w:rFonts w:hint="eastAsia" w:ascii="宋体" w:hAnsi="宋体" w:eastAsia="宋体" w:cs="宋体"/>
          <w:color w:val="auto"/>
          <w:sz w:val="24"/>
          <w:szCs w:val="24"/>
          <w:highlight w:val="none"/>
          <w:u w:val="single"/>
        </w:rPr>
        <w:t>项目所在地承包人项目部</w:t>
      </w:r>
      <w:r>
        <w:rPr>
          <w:rFonts w:hint="eastAsia" w:ascii="宋体" w:hAnsi="宋体" w:eastAsia="宋体" w:cs="宋体"/>
          <w:color w:val="auto"/>
          <w:sz w:val="24"/>
          <w:szCs w:val="24"/>
          <w:highlight w:val="none"/>
        </w:rPr>
        <w:t>；</w:t>
      </w:r>
    </w:p>
    <w:p w14:paraId="5DE87A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承包人指定的接收人为：</w:t>
      </w:r>
      <w:r>
        <w:rPr>
          <w:rFonts w:hint="eastAsia" w:ascii="宋体" w:hAnsi="宋体" w:eastAsia="宋体" w:cs="宋体"/>
          <w:color w:val="auto"/>
          <w:sz w:val="24"/>
          <w:szCs w:val="24"/>
          <w:highlight w:val="none"/>
          <w:u w:val="single"/>
        </w:rPr>
        <w:t>项目经理、项目负责人及相关管理人员</w:t>
      </w:r>
      <w:r>
        <w:rPr>
          <w:rFonts w:hint="eastAsia" w:ascii="宋体" w:hAnsi="宋体" w:eastAsia="宋体" w:cs="宋体"/>
          <w:color w:val="auto"/>
          <w:sz w:val="24"/>
          <w:szCs w:val="24"/>
          <w:highlight w:val="none"/>
        </w:rPr>
        <w:t>。</w:t>
      </w:r>
    </w:p>
    <w:p w14:paraId="76A6408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监理人接收文件的地点：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21C6AA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监理人指定的接收人为：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1030A44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4552515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出入现场的权利</w:t>
      </w:r>
    </w:p>
    <w:p w14:paraId="1A2B5C41">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b/>
          <w:bCs/>
          <w:color w:val="auto"/>
          <w:sz w:val="24"/>
          <w:szCs w:val="24"/>
          <w:highlight w:val="none"/>
          <w:u w:val="single"/>
        </w:rPr>
        <w:t>执行通用条款1.10.1条</w:t>
      </w:r>
    </w:p>
    <w:p w14:paraId="4D9CDC3A">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发包人负责协调办理临时用地和占道许可，开工前确保通往施工现场的公共道路畅通。</w:t>
      </w:r>
    </w:p>
    <w:p w14:paraId="3112B3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场内交通</w:t>
      </w:r>
    </w:p>
    <w:p w14:paraId="582D17F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关于场外交通和场内交通的边界的约定：</w:t>
      </w:r>
      <w:r>
        <w:rPr>
          <w:rFonts w:hint="eastAsia" w:ascii="宋体" w:hAnsi="宋体" w:eastAsia="宋体" w:cs="宋体"/>
          <w:b/>
          <w:bCs/>
          <w:color w:val="auto"/>
          <w:sz w:val="24"/>
          <w:szCs w:val="24"/>
          <w:highlight w:val="none"/>
          <w:u w:val="single"/>
        </w:rPr>
        <w:t xml:space="preserve">   /   。</w:t>
      </w:r>
    </w:p>
    <w:p w14:paraId="5111D25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发包人提供承包人为目前场地现状。</w:t>
      </w:r>
    </w:p>
    <w:p w14:paraId="14191FB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2079CB2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b/>
          <w:color w:val="auto"/>
          <w:sz w:val="24"/>
          <w:szCs w:val="24"/>
          <w:highlight w:val="none"/>
          <w:u w:val="single"/>
        </w:rPr>
        <w:t>承包人</w:t>
      </w:r>
      <w:r>
        <w:rPr>
          <w:rFonts w:hint="eastAsia" w:ascii="宋体" w:hAnsi="宋体" w:eastAsia="宋体" w:cs="宋体"/>
          <w:color w:val="auto"/>
          <w:sz w:val="24"/>
          <w:szCs w:val="24"/>
          <w:highlight w:val="none"/>
        </w:rPr>
        <w:t>承担。</w:t>
      </w:r>
    </w:p>
    <w:p w14:paraId="06E5E5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3B8B469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发包人。</w:t>
      </w:r>
    </w:p>
    <w:p w14:paraId="21CE302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b/>
          <w:bCs/>
          <w:color w:val="auto"/>
          <w:sz w:val="24"/>
          <w:szCs w:val="24"/>
          <w:highlight w:val="none"/>
          <w:u w:val="single"/>
        </w:rPr>
        <w:t>执行通用条款</w:t>
      </w:r>
      <w:r>
        <w:rPr>
          <w:rFonts w:hint="eastAsia" w:ascii="宋体" w:hAnsi="宋体" w:eastAsia="宋体" w:cs="宋体"/>
          <w:color w:val="auto"/>
          <w:sz w:val="24"/>
          <w:szCs w:val="24"/>
          <w:highlight w:val="none"/>
        </w:rPr>
        <w:t>。</w:t>
      </w:r>
    </w:p>
    <w:p w14:paraId="5F132D0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75712AF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b/>
          <w:bCs/>
          <w:color w:val="auto"/>
          <w:sz w:val="24"/>
          <w:szCs w:val="24"/>
          <w:highlight w:val="none"/>
          <w:u w:val="single"/>
        </w:rPr>
        <w:t>执行通用条款</w:t>
      </w:r>
      <w:r>
        <w:rPr>
          <w:rFonts w:hint="eastAsia" w:ascii="宋体" w:hAnsi="宋体" w:eastAsia="宋体" w:cs="宋体"/>
          <w:color w:val="auto"/>
          <w:sz w:val="24"/>
          <w:szCs w:val="24"/>
          <w:highlight w:val="none"/>
        </w:rPr>
        <w:t>。</w:t>
      </w:r>
    </w:p>
    <w:p w14:paraId="3F79C7B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b/>
          <w:bCs/>
          <w:color w:val="auto"/>
          <w:sz w:val="24"/>
          <w:szCs w:val="24"/>
          <w:highlight w:val="none"/>
          <w:u w:val="single"/>
        </w:rPr>
        <w:t>承包人在合同签订前和签订时未确定采用的专利、专有技术、技术秘密的使用费由发包人和承包人协商解决</w:t>
      </w:r>
      <w:r>
        <w:rPr>
          <w:rFonts w:hint="eastAsia" w:ascii="宋体" w:hAnsi="宋体" w:eastAsia="宋体" w:cs="宋体"/>
          <w:color w:val="auto"/>
          <w:sz w:val="24"/>
          <w:szCs w:val="24"/>
          <w:highlight w:val="none"/>
        </w:rPr>
        <w:t>。</w:t>
      </w:r>
    </w:p>
    <w:p w14:paraId="2FF25C2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3614D4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是</w:t>
      </w:r>
      <w:r>
        <w:rPr>
          <w:rFonts w:hint="eastAsia" w:ascii="宋体" w:hAnsi="宋体" w:eastAsia="宋体" w:cs="宋体"/>
          <w:color w:val="auto"/>
          <w:sz w:val="24"/>
          <w:szCs w:val="24"/>
          <w:highlight w:val="none"/>
        </w:rPr>
        <w:t xml:space="preserve"> 。</w:t>
      </w:r>
    </w:p>
    <w:p w14:paraId="4E957647">
      <w:pPr>
        <w:keepNext w:val="0"/>
        <w:keepLines w:val="0"/>
        <w:pageBreakBefore w:val="0"/>
        <w:kinsoku/>
        <w:wordWrap/>
        <w:overflowPunct/>
        <w:topLinePunct w:val="0"/>
        <w:bidi w:val="0"/>
        <w:spacing w:line="312" w:lineRule="auto"/>
        <w:ind w:firstLine="480" w:firstLineChars="200"/>
        <w:contextualSpacing/>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偏差范围为</w:t>
      </w:r>
      <w:r>
        <w:rPr>
          <w:rFonts w:hint="eastAsia" w:ascii="宋体" w:hAnsi="宋体" w:eastAsia="宋体" w:cs="宋体"/>
          <w:color w:val="auto"/>
          <w:sz w:val="24"/>
          <w:szCs w:val="24"/>
          <w:highlight w:val="none"/>
          <w:u w:val="single"/>
          <w:lang w:eastAsia="zh-CN"/>
        </w:rPr>
        <w:t>零</w:t>
      </w:r>
      <w:r>
        <w:rPr>
          <w:rFonts w:hint="eastAsia" w:ascii="宋体" w:hAnsi="宋体" w:eastAsia="宋体" w:cs="宋体"/>
          <w:color w:val="auto"/>
          <w:sz w:val="24"/>
          <w:szCs w:val="24"/>
          <w:highlight w:val="none"/>
          <w:u w:val="single"/>
        </w:rPr>
        <w:t>，工程量按规定计算</w:t>
      </w:r>
      <w:r>
        <w:rPr>
          <w:rFonts w:hint="eastAsia" w:ascii="宋体" w:hAnsi="宋体" w:eastAsia="宋体" w:cs="宋体"/>
          <w:color w:val="auto"/>
          <w:sz w:val="24"/>
          <w:szCs w:val="24"/>
          <w:highlight w:val="none"/>
          <w:u w:val="single"/>
          <w:lang w:eastAsia="zh-CN"/>
        </w:rPr>
        <w:t>。</w:t>
      </w:r>
    </w:p>
    <w:p w14:paraId="7A8BB15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发包人</w:t>
      </w:r>
    </w:p>
    <w:p w14:paraId="0DF8703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7007BAB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3CAFC4E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874D2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70A6E49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56C2DD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B6AB90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030AB72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7E5664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主持该项目施工过程中及保修阶段的全过程管理。负责安全、质量、进度，监督材料、设备的定样，材料价格的确认，以及代表发包人对工程量造价的割算和工程结算、工程安全、质量、进度、变更、认价、工程量的增减等所有相关文件的签字确认。</w:t>
      </w:r>
    </w:p>
    <w:p w14:paraId="3181AB1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0D9CFA7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2A87590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发包人应最迟于开工日期7天前向承包人移交施工现场。</w:t>
      </w:r>
    </w:p>
    <w:p w14:paraId="7816D4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171C156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关于发包人应负责提供施工所需要的条件，包括：</w:t>
      </w:r>
    </w:p>
    <w:p w14:paraId="429B535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(1)施工场地具备施工条件的要求及完成的时间：</w:t>
      </w:r>
      <w:r>
        <w:rPr>
          <w:rFonts w:hint="eastAsia" w:ascii="宋体" w:hAnsi="宋体" w:eastAsia="宋体" w:cs="宋体"/>
          <w:color w:val="auto"/>
          <w:sz w:val="24"/>
          <w:szCs w:val="24"/>
          <w:highlight w:val="none"/>
          <w:u w:val="single"/>
        </w:rPr>
        <w:t>发包人提供承包人为目前场地现状</w:t>
      </w:r>
      <w:r>
        <w:rPr>
          <w:rFonts w:hint="eastAsia" w:ascii="宋体" w:hAnsi="宋体" w:eastAsia="宋体" w:cs="宋体"/>
          <w:color w:val="auto"/>
          <w:sz w:val="24"/>
          <w:szCs w:val="24"/>
          <w:highlight w:val="none"/>
        </w:rPr>
        <w:t>。</w:t>
      </w:r>
    </w:p>
    <w:p w14:paraId="2C987C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(2)将施工所需的水、电、电讯线路接至施工场地的时间、地点和供应要求：</w:t>
      </w:r>
      <w:r>
        <w:rPr>
          <w:rFonts w:hint="eastAsia" w:ascii="宋体" w:hAnsi="宋体" w:eastAsia="宋体" w:cs="宋体"/>
          <w:color w:val="auto"/>
          <w:sz w:val="24"/>
          <w:szCs w:val="24"/>
          <w:highlight w:val="none"/>
          <w:u w:val="single"/>
        </w:rPr>
        <w:t>水电均由投标单位自行考虑接驳并缴纳相关费用，涉及费用计入投标总价中</w:t>
      </w:r>
      <w:r>
        <w:rPr>
          <w:rFonts w:hint="eastAsia" w:ascii="宋体" w:hAnsi="宋体" w:eastAsia="宋体" w:cs="宋体"/>
          <w:color w:val="auto"/>
          <w:sz w:val="24"/>
          <w:szCs w:val="24"/>
          <w:highlight w:val="none"/>
          <w:u w:val="single"/>
          <w:lang w:eastAsia="zh-CN"/>
        </w:rPr>
        <w:t>。</w:t>
      </w:r>
    </w:p>
    <w:p w14:paraId="3828393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(3)施工场地与公共道路的通道开通时间和要求: </w:t>
      </w:r>
      <w:r>
        <w:rPr>
          <w:rFonts w:hint="eastAsia" w:ascii="宋体" w:hAnsi="宋体" w:eastAsia="宋体" w:cs="宋体"/>
          <w:color w:val="auto"/>
          <w:sz w:val="24"/>
          <w:szCs w:val="24"/>
          <w:highlight w:val="none"/>
          <w:u w:val="single"/>
        </w:rPr>
        <w:t>已满足</w:t>
      </w:r>
      <w:r>
        <w:rPr>
          <w:rFonts w:hint="eastAsia" w:ascii="宋体" w:hAnsi="宋体" w:eastAsia="宋体" w:cs="宋体"/>
          <w:color w:val="auto"/>
          <w:sz w:val="24"/>
          <w:szCs w:val="24"/>
          <w:highlight w:val="none"/>
        </w:rPr>
        <w:t>。</w:t>
      </w:r>
    </w:p>
    <w:p w14:paraId="5C92BE6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(4)工程地质和地下管线资料的提供时间：</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8C59C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(5)由发包人办理的施工所需证件、批件的名称和完成时间:</w:t>
      </w:r>
      <w:r>
        <w:rPr>
          <w:rFonts w:hint="eastAsia" w:ascii="宋体" w:hAnsi="宋体" w:eastAsia="宋体" w:cs="宋体"/>
          <w:color w:val="auto"/>
          <w:sz w:val="24"/>
          <w:szCs w:val="24"/>
          <w:highlight w:val="none"/>
          <w:u w:val="single"/>
        </w:rPr>
        <w:t xml:space="preserve">  在开工前七天完成</w:t>
      </w:r>
      <w:r>
        <w:rPr>
          <w:rFonts w:hint="eastAsia" w:ascii="宋体" w:hAnsi="宋体" w:eastAsia="宋体" w:cs="宋体"/>
          <w:color w:val="auto"/>
          <w:sz w:val="24"/>
          <w:szCs w:val="24"/>
          <w:highlight w:val="none"/>
        </w:rPr>
        <w:t xml:space="preserve">。 </w:t>
      </w:r>
    </w:p>
    <w:p w14:paraId="1323FD3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(6)水准点与坐标控制点交验要求：</w:t>
      </w:r>
      <w:r>
        <w:rPr>
          <w:rFonts w:hint="eastAsia" w:ascii="宋体" w:hAnsi="宋体" w:eastAsia="宋体" w:cs="宋体"/>
          <w:color w:val="auto"/>
          <w:sz w:val="24"/>
          <w:szCs w:val="24"/>
          <w:highlight w:val="none"/>
          <w:u w:val="single"/>
        </w:rPr>
        <w:t>提供新版嘉善测量标高数据，以此为准</w:t>
      </w:r>
      <w:r>
        <w:rPr>
          <w:rFonts w:hint="eastAsia" w:ascii="宋体" w:hAnsi="宋体" w:eastAsia="宋体" w:cs="宋体"/>
          <w:color w:val="auto"/>
          <w:sz w:val="24"/>
          <w:szCs w:val="24"/>
          <w:highlight w:val="none"/>
        </w:rPr>
        <w:t>。</w:t>
      </w:r>
    </w:p>
    <w:p w14:paraId="5DFE16B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(7)图纸会审和设计交底时间: </w:t>
      </w:r>
      <w:r>
        <w:rPr>
          <w:rFonts w:hint="eastAsia" w:ascii="宋体" w:hAnsi="宋体" w:eastAsia="宋体" w:cs="宋体"/>
          <w:color w:val="auto"/>
          <w:sz w:val="24"/>
          <w:szCs w:val="24"/>
          <w:highlight w:val="none"/>
          <w:u w:val="single"/>
        </w:rPr>
        <w:t>合同签订后七天内</w:t>
      </w:r>
      <w:r>
        <w:rPr>
          <w:rFonts w:hint="eastAsia" w:ascii="宋体" w:hAnsi="宋体" w:eastAsia="宋体" w:cs="宋体"/>
          <w:color w:val="auto"/>
          <w:sz w:val="24"/>
          <w:szCs w:val="24"/>
          <w:highlight w:val="none"/>
        </w:rPr>
        <w:t xml:space="preserve">。 </w:t>
      </w:r>
    </w:p>
    <w:p w14:paraId="446D8B0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(8)协调处理施工场地周围地下管线和邻近建筑物、构筑物(含文物保护建筑)、古树名木的保护工作: </w:t>
      </w:r>
      <w:r>
        <w:rPr>
          <w:rFonts w:hint="eastAsia" w:ascii="宋体" w:hAnsi="宋体" w:eastAsia="宋体" w:cs="宋体"/>
          <w:color w:val="auto"/>
          <w:sz w:val="24"/>
          <w:szCs w:val="24"/>
          <w:highlight w:val="none"/>
          <w:u w:val="single"/>
        </w:rPr>
        <w:t>发包人将协助承包人对上述事项的保护工作，除文物保护、建筑古树名木的保护发生费用由发包人承担外，其余保护费用、赔偿费用均由承包人承担</w:t>
      </w:r>
      <w:r>
        <w:rPr>
          <w:rFonts w:hint="eastAsia" w:ascii="宋体" w:hAnsi="宋体" w:eastAsia="宋体" w:cs="宋体"/>
          <w:color w:val="auto"/>
          <w:sz w:val="24"/>
          <w:szCs w:val="24"/>
          <w:highlight w:val="none"/>
        </w:rPr>
        <w:t xml:space="preserve">。 </w:t>
      </w:r>
    </w:p>
    <w:p w14:paraId="127C598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(9)双方约定发包人应做的其他工作：</w:t>
      </w:r>
      <w:r>
        <w:rPr>
          <w:rFonts w:hint="eastAsia" w:ascii="宋体" w:hAnsi="宋体" w:eastAsia="宋体" w:cs="宋体"/>
          <w:color w:val="auto"/>
          <w:sz w:val="24"/>
          <w:szCs w:val="24"/>
          <w:highlight w:val="none"/>
          <w:u w:val="single"/>
        </w:rPr>
        <w:t>发生时另行协商</w:t>
      </w:r>
      <w:r>
        <w:rPr>
          <w:rFonts w:hint="eastAsia" w:ascii="宋体" w:hAnsi="宋体" w:eastAsia="宋体" w:cs="宋体"/>
          <w:color w:val="auto"/>
          <w:sz w:val="24"/>
          <w:szCs w:val="24"/>
          <w:highlight w:val="none"/>
        </w:rPr>
        <w:t>。</w:t>
      </w:r>
    </w:p>
    <w:p w14:paraId="7F40B3C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627C14E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收到承包人要求提供资金来源证明的书面通知后28天内</w:t>
      </w:r>
      <w:r>
        <w:rPr>
          <w:rFonts w:hint="eastAsia" w:ascii="宋体" w:hAnsi="宋体" w:eastAsia="宋体" w:cs="宋体"/>
          <w:color w:val="auto"/>
          <w:sz w:val="24"/>
          <w:szCs w:val="24"/>
          <w:highlight w:val="none"/>
        </w:rPr>
        <w:t>。</w:t>
      </w:r>
    </w:p>
    <w:p w14:paraId="6A1AE1B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由双方协商明确 </w:t>
      </w:r>
      <w:r>
        <w:rPr>
          <w:rFonts w:hint="eastAsia" w:ascii="宋体" w:hAnsi="宋体" w:eastAsia="宋体" w:cs="宋体"/>
          <w:color w:val="auto"/>
          <w:sz w:val="24"/>
          <w:szCs w:val="24"/>
          <w:highlight w:val="none"/>
        </w:rPr>
        <w:t xml:space="preserve"> 。</w:t>
      </w:r>
    </w:p>
    <w:p w14:paraId="23DA277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xml:space="preserve">由双方协商明确 </w:t>
      </w:r>
      <w:r>
        <w:rPr>
          <w:rFonts w:hint="eastAsia" w:ascii="宋体" w:hAnsi="宋体" w:eastAsia="宋体" w:cs="宋体"/>
          <w:color w:val="auto"/>
          <w:sz w:val="24"/>
          <w:szCs w:val="24"/>
          <w:highlight w:val="none"/>
        </w:rPr>
        <w:t>。</w:t>
      </w:r>
    </w:p>
    <w:p w14:paraId="4585F66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承包人</w:t>
      </w:r>
    </w:p>
    <w:p w14:paraId="60D0927A">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38B9C036">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（5）承包人提交的竣工资料的内容：</w:t>
      </w:r>
      <w:r>
        <w:rPr>
          <w:rFonts w:hint="eastAsia" w:ascii="宋体" w:hAnsi="宋体"/>
          <w:color w:val="auto"/>
          <w:sz w:val="24"/>
          <w:szCs w:val="24"/>
          <w:highlight w:val="none"/>
          <w:u w:val="single"/>
        </w:rPr>
        <w:t>完整标准的竣工技术资料，结算书，电子文本</w:t>
      </w:r>
      <w:r>
        <w:rPr>
          <w:rFonts w:hint="eastAsia" w:ascii="宋体" w:hAnsi="宋体" w:eastAsia="宋体" w:cs="宋体"/>
          <w:color w:val="auto"/>
          <w:sz w:val="24"/>
          <w:szCs w:val="24"/>
          <w:highlight w:val="none"/>
          <w:u w:val="single"/>
        </w:rPr>
        <w:t xml:space="preserve"> 。</w:t>
      </w:r>
    </w:p>
    <w:p w14:paraId="7DD7B21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lang w:val="en-US" w:eastAsia="zh-CN"/>
        </w:rPr>
        <w:t>叁</w:t>
      </w:r>
      <w:r>
        <w:rPr>
          <w:rFonts w:hint="eastAsia" w:ascii="宋体" w:hAnsi="宋体" w:eastAsia="宋体" w:cs="宋体"/>
          <w:color w:val="auto"/>
          <w:sz w:val="24"/>
          <w:szCs w:val="24"/>
          <w:highlight w:val="none"/>
          <w:u w:val="single"/>
        </w:rPr>
        <w:t>套</w:t>
      </w:r>
      <w:r>
        <w:rPr>
          <w:rFonts w:hint="eastAsia" w:ascii="宋体" w:hAnsi="宋体" w:eastAsia="宋体" w:cs="宋体"/>
          <w:color w:val="auto"/>
          <w:sz w:val="24"/>
          <w:szCs w:val="24"/>
          <w:highlight w:val="none"/>
        </w:rPr>
        <w:t>。</w:t>
      </w:r>
    </w:p>
    <w:p w14:paraId="102DE954">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由承包人承担，如果发包人要求提供超出合同约定的资料及数量的费用由发包人承担 。</w:t>
      </w:r>
    </w:p>
    <w:p w14:paraId="4E4771D3">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b/>
          <w:bCs/>
          <w:color w:val="auto"/>
          <w:sz w:val="24"/>
          <w:szCs w:val="24"/>
          <w:highlight w:val="none"/>
          <w:u w:val="single"/>
        </w:rPr>
        <w:t>竣工验收前十天内</w:t>
      </w:r>
      <w:r>
        <w:rPr>
          <w:rFonts w:hint="eastAsia" w:ascii="宋体" w:hAnsi="宋体" w:eastAsia="宋体" w:cs="宋体"/>
          <w:color w:val="auto"/>
          <w:sz w:val="24"/>
          <w:szCs w:val="24"/>
          <w:highlight w:val="none"/>
        </w:rPr>
        <w:t>。</w:t>
      </w:r>
    </w:p>
    <w:p w14:paraId="61EC57C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书面形式和电子文件现场交验给发包人代表人，代表人书面签收。</w:t>
      </w:r>
    </w:p>
    <w:p w14:paraId="3D16F0F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（6）承包人应履行的其他义务：</w:t>
      </w:r>
    </w:p>
    <w:p w14:paraId="625582E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遵守地方政府和有关部门对施工场地交通、环卫和施工噪音等管理规定，并办理相关审批手续。所有手续的费用由承包人承担。承包人应采取有效措施尽量减小尘土和噪音污染，需要进行夜间作业时应经发包人批准。按监理要求管理及环保要求实施施工管理并承担相关费用。</w:t>
      </w:r>
    </w:p>
    <w:p w14:paraId="279447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3.2 </w:t>
      </w:r>
      <w:r>
        <w:rPr>
          <w:rFonts w:hint="eastAsia" w:ascii="宋体" w:hAnsi="宋体" w:eastAsia="宋体" w:cs="宋体"/>
          <w:color w:val="auto"/>
          <w:sz w:val="24"/>
          <w:szCs w:val="24"/>
          <w:highlight w:val="none"/>
          <w:lang w:eastAsia="zh-CN"/>
        </w:rPr>
        <w:t>项目经理</w:t>
      </w:r>
    </w:p>
    <w:p w14:paraId="0419F75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3.2.1 </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w:t>
      </w:r>
    </w:p>
    <w:p w14:paraId="58180D7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115A2F8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1F124BD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项目负责人</w:t>
      </w:r>
      <w:r>
        <w:rPr>
          <w:rFonts w:hint="eastAsia" w:ascii="宋体" w:hAnsi="宋体" w:eastAsia="宋体" w:cs="宋体"/>
          <w:color w:val="auto"/>
          <w:sz w:val="24"/>
          <w:szCs w:val="24"/>
          <w:highlight w:val="none"/>
        </w:rPr>
        <w:t>执业资格等级：</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A98EFC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项目负责人</w:t>
      </w:r>
      <w:r>
        <w:rPr>
          <w:rFonts w:hint="eastAsia" w:ascii="宋体" w:hAnsi="宋体" w:eastAsia="宋体" w:cs="宋体"/>
          <w:color w:val="auto"/>
          <w:sz w:val="24"/>
          <w:szCs w:val="24"/>
          <w:highlight w:val="none"/>
        </w:rPr>
        <w:t>注册证书号：</w:t>
      </w:r>
      <w:r>
        <w:rPr>
          <w:rFonts w:hint="eastAsia" w:ascii="宋体" w:hAnsi="宋体" w:eastAsia="宋体" w:cs="宋体"/>
          <w:i/>
          <w:iCs/>
          <w:color w:val="auto"/>
          <w:sz w:val="24"/>
          <w:szCs w:val="24"/>
          <w:highlight w:val="none"/>
          <w:u w:val="single"/>
        </w:rPr>
        <w:t> </w:t>
      </w:r>
      <w:r>
        <w:rPr>
          <w:rFonts w:hint="eastAsia" w:ascii="宋体" w:hAnsi="宋体" w:eastAsia="宋体" w:cs="宋体"/>
          <w:color w:val="auto"/>
          <w:sz w:val="24"/>
          <w:szCs w:val="24"/>
          <w:highlight w:val="none"/>
        </w:rPr>
        <w:t>；</w:t>
      </w:r>
    </w:p>
    <w:p w14:paraId="3A396DC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项目负责人</w:t>
      </w:r>
      <w:r>
        <w:rPr>
          <w:rFonts w:hint="eastAsia" w:ascii="宋体" w:hAnsi="宋体" w:eastAsia="宋体" w:cs="宋体"/>
          <w:color w:val="auto"/>
          <w:sz w:val="24"/>
          <w:szCs w:val="24"/>
          <w:highlight w:val="none"/>
        </w:rPr>
        <w:t>执业印章号：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22613F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287CE67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7A016A5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29E5AED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0C1830F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承包人对</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的授权范围如下：</w:t>
      </w:r>
      <w:r>
        <w:rPr>
          <w:rFonts w:hint="eastAsia" w:ascii="宋体" w:hAnsi="宋体" w:eastAsia="宋体" w:cs="宋体"/>
          <w:color w:val="auto"/>
          <w:sz w:val="24"/>
          <w:szCs w:val="24"/>
          <w:highlight w:val="none"/>
          <w:u w:val="single"/>
        </w:rPr>
        <w:t>代表承包人履行合同，并常驻现场，直接负责本工程施工过程中的各项职责。</w:t>
      </w:r>
    </w:p>
    <w:p w14:paraId="299E73E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每月在施工现场的时间要求：</w:t>
      </w:r>
      <w:r>
        <w:rPr>
          <w:rFonts w:hint="eastAsia" w:ascii="宋体" w:hAnsi="宋体" w:eastAsia="宋体" w:cs="宋体"/>
          <w:b/>
          <w:bCs/>
          <w:color w:val="auto"/>
          <w:sz w:val="24"/>
          <w:szCs w:val="24"/>
          <w:highlight w:val="none"/>
          <w:u w:val="single"/>
        </w:rPr>
        <w:t>到位率必须达80%以上（每月按30天计），达不到要求的</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承包人向发包方支付1000元/(人·天)的违约金。</w:t>
      </w:r>
    </w:p>
    <w:p w14:paraId="53E88A9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承包人未提交劳动合同，以及没有为</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缴纳社会保险证明的违约责任：</w:t>
      </w:r>
      <w:r>
        <w:rPr>
          <w:rFonts w:hint="eastAsia" w:ascii="宋体" w:hAnsi="宋体" w:eastAsia="宋体" w:cs="宋体"/>
          <w:color w:val="auto"/>
          <w:sz w:val="24"/>
          <w:szCs w:val="24"/>
          <w:highlight w:val="none"/>
          <w:u w:val="single"/>
        </w:rPr>
        <w:t>承包人不提交上述文件的，</w:t>
      </w:r>
      <w:r>
        <w:rPr>
          <w:rFonts w:hint="eastAsia" w:ascii="宋体" w:hAnsi="宋体" w:eastAsia="宋体" w:cs="宋体"/>
          <w:color w:val="auto"/>
          <w:sz w:val="24"/>
          <w:szCs w:val="24"/>
          <w:highlight w:val="none"/>
          <w:u w:val="single"/>
          <w:lang w:eastAsia="zh-CN"/>
        </w:rPr>
        <w:t>项目经理</w:t>
      </w:r>
      <w:r>
        <w:rPr>
          <w:rFonts w:hint="eastAsia" w:ascii="宋体" w:hAnsi="宋体" w:eastAsia="宋体" w:cs="宋体"/>
          <w:color w:val="auto"/>
          <w:sz w:val="24"/>
          <w:szCs w:val="24"/>
          <w:highlight w:val="none"/>
          <w:u w:val="single"/>
        </w:rPr>
        <w:t>无权履行职责，发包人有权要求更换</w:t>
      </w:r>
      <w:r>
        <w:rPr>
          <w:rFonts w:hint="eastAsia" w:ascii="宋体" w:hAnsi="宋体" w:eastAsia="宋体" w:cs="宋体"/>
          <w:color w:val="auto"/>
          <w:sz w:val="24"/>
          <w:szCs w:val="24"/>
          <w:highlight w:val="none"/>
          <w:u w:val="single"/>
          <w:lang w:eastAsia="zh-CN"/>
        </w:rPr>
        <w:t>项目经理</w:t>
      </w:r>
      <w:r>
        <w:rPr>
          <w:rFonts w:hint="eastAsia" w:ascii="宋体" w:hAnsi="宋体" w:eastAsia="宋体" w:cs="宋体"/>
          <w:color w:val="auto"/>
          <w:sz w:val="24"/>
          <w:szCs w:val="24"/>
          <w:highlight w:val="none"/>
          <w:u w:val="single"/>
        </w:rPr>
        <w:t>，由此增加的费用和（或）延误的工期由承包人承担。</w:t>
      </w:r>
    </w:p>
    <w:p w14:paraId="6B87C6F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未经批准，擅自离开施工现场的违约责任：</w:t>
      </w:r>
      <w:r>
        <w:rPr>
          <w:rFonts w:hint="eastAsia" w:ascii="宋体" w:hAnsi="宋体" w:eastAsia="宋体" w:cs="宋体"/>
          <w:color w:val="auto"/>
          <w:sz w:val="24"/>
          <w:szCs w:val="24"/>
          <w:highlight w:val="none"/>
          <w:u w:val="single"/>
        </w:rPr>
        <w:t xml:space="preserve">达不到要求的，承包人向发包方支付1000元/(人•天)的违约金。 </w:t>
      </w:r>
    </w:p>
    <w:p w14:paraId="3D87FD52">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的违约责任：</w:t>
      </w:r>
      <w:r>
        <w:rPr>
          <w:rFonts w:hint="eastAsia" w:ascii="宋体" w:hAnsi="宋体" w:eastAsia="宋体" w:cs="宋体"/>
          <w:color w:val="auto"/>
          <w:sz w:val="24"/>
          <w:szCs w:val="24"/>
          <w:highlight w:val="none"/>
          <w:u w:val="single"/>
        </w:rPr>
        <w:t>扣除合同金额的2％作为违约金</w:t>
      </w:r>
      <w:r>
        <w:rPr>
          <w:rFonts w:hint="eastAsia" w:ascii="宋体" w:hAnsi="宋体" w:eastAsia="宋体" w:cs="宋体"/>
          <w:color w:val="auto"/>
          <w:sz w:val="24"/>
          <w:szCs w:val="24"/>
          <w:highlight w:val="none"/>
        </w:rPr>
        <w:t>。</w:t>
      </w:r>
    </w:p>
    <w:p w14:paraId="6017DA6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3.2.4 承包人无正当理由拒绝更换</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的违约责任：</w:t>
      </w:r>
      <w:r>
        <w:rPr>
          <w:rFonts w:hint="eastAsia" w:ascii="宋体" w:hAnsi="宋体" w:eastAsia="宋体" w:cs="宋体"/>
          <w:color w:val="auto"/>
          <w:sz w:val="24"/>
          <w:szCs w:val="24"/>
          <w:highlight w:val="none"/>
          <w:u w:val="single"/>
        </w:rPr>
        <w:t>进行停工处理，直到更换符合岗位要求的</w:t>
      </w:r>
      <w:r>
        <w:rPr>
          <w:rFonts w:hint="eastAsia" w:ascii="宋体" w:hAnsi="宋体" w:eastAsia="宋体" w:cs="宋体"/>
          <w:color w:val="auto"/>
          <w:sz w:val="24"/>
          <w:szCs w:val="24"/>
          <w:highlight w:val="none"/>
          <w:u w:val="single"/>
          <w:lang w:eastAsia="zh-CN"/>
        </w:rPr>
        <w:t>项目经理</w:t>
      </w:r>
      <w:r>
        <w:rPr>
          <w:rFonts w:hint="eastAsia" w:ascii="宋体" w:hAnsi="宋体" w:eastAsia="宋体" w:cs="宋体"/>
          <w:color w:val="auto"/>
          <w:sz w:val="24"/>
          <w:szCs w:val="24"/>
          <w:highlight w:val="none"/>
          <w:u w:val="single"/>
        </w:rPr>
        <w:t>。由此对发包人造成的工期延误和经济损失由承包人承担</w:t>
      </w:r>
      <w:r>
        <w:rPr>
          <w:rFonts w:hint="eastAsia" w:ascii="宋体" w:hAnsi="宋体" w:eastAsia="宋体" w:cs="宋体"/>
          <w:color w:val="auto"/>
          <w:sz w:val="24"/>
          <w:szCs w:val="24"/>
          <w:highlight w:val="none"/>
          <w:u w:val="single"/>
          <w:lang w:eastAsia="zh-CN"/>
        </w:rPr>
        <w:t>。</w:t>
      </w:r>
    </w:p>
    <w:p w14:paraId="339FCD9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3D7D762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b/>
          <w:bCs/>
          <w:color w:val="auto"/>
          <w:sz w:val="24"/>
          <w:szCs w:val="24"/>
          <w:highlight w:val="none"/>
          <w:u w:val="single"/>
        </w:rPr>
        <w:t>开工通知后7天内</w:t>
      </w:r>
      <w:r>
        <w:rPr>
          <w:rFonts w:hint="eastAsia" w:ascii="宋体" w:hAnsi="宋体" w:eastAsia="宋体" w:cs="宋体"/>
          <w:color w:val="auto"/>
          <w:sz w:val="24"/>
          <w:szCs w:val="24"/>
          <w:highlight w:val="none"/>
          <w:u w:val="single"/>
        </w:rPr>
        <w:t>。</w:t>
      </w:r>
    </w:p>
    <w:p w14:paraId="3EE73D4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b/>
          <w:bCs/>
          <w:color w:val="auto"/>
          <w:sz w:val="24"/>
          <w:szCs w:val="24"/>
          <w:highlight w:val="none"/>
          <w:u w:val="single"/>
        </w:rPr>
        <w:t>停工整改，更换符合要求的施工人员后再进行施工。由此对发包人造成的工期延误和经济损失由承包人承担</w:t>
      </w:r>
      <w:r>
        <w:rPr>
          <w:rFonts w:hint="eastAsia" w:ascii="宋体" w:hAnsi="宋体" w:eastAsia="宋体" w:cs="宋体"/>
          <w:color w:val="auto"/>
          <w:sz w:val="24"/>
          <w:szCs w:val="24"/>
          <w:highlight w:val="none"/>
          <w:u w:val="single"/>
        </w:rPr>
        <w:t>。</w:t>
      </w:r>
    </w:p>
    <w:p w14:paraId="1AD64C1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 承包人主要施工管理人员离开施工现场的批准要求：</w:t>
      </w:r>
      <w:r>
        <w:rPr>
          <w:rFonts w:hint="eastAsia" w:ascii="宋体" w:hAnsi="宋体" w:eastAsia="宋体" w:cs="宋体"/>
          <w:color w:val="auto"/>
          <w:sz w:val="24"/>
          <w:szCs w:val="24"/>
          <w:highlight w:val="none"/>
          <w:u w:val="single"/>
        </w:rPr>
        <w:t>执行通用条款3.3.4条。</w:t>
      </w:r>
    </w:p>
    <w:p w14:paraId="018DE12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color w:val="auto"/>
          <w:sz w:val="24"/>
          <w:szCs w:val="24"/>
          <w:highlight w:val="none"/>
          <w:u w:val="single"/>
        </w:rPr>
        <w:t>按2000元</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（人•次）扣款，并同时追究施工单位违约的责任。</w:t>
      </w:r>
    </w:p>
    <w:p w14:paraId="2EF8E7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lang w:val="en-US" w:eastAsia="zh-CN"/>
        </w:rPr>
        <w:t>3.3.6</w:t>
      </w: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b/>
          <w:bCs/>
          <w:color w:val="auto"/>
          <w:sz w:val="24"/>
          <w:szCs w:val="24"/>
          <w:highlight w:val="none"/>
          <w:u w:val="single"/>
        </w:rPr>
        <w:t>第一次警告处理，三次以上的该名管理人员清退出场 。</w:t>
      </w:r>
    </w:p>
    <w:p w14:paraId="7C8739E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32"/>
          <w:highlight w:val="none"/>
        </w:rPr>
        <w:t>3.3.7</w:t>
      </w:r>
      <w:r>
        <w:rPr>
          <w:rFonts w:hint="eastAsia" w:ascii="宋体" w:hAnsi="宋体" w:eastAsia="宋体" w:cs="宋体"/>
          <w:b/>
          <w:color w:val="auto"/>
          <w:sz w:val="24"/>
          <w:szCs w:val="24"/>
          <w:highlight w:val="none"/>
        </w:rPr>
        <w:t>承包人派驻人员的到位率必须达80%以上（每月按30天计），达不到要求的，承包人向发包人支付违约金1000元</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（人•</w:t>
      </w:r>
      <w:r>
        <w:rPr>
          <w:rFonts w:hint="eastAsia" w:ascii="宋体" w:hAnsi="宋体" w:eastAsia="宋体" w:cs="宋体"/>
          <w:b/>
          <w:color w:val="auto"/>
          <w:sz w:val="24"/>
          <w:szCs w:val="24"/>
          <w:highlight w:val="none"/>
          <w:lang w:val="en-US" w:eastAsia="zh-CN"/>
        </w:rPr>
        <w:t>天</w:t>
      </w:r>
      <w:r>
        <w:rPr>
          <w:rFonts w:hint="eastAsia" w:ascii="宋体" w:hAnsi="宋体" w:eastAsia="宋体" w:cs="宋体"/>
          <w:b/>
          <w:color w:val="auto"/>
          <w:sz w:val="24"/>
          <w:szCs w:val="24"/>
          <w:highlight w:val="none"/>
        </w:rPr>
        <w:t>）。</w:t>
      </w:r>
    </w:p>
    <w:p w14:paraId="63F60B7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分包</w:t>
      </w:r>
    </w:p>
    <w:p w14:paraId="19EE8C9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分包的一般约定</w:t>
      </w:r>
    </w:p>
    <w:p w14:paraId="636B3F6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禁止分包的工程包括：</w:t>
      </w:r>
      <w:r>
        <w:rPr>
          <w:rFonts w:hint="eastAsia" w:ascii="宋体" w:hAnsi="宋体" w:eastAsia="宋体" w:cs="宋体"/>
          <w:b/>
          <w:bCs/>
          <w:color w:val="auto"/>
          <w:sz w:val="24"/>
          <w:szCs w:val="24"/>
          <w:highlight w:val="none"/>
          <w:u w:val="single"/>
        </w:rPr>
        <w:t>合同承包范围内所有工程</w:t>
      </w:r>
      <w:r>
        <w:rPr>
          <w:rFonts w:hint="eastAsia" w:ascii="宋体" w:hAnsi="宋体"/>
          <w:b/>
          <w:strike w:val="0"/>
          <w:dstrike w:val="0"/>
          <w:color w:val="auto"/>
          <w:kern w:val="2"/>
          <w:sz w:val="24"/>
          <w:szCs w:val="24"/>
          <w:highlight w:val="none"/>
          <w:u w:val="single"/>
        </w:rPr>
        <w:t>（业主书面同意的除外）</w:t>
      </w:r>
    </w:p>
    <w:p w14:paraId="368323C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color w:val="auto"/>
          <w:sz w:val="24"/>
          <w:szCs w:val="24"/>
          <w:highlight w:val="none"/>
          <w:u w:val="single"/>
        </w:rPr>
        <w:t xml:space="preserve"> </w:t>
      </w:r>
      <w:r>
        <w:rPr>
          <w:rFonts w:hint="eastAsia" w:ascii="宋体" w:hAnsi="宋体"/>
          <w:color w:val="auto"/>
          <w:kern w:val="2"/>
          <w:sz w:val="24"/>
          <w:szCs w:val="24"/>
          <w:highlight w:val="none"/>
          <w:u w:val="single"/>
        </w:rPr>
        <w:t>按国家文件规定</w:t>
      </w:r>
      <w:r>
        <w:rPr>
          <w:rFonts w:hint="eastAsia" w:ascii="宋体" w:hAnsi="宋体" w:eastAsia="宋体" w:cs="宋体"/>
          <w:color w:val="auto"/>
          <w:sz w:val="24"/>
          <w:szCs w:val="24"/>
          <w:highlight w:val="none"/>
          <w:u w:val="single"/>
        </w:rPr>
        <w:t xml:space="preserve"> 。</w:t>
      </w:r>
    </w:p>
    <w:p w14:paraId="5C3C7AA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3.5.2分包的确定</w:t>
      </w:r>
    </w:p>
    <w:p w14:paraId="1FCF9C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 xml:space="preserve">  </w:t>
      </w:r>
      <w:r>
        <w:rPr>
          <w:rFonts w:hint="eastAsia" w:ascii="宋体" w:hAnsi="宋体"/>
          <w:b/>
          <w:color w:val="auto"/>
          <w:kern w:val="2"/>
          <w:sz w:val="24"/>
          <w:szCs w:val="24"/>
          <w:highlight w:val="none"/>
          <w:u w:val="single"/>
        </w:rPr>
        <w:t>在不涉及国家禁止的外由业主书面同意方可分包</w:t>
      </w:r>
      <w:r>
        <w:rPr>
          <w:rFonts w:hint="eastAsia" w:ascii="宋体" w:hAnsi="宋体" w:eastAsia="宋体" w:cs="宋体"/>
          <w:color w:val="auto"/>
          <w:sz w:val="24"/>
          <w:szCs w:val="24"/>
          <w:highlight w:val="none"/>
          <w:u w:val="single"/>
        </w:rPr>
        <w:t>。</w:t>
      </w:r>
    </w:p>
    <w:p w14:paraId="50AE8A3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其他关于分包的约定：</w:t>
      </w:r>
      <w:r>
        <w:rPr>
          <w:rFonts w:hint="eastAsia" w:ascii="宋体" w:hAnsi="宋体"/>
          <w:b/>
          <w:color w:val="auto"/>
          <w:kern w:val="2"/>
          <w:sz w:val="24"/>
          <w:szCs w:val="24"/>
          <w:highlight w:val="none"/>
          <w:u w:val="single"/>
        </w:rPr>
        <w:t>分包人的确定,承包人需事先征得发包人的书面同意</w:t>
      </w:r>
      <w:r>
        <w:rPr>
          <w:rFonts w:hint="eastAsia" w:ascii="宋体" w:hAnsi="宋体"/>
          <w:b/>
          <w:bCs/>
          <w:color w:val="auto"/>
          <w:kern w:val="2"/>
          <w:sz w:val="24"/>
          <w:szCs w:val="24"/>
          <w:highlight w:val="none"/>
          <w:u w:val="single"/>
        </w:rPr>
        <w:t>。</w:t>
      </w:r>
    </w:p>
    <w:p w14:paraId="1C3D675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分包合同价款</w:t>
      </w:r>
    </w:p>
    <w:p w14:paraId="04634A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关于分包合同价款支付的约定：</w:t>
      </w:r>
      <w:r>
        <w:rPr>
          <w:rFonts w:hint="eastAsia" w:ascii="宋体" w:hAnsi="宋体" w:eastAsia="宋体" w:cs="宋体"/>
          <w:color w:val="auto"/>
          <w:sz w:val="24"/>
          <w:szCs w:val="24"/>
          <w:highlight w:val="none"/>
          <w:u w:val="single"/>
        </w:rPr>
        <w:t xml:space="preserve"> </w:t>
      </w:r>
      <w:r>
        <w:rPr>
          <w:rFonts w:hint="eastAsia" w:ascii="宋体" w:hAnsi="宋体"/>
          <w:b/>
          <w:bCs/>
          <w:color w:val="auto"/>
          <w:kern w:val="2"/>
          <w:sz w:val="24"/>
          <w:szCs w:val="24"/>
          <w:highlight w:val="none"/>
          <w:u w:val="single"/>
          <w:lang w:val="en-US" w:eastAsia="zh-CN"/>
        </w:rPr>
        <w:t>一般按通用条款执行，特殊情况下发包人有权直接向分包人支付分包合同价款并有权从应付承包人工程款中扣除该部分款项</w:t>
      </w:r>
      <w:r>
        <w:rPr>
          <w:rFonts w:hint="eastAsia" w:ascii="宋体" w:hAnsi="宋体"/>
          <w:b/>
          <w:bCs/>
          <w:color w:val="auto"/>
          <w:kern w:val="2"/>
          <w:sz w:val="24"/>
          <w:szCs w:val="24"/>
          <w:highlight w:val="none"/>
          <w:u w:val="single"/>
        </w:rPr>
        <w:t>。</w:t>
      </w:r>
    </w:p>
    <w:p w14:paraId="3E071CB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31A8B37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承包人负责照管工程及工程相关的材料、工程设备的起始时间：</w:t>
      </w:r>
      <w:r>
        <w:rPr>
          <w:rFonts w:hint="eastAsia" w:hAnsi="宋体"/>
          <w:b/>
          <w:color w:val="auto"/>
          <w:sz w:val="24"/>
          <w:szCs w:val="24"/>
          <w:highlight w:val="none"/>
          <w:u w:val="single"/>
        </w:rPr>
        <w:t>自发包人向承包人移交施工现场之日起，直到颁发工程接收证书之日止，保护费用由承包人承担，该部分已考虑并包含在投标报价中</w:t>
      </w:r>
      <w:r>
        <w:rPr>
          <w:rFonts w:hint="eastAsia" w:ascii="宋体" w:hAnsi="宋体"/>
          <w:color w:val="auto"/>
          <w:sz w:val="24"/>
          <w:szCs w:val="24"/>
          <w:highlight w:val="none"/>
          <w:u w:val="single"/>
        </w:rPr>
        <w:t>。</w:t>
      </w:r>
    </w:p>
    <w:p w14:paraId="0FAAB3E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1716D3F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是。</w:t>
      </w:r>
    </w:p>
    <w:p w14:paraId="233EE8B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szCs w:val="24"/>
          <w:highlight w:val="none"/>
        </w:rPr>
        <w:t>承包人提供履约担保的形式、金额及期限的：</w:t>
      </w:r>
      <w:r>
        <w:rPr>
          <w:rFonts w:hint="eastAsia" w:ascii="宋体" w:hAnsi="宋体"/>
          <w:color w:val="auto"/>
          <w:sz w:val="24"/>
          <w:highlight w:val="none"/>
          <w:u w:val="single"/>
        </w:rPr>
        <w:t>中标人在收到中标通知书后，应在</w:t>
      </w:r>
      <w:r>
        <w:rPr>
          <w:rFonts w:hint="eastAsia" w:ascii="宋体" w:hAnsi="宋体"/>
          <w:color w:val="auto"/>
          <w:sz w:val="24"/>
          <w:highlight w:val="none"/>
          <w:u w:val="single"/>
          <w:lang w:val="en-US" w:eastAsia="zh-CN"/>
        </w:rPr>
        <w:t>项目实施</w:t>
      </w:r>
      <w:r>
        <w:rPr>
          <w:rFonts w:hint="eastAsia" w:ascii="宋体" w:hAnsi="宋体"/>
          <w:color w:val="auto"/>
          <w:sz w:val="24"/>
          <w:highlight w:val="none"/>
          <w:u w:val="single"/>
        </w:rPr>
        <w:t>前向招标人交纳履约保证金</w:t>
      </w:r>
      <w:r>
        <w:rPr>
          <w:rFonts w:hint="eastAsia" w:ascii="宋体" w:hAnsi="宋体"/>
          <w:color w:val="auto"/>
          <w:sz w:val="24"/>
          <w:szCs w:val="24"/>
          <w:highlight w:val="none"/>
          <w:u w:val="single"/>
        </w:rPr>
        <w:t>，履约保证金为</w:t>
      </w:r>
      <w:r>
        <w:rPr>
          <w:rFonts w:hint="eastAsia" w:ascii="宋体" w:hAnsi="宋体" w:cs="宋体"/>
          <w:b/>
          <w:color w:val="auto"/>
          <w:sz w:val="24"/>
          <w:szCs w:val="24"/>
          <w:highlight w:val="none"/>
          <w:u w:val="single"/>
        </w:rPr>
        <w:t>中标价的</w:t>
      </w:r>
      <w:r>
        <w:rPr>
          <w:rFonts w:hint="eastAsia" w:ascii="宋体" w:hAnsi="宋体" w:cs="宋体"/>
          <w:b/>
          <w:color w:val="auto"/>
          <w:sz w:val="24"/>
          <w:szCs w:val="24"/>
          <w:highlight w:val="none"/>
          <w:u w:val="single"/>
          <w:lang w:val="en-US" w:eastAsia="zh-CN"/>
        </w:rPr>
        <w:t>1%</w:t>
      </w:r>
      <w:r>
        <w:rPr>
          <w:rFonts w:hint="eastAsia" w:ascii="宋体" w:hAnsi="宋体"/>
          <w:color w:val="auto"/>
          <w:sz w:val="24"/>
          <w:szCs w:val="24"/>
          <w:highlight w:val="none"/>
          <w:u w:val="single"/>
        </w:rPr>
        <w:t>。</w:t>
      </w:r>
      <w:r>
        <w:rPr>
          <w:rFonts w:hint="eastAsia" w:ascii="宋体" w:hAnsi="宋体"/>
          <w:color w:val="auto"/>
          <w:sz w:val="24"/>
          <w:highlight w:val="none"/>
          <w:u w:val="single"/>
        </w:rPr>
        <w:t>履约保证金在</w:t>
      </w:r>
      <w:r>
        <w:rPr>
          <w:rFonts w:hint="eastAsia" w:ascii="宋体" w:hAnsi="宋体"/>
          <w:color w:val="auto"/>
          <w:sz w:val="24"/>
          <w:highlight w:val="none"/>
          <w:u w:val="single"/>
          <w:lang w:val="en-US" w:eastAsia="zh-CN"/>
        </w:rPr>
        <w:t>合同履行完毕且工程竣工验收合格后10</w:t>
      </w:r>
      <w:r>
        <w:rPr>
          <w:rFonts w:hint="eastAsia" w:ascii="宋体" w:hAnsi="宋体"/>
          <w:color w:val="auto"/>
          <w:sz w:val="24"/>
          <w:highlight w:val="none"/>
          <w:u w:val="single"/>
        </w:rPr>
        <w:t>日内无息退还</w:t>
      </w:r>
      <w:r>
        <w:rPr>
          <w:rFonts w:hint="eastAsia" w:ascii="宋体" w:hAnsi="宋体"/>
          <w:color w:val="auto"/>
          <w:sz w:val="24"/>
          <w:highlight w:val="none"/>
          <w:u w:val="single"/>
          <w:lang w:eastAsia="zh-CN"/>
        </w:rPr>
        <w:t>。</w:t>
      </w:r>
    </w:p>
    <w:p w14:paraId="26E0A61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监理人</w:t>
      </w:r>
    </w:p>
    <w:p w14:paraId="4FFF790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0E11A07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b/>
          <w:color w:val="auto"/>
          <w:sz w:val="24"/>
          <w:szCs w:val="24"/>
          <w:highlight w:val="none"/>
          <w:u w:val="single"/>
        </w:rPr>
        <w:t>以发包人和监理单位签订的委托合同条款为准。</w:t>
      </w:r>
    </w:p>
    <w:p w14:paraId="00EFD3D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在本合同范围内按照有关的法律、法规及《建设工程监理规范》负责工程施工的全过程管理，发布开工令、审批施工组织设计和施工方案、审核工程量和工程的变更、签发工程款支付凭证、提出监理建议和履行监理合同规定的其它权力等。</w:t>
      </w:r>
    </w:p>
    <w:p w14:paraId="2E57439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需要取得发包人批准才能行使的职权：</w:t>
      </w:r>
      <w:r>
        <w:rPr>
          <w:rFonts w:hint="eastAsia" w:ascii="宋体" w:hAnsi="宋体" w:eastAsia="宋体" w:cs="宋体"/>
          <w:color w:val="auto"/>
          <w:sz w:val="24"/>
          <w:szCs w:val="24"/>
          <w:highlight w:val="none"/>
          <w:u w:val="single"/>
        </w:rPr>
        <w:t>（1）涉及全局工程进度的工程暂停；（2）设计变更涉及工程投资或承包合同造价的变化；（3）索赔的支付；（4）涉及改变原设计意图或影响设计结构的补充图纸和指示等。</w:t>
      </w:r>
    </w:p>
    <w:p w14:paraId="27D62CC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b/>
          <w:color w:val="auto"/>
          <w:sz w:val="24"/>
          <w:szCs w:val="24"/>
          <w:highlight w:val="none"/>
          <w:u w:val="single"/>
        </w:rPr>
        <w:t>提供一间现场临时办公室给监理使用，办公设施监理人自理，按照通用条款规定费用由发包人承担 。</w:t>
      </w:r>
    </w:p>
    <w:p w14:paraId="42A14B8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613F5A5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368ABAE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F7C6AC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0FB138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7A87D6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1E384D6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7C2E6E0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7B7F06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b/>
          <w:color w:val="auto"/>
          <w:sz w:val="24"/>
          <w:szCs w:val="24"/>
          <w:highlight w:val="none"/>
          <w:u w:val="single"/>
        </w:rPr>
        <w:t>发包人委托监理人的权限以书面形式在工程开工前一周告知承包人。</w:t>
      </w:r>
    </w:p>
    <w:p w14:paraId="2B41E00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14:paraId="44ED7D3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0DC3ABF5">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（1）施工现场安全是否符合规范要求；</w:t>
      </w:r>
    </w:p>
    <w:p w14:paraId="30A8A55B">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（2）分部分项工程质量是否符合验收规范 ；</w:t>
      </w:r>
    </w:p>
    <w:p w14:paraId="20E85B46">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（3）施工进度是否符合进度计划要求 ；</w:t>
      </w:r>
    </w:p>
    <w:p w14:paraId="3EA4E0DA">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（4）发包人的其它授权。</w:t>
      </w:r>
    </w:p>
    <w:p w14:paraId="76671F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工程质量</w:t>
      </w:r>
    </w:p>
    <w:p w14:paraId="72176E8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7B13437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无特殊要求</w:t>
      </w:r>
      <w:r>
        <w:rPr>
          <w:rFonts w:hint="eastAsia" w:ascii="宋体" w:hAnsi="宋体" w:eastAsia="宋体" w:cs="宋体"/>
          <w:color w:val="auto"/>
          <w:sz w:val="24"/>
          <w:szCs w:val="24"/>
          <w:highlight w:val="none"/>
        </w:rPr>
        <w:t xml:space="preserve"> 。</w:t>
      </w:r>
    </w:p>
    <w:p w14:paraId="4FE9533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b/>
          <w:bCs/>
          <w:color w:val="auto"/>
          <w:sz w:val="24"/>
          <w:szCs w:val="24"/>
          <w:highlight w:val="none"/>
          <w:u w:val="single"/>
        </w:rPr>
        <w:t>无约定</w:t>
      </w:r>
      <w:r>
        <w:rPr>
          <w:rFonts w:hint="eastAsia" w:ascii="宋体" w:hAnsi="宋体" w:eastAsia="宋体" w:cs="宋体"/>
          <w:color w:val="auto"/>
          <w:sz w:val="24"/>
          <w:szCs w:val="24"/>
          <w:highlight w:val="none"/>
        </w:rPr>
        <w:t xml:space="preserve"> 。</w:t>
      </w:r>
    </w:p>
    <w:p w14:paraId="07F1DC2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隐蔽工程检查</w:t>
      </w:r>
    </w:p>
    <w:p w14:paraId="6817341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b/>
          <w:color w:val="auto"/>
          <w:sz w:val="24"/>
          <w:szCs w:val="24"/>
          <w:highlight w:val="none"/>
          <w:u w:val="single"/>
        </w:rPr>
        <w:t>工程隐蔽部位经承包人自检确认具备覆盖条件后，承包人应在共同检查前8小时通知监理人检查。由于工期进度要求，如果出现整改的，整改完毕后监理人随时配合承包人进行验收。</w:t>
      </w:r>
    </w:p>
    <w:p w14:paraId="633F3C8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2213DA1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 xml:space="preserve"> 小时。</w:t>
      </w:r>
    </w:p>
    <w:p w14:paraId="67F6EFB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安全文明施工与环境保护</w:t>
      </w:r>
    </w:p>
    <w:p w14:paraId="622E9B0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32B793A0">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6.1.1项目安全生产的达标目标及相应事项的约定：</w:t>
      </w:r>
    </w:p>
    <w:p w14:paraId="7926879B">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u w:val="single"/>
        </w:rPr>
      </w:pPr>
      <w:r>
        <w:rPr>
          <w:rFonts w:hint="eastAsia" w:ascii="宋体" w:hAnsi="宋体" w:eastAsia="宋体" w:cs="宋体"/>
          <w:b w:val="0"/>
          <w:color w:val="auto"/>
          <w:szCs w:val="24"/>
          <w:highlight w:val="none"/>
          <w:u w:val="single"/>
        </w:rPr>
        <w:t>（1）遵守工程建设安全文明施工的有关规定，认真落实各项安全保护措施，并随时接受甲方或监理工程师及有关部门的监督检查。</w:t>
      </w:r>
    </w:p>
    <w:p w14:paraId="033087B7">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t>（2）承包人应对进入施工现场的所有人员进行安全文明施工教育，配备必要的劳动保护用具，保证工程的施工安全和人身安全。</w:t>
      </w:r>
    </w:p>
    <w:p w14:paraId="0B1EB227">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t xml:space="preserve">（3）承包人应注意保护施工现场已完建筑物的安全，施工荷载必须满足结构要求，并采取必要措施，防止因施工不当造成工程事故。 </w:t>
      </w:r>
    </w:p>
    <w:p w14:paraId="014AB382">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t>（4）如由于承包人安全措施不力造成事故的责任和由此发生的费用，由承包人承担。</w:t>
      </w:r>
    </w:p>
    <w:p w14:paraId="23DD0F18">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b w:val="0"/>
          <w:color w:val="auto"/>
          <w:szCs w:val="24"/>
          <w:highlight w:val="none"/>
          <w:u w:val="single"/>
        </w:rPr>
      </w:pPr>
      <w:r>
        <w:rPr>
          <w:rFonts w:hint="eastAsia" w:ascii="宋体" w:hAnsi="宋体" w:eastAsia="宋体" w:cs="宋体"/>
          <w:b w:val="0"/>
          <w:color w:val="auto"/>
          <w:szCs w:val="24"/>
          <w:highlight w:val="none"/>
          <w:u w:val="single"/>
        </w:rPr>
        <w:t>（5）招标人发出安全整改指令后，中标人拒绝整改或未在规定时间内整改完毕的，招标人有权从中标人的履约保证金中视情节严重扣除1000-5000元/次的罚款。</w:t>
      </w:r>
    </w:p>
    <w:p w14:paraId="5903586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p w14:paraId="37BD3E2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b/>
          <w:color w:val="auto"/>
          <w:sz w:val="24"/>
          <w:szCs w:val="24"/>
          <w:highlight w:val="none"/>
          <w:u w:val="single"/>
        </w:rPr>
        <w:t>发包人和承包人应在工程开工后7天内共同编制施工场地治安管理计划，并制定应对突发治安事件的紧急预案。</w:t>
      </w:r>
    </w:p>
    <w:p w14:paraId="3FE2653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4A32FA1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b/>
          <w:color w:val="auto"/>
          <w:sz w:val="24"/>
          <w:szCs w:val="24"/>
          <w:highlight w:val="none"/>
          <w:u w:val="single"/>
        </w:rPr>
        <w:t>遵守工程建设安全文明施工的有关规定，认真落实各项措施，并随时接受甲方或监理工程师及有关部门的监督检查</w:t>
      </w:r>
      <w:r>
        <w:rPr>
          <w:rFonts w:hint="eastAsia" w:ascii="宋体" w:hAnsi="宋体" w:eastAsia="宋体" w:cs="宋体"/>
          <w:color w:val="auto"/>
          <w:sz w:val="24"/>
          <w:szCs w:val="24"/>
          <w:highlight w:val="none"/>
        </w:rPr>
        <w:t>。安全文明施工未达到投标承诺要求，承包人应承担违约责任。发包人可从承包人履约保证金中扣除相应费用，扣款最高不超过履约保证金。</w:t>
      </w:r>
    </w:p>
    <w:p w14:paraId="7AF2D34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C8E1F5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工期和进度</w:t>
      </w:r>
    </w:p>
    <w:p w14:paraId="7D847B4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72E3C0A4">
      <w:pPr>
        <w:keepNext w:val="0"/>
        <w:keepLines w:val="0"/>
        <w:pageBreakBefore w:val="0"/>
        <w:kinsoku/>
        <w:wordWrap/>
        <w:overflowPunct/>
        <w:topLinePunct w:val="0"/>
        <w:autoSpaceDE w:val="0"/>
        <w:autoSpaceDN w:val="0"/>
        <w:bidi w:val="0"/>
        <w:adjustRightInd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合同当事人约定的施工组织设计应包括的其他内容：</w:t>
      </w:r>
      <w:r>
        <w:rPr>
          <w:rFonts w:hint="eastAsia" w:ascii="宋体" w:hAnsi="宋体" w:eastAsia="宋体" w:cs="宋体"/>
          <w:b/>
          <w:bCs/>
          <w:color w:val="auto"/>
          <w:sz w:val="24"/>
          <w:szCs w:val="24"/>
          <w:highlight w:val="none"/>
          <w:u w:val="single"/>
        </w:rPr>
        <w:t>执行通用条款7.1.1条</w:t>
      </w:r>
      <w:r>
        <w:rPr>
          <w:rFonts w:hint="eastAsia" w:ascii="宋体" w:hAnsi="宋体" w:eastAsia="宋体" w:cs="宋体"/>
          <w:color w:val="auto"/>
          <w:sz w:val="24"/>
          <w:szCs w:val="24"/>
          <w:highlight w:val="none"/>
        </w:rPr>
        <w:t>。</w:t>
      </w:r>
    </w:p>
    <w:p w14:paraId="408235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施工组织设计的提交和修改</w:t>
      </w:r>
    </w:p>
    <w:p w14:paraId="32E12AD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承包人提交详细施工组织设计的期限的约定：</w:t>
      </w:r>
      <w:r>
        <w:rPr>
          <w:rFonts w:hint="eastAsia" w:ascii="宋体" w:hAnsi="宋体" w:eastAsia="宋体" w:cs="宋体"/>
          <w:color w:val="auto"/>
          <w:sz w:val="24"/>
          <w:szCs w:val="24"/>
          <w:highlight w:val="none"/>
          <w:u w:val="single"/>
        </w:rPr>
        <w:t>合同签订后3天内，承包人提交施工组织设计（施工方案）和进度计划一式二份。</w:t>
      </w:r>
      <w:r>
        <w:rPr>
          <w:rFonts w:hint="eastAsia" w:ascii="宋体" w:hAnsi="宋体" w:eastAsia="宋体" w:cs="宋体"/>
          <w:b/>
          <w:color w:val="auto"/>
          <w:sz w:val="24"/>
          <w:szCs w:val="24"/>
          <w:highlight w:val="none"/>
          <w:u w:val="single"/>
        </w:rPr>
        <w:t>要求签订合同后三天内进场</w:t>
      </w:r>
      <w:r>
        <w:rPr>
          <w:rFonts w:hint="eastAsia" w:ascii="宋体" w:hAnsi="宋体" w:eastAsia="宋体" w:cs="宋体"/>
          <w:color w:val="auto"/>
          <w:sz w:val="24"/>
          <w:szCs w:val="24"/>
          <w:highlight w:val="none"/>
        </w:rPr>
        <w:t>。</w:t>
      </w:r>
    </w:p>
    <w:p w14:paraId="12376AC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b/>
          <w:bCs/>
          <w:color w:val="auto"/>
          <w:sz w:val="24"/>
          <w:szCs w:val="24"/>
          <w:highlight w:val="none"/>
          <w:u w:val="single"/>
        </w:rPr>
        <w:t>7个有效工作日</w:t>
      </w:r>
      <w:r>
        <w:rPr>
          <w:rFonts w:hint="eastAsia" w:ascii="宋体" w:hAnsi="宋体" w:eastAsia="宋体" w:cs="宋体"/>
          <w:color w:val="auto"/>
          <w:sz w:val="24"/>
          <w:szCs w:val="24"/>
          <w:highlight w:val="none"/>
        </w:rPr>
        <w:t>。</w:t>
      </w:r>
    </w:p>
    <w:p w14:paraId="0AA6805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施工进度计划</w:t>
      </w:r>
    </w:p>
    <w:p w14:paraId="14EB6D3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1F2FC1E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b/>
          <w:bCs/>
          <w:color w:val="auto"/>
          <w:sz w:val="24"/>
          <w:szCs w:val="24"/>
          <w:highlight w:val="none"/>
          <w:u w:val="single"/>
        </w:rPr>
        <w:t>执行通用条款7.2.2条。</w:t>
      </w:r>
    </w:p>
    <w:p w14:paraId="2886A8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4A23292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68046BE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关于承包人提交工程开工报审表的期限：</w:t>
      </w:r>
      <w:r>
        <w:rPr>
          <w:rFonts w:hint="eastAsia" w:ascii="宋体" w:hAnsi="宋体" w:eastAsia="宋体" w:cs="宋体"/>
          <w:b/>
          <w:bCs/>
          <w:color w:val="auto"/>
          <w:sz w:val="24"/>
          <w:szCs w:val="24"/>
          <w:highlight w:val="none"/>
          <w:u w:val="single"/>
        </w:rPr>
        <w:t>执行通用条款7.3.1条</w:t>
      </w:r>
      <w:r>
        <w:rPr>
          <w:rFonts w:hint="eastAsia" w:ascii="宋体" w:hAnsi="宋体" w:eastAsia="宋体" w:cs="宋体"/>
          <w:color w:val="auto"/>
          <w:sz w:val="24"/>
          <w:szCs w:val="24"/>
          <w:highlight w:val="none"/>
        </w:rPr>
        <w:t>。</w:t>
      </w:r>
    </w:p>
    <w:p w14:paraId="015A508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b/>
          <w:bCs/>
          <w:color w:val="auto"/>
          <w:sz w:val="24"/>
          <w:szCs w:val="24"/>
          <w:highlight w:val="none"/>
          <w:u w:val="single"/>
        </w:rPr>
        <w:t>在开工前办理完毕所有合法手续（承包人应当予以配合）</w:t>
      </w:r>
      <w:r>
        <w:rPr>
          <w:rFonts w:hint="eastAsia" w:ascii="宋体" w:hAnsi="宋体" w:eastAsia="宋体" w:cs="宋体"/>
          <w:color w:val="auto"/>
          <w:sz w:val="24"/>
          <w:szCs w:val="24"/>
          <w:highlight w:val="none"/>
        </w:rPr>
        <w:t>。</w:t>
      </w:r>
    </w:p>
    <w:p w14:paraId="7207389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 xml:space="preserve">按相关行政主管及发包人要求 </w:t>
      </w:r>
      <w:r>
        <w:rPr>
          <w:rFonts w:hint="eastAsia" w:ascii="宋体" w:hAnsi="宋体" w:eastAsia="宋体" w:cs="宋体"/>
          <w:color w:val="auto"/>
          <w:sz w:val="24"/>
          <w:szCs w:val="24"/>
          <w:highlight w:val="none"/>
        </w:rPr>
        <w:t>。</w:t>
      </w:r>
    </w:p>
    <w:p w14:paraId="58C2D6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p w14:paraId="632E2B1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b/>
          <w:color w:val="auto"/>
          <w:sz w:val="24"/>
          <w:szCs w:val="24"/>
          <w:highlight w:val="none"/>
          <w:u w:val="single"/>
        </w:rPr>
        <w:t xml:space="preserve"> 90</w:t>
      </w:r>
      <w:r>
        <w:rPr>
          <w:rFonts w:hint="eastAsia" w:ascii="宋体" w:hAnsi="宋体" w:eastAsia="宋体" w:cs="宋体"/>
          <w:color w:val="auto"/>
          <w:sz w:val="24"/>
          <w:szCs w:val="24"/>
          <w:highlight w:val="none"/>
        </w:rPr>
        <w:t>天内发出开工通知的，承包人有权提出价格调整要求，或者解除合同。</w:t>
      </w:r>
    </w:p>
    <w:p w14:paraId="6E2B1518">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6C3E0212">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b/>
          <w:color w:val="auto"/>
          <w:sz w:val="24"/>
          <w:szCs w:val="24"/>
          <w:highlight w:val="none"/>
          <w:u w:val="single"/>
        </w:rPr>
        <w:t>〔开工通知〕载明的开工日期前7天 。</w:t>
      </w:r>
    </w:p>
    <w:p w14:paraId="671C37F1">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工期延误</w:t>
      </w:r>
    </w:p>
    <w:p w14:paraId="2A02CCF7">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7.5.1因发包人原因导致工期延误的其他情形：</w:t>
      </w:r>
    </w:p>
    <w:p w14:paraId="288D559A">
      <w:pPr>
        <w:pStyle w:val="13"/>
        <w:keepNext w:val="0"/>
        <w:keepLines w:val="0"/>
        <w:pageBreakBefore w:val="0"/>
        <w:kinsoku/>
        <w:overflowPunct/>
        <w:topLinePunct w:val="0"/>
        <w:bidi w:val="0"/>
        <w:adjustRightInd w:val="0"/>
        <w:snapToGrid w:val="0"/>
        <w:spacing w:line="312" w:lineRule="auto"/>
        <w:ind w:left="0" w:leftChars="0" w:firstLine="482" w:firstLineChars="200"/>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b/>
          <w:bCs/>
          <w:color w:val="auto"/>
          <w:kern w:val="2"/>
          <w:sz w:val="24"/>
          <w:szCs w:val="24"/>
          <w:highlight w:val="none"/>
          <w:u w:val="single"/>
          <w:lang w:val="en-US" w:eastAsia="zh-CN" w:bidi="ar-SA"/>
        </w:rPr>
        <w:t>（1）招标范围以外增加的工程量超过合同工程总量15%以上，且属于关键线路工程以致影响施工进度的（由发包人代表会同监理工程师认定，最终以发包人代表确认为准）；</w:t>
      </w:r>
    </w:p>
    <w:p w14:paraId="3E1A2CA5">
      <w:pPr>
        <w:pStyle w:val="13"/>
        <w:keepNext w:val="0"/>
        <w:keepLines w:val="0"/>
        <w:pageBreakBefore w:val="0"/>
        <w:kinsoku/>
        <w:overflowPunct/>
        <w:topLinePunct w:val="0"/>
        <w:bidi w:val="0"/>
        <w:adjustRightInd w:val="0"/>
        <w:snapToGrid w:val="0"/>
        <w:spacing w:line="312" w:lineRule="auto"/>
        <w:ind w:left="0" w:leftChars="0" w:firstLine="482" w:firstLineChars="200"/>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b/>
          <w:bCs/>
          <w:color w:val="auto"/>
          <w:kern w:val="2"/>
          <w:sz w:val="24"/>
          <w:szCs w:val="24"/>
          <w:highlight w:val="none"/>
          <w:u w:val="single"/>
          <w:lang w:val="en-US" w:eastAsia="zh-CN" w:bidi="ar-SA"/>
        </w:rPr>
        <w:t>（2）不可抗力；</w:t>
      </w:r>
    </w:p>
    <w:p w14:paraId="0E5BF575">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b/>
          <w:bCs/>
          <w:color w:val="auto"/>
          <w:kern w:val="2"/>
          <w:sz w:val="24"/>
          <w:szCs w:val="24"/>
          <w:highlight w:val="none"/>
          <w:u w:val="single"/>
          <w:lang w:val="en-US" w:eastAsia="zh-CN" w:bidi="ar-SA"/>
        </w:rPr>
        <w:t>（3）由于发包人原因造成的其他情形；</w:t>
      </w:r>
    </w:p>
    <w:p w14:paraId="4469EB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14:paraId="0709AC7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因承包人原因造成工期延误，逾期竣工违约金的计算方法为：</w:t>
      </w:r>
    </w:p>
    <w:p w14:paraId="0DF3B806">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延误工期扣款：</w:t>
      </w:r>
      <w:r>
        <w:rPr>
          <w:rFonts w:hint="eastAsia" w:ascii="宋体" w:hAnsi="宋体" w:eastAsia="宋体" w:cs="宋体"/>
          <w:b/>
          <w:color w:val="auto"/>
          <w:sz w:val="24"/>
          <w:szCs w:val="24"/>
          <w:highlight w:val="none"/>
          <w:u w:val="single"/>
        </w:rPr>
        <w:t>每延误一天扣</w:t>
      </w:r>
      <w:r>
        <w:rPr>
          <w:rFonts w:hint="eastAsia" w:ascii="宋体" w:hAnsi="宋体" w:eastAsia="宋体" w:cs="宋体"/>
          <w:b/>
          <w:color w:val="auto"/>
          <w:sz w:val="24"/>
          <w:szCs w:val="24"/>
          <w:highlight w:val="none"/>
          <w:u w:val="single"/>
          <w:lang w:val="en-US" w:eastAsia="zh-CN"/>
        </w:rPr>
        <w:t>500</w:t>
      </w:r>
      <w:r>
        <w:rPr>
          <w:rFonts w:hint="eastAsia" w:ascii="宋体" w:hAnsi="宋体" w:eastAsia="宋体" w:cs="宋体"/>
          <w:b/>
          <w:color w:val="auto"/>
          <w:sz w:val="24"/>
          <w:szCs w:val="24"/>
          <w:highlight w:val="none"/>
          <w:u w:val="single"/>
        </w:rPr>
        <w:t>元/天。</w:t>
      </w:r>
    </w:p>
    <w:p w14:paraId="037C650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因承包人原因造成工期延误，逾期竣工违约金的上限</w:t>
      </w:r>
      <w:r>
        <w:rPr>
          <w:rFonts w:hint="eastAsia" w:ascii="宋体" w:hAnsi="宋体" w:eastAsia="宋体" w:cs="宋体"/>
          <w:b/>
          <w:color w:val="auto"/>
          <w:sz w:val="24"/>
          <w:szCs w:val="24"/>
          <w:highlight w:val="none"/>
          <w:u w:val="single"/>
          <w:lang w:val="en-US" w:eastAsia="zh-CN"/>
        </w:rPr>
        <w:t>履约保证金</w:t>
      </w:r>
      <w:r>
        <w:rPr>
          <w:rFonts w:hint="eastAsia" w:ascii="宋体" w:hAnsi="宋体" w:eastAsia="宋体" w:cs="宋体"/>
          <w:b/>
          <w:color w:val="auto"/>
          <w:sz w:val="24"/>
          <w:szCs w:val="24"/>
          <w:highlight w:val="none"/>
          <w:u w:val="single"/>
        </w:rPr>
        <w:t>。</w:t>
      </w:r>
    </w:p>
    <w:p w14:paraId="5E97741F">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2、如由于承包人原因无故不履行合同的，建设单位将通知行政主管部门对其单位进行相应的处罚或者记录单位不良行为。</w:t>
      </w:r>
    </w:p>
    <w:p w14:paraId="1CFFCF6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不利物质条件</w:t>
      </w:r>
    </w:p>
    <w:p w14:paraId="1A02607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b/>
          <w:bCs/>
          <w:color w:val="auto"/>
          <w:sz w:val="24"/>
          <w:szCs w:val="24"/>
          <w:highlight w:val="none"/>
          <w:u w:val="single"/>
        </w:rPr>
        <w:t>执行通用条款7.6条，无其它约定。</w:t>
      </w:r>
    </w:p>
    <w:p w14:paraId="186E381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7.7异常恶劣的气候条件</w:t>
      </w:r>
    </w:p>
    <w:p w14:paraId="07ACC8C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7AFAD5B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气温低于零下5度的连续降温；</w:t>
      </w:r>
    </w:p>
    <w:p w14:paraId="6F0A04DF">
      <w:pPr>
        <w:pStyle w:val="33"/>
        <w:keepNext w:val="0"/>
        <w:keepLines w:val="0"/>
        <w:pageBreakBefore w:val="0"/>
        <w:kinsoku/>
        <w:wordWrap/>
        <w:overflowPunct/>
        <w:topLinePunct w:val="0"/>
        <w:bidi w:val="0"/>
        <w:spacing w:before="0" w:after="0" w:line="312" w:lineRule="auto"/>
        <w:ind w:left="0" w:right="26" w:firstLine="460" w:firstLineChars="192"/>
        <w:textAlignment w:val="auto"/>
        <w:rPr>
          <w:rFonts w:hint="eastAsia" w:ascii="宋体" w:hAnsi="宋体" w:eastAsia="宋体" w:cs="宋体"/>
          <w:color w:val="auto"/>
          <w:kern w:val="2"/>
          <w:szCs w:val="24"/>
          <w:highlight w:val="none"/>
          <w:u w:val="single"/>
        </w:rPr>
      </w:pPr>
      <w:r>
        <w:rPr>
          <w:rFonts w:hint="eastAsia" w:ascii="宋体" w:hAnsi="宋体" w:eastAsia="宋体" w:cs="宋体"/>
          <w:color w:val="auto"/>
          <w:kern w:val="2"/>
          <w:szCs w:val="24"/>
          <w:highlight w:val="none"/>
        </w:rPr>
        <w:t>（2）</w:t>
      </w:r>
      <w:r>
        <w:rPr>
          <w:rFonts w:hint="eastAsia" w:ascii="宋体" w:hAnsi="宋体" w:eastAsia="宋体" w:cs="宋体"/>
          <w:color w:val="auto"/>
          <w:kern w:val="2"/>
          <w:szCs w:val="24"/>
          <w:highlight w:val="none"/>
          <w:u w:val="single"/>
        </w:rPr>
        <w:t>6级以上大风 ；</w:t>
      </w:r>
    </w:p>
    <w:p w14:paraId="2B29C20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6小时内降雨量将达50毫米以上，或者已达50毫米以上且降雨可能持续。</w:t>
      </w:r>
    </w:p>
    <w:p w14:paraId="2AB2D00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1331992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无。</w:t>
      </w:r>
    </w:p>
    <w:p w14:paraId="3365B46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材料与设备</w:t>
      </w:r>
    </w:p>
    <w:p w14:paraId="4701E4E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8.4材料与工程设备的保管与使用</w:t>
      </w:r>
    </w:p>
    <w:p w14:paraId="0555FC4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8.4.1发包人供应的材料设备的保管费用的承担：</w:t>
      </w:r>
      <w:r>
        <w:rPr>
          <w:rFonts w:hint="eastAsia" w:ascii="宋体" w:hAnsi="宋体" w:eastAsia="宋体" w:cs="宋体"/>
          <w:color w:val="auto"/>
          <w:sz w:val="24"/>
          <w:szCs w:val="24"/>
          <w:highlight w:val="none"/>
          <w:u w:val="single"/>
        </w:rPr>
        <w:t>包含在投标报价中 。</w:t>
      </w:r>
    </w:p>
    <w:p w14:paraId="0665AC9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417F22B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样品的报送与封存</w:t>
      </w:r>
    </w:p>
    <w:p w14:paraId="4A5CCA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需要承包人报送样品的材料或工程设备，样品的种类、名称、规格、数量要求：</w:t>
      </w:r>
      <w:r>
        <w:rPr>
          <w:rFonts w:hint="eastAsia" w:ascii="宋体" w:hAnsi="宋体" w:eastAsia="宋体" w:cs="宋体"/>
          <w:b/>
          <w:bCs/>
          <w:color w:val="auto"/>
          <w:sz w:val="24"/>
          <w:szCs w:val="24"/>
          <w:highlight w:val="none"/>
          <w:u w:val="single"/>
        </w:rPr>
        <w:t>执行通用条款8.6.1，</w:t>
      </w:r>
      <w:r>
        <w:rPr>
          <w:rFonts w:hint="eastAsia" w:ascii="宋体" w:hAnsi="宋体" w:eastAsia="宋体" w:cs="宋体"/>
          <w:b/>
          <w:color w:val="auto"/>
          <w:sz w:val="24"/>
          <w:szCs w:val="24"/>
          <w:highlight w:val="none"/>
          <w:u w:val="single"/>
        </w:rPr>
        <w:t>由承包人采购的材料、设备，承包人应在规定的时间内，按照工期进度计划向监理工程师报送材料、设备的使用计划，需要认价的材料、设备应提供达到合同或图纸规定质量要求的，类似档次的至少3个品牌，并提供参考市场价格。发包人在收到承包人的材料报价单后在48小时内给予确认，逾期视为认可</w:t>
      </w:r>
      <w:r>
        <w:rPr>
          <w:rFonts w:hint="eastAsia" w:ascii="宋体" w:hAnsi="宋体" w:eastAsia="宋体" w:cs="宋体"/>
          <w:color w:val="auto"/>
          <w:sz w:val="24"/>
          <w:szCs w:val="24"/>
          <w:highlight w:val="none"/>
          <w:u w:val="single"/>
        </w:rPr>
        <w:t>。</w:t>
      </w:r>
    </w:p>
    <w:p w14:paraId="0629188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083A77E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29CCA04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b/>
          <w:bCs/>
          <w:color w:val="auto"/>
          <w:sz w:val="24"/>
          <w:szCs w:val="24"/>
          <w:highlight w:val="none"/>
          <w:u w:val="single"/>
        </w:rPr>
        <w:t>（1）施工现场建筑红线内工程施工需要的临时宿舍、仓库、办公室、主要道路、水、电、管线等临时设施的搭设、维护、拆除的费用由承包人承担，承包人按规定计取临时设施费用；（2）建筑红线内、外道路及周围民居的安全防护搭设和高压线安全防护费用已考虑在投标报价中，发生安全事故的由承包人自行承担。</w:t>
      </w:r>
    </w:p>
    <w:p w14:paraId="1EE64A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试验与检验</w:t>
      </w:r>
    </w:p>
    <w:p w14:paraId="4D83CAB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9.1试验设备与试验人员</w:t>
      </w:r>
    </w:p>
    <w:p w14:paraId="1DB45E8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9.1.2 试验设备</w:t>
      </w:r>
    </w:p>
    <w:p w14:paraId="0847ED3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r>
        <w:rPr>
          <w:rFonts w:hint="eastAsia" w:ascii="宋体" w:hAnsi="宋体" w:eastAsia="宋体" w:cs="宋体"/>
          <w:color w:val="auto"/>
          <w:sz w:val="24"/>
          <w:szCs w:val="24"/>
          <w:highlight w:val="none"/>
          <w:u w:val="single"/>
        </w:rPr>
        <w:t>／</w:t>
      </w:r>
    </w:p>
    <w:p w14:paraId="111CBBE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w:t>
      </w:r>
    </w:p>
    <w:p w14:paraId="3B9342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w:t>
      </w:r>
    </w:p>
    <w:p w14:paraId="60A1017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3726A87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w:t>
      </w:r>
    </w:p>
    <w:p w14:paraId="73A85A27">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变更</w:t>
      </w:r>
    </w:p>
    <w:p w14:paraId="1A028D50">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10.1变更的范围</w:t>
      </w:r>
    </w:p>
    <w:p w14:paraId="18F73CEF">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b/>
          <w:bCs/>
          <w:color w:val="auto"/>
          <w:sz w:val="24"/>
          <w:szCs w:val="24"/>
          <w:highlight w:val="none"/>
          <w:u w:val="single"/>
        </w:rPr>
        <w:t>（1）执行通用条款10.1条，超出10.1条范围的现场变更，双方商定，现场办理签证。（2）工程联系单、设计变更等工程量及费用签证的结算方式同合同专用条款12.1条约定，结算时并入总造价。</w:t>
      </w:r>
    </w:p>
    <w:p w14:paraId="4D22DFAC">
      <w:pPr>
        <w:keepNext w:val="0"/>
        <w:keepLines w:val="0"/>
        <w:pageBreakBefore w:val="0"/>
        <w:kinsoku/>
        <w:overflowPunct/>
        <w:topLinePunct w:val="0"/>
        <w:bidi w:val="0"/>
        <w:spacing w:line="312"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10.4 变更估价</w:t>
      </w:r>
    </w:p>
    <w:p w14:paraId="09CF5EEA">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1F499D7C">
      <w:pPr>
        <w:keepNext w:val="0"/>
        <w:keepLines w:val="0"/>
        <w:pageBreakBefore w:val="0"/>
        <w:widowControl w:val="0"/>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ascii="宋体" w:hAnsi="宋体"/>
          <w:color w:val="auto"/>
          <w:kern w:val="2"/>
          <w:sz w:val="24"/>
          <w:szCs w:val="24"/>
          <w:highlight w:val="none"/>
        </w:rPr>
        <w:t>关于变更估价的约定</w:t>
      </w:r>
      <w:r>
        <w:rPr>
          <w:rFonts w:hint="eastAsia" w:ascii="宋体" w:hAnsi="宋体"/>
          <w:color w:val="auto"/>
          <w:kern w:val="2"/>
          <w:sz w:val="24"/>
          <w:szCs w:val="24"/>
          <w:highlight w:val="none"/>
        </w:rPr>
        <w:t>：</w:t>
      </w:r>
      <w:r>
        <w:rPr>
          <w:rFonts w:hint="eastAsia" w:ascii="宋体" w:hAnsi="宋体"/>
          <w:color w:val="auto"/>
          <w:kern w:val="2"/>
          <w:sz w:val="24"/>
          <w:szCs w:val="24"/>
          <w:highlight w:val="none"/>
          <w:u w:val="single"/>
        </w:rPr>
        <w:t>分部分项工程清单与计价表和施工技术措施项目清单与计价表中工程量按照竣工图结合变更联系单并按照《建设工程工程量清单计价规范》（GB50500-2013）、《市政工程工程量计算规范》GB50857-2013</w:t>
      </w:r>
      <w:r>
        <w:rPr>
          <w:rFonts w:hint="eastAsia" w:ascii="宋体" w:hAnsi="宋体"/>
          <w:color w:val="auto"/>
          <w:kern w:val="2"/>
          <w:sz w:val="24"/>
          <w:szCs w:val="24"/>
          <w:highlight w:val="none"/>
          <w:u w:val="single"/>
          <w:lang w:eastAsia="zh-CN"/>
        </w:rPr>
        <w:t>、</w:t>
      </w:r>
      <w:r>
        <w:rPr>
          <w:rFonts w:hint="eastAsia" w:ascii="宋体" w:hAnsi="宋体"/>
          <w:color w:val="auto"/>
          <w:kern w:val="2"/>
          <w:sz w:val="24"/>
          <w:szCs w:val="24"/>
          <w:highlight w:val="none"/>
          <w:u w:val="single"/>
        </w:rPr>
        <w:t xml:space="preserve">《浙江省建设工程计价规则》（2018版）规定计算。 </w:t>
      </w:r>
    </w:p>
    <w:p w14:paraId="152B9822">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以上综合单价具体调整方法如下：</w:t>
      </w:r>
    </w:p>
    <w:p w14:paraId="0E09A164">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ascii="宋体" w:hAnsi="宋体"/>
          <w:color w:val="auto"/>
          <w:kern w:val="2"/>
          <w:sz w:val="24"/>
          <w:szCs w:val="24"/>
          <w:highlight w:val="none"/>
          <w:u w:val="single"/>
        </w:rPr>
        <w:t>①合同中已有适用的价格，按合同已有的价格。</w:t>
      </w:r>
      <w:r>
        <w:rPr>
          <w:rFonts w:hint="eastAsia" w:ascii="宋体" w:hAnsi="宋体"/>
          <w:color w:val="auto"/>
          <w:kern w:val="2"/>
          <w:sz w:val="24"/>
          <w:szCs w:val="24"/>
          <w:highlight w:val="none"/>
          <w:u w:val="single"/>
        </w:rPr>
        <w:t>但合价金额占合同总价2%及以上的分部分项清单项目，其工程量增加或减少超过本项工程数量15%及以上时，或合价金额占合同总价不到2%的分部分项清单项目，但其工程量增加或减少超过本项工程数量25%及以上时，其增加部分工程量单价按投标价的95%计取；减少后剩余部分工程量的单价按投标价的105%计取。</w:t>
      </w:r>
    </w:p>
    <w:p w14:paraId="037448C2">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ascii="宋体" w:hAnsi="宋体"/>
          <w:color w:val="auto"/>
          <w:kern w:val="2"/>
          <w:sz w:val="24"/>
          <w:szCs w:val="24"/>
          <w:highlight w:val="none"/>
          <w:u w:val="single"/>
        </w:rPr>
        <w:t>②合同中</w:t>
      </w:r>
      <w:r>
        <w:rPr>
          <w:rFonts w:hint="eastAsia" w:ascii="宋体" w:hAnsi="宋体"/>
          <w:color w:val="auto"/>
          <w:kern w:val="2"/>
          <w:sz w:val="24"/>
          <w:szCs w:val="24"/>
          <w:highlight w:val="none"/>
          <w:u w:val="single"/>
        </w:rPr>
        <w:t>没有适用的综合单价，但有类似的工程项目综合单价，可参照类似工程项目综合单价计算确定：A、某种材料（或半成品及成品）等级、标准变化的，清单组合子目不变，仅调整不同的材料市场价格之差；B、清单项目组合内容中某一个（或多个）定额子目发生变化，不影响其他特征及工程内容价格的，仅调整发生变化的定额子目价格。</w:t>
      </w:r>
    </w:p>
    <w:p w14:paraId="3437B79F">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ascii="宋体" w:hAnsi="宋体"/>
          <w:color w:val="auto"/>
          <w:kern w:val="2"/>
          <w:sz w:val="24"/>
          <w:szCs w:val="24"/>
          <w:highlight w:val="none"/>
          <w:u w:val="single"/>
        </w:rPr>
        <w:t>③</w:t>
      </w:r>
      <w:r>
        <w:rPr>
          <w:rFonts w:hint="eastAsia" w:ascii="宋体" w:hAnsi="宋体"/>
          <w:color w:val="auto"/>
          <w:kern w:val="2"/>
          <w:sz w:val="24"/>
          <w:szCs w:val="24"/>
          <w:highlight w:val="none"/>
          <w:u w:val="single"/>
        </w:rPr>
        <w:t>合同中没有适用的综合单价，则依据合同约定编制依据、组价原则和承包人投标报价</w:t>
      </w:r>
      <w:r>
        <w:rPr>
          <w:rFonts w:hint="eastAsia" w:ascii="宋体" w:hAnsi="宋体"/>
          <w:color w:val="auto"/>
          <w:kern w:val="2"/>
          <w:sz w:val="24"/>
          <w:szCs w:val="24"/>
          <w:highlight w:val="none"/>
          <w:u w:val="single"/>
          <w:lang w:val="en-US" w:eastAsia="zh-CN"/>
        </w:rPr>
        <w:t>相对标准预算价的</w:t>
      </w:r>
      <w:r>
        <w:rPr>
          <w:rFonts w:hint="eastAsia" w:ascii="宋体" w:hAnsi="宋体"/>
          <w:color w:val="auto"/>
          <w:kern w:val="2"/>
          <w:sz w:val="24"/>
          <w:szCs w:val="24"/>
          <w:highlight w:val="none"/>
          <w:u w:val="single"/>
        </w:rPr>
        <w:t>浮动率，提出适当的单价，经发包人确认后执行。</w:t>
      </w:r>
    </w:p>
    <w:p w14:paraId="1059F21B">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④投标综合单价异常的处理：</w:t>
      </w:r>
    </w:p>
    <w:p w14:paraId="2421BB84">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1）投标综合单价遇下列情况，应对其异常性进行判定：A、投标综合单价与按合同约定的计价依据计算的综合单价偏差±30%以上；B、虽然综合单价正常，但组成综合单价的人、材、机消耗量或单价与按合同约定计价依据计算的人、材、机消耗量或单价相比偏差±30%以上；</w:t>
      </w:r>
    </w:p>
    <w:p w14:paraId="6F29FA4C">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（2）综合单价异常且工程量增减超过本项工程量15%以上的，按下列原则处理：A、工程量增加超过本项工程量15%以内的，按原综合单价计算，增加超过15%以外部分工程量，按以上第</w:t>
      </w:r>
      <w:r>
        <w:rPr>
          <w:rFonts w:ascii="宋体" w:hAnsi="宋体"/>
          <w:color w:val="auto"/>
          <w:kern w:val="2"/>
          <w:sz w:val="24"/>
          <w:szCs w:val="24"/>
          <w:highlight w:val="none"/>
          <w:u w:val="single"/>
        </w:rPr>
        <w:t>③</w:t>
      </w:r>
      <w:r>
        <w:rPr>
          <w:rFonts w:hint="eastAsia" w:ascii="宋体" w:hAnsi="宋体"/>
          <w:color w:val="auto"/>
          <w:kern w:val="2"/>
          <w:sz w:val="24"/>
          <w:szCs w:val="24"/>
          <w:highlight w:val="none"/>
          <w:u w:val="single"/>
        </w:rPr>
        <w:t>条重新确定综合单价，计算合价；B、工程量减少超过本项工程量15%以内的，按原综合单价在该项目合价中扣除，减少超过15%以外部分工程量，按以上第</w:t>
      </w:r>
      <w:r>
        <w:rPr>
          <w:rFonts w:ascii="宋体" w:hAnsi="宋体"/>
          <w:color w:val="auto"/>
          <w:kern w:val="2"/>
          <w:sz w:val="24"/>
          <w:szCs w:val="24"/>
          <w:highlight w:val="none"/>
          <w:u w:val="single"/>
        </w:rPr>
        <w:t>③</w:t>
      </w:r>
      <w:r>
        <w:rPr>
          <w:rFonts w:hint="eastAsia" w:ascii="宋体" w:hAnsi="宋体"/>
          <w:color w:val="auto"/>
          <w:kern w:val="2"/>
          <w:sz w:val="24"/>
          <w:szCs w:val="24"/>
          <w:highlight w:val="none"/>
          <w:u w:val="single"/>
        </w:rPr>
        <w:t>条重新确定综合单价，计算合价后，在该项目合价中扣除。</w:t>
      </w:r>
    </w:p>
    <w:p w14:paraId="28A154E5">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rPr>
      </w:pPr>
      <w:r>
        <w:rPr>
          <w:rFonts w:hint="eastAsia" w:ascii="宋体" w:hAnsi="宋体"/>
          <w:color w:val="auto"/>
          <w:kern w:val="2"/>
          <w:sz w:val="24"/>
          <w:szCs w:val="24"/>
          <w:highlight w:val="none"/>
          <w:u w:val="single"/>
        </w:rPr>
        <w:t>⑤施工组织(总价)措施项目清单与计价表价格包干，工程结算不作调整。</w:t>
      </w:r>
    </w:p>
    <w:p w14:paraId="694BCAD1">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⑥税金按规定计取，规费按规定计取。</w:t>
      </w:r>
    </w:p>
    <w:p w14:paraId="07BC2BC8">
      <w:pPr>
        <w:keepNext w:val="0"/>
        <w:keepLines w:val="0"/>
        <w:pageBreakBefore w:val="0"/>
        <w:numPr>
          <w:ilvl w:val="0"/>
          <w:numId w:val="0"/>
        </w:numPr>
        <w:kinsoku/>
        <w:wordWrap/>
        <w:overflowPunct/>
        <w:topLinePunct w:val="0"/>
        <w:bidi w:val="0"/>
        <w:spacing w:line="312" w:lineRule="auto"/>
        <w:ind w:left="483"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10.5承包人的合理化建议</w:t>
      </w:r>
    </w:p>
    <w:p w14:paraId="1FB0BEB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b/>
          <w:bCs/>
          <w:color w:val="auto"/>
          <w:sz w:val="24"/>
          <w:szCs w:val="24"/>
          <w:highlight w:val="none"/>
          <w:u w:val="single"/>
        </w:rPr>
        <w:t>二个工作日</w:t>
      </w:r>
      <w:r>
        <w:rPr>
          <w:rFonts w:hint="eastAsia" w:ascii="宋体" w:hAnsi="宋体" w:eastAsia="宋体" w:cs="宋体"/>
          <w:color w:val="auto"/>
          <w:sz w:val="24"/>
          <w:szCs w:val="24"/>
          <w:highlight w:val="none"/>
        </w:rPr>
        <w:t>。</w:t>
      </w:r>
    </w:p>
    <w:p w14:paraId="35961D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b/>
          <w:bCs/>
          <w:color w:val="auto"/>
          <w:sz w:val="24"/>
          <w:szCs w:val="24"/>
          <w:highlight w:val="none"/>
          <w:u w:val="single"/>
        </w:rPr>
        <w:t>二个工作日</w:t>
      </w:r>
      <w:r>
        <w:rPr>
          <w:rFonts w:hint="eastAsia" w:ascii="宋体" w:hAnsi="宋体" w:eastAsia="宋体" w:cs="宋体"/>
          <w:color w:val="auto"/>
          <w:sz w:val="24"/>
          <w:szCs w:val="24"/>
          <w:highlight w:val="none"/>
        </w:rPr>
        <w:t>。</w:t>
      </w:r>
    </w:p>
    <w:p w14:paraId="2D33E07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承包人提出的合理化建议降低了合同价格或者提高了工程经济效益的奖励的方法和金额为：</w:t>
      </w:r>
      <w:r>
        <w:rPr>
          <w:rFonts w:hint="eastAsia" w:ascii="宋体" w:hAnsi="宋体" w:eastAsia="宋体" w:cs="宋体"/>
          <w:b/>
          <w:bCs/>
          <w:color w:val="auto"/>
          <w:sz w:val="24"/>
          <w:szCs w:val="24"/>
          <w:highlight w:val="none"/>
          <w:u w:val="single"/>
        </w:rPr>
        <w:t>承包人按照该建议施工发生的额外费用由发包人承担，降低的合同价或提高的经济效益由发包人受益</w:t>
      </w:r>
      <w:r>
        <w:rPr>
          <w:rFonts w:hint="eastAsia" w:ascii="宋体" w:hAnsi="宋体" w:eastAsia="宋体" w:cs="宋体"/>
          <w:color w:val="auto"/>
          <w:sz w:val="24"/>
          <w:szCs w:val="24"/>
          <w:highlight w:val="none"/>
          <w:u w:val="single"/>
        </w:rPr>
        <w:t>。</w:t>
      </w:r>
    </w:p>
    <w:p w14:paraId="7C3420B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 暂估价</w:t>
      </w:r>
    </w:p>
    <w:p w14:paraId="21FA07F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暂估价材料和工程设备的明细详见附件11：《暂估价一览表》。</w:t>
      </w:r>
    </w:p>
    <w:p w14:paraId="38DB38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 依法必须招标的暂估价项目</w:t>
      </w:r>
    </w:p>
    <w:p w14:paraId="3F0B7D5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种方式确定。</w:t>
      </w:r>
    </w:p>
    <w:p w14:paraId="0C5AE12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 不属于依法必须招标的暂估价项目</w:t>
      </w:r>
    </w:p>
    <w:p w14:paraId="0E161D8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种方式确定。</w:t>
      </w:r>
    </w:p>
    <w:p w14:paraId="04AF656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第3种方式：承包人直接实施的暂估价项目</w:t>
      </w:r>
    </w:p>
    <w:p w14:paraId="3EB5008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3784A89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14:paraId="429A67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合同当事人关于暂列金额使用的约定：</w:t>
      </w:r>
      <w:r>
        <w:rPr>
          <w:rFonts w:hint="eastAsia" w:ascii="宋体" w:hAnsi="宋体" w:eastAsia="宋体" w:cs="宋体"/>
          <w:b/>
          <w:color w:val="auto"/>
          <w:kern w:val="0"/>
          <w:sz w:val="24"/>
          <w:szCs w:val="24"/>
          <w:highlight w:val="none"/>
          <w:u w:val="single"/>
        </w:rPr>
        <w:t>按照发包人书面意见执行</w:t>
      </w:r>
      <w:r>
        <w:rPr>
          <w:rFonts w:hint="eastAsia" w:ascii="宋体" w:hAnsi="宋体" w:eastAsia="宋体" w:cs="宋体"/>
          <w:color w:val="auto"/>
          <w:sz w:val="24"/>
          <w:szCs w:val="24"/>
          <w:highlight w:val="none"/>
        </w:rPr>
        <w:t xml:space="preserve"> 。</w:t>
      </w:r>
    </w:p>
    <w:p w14:paraId="2D71A82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价格调整</w:t>
      </w:r>
    </w:p>
    <w:p w14:paraId="08A0F2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市场价格波动引起的调整</w:t>
      </w:r>
    </w:p>
    <w:p w14:paraId="6911D9D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市场价格波动是否调整合同价格的约定：</w:t>
      </w:r>
      <w:r>
        <w:rPr>
          <w:rFonts w:hint="eastAsia" w:ascii="宋体" w:hAnsi="宋体"/>
          <w:color w:val="auto"/>
          <w:sz w:val="24"/>
          <w:szCs w:val="24"/>
          <w:highlight w:val="none"/>
          <w:u w:val="single"/>
          <w:lang w:val="en-US" w:eastAsia="zh-CN"/>
        </w:rPr>
        <w:t>不调整</w:t>
      </w:r>
      <w:r>
        <w:rPr>
          <w:rFonts w:hint="eastAsia" w:ascii="宋体" w:hAnsi="宋体" w:eastAsia="宋体" w:cs="宋体"/>
          <w:color w:val="auto"/>
          <w:sz w:val="24"/>
          <w:szCs w:val="24"/>
          <w:highlight w:val="none"/>
          <w:u w:val="single"/>
        </w:rPr>
        <w:t>。</w:t>
      </w:r>
    </w:p>
    <w:p w14:paraId="4D9E62C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因市场价格波动调整合同价格，采用以下第</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种方式对合同价格进行调整：</w:t>
      </w:r>
    </w:p>
    <w:p w14:paraId="6CC2F7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14:paraId="6A8A0FC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关于各可调因子、定值和变值权重，以及基本价格指数及其来源的约定：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68C5F87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14:paraId="75AE991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（2）关于基准价格的约定：</w:t>
      </w:r>
    </w:p>
    <w:p w14:paraId="0FB65F0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%时，或材料单价跌幅以已标价工程量清单或预算书中载明材料单价为基础超过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%时，其超过部分据实调整。</w:t>
      </w:r>
    </w:p>
    <w:p w14:paraId="44666A6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%时，材料单价涨幅以已标价工程量清单或预算书中载明材料单价为基础超过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%时，其超过部分据实调整。</w:t>
      </w:r>
    </w:p>
    <w:p w14:paraId="32C79B1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%时，其超过部分据实调整。</w:t>
      </w:r>
    </w:p>
    <w:p w14:paraId="3E7D7DE2">
      <w:pPr>
        <w:pStyle w:val="7"/>
        <w:keepNext w:val="0"/>
        <w:keepLines w:val="0"/>
        <w:pageBreakBefore w:val="0"/>
        <w:kinsoku/>
        <w:wordWrap/>
        <w:overflowPunct/>
        <w:topLinePunct w:val="0"/>
        <w:bidi w:val="0"/>
        <w:spacing w:line="312" w:lineRule="auto"/>
        <w:ind w:right="63" w:firstLine="36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第3种方式：其他价格调整方式</w:t>
      </w:r>
      <w:r>
        <w:rPr>
          <w:rFonts w:hint="eastAsia" w:ascii="宋体" w:hAnsi="宋体" w:eastAsia="宋体" w:cs="宋体"/>
          <w:b w:val="0"/>
          <w:color w:val="auto"/>
          <w:sz w:val="24"/>
          <w:szCs w:val="24"/>
          <w:highlight w:val="none"/>
          <w:u w:val="single"/>
        </w:rPr>
        <w:t>无</w:t>
      </w:r>
    </w:p>
    <w:p w14:paraId="04FEA13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12.合同价格、计量与支付</w:t>
      </w:r>
    </w:p>
    <w:p w14:paraId="685D42A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合同价格形式</w:t>
      </w:r>
    </w:p>
    <w:p w14:paraId="71E8A03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14:paraId="1B91F245">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p>
    <w:p w14:paraId="40CC0930">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第11.1条明确的可调整范围以外的人工、材料信息价的变动；</w:t>
      </w:r>
    </w:p>
    <w:p w14:paraId="7B64A9CA">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2）施工期间停水、停电一周内不超过8小时引起的费用增加；</w:t>
      </w:r>
    </w:p>
    <w:p w14:paraId="576EF7EE">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3）专用条款中约定不予调整的条款和承包人承担应计入投标总价的费用；</w:t>
      </w:r>
    </w:p>
    <w:p w14:paraId="3BF06F5B">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4）质量和安全的风险包括在风险费中；</w:t>
      </w:r>
    </w:p>
    <w:p w14:paraId="4CD36FD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计入各清单项目投标单价中  </w:t>
      </w:r>
      <w:r>
        <w:rPr>
          <w:rFonts w:hint="eastAsia" w:ascii="宋体" w:hAnsi="宋体" w:eastAsia="宋体" w:cs="宋体"/>
          <w:color w:val="auto"/>
          <w:sz w:val="24"/>
          <w:szCs w:val="24"/>
          <w:highlight w:val="none"/>
        </w:rPr>
        <w:t>。</w:t>
      </w:r>
    </w:p>
    <w:p w14:paraId="5955AE8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风险范围以外合同价格的调整方法：      </w:t>
      </w:r>
    </w:p>
    <w:p w14:paraId="7EBEC6F4">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（1）工程量的偏差按专用条款第1.13条调整。 </w:t>
      </w:r>
    </w:p>
    <w:p w14:paraId="3785098F">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（2）单价价格变化按照专用条款10.4.1条调整。</w:t>
      </w:r>
    </w:p>
    <w:p w14:paraId="49EE4B30">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14:paraId="51D22321">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总价包含的风险范围：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4FFC141F">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3A4358F5">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1E3C82FD">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3、其他价格方式：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29107DB8">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p>
    <w:p w14:paraId="6BC24173">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预付款支付比例或金额：</w:t>
      </w:r>
      <w:r>
        <w:rPr>
          <w:rFonts w:hint="eastAsia" w:ascii="宋体" w:hAnsi="宋体"/>
          <w:b/>
          <w:color w:val="auto"/>
          <w:kern w:val="2"/>
          <w:sz w:val="24"/>
          <w:szCs w:val="24"/>
          <w:highlight w:val="none"/>
          <w:u w:val="single"/>
        </w:rPr>
        <w:t>预付款支付总额为合同价的</w:t>
      </w:r>
      <w:r>
        <w:rPr>
          <w:rFonts w:hint="eastAsia" w:ascii="宋体" w:hAnsi="宋体"/>
          <w:b/>
          <w:color w:val="auto"/>
          <w:kern w:val="2"/>
          <w:sz w:val="24"/>
          <w:szCs w:val="24"/>
          <w:highlight w:val="none"/>
          <w:u w:val="single"/>
          <w:lang w:val="en-US" w:eastAsia="zh-CN"/>
        </w:rPr>
        <w:t>40</w:t>
      </w:r>
      <w:r>
        <w:rPr>
          <w:rFonts w:hint="eastAsia" w:ascii="宋体" w:hAnsi="宋体"/>
          <w:b/>
          <w:color w:val="auto"/>
          <w:kern w:val="2"/>
          <w:sz w:val="24"/>
          <w:szCs w:val="24"/>
          <w:highlight w:val="none"/>
          <w:u w:val="single"/>
        </w:rPr>
        <w:t>%</w:t>
      </w:r>
      <w:r>
        <w:rPr>
          <w:rFonts w:ascii="宋体" w:hAnsi="宋体"/>
          <w:color w:val="auto"/>
          <w:kern w:val="2"/>
          <w:sz w:val="24"/>
          <w:szCs w:val="24"/>
          <w:highlight w:val="none"/>
        </w:rPr>
        <w:t>。</w:t>
      </w:r>
    </w:p>
    <w:p w14:paraId="492BACCD">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预付款支付期限：</w:t>
      </w:r>
      <w:r>
        <w:rPr>
          <w:rFonts w:hint="eastAsia" w:ascii="宋体" w:hAnsi="宋体"/>
          <w:b/>
          <w:color w:val="auto"/>
          <w:kern w:val="2"/>
          <w:sz w:val="24"/>
          <w:szCs w:val="24"/>
          <w:highlight w:val="none"/>
          <w:u w:val="single"/>
        </w:rPr>
        <w:t>支付时间为合同签订后</w:t>
      </w:r>
      <w:r>
        <w:rPr>
          <w:rFonts w:hint="eastAsia" w:ascii="宋体" w:hAnsi="宋体"/>
          <w:b/>
          <w:color w:val="auto"/>
          <w:kern w:val="2"/>
          <w:sz w:val="24"/>
          <w:szCs w:val="24"/>
          <w:highlight w:val="none"/>
          <w:u w:val="single"/>
          <w:lang w:val="en-US" w:eastAsia="zh-CN"/>
        </w:rPr>
        <w:t>7</w:t>
      </w:r>
      <w:r>
        <w:rPr>
          <w:rFonts w:hint="eastAsia" w:ascii="宋体" w:hAnsi="宋体"/>
          <w:b/>
          <w:color w:val="auto"/>
          <w:kern w:val="2"/>
          <w:sz w:val="24"/>
          <w:szCs w:val="24"/>
          <w:highlight w:val="none"/>
          <w:u w:val="single"/>
        </w:rPr>
        <w:t>天内</w:t>
      </w:r>
      <w:r>
        <w:rPr>
          <w:rFonts w:hint="eastAsia" w:ascii="宋体" w:hAnsi="宋体" w:eastAsia="宋体" w:cs="宋体"/>
          <w:color w:val="auto"/>
          <w:kern w:val="2"/>
          <w:sz w:val="24"/>
          <w:szCs w:val="24"/>
          <w:highlight w:val="none"/>
        </w:rPr>
        <w:t>。</w:t>
      </w:r>
    </w:p>
    <w:p w14:paraId="69E0B7DF">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预付款扣回的方式：</w:t>
      </w:r>
      <w:r>
        <w:rPr>
          <w:rFonts w:hint="eastAsia" w:ascii="宋体" w:hAnsi="宋体"/>
          <w:color w:val="auto"/>
          <w:kern w:val="2"/>
          <w:sz w:val="24"/>
          <w:szCs w:val="24"/>
          <w:highlight w:val="none"/>
          <w:u w:val="single"/>
        </w:rPr>
        <w:t>本工程预付款不扣回，抵作</w:t>
      </w:r>
      <w:r>
        <w:rPr>
          <w:rFonts w:hint="eastAsia" w:ascii="宋体" w:hAnsi="宋体"/>
          <w:color w:val="auto"/>
          <w:kern w:val="2"/>
          <w:sz w:val="24"/>
          <w:szCs w:val="24"/>
          <w:highlight w:val="none"/>
          <w:u w:val="single"/>
          <w:lang w:val="en-US" w:eastAsia="zh-CN"/>
        </w:rPr>
        <w:t>工程款</w:t>
      </w:r>
      <w:r>
        <w:rPr>
          <w:rFonts w:hint="eastAsia" w:ascii="宋体" w:hAnsi="宋体" w:eastAsia="宋体" w:cs="宋体"/>
          <w:color w:val="auto"/>
          <w:kern w:val="2"/>
          <w:sz w:val="24"/>
          <w:szCs w:val="24"/>
          <w:highlight w:val="none"/>
        </w:rPr>
        <w:t>。</w:t>
      </w:r>
    </w:p>
    <w:p w14:paraId="6A913AB0">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1DFCCDDA">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14:paraId="7DE7B4E1">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14:paraId="6CE03B14">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2FA9D692">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44B7E4B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z w:val="24"/>
          <w:szCs w:val="24"/>
          <w:highlight w:val="none"/>
          <w:u w:val="single"/>
        </w:rPr>
        <w:t>按照《建设工程工程量清单计价规范》（GB50500`2013）及浙江省建设工程预算定额（2018版）中相关工程量计算规则、图纸、批准的施工组织设计、签证及变更等进行计量。</w:t>
      </w:r>
    </w:p>
    <w:p w14:paraId="6C41DD6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1C5292A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6D53F7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1BD1C36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w:t>
      </w:r>
    </w:p>
    <w:p w14:paraId="386D2C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1444A39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267FD9F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12.3.5总价合同采用支付分解表计量支付的，是否适用第12.3.4 项〔总价合同的计量〕约定进行计量：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14:paraId="433F4ED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173B694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b/>
          <w:bCs/>
          <w:color w:val="auto"/>
          <w:sz w:val="24"/>
          <w:szCs w:val="24"/>
          <w:highlight w:val="none"/>
          <w:u w:val="single"/>
        </w:rPr>
        <w:t>按照专用条款12.1条及专用条款12.3.1条中确定</w:t>
      </w:r>
      <w:r>
        <w:rPr>
          <w:rFonts w:hint="eastAsia" w:ascii="宋体" w:hAnsi="宋体" w:eastAsia="宋体" w:cs="宋体"/>
          <w:b/>
          <w:bCs/>
          <w:color w:val="auto"/>
          <w:kern w:val="0"/>
          <w:sz w:val="24"/>
          <w:szCs w:val="24"/>
          <w:highlight w:val="none"/>
          <w:u w:val="single"/>
        </w:rPr>
        <w:t>的工程量计量方式和程序进行计量</w:t>
      </w:r>
      <w:r>
        <w:rPr>
          <w:rFonts w:hint="eastAsia" w:ascii="宋体" w:hAnsi="宋体" w:eastAsia="宋体" w:cs="宋体"/>
          <w:color w:val="auto"/>
          <w:sz w:val="24"/>
          <w:szCs w:val="24"/>
          <w:highlight w:val="none"/>
          <w:u w:val="single"/>
        </w:rPr>
        <w:t>。</w:t>
      </w:r>
    </w:p>
    <w:p w14:paraId="586F042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14:paraId="204652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12.4.1 付款周期双方约定的工程款支付的方式和时间：</w:t>
      </w:r>
    </w:p>
    <w:p w14:paraId="73BC2BA8">
      <w:pPr>
        <w:snapToGrid w:val="0"/>
        <w:spacing w:line="360" w:lineRule="auto"/>
        <w:ind w:firstLine="482" w:firstLineChars="200"/>
        <w:rPr>
          <w:rFonts w:hint="eastAsia" w:ascii="宋体" w:hAnsi="宋体"/>
          <w:b/>
          <w:color w:val="auto"/>
          <w:sz w:val="24"/>
          <w:szCs w:val="24"/>
          <w:highlight w:val="none"/>
          <w:u w:val="single"/>
        </w:rPr>
      </w:pPr>
      <w:r>
        <w:rPr>
          <w:rFonts w:hint="eastAsia" w:ascii="宋体" w:hAnsi="宋体"/>
          <w:b/>
          <w:color w:val="auto"/>
          <w:sz w:val="24"/>
          <w:szCs w:val="24"/>
          <w:highlight w:val="none"/>
          <w:u w:val="single"/>
        </w:rPr>
        <w:t>(1)工程竣工验收合格且工程结算审计完毕，承包人上缴质保金（结算审定价的1.5%）给发包人，所有验收资料归档备案（提交业主）满足要求后一个月内付至审定价的100%（含预付款及全部已支付的各种款项）；</w:t>
      </w:r>
    </w:p>
    <w:p w14:paraId="47ED7C5F">
      <w:pPr>
        <w:snapToGrid w:val="0"/>
        <w:spacing w:line="360" w:lineRule="auto"/>
        <w:ind w:firstLine="482" w:firstLineChars="200"/>
        <w:rPr>
          <w:rFonts w:hint="eastAsia" w:ascii="宋体" w:hAnsi="宋体"/>
          <w:b/>
          <w:color w:val="auto"/>
          <w:sz w:val="24"/>
          <w:szCs w:val="24"/>
          <w:highlight w:val="none"/>
          <w:u w:val="single"/>
        </w:rPr>
      </w:pPr>
      <w:r>
        <w:rPr>
          <w:rFonts w:hint="eastAsia" w:ascii="宋体" w:hAnsi="宋体"/>
          <w:b/>
          <w:color w:val="auto"/>
          <w:sz w:val="24"/>
          <w:szCs w:val="24"/>
          <w:highlight w:val="none"/>
          <w:u w:val="single"/>
          <w:lang w:eastAsia="zh-CN"/>
        </w:rPr>
        <w:t>（</w:t>
      </w:r>
      <w:r>
        <w:rPr>
          <w:rFonts w:hint="eastAsia" w:ascii="宋体" w:hAnsi="宋体"/>
          <w:b/>
          <w:color w:val="auto"/>
          <w:sz w:val="24"/>
          <w:szCs w:val="24"/>
          <w:highlight w:val="none"/>
          <w:u w:val="single"/>
          <w:lang w:val="en-US" w:eastAsia="zh-CN"/>
        </w:rPr>
        <w:t>2</w:t>
      </w:r>
      <w:r>
        <w:rPr>
          <w:rFonts w:hint="eastAsia" w:ascii="宋体" w:hAnsi="宋体"/>
          <w:b/>
          <w:color w:val="auto"/>
          <w:sz w:val="24"/>
          <w:szCs w:val="24"/>
          <w:highlight w:val="none"/>
          <w:u w:val="single"/>
          <w:lang w:eastAsia="zh-CN"/>
        </w:rPr>
        <w:t>）</w:t>
      </w:r>
      <w:r>
        <w:rPr>
          <w:rFonts w:hint="eastAsia" w:ascii="宋体" w:hAnsi="宋体"/>
          <w:b/>
          <w:color w:val="auto"/>
          <w:sz w:val="24"/>
          <w:szCs w:val="24"/>
          <w:highlight w:val="none"/>
          <w:u w:val="single"/>
        </w:rPr>
        <w:t>质保金待一年缺陷责任期满后退还（无息）。</w:t>
      </w:r>
    </w:p>
    <w:p w14:paraId="4FFE9150">
      <w:pPr>
        <w:pStyle w:val="8"/>
        <w:rPr>
          <w:rFonts w:hint="eastAsia" w:ascii="宋体" w:hAnsi="宋体" w:eastAsia="宋体" w:cstheme="minorBidi"/>
          <w:b/>
          <w:color w:val="auto"/>
          <w:kern w:val="2"/>
          <w:sz w:val="24"/>
          <w:szCs w:val="24"/>
          <w:highlight w:val="none"/>
          <w:u w:val="none"/>
          <w:lang w:val="en-US" w:eastAsia="zh-CN" w:bidi="ar-SA"/>
        </w:rPr>
      </w:pPr>
      <w:r>
        <w:rPr>
          <w:rFonts w:hint="eastAsia" w:ascii="宋体" w:hAnsi="宋体" w:cstheme="minorBidi"/>
          <w:b/>
          <w:color w:val="auto"/>
          <w:kern w:val="2"/>
          <w:sz w:val="24"/>
          <w:szCs w:val="24"/>
          <w:highlight w:val="none"/>
          <w:u w:val="none"/>
          <w:lang w:val="en-US" w:eastAsia="zh-CN" w:bidi="ar-SA"/>
        </w:rPr>
        <w:t>注：</w:t>
      </w:r>
      <w:r>
        <w:rPr>
          <w:rFonts w:hint="eastAsia" w:ascii="宋体" w:hAnsi="宋体" w:eastAsia="宋体" w:cstheme="minorBidi"/>
          <w:b/>
          <w:color w:val="auto"/>
          <w:kern w:val="2"/>
          <w:sz w:val="24"/>
          <w:szCs w:val="24"/>
          <w:highlight w:val="none"/>
          <w:u w:val="none"/>
          <w:lang w:val="en-US" w:eastAsia="zh-CN" w:bidi="ar-SA"/>
        </w:rPr>
        <w:t>在签订合同时，供应商明确表示无需预付款或者主动要求降低预付款比例的，采购单位可不适用前述规定。</w:t>
      </w:r>
    </w:p>
    <w:p w14:paraId="707CB4C4">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30E30B0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 xml:space="preserve">   。</w:t>
      </w:r>
    </w:p>
    <w:p w14:paraId="74A1377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12.4.3 进度付款申请单的提交</w:t>
      </w:r>
    </w:p>
    <w:p w14:paraId="223736A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rPr>
        <w:t>。</w:t>
      </w:r>
    </w:p>
    <w:p w14:paraId="1682D86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12284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rPr>
        <w:t>。</w:t>
      </w:r>
    </w:p>
    <w:p w14:paraId="36923F6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5E9750E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rPr>
        <w:t>。</w:t>
      </w:r>
    </w:p>
    <w:p w14:paraId="2C007DB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b/>
          <w:bCs/>
          <w:color w:val="auto"/>
          <w:sz w:val="24"/>
          <w:szCs w:val="24"/>
          <w:highlight w:val="none"/>
        </w:rPr>
        <w:t>。</w:t>
      </w:r>
    </w:p>
    <w:p w14:paraId="786621F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BE741C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7A6AB06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1968AD0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004E8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45DB3DA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验收和工程试车</w:t>
      </w:r>
    </w:p>
    <w:p w14:paraId="0B04C62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14:paraId="3738062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小时提交书面延期要求。</w:t>
      </w:r>
    </w:p>
    <w:p w14:paraId="186B27E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48</w:t>
      </w:r>
      <w:r>
        <w:rPr>
          <w:rFonts w:hint="eastAsia" w:ascii="宋体" w:hAnsi="宋体" w:eastAsia="宋体" w:cs="宋体"/>
          <w:color w:val="auto"/>
          <w:sz w:val="24"/>
          <w:szCs w:val="24"/>
          <w:highlight w:val="none"/>
        </w:rPr>
        <w:t>小时。</w:t>
      </w:r>
    </w:p>
    <w:p w14:paraId="4DFDE59F">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竣工验收</w:t>
      </w:r>
    </w:p>
    <w:p w14:paraId="6FB5C46F">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13.2.2竣工验收程序</w:t>
      </w:r>
      <w:r>
        <w:rPr>
          <w:rFonts w:hint="eastAsia" w:ascii="宋体" w:hAnsi="宋体" w:eastAsia="宋体" w:cs="宋体"/>
          <w:color w:val="auto"/>
          <w:sz w:val="24"/>
          <w:szCs w:val="24"/>
          <w:highlight w:val="none"/>
          <w:lang w:eastAsia="zh-CN"/>
        </w:rPr>
        <w:t>：</w:t>
      </w:r>
    </w:p>
    <w:p w14:paraId="7AE2D73E">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关于竣工验收程序的约定：按通用条款及行政主管部门规定。同时需满足以下要求：承包人在竣工验收</w:t>
      </w:r>
      <w:r>
        <w:rPr>
          <w:rFonts w:hint="eastAsia" w:ascii="宋体" w:hAnsi="宋体" w:eastAsia="宋体" w:cs="宋体"/>
          <w:color w:val="auto"/>
          <w:sz w:val="24"/>
          <w:szCs w:val="24"/>
          <w:highlight w:val="none"/>
          <w:u w:val="single"/>
          <w:lang w:eastAsia="zh-CN"/>
        </w:rPr>
        <w:t>合格</w:t>
      </w:r>
      <w:r>
        <w:rPr>
          <w:rFonts w:hint="eastAsia" w:ascii="宋体" w:hAnsi="宋体" w:eastAsia="宋体" w:cs="宋体"/>
          <w:color w:val="auto"/>
          <w:sz w:val="24"/>
          <w:szCs w:val="24"/>
          <w:highlight w:val="none"/>
          <w:u w:val="single"/>
          <w:lang w:val="en-US" w:eastAsia="zh-CN"/>
        </w:rPr>
        <w:t>前十天</w:t>
      </w:r>
      <w:r>
        <w:rPr>
          <w:rFonts w:hint="eastAsia" w:ascii="宋体" w:hAnsi="宋体" w:eastAsia="宋体" w:cs="宋体"/>
          <w:color w:val="auto"/>
          <w:sz w:val="24"/>
          <w:szCs w:val="24"/>
          <w:highlight w:val="none"/>
          <w:u w:val="single"/>
        </w:rPr>
        <w:t>内提交发包方满足验收要求的有关施工资料、技术资料、竣工图纸、结算书及完整的书面结算资料和电子文本等竣工资料。其中完整标准的竣工图和技术资料各</w:t>
      </w:r>
      <w:r>
        <w:rPr>
          <w:rFonts w:hint="eastAsia" w:ascii="宋体" w:hAnsi="宋体" w:eastAsia="宋体" w:cs="宋体"/>
          <w:color w:val="auto"/>
          <w:sz w:val="24"/>
          <w:szCs w:val="24"/>
          <w:highlight w:val="none"/>
          <w:u w:val="single"/>
          <w:lang w:val="en-US" w:eastAsia="zh-CN"/>
        </w:rPr>
        <w:t>叁</w:t>
      </w:r>
      <w:r>
        <w:rPr>
          <w:rFonts w:hint="eastAsia" w:ascii="宋体" w:hAnsi="宋体" w:eastAsia="宋体" w:cs="宋体"/>
          <w:color w:val="auto"/>
          <w:sz w:val="24"/>
          <w:szCs w:val="24"/>
          <w:highlight w:val="none"/>
          <w:u w:val="single"/>
        </w:rPr>
        <w:t>套，结算书及完整的书面结算资料叁套和电子文本两套</w:t>
      </w:r>
      <w:r>
        <w:rPr>
          <w:rFonts w:hint="eastAsia" w:ascii="宋体" w:hAnsi="宋体" w:eastAsia="宋体" w:cs="宋体"/>
          <w:color w:val="auto"/>
          <w:sz w:val="24"/>
          <w:szCs w:val="24"/>
          <w:highlight w:val="none"/>
          <w:u w:val="single"/>
          <w:lang w:eastAsia="zh-CN"/>
        </w:rPr>
        <w:t>。</w:t>
      </w:r>
    </w:p>
    <w:p w14:paraId="2224B171">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b/>
          <w:bCs/>
          <w:color w:val="auto"/>
          <w:kern w:val="0"/>
          <w:sz w:val="24"/>
          <w:szCs w:val="24"/>
          <w:highlight w:val="none"/>
          <w:u w:val="single"/>
          <w:lang w:val="en-US" w:eastAsia="zh-CN"/>
        </w:rPr>
      </w:pPr>
      <w:r>
        <w:rPr>
          <w:rFonts w:hint="eastAsia" w:ascii="宋体" w:hAnsi="宋体" w:eastAsia="宋体" w:cs="宋体"/>
          <w:color w:val="auto"/>
          <w:sz w:val="24"/>
          <w:szCs w:val="24"/>
          <w:highlight w:val="none"/>
        </w:rPr>
        <w:t>发包人不按照本项约定组织竣工验收、颁发工程接收证书的违约金的计算方法：</w:t>
      </w:r>
      <w:r>
        <w:rPr>
          <w:rFonts w:hint="eastAsia" w:ascii="宋体" w:hAnsi="宋体" w:eastAsia="宋体" w:cs="宋体"/>
          <w:b/>
          <w:bCs/>
          <w:color w:val="auto"/>
          <w:kern w:val="0"/>
          <w:sz w:val="24"/>
          <w:szCs w:val="24"/>
          <w:highlight w:val="none"/>
          <w:u w:val="single"/>
          <w:lang w:val="en-US" w:eastAsia="zh-CN"/>
        </w:rPr>
        <w:t>无。</w:t>
      </w:r>
    </w:p>
    <w:p w14:paraId="07F0CD47">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p w14:paraId="64A426FD">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承包人向发包人移交工程的期限：</w:t>
      </w:r>
      <w:r>
        <w:rPr>
          <w:rFonts w:hint="eastAsia" w:ascii="宋体" w:hAnsi="宋体" w:eastAsia="宋体" w:cs="宋体"/>
          <w:b/>
          <w:bCs/>
          <w:color w:val="auto"/>
          <w:kern w:val="0"/>
          <w:sz w:val="24"/>
          <w:szCs w:val="24"/>
          <w:highlight w:val="none"/>
          <w:u w:val="single"/>
        </w:rPr>
        <w:t>在颁发工程接收证书后15个有效工作日内完成工程的移交</w:t>
      </w:r>
      <w:r>
        <w:rPr>
          <w:rFonts w:hint="eastAsia" w:ascii="宋体" w:hAnsi="宋体" w:eastAsia="宋体" w:cs="宋体"/>
          <w:color w:val="auto"/>
          <w:sz w:val="24"/>
          <w:szCs w:val="24"/>
          <w:highlight w:val="none"/>
        </w:rPr>
        <w:t>。</w:t>
      </w:r>
    </w:p>
    <w:p w14:paraId="5B3065A3">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发包人未按本合同约定接收全部或部分工程的，违约金的计算方法为：</w:t>
      </w:r>
      <w:r>
        <w:rPr>
          <w:rFonts w:hint="eastAsia" w:ascii="宋体" w:hAnsi="宋体" w:eastAsia="宋体" w:cs="宋体"/>
          <w:b/>
          <w:bCs/>
          <w:color w:val="auto"/>
          <w:kern w:val="0"/>
          <w:sz w:val="24"/>
          <w:szCs w:val="24"/>
          <w:highlight w:val="none"/>
          <w:u w:val="single"/>
        </w:rPr>
        <w:t>每逾期接受一天，应以签约合同价为基数，按照中国人民银行发布的同期同类贷款基准利率支付违约金</w:t>
      </w:r>
      <w:r>
        <w:rPr>
          <w:rFonts w:hint="eastAsia" w:ascii="宋体" w:hAnsi="宋体" w:cs="宋体"/>
          <w:b/>
          <w:bCs/>
          <w:color w:val="auto"/>
          <w:kern w:val="0"/>
          <w:sz w:val="24"/>
          <w:szCs w:val="24"/>
          <w:highlight w:val="none"/>
          <w:u w:val="single"/>
          <w:lang w:eastAsia="zh-CN"/>
        </w:rPr>
        <w:t>。</w:t>
      </w:r>
    </w:p>
    <w:p w14:paraId="319B1936">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b/>
          <w:bCs/>
          <w:color w:val="auto"/>
          <w:kern w:val="0"/>
          <w:sz w:val="24"/>
          <w:szCs w:val="24"/>
          <w:highlight w:val="none"/>
          <w:u w:val="single"/>
        </w:rPr>
        <w:t>每逾期移交一天，应以签约合同价为基数，按照中国人民银行发布的同期同类贷款基准利率支付违约金</w:t>
      </w:r>
      <w:r>
        <w:rPr>
          <w:rFonts w:hint="eastAsia" w:ascii="宋体" w:hAnsi="宋体" w:eastAsia="宋体" w:cs="宋体"/>
          <w:color w:val="auto"/>
          <w:sz w:val="24"/>
          <w:szCs w:val="24"/>
          <w:highlight w:val="none"/>
          <w:u w:val="single"/>
        </w:rPr>
        <w:t>。</w:t>
      </w:r>
    </w:p>
    <w:p w14:paraId="22C1360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p w14:paraId="3F55CDE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13.3.1 试车程序</w:t>
      </w:r>
    </w:p>
    <w:p w14:paraId="1EEBCDC6">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工程试车内容：</w:t>
      </w:r>
      <w:r>
        <w:rPr>
          <w:rFonts w:hint="eastAsia" w:ascii="宋体" w:hAnsi="宋体" w:eastAsia="宋体" w:cs="宋体"/>
          <w:color w:val="auto"/>
          <w:sz w:val="24"/>
          <w:szCs w:val="32"/>
          <w:highlight w:val="none"/>
          <w:u w:val="single"/>
        </w:rPr>
        <w:t xml:space="preserve">  </w:t>
      </w:r>
      <w:r>
        <w:rPr>
          <w:rFonts w:hint="eastAsia" w:ascii="宋体" w:hAnsi="宋体" w:eastAsia="宋体" w:cs="宋体"/>
          <w:b/>
          <w:color w:val="auto"/>
          <w:sz w:val="24"/>
          <w:szCs w:val="32"/>
          <w:highlight w:val="none"/>
          <w:u w:val="single"/>
          <w:lang w:val="en-US" w:eastAsia="zh-CN"/>
        </w:rPr>
        <w:t>/</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w:t>
      </w:r>
    </w:p>
    <w:p w14:paraId="09066A3C">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（1）单机无负荷试车费用由</w:t>
      </w:r>
      <w:r>
        <w:rPr>
          <w:rFonts w:hint="eastAsia" w:ascii="宋体" w:hAnsi="宋体" w:eastAsia="宋体" w:cs="宋体"/>
          <w:color w:val="auto"/>
          <w:sz w:val="24"/>
          <w:szCs w:val="32"/>
          <w:highlight w:val="none"/>
          <w:u w:val="single"/>
        </w:rPr>
        <w:t xml:space="preserve">      /    </w:t>
      </w:r>
      <w:r>
        <w:rPr>
          <w:rFonts w:hint="eastAsia" w:ascii="宋体" w:hAnsi="宋体" w:eastAsia="宋体" w:cs="宋体"/>
          <w:color w:val="auto"/>
          <w:kern w:val="0"/>
          <w:sz w:val="24"/>
          <w:szCs w:val="32"/>
          <w:highlight w:val="none"/>
        </w:rPr>
        <w:t>承担；</w:t>
      </w:r>
    </w:p>
    <w:p w14:paraId="1E768AA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（2）无负荷联动试车费用由</w:t>
      </w:r>
      <w:r>
        <w:rPr>
          <w:rFonts w:hint="eastAsia" w:ascii="宋体" w:hAnsi="宋体" w:eastAsia="宋体" w:cs="宋体"/>
          <w:color w:val="auto"/>
          <w:sz w:val="24"/>
          <w:szCs w:val="32"/>
          <w:highlight w:val="none"/>
          <w:u w:val="single"/>
        </w:rPr>
        <w:t xml:space="preserve">     /    </w:t>
      </w:r>
      <w:r>
        <w:rPr>
          <w:rFonts w:hint="eastAsia" w:ascii="宋体" w:hAnsi="宋体" w:eastAsia="宋体" w:cs="宋体"/>
          <w:color w:val="auto"/>
          <w:kern w:val="0"/>
          <w:sz w:val="24"/>
          <w:szCs w:val="32"/>
          <w:highlight w:val="none"/>
        </w:rPr>
        <w:t>承担。</w:t>
      </w:r>
    </w:p>
    <w:p w14:paraId="6FC9CF1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13.3.3 投料试车</w:t>
      </w:r>
    </w:p>
    <w:p w14:paraId="7D6B34C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关于投料试车相关事项的约定：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8B08BE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1BFA0F8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 竣工退场</w:t>
      </w:r>
    </w:p>
    <w:p w14:paraId="7CD1445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承包人完成竣工退场的期限：</w:t>
      </w:r>
      <w:r>
        <w:rPr>
          <w:rFonts w:hint="eastAsia" w:ascii="宋体" w:hAnsi="宋体" w:eastAsia="宋体" w:cs="宋体"/>
          <w:b/>
          <w:bCs/>
          <w:color w:val="auto"/>
          <w:sz w:val="24"/>
          <w:szCs w:val="24"/>
          <w:highlight w:val="none"/>
          <w:u w:val="single"/>
        </w:rPr>
        <w:t>执行通用条款13.6.1条</w:t>
      </w:r>
      <w:r>
        <w:rPr>
          <w:rFonts w:hint="eastAsia" w:ascii="宋体" w:hAnsi="宋体" w:eastAsia="宋体" w:cs="宋体"/>
          <w:color w:val="auto"/>
          <w:kern w:val="0"/>
          <w:sz w:val="24"/>
          <w:szCs w:val="24"/>
          <w:highlight w:val="none"/>
        </w:rPr>
        <w:t>。</w:t>
      </w:r>
    </w:p>
    <w:p w14:paraId="1898E51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竣工结算</w:t>
      </w:r>
    </w:p>
    <w:p w14:paraId="25AE7D4B">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竣工付款申请</w:t>
      </w:r>
    </w:p>
    <w:p w14:paraId="64C850F5">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b/>
          <w:bCs/>
          <w:color w:val="auto"/>
          <w:sz w:val="24"/>
          <w:szCs w:val="24"/>
          <w:highlight w:val="none"/>
          <w:u w:val="single"/>
        </w:rPr>
        <w:t>竣工结算审定后</w:t>
      </w:r>
      <w:r>
        <w:rPr>
          <w:rFonts w:hint="eastAsia" w:ascii="宋体" w:hAnsi="宋体" w:eastAsia="宋体" w:cs="宋体"/>
          <w:b/>
          <w:bCs/>
          <w:color w:val="auto"/>
          <w:sz w:val="24"/>
          <w:szCs w:val="24"/>
          <w:highlight w:val="none"/>
          <w:u w:val="single"/>
          <w:lang w:val="en-US" w:eastAsia="zh-CN"/>
        </w:rPr>
        <w:t>15</w:t>
      </w:r>
      <w:r>
        <w:rPr>
          <w:rFonts w:hint="eastAsia" w:ascii="宋体" w:hAnsi="宋体" w:eastAsia="宋体" w:cs="宋体"/>
          <w:b/>
          <w:bCs/>
          <w:color w:val="auto"/>
          <w:sz w:val="24"/>
          <w:szCs w:val="24"/>
          <w:highlight w:val="none"/>
          <w:u w:val="single"/>
        </w:rPr>
        <w:t>日内提交</w:t>
      </w:r>
      <w:r>
        <w:rPr>
          <w:rFonts w:hint="eastAsia" w:ascii="宋体" w:hAnsi="宋体" w:eastAsia="宋体" w:cs="宋体"/>
          <w:color w:val="auto"/>
          <w:sz w:val="24"/>
          <w:szCs w:val="24"/>
          <w:highlight w:val="none"/>
        </w:rPr>
        <w:t>。</w:t>
      </w:r>
    </w:p>
    <w:p w14:paraId="3EB86CBD">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b/>
          <w:bCs/>
          <w:color w:val="auto"/>
          <w:sz w:val="24"/>
          <w:szCs w:val="24"/>
          <w:highlight w:val="none"/>
          <w:u w:val="single"/>
        </w:rPr>
        <w:t>按通用条款14.1条规定并按嘉善县工程结算审核相关规定提交完整的结算资料。</w:t>
      </w:r>
    </w:p>
    <w:p w14:paraId="177FAB27">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427B2890">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双方就竣工结算审核及竣工付款申请单审批协商一致同意以下内容：</w:t>
      </w:r>
    </w:p>
    <w:p w14:paraId="7CF2799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80" w:firstLineChars="200"/>
        <w:contextualSpacing/>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承包人在工程竣工</w:t>
      </w:r>
      <w:r>
        <w:rPr>
          <w:rFonts w:hint="eastAsia" w:ascii="宋体" w:hAnsi="宋体" w:eastAsia="宋体" w:cs="宋体"/>
          <w:color w:val="auto"/>
          <w:sz w:val="24"/>
          <w:szCs w:val="24"/>
          <w:highlight w:val="none"/>
          <w:u w:val="single"/>
          <w:lang w:val="en-US" w:eastAsia="zh-CN"/>
        </w:rPr>
        <w:t>结算审定后十五</w:t>
      </w:r>
      <w:r>
        <w:rPr>
          <w:rFonts w:hint="eastAsia" w:ascii="宋体" w:hAnsi="宋体" w:eastAsia="宋体" w:cs="宋体"/>
          <w:color w:val="auto"/>
          <w:sz w:val="24"/>
          <w:szCs w:val="24"/>
          <w:highlight w:val="none"/>
          <w:u w:val="single"/>
        </w:rPr>
        <w:t>天内向发包人提交竣工付款申请单和完整的工程竣工结算资料，发包人应在28日内对资料的有效性和完整性进行核对。双方核对完成后，签署《竣工结算资料有效和完整移交确认书》。</w:t>
      </w:r>
    </w:p>
    <w:p w14:paraId="79841601">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kern w:val="2"/>
          <w:sz w:val="24"/>
          <w:szCs w:val="24"/>
          <w:highlight w:val="none"/>
          <w:u w:val="single"/>
          <w:lang w:val="en-US" w:eastAsia="zh-CN" w:bidi="ar-SA"/>
        </w:rPr>
        <w:t>（2）</w:t>
      </w:r>
      <w:r>
        <w:rPr>
          <w:rFonts w:hint="eastAsia" w:ascii="宋体" w:hAnsi="宋体" w:eastAsia="宋体" w:cs="宋体"/>
          <w:color w:val="auto"/>
          <w:sz w:val="24"/>
          <w:szCs w:val="24"/>
          <w:highlight w:val="none"/>
          <w:u w:val="single"/>
          <w:lang w:val="en-US" w:eastAsia="zh-CN"/>
        </w:rPr>
        <w:t>承包人送审的结算由业主委托中介咨询机构审核，工程结算审核基本收费（5%以内的核减额）由发包人支付，超过5%以外的核减核增额及全部核增额的追加费用（按浙江省建设工程造价咨询服务基准收费标准计算）由承包人支付，如承包人在中介咨询机构出具审核报告前未支付此费用给咨询机构，承包人则同意由发包人从应支付给承包人的工程款中扣除直接支付给咨询机构。</w:t>
      </w:r>
    </w:p>
    <w:p w14:paraId="568E042E">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发包人完成竣工付款的期限：</w:t>
      </w:r>
      <w:r>
        <w:rPr>
          <w:rFonts w:hint="eastAsia" w:ascii="宋体" w:hAnsi="宋体" w:eastAsia="宋体" w:cs="宋体"/>
          <w:color w:val="auto"/>
          <w:sz w:val="24"/>
          <w:szCs w:val="24"/>
          <w:highlight w:val="none"/>
          <w:u w:val="single"/>
          <w:lang w:val="en-US" w:eastAsia="zh-CN"/>
        </w:rPr>
        <w:t>30天。</w:t>
      </w:r>
    </w:p>
    <w:p w14:paraId="5BB77ED0">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关于竣工付款证书异议部分复核的方式和程序：</w:t>
      </w:r>
      <w:r>
        <w:rPr>
          <w:rFonts w:hint="eastAsia" w:ascii="宋体" w:hAnsi="宋体" w:eastAsia="宋体" w:cs="宋体"/>
          <w:color w:val="auto"/>
          <w:sz w:val="24"/>
          <w:szCs w:val="24"/>
          <w:highlight w:val="none"/>
          <w:u w:val="single"/>
          <w:lang w:val="en-US" w:eastAsia="zh-CN"/>
        </w:rPr>
        <w:t xml:space="preserve">  /       </w:t>
      </w:r>
    </w:p>
    <w:p w14:paraId="26463B54">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23CB54F6">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672C3EC2">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三份</w:t>
      </w:r>
      <w:r>
        <w:rPr>
          <w:rFonts w:hint="eastAsia" w:ascii="宋体" w:hAnsi="宋体" w:eastAsia="宋体" w:cs="宋体"/>
          <w:color w:val="auto"/>
          <w:sz w:val="24"/>
          <w:szCs w:val="24"/>
          <w:highlight w:val="none"/>
        </w:rPr>
        <w:t>。</w:t>
      </w:r>
    </w:p>
    <w:p w14:paraId="617104D3">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sz w:val="24"/>
          <w:szCs w:val="24"/>
          <w:highlight w:val="none"/>
          <w:u w:val="single"/>
        </w:rPr>
        <w:t>缺陷责任期终止证书颁发后7天内</w:t>
      </w:r>
      <w:r>
        <w:rPr>
          <w:rFonts w:hint="eastAsia" w:ascii="宋体" w:hAnsi="宋体" w:eastAsia="宋体" w:cs="宋体"/>
          <w:color w:val="auto"/>
          <w:sz w:val="24"/>
          <w:szCs w:val="24"/>
          <w:highlight w:val="none"/>
        </w:rPr>
        <w:t xml:space="preserve">。 </w:t>
      </w:r>
    </w:p>
    <w:p w14:paraId="7933918C">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6EF11D08">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rPr>
        <w:t>天</w:t>
      </w:r>
      <w:r>
        <w:rPr>
          <w:rFonts w:hint="eastAsia" w:ascii="宋体" w:hAnsi="宋体" w:eastAsia="宋体" w:cs="宋体"/>
          <w:color w:val="auto"/>
          <w:sz w:val="24"/>
          <w:szCs w:val="24"/>
          <w:highlight w:val="none"/>
        </w:rPr>
        <w:t>。</w:t>
      </w:r>
    </w:p>
    <w:p w14:paraId="3BB62C1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rPr>
        <w:t>天。</w:t>
      </w:r>
    </w:p>
    <w:p w14:paraId="39DD080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缺陷责任期与保修</w:t>
      </w:r>
    </w:p>
    <w:p w14:paraId="660B200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p>
    <w:p w14:paraId="165B70A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b/>
          <w:bCs/>
          <w:color w:val="auto"/>
          <w:sz w:val="24"/>
          <w:szCs w:val="24"/>
          <w:highlight w:val="none"/>
          <w:u w:val="single"/>
        </w:rPr>
        <w:t>执行通用条款15.2条，期限为</w:t>
      </w:r>
      <w:r>
        <w:rPr>
          <w:rFonts w:hint="eastAsia" w:ascii="宋体" w:hAnsi="宋体" w:eastAsia="宋体" w:cs="宋体"/>
          <w:b/>
          <w:bCs/>
          <w:color w:val="auto"/>
          <w:sz w:val="24"/>
          <w:szCs w:val="24"/>
          <w:highlight w:val="none"/>
          <w:u w:val="single"/>
          <w:lang w:val="en-US" w:eastAsia="zh-CN"/>
        </w:rPr>
        <w:t>12</w:t>
      </w:r>
      <w:r>
        <w:rPr>
          <w:rFonts w:hint="eastAsia" w:ascii="宋体" w:hAnsi="宋体" w:eastAsia="宋体" w:cs="宋体"/>
          <w:b/>
          <w:bCs/>
          <w:color w:val="auto"/>
          <w:sz w:val="24"/>
          <w:szCs w:val="24"/>
          <w:highlight w:val="none"/>
          <w:u w:val="single"/>
        </w:rPr>
        <w:t>个月</w:t>
      </w:r>
      <w:r>
        <w:rPr>
          <w:rFonts w:hint="eastAsia" w:ascii="宋体" w:hAnsi="宋体" w:eastAsia="宋体" w:cs="宋体"/>
          <w:color w:val="auto"/>
          <w:sz w:val="24"/>
          <w:szCs w:val="24"/>
          <w:highlight w:val="none"/>
        </w:rPr>
        <w:t xml:space="preserve"> 。</w:t>
      </w:r>
    </w:p>
    <w:p w14:paraId="5DA2158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026F84A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关于是否扣留质量保证金的约定：</w:t>
      </w:r>
      <w:r>
        <w:rPr>
          <w:rFonts w:hint="eastAsia" w:ascii="宋体" w:hAnsi="宋体" w:eastAsia="宋体" w:cs="宋体"/>
          <w:color w:val="auto"/>
          <w:sz w:val="24"/>
          <w:szCs w:val="24"/>
          <w:highlight w:val="none"/>
          <w:u w:val="single"/>
        </w:rPr>
        <w:t>是</w:t>
      </w:r>
      <w:r>
        <w:rPr>
          <w:rFonts w:hint="eastAsia" w:ascii="宋体" w:hAnsi="宋体" w:eastAsia="宋体" w:cs="宋体"/>
          <w:color w:val="auto"/>
          <w:sz w:val="24"/>
          <w:szCs w:val="24"/>
          <w:highlight w:val="none"/>
        </w:rPr>
        <w:t>。</w:t>
      </w:r>
    </w:p>
    <w:p w14:paraId="7BA0097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215470C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种方式：</w:t>
      </w:r>
    </w:p>
    <w:p w14:paraId="4BA3A2F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（1）质量保证金保函，保证金额为：</w:t>
      </w:r>
      <w:r>
        <w:rPr>
          <w:rFonts w:hint="eastAsia" w:ascii="宋体" w:hAnsi="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 </w:t>
      </w:r>
    </w:p>
    <w:p w14:paraId="58CC842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的工程款；</w:t>
      </w:r>
    </w:p>
    <w:p w14:paraId="156657D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（3）其他方式: </w:t>
      </w:r>
      <w:r>
        <w:rPr>
          <w:rFonts w:hint="eastAsia" w:ascii="宋体" w:hAnsi="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CA8715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14:paraId="1553E90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3 </w:t>
      </w:r>
      <w:r>
        <w:rPr>
          <w:rFonts w:hint="eastAsia" w:ascii="宋体" w:hAnsi="宋体" w:eastAsia="宋体" w:cs="宋体"/>
          <w:color w:val="auto"/>
          <w:sz w:val="24"/>
          <w:szCs w:val="24"/>
          <w:highlight w:val="none"/>
        </w:rPr>
        <w:t>种方式：</w:t>
      </w:r>
    </w:p>
    <w:p w14:paraId="42A3C3D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（1）在支付工程进度款时逐次扣留，在此情形下，质量保证金的计算基数不包括预付款的支付、扣回以及价格调整的金额；</w:t>
      </w:r>
    </w:p>
    <w:p w14:paraId="7692D14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（2）工程竣工结算时一次性扣留质量保证金；</w:t>
      </w:r>
    </w:p>
    <w:p w14:paraId="02AB5C4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（3）其他扣留方式:</w:t>
      </w:r>
      <w:r>
        <w:rPr>
          <w:rFonts w:hint="eastAsia" w:ascii="宋体" w:hAnsi="宋体" w:eastAsia="宋体" w:cs="宋体"/>
          <w:color w:val="auto"/>
          <w:kern w:val="0"/>
          <w:highlight w:val="none"/>
          <w:u w:val="single"/>
          <w:lang w:val="en-US" w:eastAsia="zh-CN"/>
        </w:rPr>
        <w:t xml:space="preserve"> </w:t>
      </w:r>
      <w:r>
        <w:rPr>
          <w:rFonts w:hint="eastAsia" w:ascii="宋体" w:hAnsi="宋体"/>
          <w:color w:val="auto"/>
          <w:sz w:val="24"/>
          <w:szCs w:val="24"/>
          <w:highlight w:val="none"/>
          <w:u w:val="single"/>
          <w:lang w:val="en-US" w:eastAsia="zh-CN"/>
        </w:rPr>
        <w:t>结算审计完毕后承包人上缴质保金（结算审定价的1.5%）给发包人，</w:t>
      </w:r>
      <w:r>
        <w:rPr>
          <w:color w:val="auto"/>
          <w:sz w:val="24"/>
          <w:szCs w:val="24"/>
          <w:highlight w:val="none"/>
          <w:u w:val="single"/>
        </w:rPr>
        <w:t>质量保证金可以采用银行保函或保险机构保证保险保单或融资担保公司保函的形式</w:t>
      </w:r>
      <w:r>
        <w:rPr>
          <w:rFonts w:hint="eastAsia" w:ascii="宋体" w:hAnsi="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DA242D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关于质量保证金的补充约定：</w:t>
      </w:r>
      <w:r>
        <w:rPr>
          <w:rFonts w:hint="eastAsia" w:ascii="宋体" w:hAnsi="宋体"/>
          <w:b/>
          <w:color w:val="auto"/>
          <w:sz w:val="24"/>
          <w:szCs w:val="24"/>
          <w:highlight w:val="none"/>
          <w:u w:val="single"/>
        </w:rPr>
        <w:t>工程结算总价的</w:t>
      </w:r>
      <w:r>
        <w:rPr>
          <w:rFonts w:hint="eastAsia" w:ascii="宋体" w:hAnsi="宋体"/>
          <w:b/>
          <w:color w:val="auto"/>
          <w:sz w:val="24"/>
          <w:szCs w:val="24"/>
          <w:highlight w:val="none"/>
          <w:u w:val="single"/>
          <w:lang w:val="en-US" w:eastAsia="zh-CN"/>
        </w:rPr>
        <w:t>1</w:t>
      </w:r>
      <w:r>
        <w:rPr>
          <w:rFonts w:ascii="宋体" w:hAnsi="宋体"/>
          <w:b/>
          <w:color w:val="auto"/>
          <w:sz w:val="24"/>
          <w:szCs w:val="24"/>
          <w:highlight w:val="none"/>
          <w:u w:val="single"/>
        </w:rPr>
        <w:t>.5%</w:t>
      </w:r>
      <w:r>
        <w:rPr>
          <w:rFonts w:hint="eastAsia" w:ascii="宋体" w:hAnsi="宋体"/>
          <w:b/>
          <w:color w:val="auto"/>
          <w:sz w:val="24"/>
          <w:szCs w:val="24"/>
          <w:highlight w:val="none"/>
          <w:u w:val="single"/>
          <w:lang w:val="en-US" w:eastAsia="zh-CN"/>
        </w:rPr>
        <w:t>作为</w:t>
      </w:r>
      <w:r>
        <w:rPr>
          <w:rFonts w:hint="eastAsia" w:ascii="宋体" w:hAnsi="宋体"/>
          <w:b/>
          <w:color w:val="auto"/>
          <w:sz w:val="24"/>
          <w:szCs w:val="24"/>
          <w:highlight w:val="none"/>
          <w:u w:val="single"/>
        </w:rPr>
        <w:t>质保金，至</w:t>
      </w:r>
      <w:r>
        <w:rPr>
          <w:rFonts w:hint="eastAsia" w:ascii="宋体" w:hAnsi="宋体"/>
          <w:b/>
          <w:color w:val="auto"/>
          <w:sz w:val="24"/>
          <w:szCs w:val="24"/>
          <w:highlight w:val="none"/>
          <w:u w:val="single"/>
          <w:lang w:val="en-US" w:eastAsia="zh-CN"/>
        </w:rPr>
        <w:t>缺陷责任期满后</w:t>
      </w:r>
      <w:r>
        <w:rPr>
          <w:rFonts w:hint="eastAsia" w:ascii="宋体" w:hAnsi="宋体"/>
          <w:b/>
          <w:color w:val="auto"/>
          <w:sz w:val="24"/>
          <w:szCs w:val="24"/>
          <w:highlight w:val="none"/>
          <w:u w:val="single"/>
        </w:rPr>
        <w:t>的一个月内退还（无息）</w:t>
      </w:r>
      <w:r>
        <w:rPr>
          <w:rFonts w:hint="eastAsia" w:ascii="宋体" w:hAnsi="宋体" w:eastAsia="宋体" w:cs="宋体"/>
          <w:b/>
          <w:color w:val="auto"/>
          <w:sz w:val="24"/>
          <w:szCs w:val="24"/>
          <w:highlight w:val="none"/>
          <w:u w:val="single"/>
        </w:rPr>
        <w:t>。</w:t>
      </w:r>
    </w:p>
    <w:p w14:paraId="59CF079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p w14:paraId="7E7DED8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15.4.1保修责任</w:t>
      </w:r>
    </w:p>
    <w:p w14:paraId="04CB8E5C">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工程保修期为：双方根据《建设工程质量管理条例》及有关规定，约定本工程的质量保修期如下：</w:t>
      </w:r>
    </w:p>
    <w:p w14:paraId="3A94AD6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地基基础工程和主体结构工程为设计文件规定的该工程合理使用年限；</w:t>
      </w:r>
    </w:p>
    <w:p w14:paraId="488ADFC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屋面防水工程、有防水要求的卫生间、房间和外墙面的防渗漏为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 w:val="24"/>
          <w:szCs w:val="24"/>
          <w:highlight w:val="none"/>
        </w:rPr>
        <w:t>年；</w:t>
      </w:r>
    </w:p>
    <w:p w14:paraId="797E7D3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装修工程为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年；</w:t>
      </w:r>
    </w:p>
    <w:p w14:paraId="71388F94">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电气管线、给排水管道、设备安装工程为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u w:val="single"/>
          <w:lang w:val="en-US" w:eastAsia="zh-CN"/>
        </w:rPr>
        <w:t>2</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年；</w:t>
      </w:r>
    </w:p>
    <w:p w14:paraId="024E6B21">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供热与供冷系统为</w:t>
      </w:r>
      <w:r>
        <w:rPr>
          <w:rFonts w:hint="eastAsia" w:ascii="宋体" w:hAnsi="宋体" w:eastAsia="宋体" w:cs="宋体"/>
          <w:color w:val="auto"/>
          <w:szCs w:val="24"/>
          <w:highlight w:val="none"/>
          <w:u w:val="single"/>
          <w:lang w:val="en-US" w:eastAsia="zh-CN"/>
        </w:rPr>
        <w:t xml:space="preserve"> 2</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个采暖期、供冷期；</w:t>
      </w:r>
    </w:p>
    <w:p w14:paraId="67E62444">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住宅小区内的给排水设施、道路等配套工程为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u w:val="single"/>
          <w:lang w:val="en-US" w:eastAsia="zh-CN"/>
        </w:rPr>
        <w:t>2</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p>
    <w:p w14:paraId="2619B368">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其他项目保修期限约定如下：</w:t>
      </w:r>
      <w:r>
        <w:rPr>
          <w:rFonts w:hint="eastAsia" w:ascii="宋体" w:hAnsi="宋体" w:eastAsia="宋体" w:cs="宋体"/>
          <w:b/>
          <w:color w:val="auto"/>
          <w:sz w:val="24"/>
          <w:szCs w:val="24"/>
          <w:highlight w:val="none"/>
          <w:u w:val="single"/>
          <w:lang w:eastAsia="zh-CN"/>
        </w:rPr>
        <w:t>有规定的按规定，无规定的至少</w:t>
      </w:r>
      <w:r>
        <w:rPr>
          <w:rFonts w:hint="eastAsia" w:ascii="宋体" w:hAnsi="宋体" w:eastAsia="宋体" w:cs="宋体"/>
          <w:b/>
          <w:color w:val="auto"/>
          <w:sz w:val="24"/>
          <w:szCs w:val="24"/>
          <w:highlight w:val="none"/>
          <w:u w:val="single"/>
          <w:lang w:val="en-US" w:eastAsia="zh-CN"/>
        </w:rPr>
        <w:t>2年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068F5B7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质量保修期</w:t>
      </w:r>
      <w:r>
        <w:rPr>
          <w:rFonts w:hint="eastAsia" w:ascii="宋体" w:hAnsi="宋体" w:eastAsia="宋体" w:cs="宋体"/>
          <w:color w:val="auto"/>
          <w:kern w:val="0"/>
          <w:sz w:val="24"/>
          <w:szCs w:val="24"/>
          <w:highlight w:val="none"/>
        </w:rPr>
        <w:t>自工程竣工验收合格之日起计算。</w:t>
      </w:r>
    </w:p>
    <w:p w14:paraId="50F73AB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2DBAA70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承包人收到保修通知并到达工程现场的合理时间：</w:t>
      </w:r>
      <w:r>
        <w:rPr>
          <w:rFonts w:hint="eastAsia" w:ascii="宋体" w:hAnsi="宋体" w:eastAsia="宋体" w:cs="宋体"/>
          <w:b/>
          <w:color w:val="auto"/>
          <w:sz w:val="24"/>
          <w:szCs w:val="24"/>
          <w:highlight w:val="none"/>
          <w:u w:val="single"/>
        </w:rPr>
        <w:t>在接到修理书面通知单之日</w:t>
      </w:r>
      <w:r>
        <w:rPr>
          <w:rFonts w:hint="eastAsia" w:ascii="宋体" w:hAnsi="宋体" w:eastAsia="宋体" w:cs="宋体"/>
          <w:b/>
          <w:color w:val="auto"/>
          <w:sz w:val="24"/>
          <w:szCs w:val="24"/>
          <w:highlight w:val="none"/>
          <w:u w:val="single"/>
          <w:lang w:val="en-US" w:eastAsia="zh-CN"/>
        </w:rPr>
        <w:t>2</w:t>
      </w:r>
      <w:r>
        <w:rPr>
          <w:rFonts w:hint="eastAsia" w:ascii="宋体" w:hAnsi="宋体" w:eastAsia="宋体" w:cs="宋体"/>
          <w:b/>
          <w:color w:val="auto"/>
          <w:sz w:val="24"/>
          <w:szCs w:val="24"/>
          <w:highlight w:val="none"/>
          <w:u w:val="single"/>
        </w:rPr>
        <w:t>天内派人到现场维修。</w:t>
      </w:r>
    </w:p>
    <w:p w14:paraId="246C8DB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违约</w:t>
      </w:r>
    </w:p>
    <w:p w14:paraId="3CA995F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329B083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032AF2A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发包人违约的其他情形：</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b/>
          <w:color w:val="auto"/>
          <w:sz w:val="24"/>
          <w:szCs w:val="24"/>
          <w:highlight w:val="none"/>
          <w:u w:val="single"/>
        </w:rPr>
        <w:t>。</w:t>
      </w:r>
    </w:p>
    <w:p w14:paraId="050B614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16.1.2 发包人违约的责任</w:t>
      </w:r>
    </w:p>
    <w:p w14:paraId="53B11F5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发包人违约责任的承担方式和计算方法：</w:t>
      </w:r>
    </w:p>
    <w:p w14:paraId="554B735E">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（1）因发包人原因未能在计划开工日期前7天内下达开工通知的违约责任：</w:t>
      </w:r>
      <w:r>
        <w:rPr>
          <w:rFonts w:hint="eastAsia" w:ascii="宋体" w:hAnsi="宋体" w:eastAsia="宋体" w:cs="宋体"/>
          <w:b/>
          <w:bCs/>
          <w:color w:val="auto"/>
          <w:kern w:val="0"/>
          <w:sz w:val="24"/>
          <w:szCs w:val="24"/>
          <w:highlight w:val="none"/>
          <w:u w:val="single"/>
        </w:rPr>
        <w:t>每逾期一天，应以签约合同价为基数，按照中国人民银行发布的同期同类贷款基准利率支付违约金。</w:t>
      </w:r>
    </w:p>
    <w:p w14:paraId="69AA6F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（2）因发包人原因未能按合同约定支付合同价款的违约责任：</w:t>
      </w:r>
      <w:r>
        <w:rPr>
          <w:rFonts w:hint="eastAsia" w:ascii="宋体" w:hAnsi="宋体" w:eastAsia="宋体" w:cs="宋体"/>
          <w:b/>
          <w:bCs/>
          <w:color w:val="auto"/>
          <w:kern w:val="0"/>
          <w:sz w:val="24"/>
          <w:szCs w:val="24"/>
          <w:highlight w:val="none"/>
          <w:u w:val="single"/>
        </w:rPr>
        <w:t>每逾期一天，应以签约合同价为基数，按照中国人民银行发布的同期同类贷款基准利率的两倍支付违约金。</w:t>
      </w:r>
    </w:p>
    <w:p w14:paraId="4C70CC5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（3）发包人违反第10.1款〔变更的范围〕第（2）项约定，自行实施被取消的工作或转由他人实施的违约责任：</w:t>
      </w:r>
      <w:r>
        <w:rPr>
          <w:rFonts w:hint="eastAsia" w:ascii="宋体" w:hAnsi="宋体" w:eastAsia="宋体" w:cs="宋体"/>
          <w:b/>
          <w:bCs/>
          <w:color w:val="auto"/>
          <w:kern w:val="0"/>
          <w:sz w:val="24"/>
          <w:szCs w:val="24"/>
          <w:highlight w:val="none"/>
          <w:u w:val="single"/>
        </w:rPr>
        <w:t>发包人将承包人合同范围内的分项工程未经过承包人同意转包给其他单位施工，导致承包人经济损失的由发包人来承担。</w:t>
      </w:r>
    </w:p>
    <w:p w14:paraId="23E0574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b/>
          <w:bCs/>
          <w:color w:val="auto"/>
          <w:kern w:val="0"/>
          <w:sz w:val="24"/>
          <w:szCs w:val="24"/>
          <w:highlight w:val="none"/>
          <w:u w:val="single"/>
        </w:rPr>
        <w:t>导致承包人无法正常施工的，延误工期顺延</w:t>
      </w:r>
      <w:r>
        <w:rPr>
          <w:rFonts w:hint="eastAsia" w:ascii="宋体" w:hAnsi="宋体" w:eastAsia="宋体" w:cs="宋体"/>
          <w:color w:val="auto"/>
          <w:kern w:val="0"/>
          <w:sz w:val="24"/>
          <w:szCs w:val="24"/>
          <w:highlight w:val="none"/>
          <w:u w:val="single"/>
        </w:rPr>
        <w:t>。</w:t>
      </w:r>
    </w:p>
    <w:p w14:paraId="4D1A5A8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color w:val="auto"/>
          <w:sz w:val="24"/>
          <w:szCs w:val="24"/>
          <w:highlight w:val="none"/>
        </w:rPr>
        <w:t>（5）因发包人违反合同约定造成暂停施工的违约责任：</w:t>
      </w:r>
      <w:r>
        <w:rPr>
          <w:rFonts w:hint="eastAsia" w:ascii="宋体" w:hAnsi="宋体" w:eastAsia="宋体" w:cs="宋体"/>
          <w:b/>
          <w:bCs/>
          <w:color w:val="auto"/>
          <w:kern w:val="0"/>
          <w:sz w:val="24"/>
          <w:szCs w:val="24"/>
          <w:highlight w:val="none"/>
          <w:u w:val="single"/>
        </w:rPr>
        <w:t>工期顺延。</w:t>
      </w:r>
    </w:p>
    <w:p w14:paraId="2FF2744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（6）发包人无正当理由没有在约定期限内发出复工指示，导致承包人无法复工的违约责任：</w:t>
      </w:r>
      <w:r>
        <w:rPr>
          <w:rFonts w:hint="eastAsia" w:ascii="宋体" w:hAnsi="宋体" w:eastAsia="宋体" w:cs="宋体"/>
          <w:b/>
          <w:bCs/>
          <w:color w:val="auto"/>
          <w:kern w:val="0"/>
          <w:sz w:val="24"/>
          <w:szCs w:val="24"/>
          <w:highlight w:val="none"/>
          <w:u w:val="single"/>
        </w:rPr>
        <w:t>工期顺延</w:t>
      </w:r>
      <w:r>
        <w:rPr>
          <w:rFonts w:hint="eastAsia" w:ascii="宋体" w:hAnsi="宋体" w:eastAsia="宋体" w:cs="宋体"/>
          <w:color w:val="auto"/>
          <w:sz w:val="24"/>
          <w:szCs w:val="24"/>
          <w:highlight w:val="none"/>
        </w:rPr>
        <w:t>。</w:t>
      </w:r>
    </w:p>
    <w:p w14:paraId="04F1A2C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w:t>
      </w:r>
      <w:r>
        <w:rPr>
          <w:rFonts w:hint="eastAsia" w:ascii="宋体" w:hAnsi="宋体" w:eastAsia="宋体" w:cs="宋体"/>
          <w:b/>
          <w:bCs/>
          <w:color w:val="auto"/>
          <w:kern w:val="0"/>
          <w:sz w:val="24"/>
          <w:szCs w:val="24"/>
          <w:highlight w:val="none"/>
          <w:u w:val="single"/>
        </w:rPr>
        <w:t>发生时双方另行协商</w:t>
      </w:r>
      <w:r>
        <w:rPr>
          <w:rFonts w:hint="eastAsia" w:ascii="宋体" w:hAnsi="宋体" w:eastAsia="宋体" w:cs="宋体"/>
          <w:color w:val="auto"/>
          <w:sz w:val="24"/>
          <w:szCs w:val="24"/>
          <w:highlight w:val="none"/>
        </w:rPr>
        <w:t>。</w:t>
      </w:r>
    </w:p>
    <w:p w14:paraId="1BC7521E">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07A2199A">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承包人按16.1.1项〔发包人违约的情形〕约定暂停施工满</w:t>
      </w:r>
      <w:r>
        <w:rPr>
          <w:rFonts w:hint="eastAsia" w:ascii="宋体" w:hAnsi="宋体" w:eastAsia="宋体" w:cs="宋体"/>
          <w:b/>
          <w:color w:val="auto"/>
          <w:sz w:val="24"/>
          <w:szCs w:val="24"/>
          <w:highlight w:val="none"/>
          <w:u w:val="single"/>
        </w:rPr>
        <w:t>28</w:t>
      </w:r>
      <w:r>
        <w:rPr>
          <w:rFonts w:hint="eastAsia" w:ascii="宋体" w:hAnsi="宋体" w:eastAsia="宋体" w:cs="宋体"/>
          <w:color w:val="auto"/>
          <w:sz w:val="24"/>
          <w:szCs w:val="24"/>
          <w:highlight w:val="none"/>
        </w:rPr>
        <w:t>天后发包人仍不纠正其违约行为并致使合同目的不能实现的，承包人有权解除合同。</w:t>
      </w:r>
    </w:p>
    <w:p w14:paraId="7887CE4A">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149AF4CE">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 承包人违约的情形</w:t>
      </w:r>
    </w:p>
    <w:p w14:paraId="37CD9AC4">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承包人违约的其他情形：</w:t>
      </w:r>
      <w:r>
        <w:rPr>
          <w:rFonts w:hint="eastAsia" w:ascii="宋体" w:hAnsi="宋体" w:eastAsia="宋体" w:cs="宋体"/>
          <w:b/>
          <w:color w:val="auto"/>
          <w:sz w:val="24"/>
          <w:szCs w:val="24"/>
          <w:highlight w:val="none"/>
          <w:u w:val="single"/>
        </w:rPr>
        <w:t>因承包人的原因，工程质量达不到合同约定的等级，经县质监站及更上一级的质量检测部门最终鉴定，工程质量达不到合格标准的，承包人无偿修复到合格标准，并承担由此给发包人造成的实际损失。</w:t>
      </w:r>
    </w:p>
    <w:p w14:paraId="49D4679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16.2.2承包人违约的责任</w:t>
      </w:r>
    </w:p>
    <w:p w14:paraId="03394944">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承包人违约责任的承担方式和计算方法：</w:t>
      </w:r>
      <w:r>
        <w:rPr>
          <w:rFonts w:hint="eastAsia" w:ascii="宋体" w:hAnsi="宋体" w:eastAsia="宋体" w:cs="宋体"/>
          <w:color w:val="auto"/>
          <w:sz w:val="24"/>
          <w:szCs w:val="24"/>
          <w:highlight w:val="none"/>
          <w:lang w:val="en-US" w:eastAsia="zh-CN"/>
        </w:rPr>
        <w:t>1、</w:t>
      </w:r>
      <w:r>
        <w:rPr>
          <w:rFonts w:hint="eastAsia" w:ascii="宋体" w:hAnsi="宋体" w:eastAsia="宋体" w:cs="宋体"/>
          <w:b/>
          <w:color w:val="auto"/>
          <w:sz w:val="24"/>
          <w:szCs w:val="24"/>
          <w:highlight w:val="none"/>
          <w:u w:val="single"/>
          <w:lang w:eastAsia="zh-CN"/>
        </w:rPr>
        <w:t>工期</w:t>
      </w:r>
      <w:r>
        <w:rPr>
          <w:rFonts w:hint="eastAsia" w:ascii="宋体" w:hAnsi="宋体" w:eastAsia="宋体" w:cs="宋体"/>
          <w:b/>
          <w:color w:val="auto"/>
          <w:sz w:val="24"/>
          <w:szCs w:val="24"/>
          <w:highlight w:val="none"/>
          <w:u w:val="single"/>
        </w:rPr>
        <w:t>每延误一天扣</w:t>
      </w:r>
      <w:r>
        <w:rPr>
          <w:rFonts w:hint="eastAsia" w:ascii="宋体" w:hAnsi="宋体" w:eastAsia="宋体" w:cs="宋体"/>
          <w:b/>
          <w:color w:val="auto"/>
          <w:sz w:val="24"/>
          <w:szCs w:val="24"/>
          <w:highlight w:val="none"/>
          <w:u w:val="single"/>
          <w:lang w:val="en-US" w:eastAsia="zh-CN"/>
        </w:rPr>
        <w:t>500</w:t>
      </w:r>
      <w:r>
        <w:rPr>
          <w:rFonts w:hint="eastAsia" w:ascii="宋体" w:hAnsi="宋体" w:eastAsia="宋体" w:cs="宋体"/>
          <w:b/>
          <w:color w:val="auto"/>
          <w:sz w:val="24"/>
          <w:szCs w:val="24"/>
          <w:highlight w:val="none"/>
          <w:u w:val="single"/>
        </w:rPr>
        <w:t>元/天；扣款最高不超过</w:t>
      </w:r>
      <w:r>
        <w:rPr>
          <w:rFonts w:hint="eastAsia" w:ascii="宋体" w:hAnsi="宋体" w:eastAsia="宋体" w:cs="宋体"/>
          <w:b/>
          <w:color w:val="auto"/>
          <w:sz w:val="24"/>
          <w:szCs w:val="24"/>
          <w:highlight w:val="none"/>
          <w:u w:val="single"/>
          <w:lang w:eastAsia="zh-CN"/>
        </w:rPr>
        <w:t>履约保证金</w:t>
      </w:r>
      <w:r>
        <w:rPr>
          <w:rFonts w:hint="eastAsia" w:ascii="宋体" w:hAnsi="宋体" w:eastAsia="宋体" w:cs="宋体"/>
          <w:color w:val="auto"/>
          <w:sz w:val="24"/>
          <w:szCs w:val="24"/>
          <w:highlight w:val="none"/>
        </w:rPr>
        <w:t xml:space="preserve">。 </w:t>
      </w:r>
    </w:p>
    <w:p w14:paraId="65F967D8">
      <w:pPr>
        <w:keepNext w:val="0"/>
        <w:keepLines w:val="0"/>
        <w:pageBreakBefore w:val="0"/>
        <w:widowControl/>
        <w:numPr>
          <w:ilvl w:val="0"/>
          <w:numId w:val="7"/>
        </w:numPr>
        <w:kinsoku/>
        <w:wordWrap/>
        <w:overflowPunct/>
        <w:topLinePunct w:val="0"/>
        <w:bidi w:val="0"/>
        <w:spacing w:line="300"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质量违约：从承包人履约保证金中扣除质量保证金，同时保留索赔的权利。此项扣款最高不超过履约保证金。</w:t>
      </w:r>
    </w:p>
    <w:p w14:paraId="097AC20B">
      <w:pPr>
        <w:keepNext w:val="0"/>
        <w:keepLines w:val="0"/>
        <w:pageBreakBefore w:val="0"/>
        <w:widowControl/>
        <w:numPr>
          <w:ilvl w:val="0"/>
          <w:numId w:val="0"/>
        </w:numPr>
        <w:kinsoku/>
        <w:wordWrap/>
        <w:overflowPunct/>
        <w:topLinePunct w:val="0"/>
        <w:bidi w:val="0"/>
        <w:spacing w:line="300" w:lineRule="auto"/>
        <w:ind w:firstLine="482" w:firstLineChars="200"/>
        <w:jc w:val="left"/>
        <w:textAlignment w:val="auto"/>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sz w:val="24"/>
          <w:szCs w:val="24"/>
          <w:highlight w:val="none"/>
          <w:u w:val="none"/>
        </w:rPr>
        <w:t>3、</w:t>
      </w:r>
      <w:r>
        <w:rPr>
          <w:rFonts w:hint="eastAsia" w:ascii="宋体" w:hAnsi="宋体" w:eastAsia="宋体" w:cs="宋体"/>
          <w:b/>
          <w:color w:val="auto"/>
          <w:sz w:val="24"/>
          <w:szCs w:val="24"/>
          <w:highlight w:val="none"/>
          <w:u w:val="single"/>
        </w:rPr>
        <w:t>安全文明生产：安全文明施工未达到投标承诺要求，承包人应承担违约责任。发包人可从承包人履约保证金中扣除相应费用，扣款最高不超过履约保证金。</w:t>
      </w:r>
    </w:p>
    <w:p w14:paraId="77B8A48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2E877A0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关于承包人违约解除合同的特别约定：</w:t>
      </w:r>
      <w:r>
        <w:rPr>
          <w:rFonts w:hint="eastAsia" w:ascii="宋体" w:hAnsi="宋体" w:eastAsia="宋体" w:cs="宋体"/>
          <w:b/>
          <w:bCs/>
          <w:color w:val="auto"/>
          <w:sz w:val="24"/>
          <w:szCs w:val="24"/>
          <w:highlight w:val="none"/>
          <w:u w:val="single"/>
        </w:rPr>
        <w:t>执行通用条款16.2.3条</w:t>
      </w:r>
      <w:r>
        <w:rPr>
          <w:rFonts w:hint="eastAsia" w:ascii="宋体" w:hAnsi="宋体" w:eastAsia="宋体" w:cs="宋体"/>
          <w:color w:val="auto"/>
          <w:sz w:val="24"/>
          <w:szCs w:val="24"/>
          <w:highlight w:val="none"/>
        </w:rPr>
        <w:t>。</w:t>
      </w:r>
    </w:p>
    <w:p w14:paraId="35D9629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b/>
          <w:bCs/>
          <w:color w:val="auto"/>
          <w:kern w:val="0"/>
          <w:sz w:val="24"/>
          <w:szCs w:val="24"/>
          <w:highlight w:val="none"/>
          <w:u w:val="single"/>
        </w:rPr>
        <w:t>材料、设备、临时工程按照市场价结算，其它资料无偿提供</w:t>
      </w:r>
      <w:r>
        <w:rPr>
          <w:rFonts w:hint="eastAsia" w:ascii="宋体" w:hAnsi="宋体" w:eastAsia="宋体" w:cs="宋体"/>
          <w:color w:val="auto"/>
          <w:sz w:val="24"/>
          <w:szCs w:val="24"/>
          <w:highlight w:val="none"/>
        </w:rPr>
        <w:t>。</w:t>
      </w:r>
    </w:p>
    <w:p w14:paraId="66D8994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不可抗力</w:t>
      </w:r>
    </w:p>
    <w:p w14:paraId="03150C4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1C4A41C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color w:val="auto"/>
          <w:kern w:val="0"/>
          <w:sz w:val="24"/>
          <w:szCs w:val="24"/>
          <w:highlight w:val="none"/>
          <w:u w:val="single"/>
          <w:lang w:val="en-US" w:eastAsia="zh-CN"/>
        </w:rPr>
        <w:t>7.7条异常恶劣的气候条件中规定的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w:t>
      </w:r>
    </w:p>
    <w:p w14:paraId="109DC73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17.4因不可抗力解除合同</w:t>
      </w:r>
    </w:p>
    <w:p w14:paraId="34421E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b/>
          <w:color w:val="auto"/>
          <w:sz w:val="24"/>
          <w:szCs w:val="24"/>
          <w:highlight w:val="none"/>
          <w:u w:val="single"/>
        </w:rPr>
        <w:t xml:space="preserve"> 28</w:t>
      </w:r>
      <w:r>
        <w:rPr>
          <w:rFonts w:hint="eastAsia" w:ascii="宋体" w:hAnsi="宋体" w:eastAsia="宋体" w:cs="宋体"/>
          <w:color w:val="auto"/>
          <w:sz w:val="24"/>
          <w:szCs w:val="24"/>
          <w:highlight w:val="none"/>
        </w:rPr>
        <w:t>天内完成款项的支付。</w:t>
      </w:r>
    </w:p>
    <w:p w14:paraId="3E7B7D8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18.保险</w:t>
      </w:r>
    </w:p>
    <w:p w14:paraId="3A63AFC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2445FC2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rPr>
        <w:t xml:space="preserve">承包人必须办理建筑工程保险（含人身意外伤害险、建筑工程一切险及第三者责任险等），保险期限从开工之日到工程竣工验收合格且质保期满止。享受意外伤害保险的范围是施工现场从事施工作业、施工管理的人员及第三者，其费用由承包人承担。  </w:t>
      </w:r>
    </w:p>
    <w:p w14:paraId="541F4C1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50F0554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b/>
          <w:bCs/>
          <w:color w:val="auto"/>
          <w:kern w:val="0"/>
          <w:sz w:val="24"/>
          <w:szCs w:val="24"/>
          <w:highlight w:val="none"/>
          <w:u w:val="single"/>
        </w:rPr>
        <w:t>执行通用条款18.3</w:t>
      </w:r>
      <w:r>
        <w:rPr>
          <w:rFonts w:hint="eastAsia" w:ascii="宋体" w:hAnsi="宋体" w:eastAsia="宋体" w:cs="宋体"/>
          <w:color w:val="auto"/>
          <w:sz w:val="24"/>
          <w:szCs w:val="24"/>
          <w:highlight w:val="none"/>
        </w:rPr>
        <w:t>。</w:t>
      </w:r>
    </w:p>
    <w:p w14:paraId="76AB69A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b/>
          <w:bCs/>
          <w:color w:val="auto"/>
          <w:kern w:val="0"/>
          <w:sz w:val="24"/>
          <w:szCs w:val="24"/>
          <w:highlight w:val="none"/>
          <w:u w:val="single"/>
        </w:rPr>
        <w:t>承包人为施工人员和自有的施工机械设备办理保险。</w:t>
      </w:r>
    </w:p>
    <w:p w14:paraId="43369F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4EF3CA3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关于变更保险合同时的通知义务的约定：</w:t>
      </w:r>
      <w:r>
        <w:rPr>
          <w:rFonts w:hint="eastAsia" w:ascii="宋体" w:hAnsi="宋体" w:eastAsia="宋体" w:cs="宋体"/>
          <w:b/>
          <w:bCs/>
          <w:color w:val="auto"/>
          <w:kern w:val="0"/>
          <w:sz w:val="24"/>
          <w:szCs w:val="24"/>
          <w:highlight w:val="none"/>
          <w:u w:val="single"/>
        </w:rPr>
        <w:t>执行通用条款18.7</w:t>
      </w:r>
      <w:r>
        <w:rPr>
          <w:rFonts w:hint="eastAsia" w:ascii="宋体" w:hAnsi="宋体" w:eastAsia="宋体" w:cs="宋体"/>
          <w:color w:val="auto"/>
          <w:sz w:val="24"/>
          <w:szCs w:val="24"/>
          <w:highlight w:val="none"/>
        </w:rPr>
        <w:t>。</w:t>
      </w:r>
    </w:p>
    <w:p w14:paraId="6587CB9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争议解决</w:t>
      </w:r>
    </w:p>
    <w:p w14:paraId="50A7A44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争议评审</w:t>
      </w:r>
    </w:p>
    <w:p w14:paraId="294A5DD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合同当事人是否同意将工程争议提交争议评审小组决定： </w:t>
      </w:r>
      <w:r>
        <w:rPr>
          <w:rFonts w:hint="eastAsia" w:ascii="宋体" w:hAnsi="宋体" w:eastAsia="宋体" w:cs="宋体"/>
          <w:b/>
          <w:bCs/>
          <w:color w:val="auto"/>
          <w:kern w:val="0"/>
          <w:sz w:val="24"/>
          <w:szCs w:val="24"/>
          <w:highlight w:val="none"/>
          <w:u w:val="single"/>
        </w:rPr>
        <w:t>否</w:t>
      </w:r>
      <w:r>
        <w:rPr>
          <w:rFonts w:hint="eastAsia" w:ascii="宋体" w:hAnsi="宋体" w:eastAsia="宋体" w:cs="宋体"/>
          <w:color w:val="auto"/>
          <w:sz w:val="24"/>
          <w:szCs w:val="24"/>
          <w:highlight w:val="none"/>
        </w:rPr>
        <w:t xml:space="preserve">。  </w:t>
      </w:r>
    </w:p>
    <w:p w14:paraId="72F2246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6FE69BA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72F10EB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8229FA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726892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8345C0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20.3.2 争议评审小组的决定</w:t>
      </w:r>
    </w:p>
    <w:p w14:paraId="2601267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FBE199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p>
    <w:p w14:paraId="64FB097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14:paraId="5B3F5C3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（1）向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仲裁委员会申请仲裁；</w:t>
      </w:r>
    </w:p>
    <w:p w14:paraId="3EEB7F3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（2）向 </w:t>
      </w:r>
      <w:r>
        <w:rPr>
          <w:rFonts w:hint="eastAsia" w:ascii="宋体" w:hAnsi="宋体" w:eastAsia="宋体" w:cs="宋体"/>
          <w:color w:val="auto"/>
          <w:sz w:val="24"/>
          <w:szCs w:val="24"/>
          <w:highlight w:val="none"/>
          <w:u w:val="single"/>
        </w:rPr>
        <w:t xml:space="preserve">      嘉善</w:t>
      </w:r>
      <w:r>
        <w:rPr>
          <w:rFonts w:hint="eastAsia" w:ascii="宋体" w:hAnsi="宋体" w:eastAsia="宋体" w:cs="宋体"/>
          <w:color w:val="auto"/>
          <w:sz w:val="24"/>
          <w:szCs w:val="24"/>
          <w:highlight w:val="none"/>
          <w:u w:val="single"/>
          <w:lang w:eastAsia="zh-CN"/>
        </w:rPr>
        <w:t>县</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人民法院起诉。</w:t>
      </w:r>
    </w:p>
    <w:p w14:paraId="32D8582C">
      <w:pPr>
        <w:bidi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21、补充条款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另行商定。 </w:t>
      </w:r>
    </w:p>
    <w:p w14:paraId="139E8A22">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p w14:paraId="77F73E17">
      <w:pPr>
        <w:spacing w:line="300" w:lineRule="auto"/>
        <w:ind w:firstLine="480" w:firstLineChars="200"/>
        <w:jc w:val="left"/>
        <w:rPr>
          <w:rFonts w:ascii="宋体" w:hAnsi="宋体"/>
          <w:color w:val="auto"/>
          <w:sz w:val="24"/>
          <w:highlight w:val="none"/>
        </w:rPr>
      </w:pPr>
      <w:r>
        <w:rPr>
          <w:rFonts w:hint="eastAsia" w:ascii="宋体" w:hAnsi="宋体"/>
          <w:color w:val="auto"/>
          <w:sz w:val="24"/>
          <w:szCs w:val="24"/>
          <w:highlight w:val="none"/>
        </w:rPr>
        <w:t>附件1：承包人承揽工程项目一览表</w:t>
      </w:r>
      <w:r>
        <w:rPr>
          <w:rFonts w:hint="eastAsia" w:ascii="宋体" w:hAnsi="宋体"/>
          <w:color w:val="auto"/>
          <w:sz w:val="24"/>
          <w:szCs w:val="24"/>
          <w:highlight w:val="none"/>
        </w:rPr>
        <w:br w:type="textWrapping"/>
      </w:r>
    </w:p>
    <w:p w14:paraId="0D2F8A44">
      <w:pPr>
        <w:spacing w:line="300" w:lineRule="auto"/>
        <w:ind w:firstLine="3731"/>
        <w:rPr>
          <w:rFonts w:ascii="黑体" w:hAnsi="宋体" w:eastAsia="黑体"/>
          <w:color w:val="auto"/>
          <w:sz w:val="24"/>
          <w:highlight w:val="none"/>
        </w:rPr>
      </w:pPr>
      <w:r>
        <w:rPr>
          <w:rFonts w:ascii="黑体" w:hAnsi="宋体" w:eastAsia="黑体"/>
          <w:color w:val="auto"/>
          <w:sz w:val="24"/>
          <w:highlight w:val="none"/>
        </w:rPr>
        <w:t>承包人承揽工程项目一览表</w:t>
      </w:r>
    </w:p>
    <w:p w14:paraId="5F1B32AD">
      <w:pPr>
        <w:spacing w:line="300" w:lineRule="auto"/>
        <w:ind w:firstLine="3731"/>
        <w:rPr>
          <w:rFonts w:ascii="黑体" w:hAnsi="宋体" w:eastAsia="黑体"/>
          <w:color w:val="auto"/>
          <w:sz w:val="24"/>
          <w:highlight w:val="none"/>
        </w:rPr>
      </w:pPr>
    </w:p>
    <w:tbl>
      <w:tblPr>
        <w:tblStyle w:val="24"/>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134"/>
        <w:gridCol w:w="992"/>
        <w:gridCol w:w="709"/>
        <w:gridCol w:w="708"/>
        <w:gridCol w:w="993"/>
        <w:gridCol w:w="992"/>
        <w:gridCol w:w="850"/>
        <w:gridCol w:w="677"/>
        <w:gridCol w:w="831"/>
      </w:tblGrid>
      <w:tr w14:paraId="7288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68" w:type="dxa"/>
            <w:noWrap w:val="0"/>
            <w:vAlign w:val="center"/>
          </w:tcPr>
          <w:p w14:paraId="27A8DB27">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单位工程名称</w:t>
            </w:r>
          </w:p>
        </w:tc>
        <w:tc>
          <w:tcPr>
            <w:tcW w:w="1134" w:type="dxa"/>
            <w:noWrap w:val="0"/>
            <w:vAlign w:val="center"/>
          </w:tcPr>
          <w:p w14:paraId="70A541EE">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建设规模</w:t>
            </w:r>
          </w:p>
        </w:tc>
        <w:tc>
          <w:tcPr>
            <w:tcW w:w="992" w:type="dxa"/>
            <w:noWrap w:val="0"/>
            <w:vAlign w:val="center"/>
          </w:tcPr>
          <w:p w14:paraId="3941FD7E">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面积</w:t>
            </w:r>
          </w:p>
          <w:p w14:paraId="1BFF4196">
            <w:pPr>
              <w:spacing w:line="300" w:lineRule="auto"/>
              <w:jc w:val="left"/>
              <w:rPr>
                <w:rFonts w:ascii="宋体" w:hAnsi="宋体"/>
                <w:color w:val="auto"/>
                <w:sz w:val="21"/>
                <w:szCs w:val="21"/>
                <w:highlight w:val="none"/>
              </w:rPr>
            </w:pPr>
            <w:r>
              <w:rPr>
                <w:rFonts w:hint="eastAsia" w:ascii="宋体" w:hAnsi="宋体"/>
                <w:color w:val="auto"/>
                <w:sz w:val="21"/>
                <w:szCs w:val="21"/>
                <w:highlight w:val="none"/>
              </w:rPr>
              <w:t>（㎡）</w:t>
            </w:r>
          </w:p>
        </w:tc>
        <w:tc>
          <w:tcPr>
            <w:tcW w:w="709" w:type="dxa"/>
            <w:noWrap w:val="0"/>
            <w:vAlign w:val="center"/>
          </w:tcPr>
          <w:p w14:paraId="0A419BA4">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结构形式</w:t>
            </w:r>
          </w:p>
        </w:tc>
        <w:tc>
          <w:tcPr>
            <w:tcW w:w="708" w:type="dxa"/>
            <w:noWrap w:val="0"/>
            <w:vAlign w:val="center"/>
          </w:tcPr>
          <w:p w14:paraId="76698F05">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层数</w:t>
            </w:r>
          </w:p>
        </w:tc>
        <w:tc>
          <w:tcPr>
            <w:tcW w:w="993" w:type="dxa"/>
            <w:noWrap w:val="0"/>
            <w:vAlign w:val="center"/>
          </w:tcPr>
          <w:p w14:paraId="14247D87">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生产能力</w:t>
            </w:r>
          </w:p>
        </w:tc>
        <w:tc>
          <w:tcPr>
            <w:tcW w:w="992" w:type="dxa"/>
            <w:noWrap w:val="0"/>
            <w:vAlign w:val="center"/>
          </w:tcPr>
          <w:p w14:paraId="679B517D">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设备安装内容</w:t>
            </w:r>
          </w:p>
        </w:tc>
        <w:tc>
          <w:tcPr>
            <w:tcW w:w="850" w:type="dxa"/>
            <w:noWrap w:val="0"/>
            <w:vAlign w:val="center"/>
          </w:tcPr>
          <w:p w14:paraId="6F011B86">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合同价格（元）</w:t>
            </w:r>
          </w:p>
        </w:tc>
        <w:tc>
          <w:tcPr>
            <w:tcW w:w="677" w:type="dxa"/>
            <w:noWrap w:val="0"/>
            <w:vAlign w:val="center"/>
          </w:tcPr>
          <w:p w14:paraId="01123CFF">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开工日期</w:t>
            </w:r>
          </w:p>
        </w:tc>
        <w:tc>
          <w:tcPr>
            <w:tcW w:w="831" w:type="dxa"/>
            <w:noWrap w:val="0"/>
            <w:vAlign w:val="center"/>
          </w:tcPr>
          <w:p w14:paraId="33026AD5">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竣工日期</w:t>
            </w:r>
          </w:p>
        </w:tc>
      </w:tr>
      <w:tr w14:paraId="0A3F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1668" w:type="dxa"/>
            <w:noWrap w:val="0"/>
            <w:vAlign w:val="center"/>
          </w:tcPr>
          <w:p w14:paraId="18B25B2E">
            <w:pPr>
              <w:spacing w:line="300" w:lineRule="auto"/>
              <w:ind w:left="0" w:leftChars="0" w:firstLine="0" w:firstLineChars="0"/>
              <w:rPr>
                <w:rFonts w:hint="eastAsia" w:ascii="宋体" w:hAnsi="宋体" w:eastAsia="宋体"/>
                <w:b/>
                <w:color w:val="auto"/>
                <w:szCs w:val="18"/>
                <w:highlight w:val="none"/>
                <w:lang w:eastAsia="zh-CN"/>
              </w:rPr>
            </w:pPr>
          </w:p>
        </w:tc>
        <w:tc>
          <w:tcPr>
            <w:tcW w:w="1134" w:type="dxa"/>
            <w:noWrap w:val="0"/>
            <w:vAlign w:val="center"/>
          </w:tcPr>
          <w:p w14:paraId="30279D76">
            <w:pPr>
              <w:spacing w:line="300" w:lineRule="auto"/>
              <w:rPr>
                <w:rFonts w:ascii="宋体" w:hAnsi="宋体"/>
                <w:color w:val="auto"/>
                <w:highlight w:val="none"/>
              </w:rPr>
            </w:pPr>
          </w:p>
        </w:tc>
        <w:tc>
          <w:tcPr>
            <w:tcW w:w="992" w:type="dxa"/>
            <w:noWrap w:val="0"/>
            <w:vAlign w:val="center"/>
          </w:tcPr>
          <w:p w14:paraId="49B2EC31">
            <w:pPr>
              <w:spacing w:line="300" w:lineRule="auto"/>
              <w:rPr>
                <w:rFonts w:hint="eastAsia" w:ascii="宋体" w:hAnsi="宋体" w:eastAsia="宋体"/>
                <w:color w:val="auto"/>
                <w:highlight w:val="none"/>
                <w:lang w:val="en-US" w:eastAsia="zh-CN"/>
              </w:rPr>
            </w:pPr>
          </w:p>
        </w:tc>
        <w:tc>
          <w:tcPr>
            <w:tcW w:w="709" w:type="dxa"/>
            <w:noWrap w:val="0"/>
            <w:vAlign w:val="center"/>
          </w:tcPr>
          <w:p w14:paraId="04A917E6">
            <w:pPr>
              <w:spacing w:line="300" w:lineRule="auto"/>
              <w:rPr>
                <w:rFonts w:ascii="宋体" w:hAnsi="宋体"/>
                <w:color w:val="auto"/>
                <w:highlight w:val="none"/>
              </w:rPr>
            </w:pPr>
          </w:p>
        </w:tc>
        <w:tc>
          <w:tcPr>
            <w:tcW w:w="708" w:type="dxa"/>
            <w:noWrap w:val="0"/>
            <w:vAlign w:val="center"/>
          </w:tcPr>
          <w:p w14:paraId="0EC0DC40">
            <w:pPr>
              <w:spacing w:line="300" w:lineRule="auto"/>
              <w:rPr>
                <w:rFonts w:ascii="宋体" w:hAnsi="宋体"/>
                <w:color w:val="auto"/>
                <w:highlight w:val="none"/>
              </w:rPr>
            </w:pPr>
          </w:p>
        </w:tc>
        <w:tc>
          <w:tcPr>
            <w:tcW w:w="993" w:type="dxa"/>
            <w:noWrap w:val="0"/>
            <w:vAlign w:val="center"/>
          </w:tcPr>
          <w:p w14:paraId="02F6CB49">
            <w:pPr>
              <w:spacing w:line="300" w:lineRule="auto"/>
              <w:rPr>
                <w:rFonts w:ascii="宋体" w:hAnsi="宋体"/>
                <w:color w:val="auto"/>
                <w:highlight w:val="none"/>
              </w:rPr>
            </w:pPr>
          </w:p>
        </w:tc>
        <w:tc>
          <w:tcPr>
            <w:tcW w:w="992" w:type="dxa"/>
            <w:noWrap w:val="0"/>
            <w:vAlign w:val="center"/>
          </w:tcPr>
          <w:p w14:paraId="49481E06">
            <w:pPr>
              <w:spacing w:line="300" w:lineRule="auto"/>
              <w:rPr>
                <w:rFonts w:ascii="宋体" w:hAnsi="宋体"/>
                <w:color w:val="auto"/>
                <w:highlight w:val="none"/>
              </w:rPr>
            </w:pPr>
          </w:p>
        </w:tc>
        <w:tc>
          <w:tcPr>
            <w:tcW w:w="850" w:type="dxa"/>
            <w:noWrap w:val="0"/>
            <w:vAlign w:val="center"/>
          </w:tcPr>
          <w:p w14:paraId="0BD217F4">
            <w:pPr>
              <w:spacing w:line="300" w:lineRule="auto"/>
              <w:rPr>
                <w:rFonts w:ascii="宋体" w:hAnsi="宋体"/>
                <w:color w:val="auto"/>
                <w:highlight w:val="none"/>
              </w:rPr>
            </w:pPr>
          </w:p>
        </w:tc>
        <w:tc>
          <w:tcPr>
            <w:tcW w:w="677" w:type="dxa"/>
            <w:noWrap w:val="0"/>
            <w:vAlign w:val="center"/>
          </w:tcPr>
          <w:p w14:paraId="43511BB3">
            <w:pPr>
              <w:spacing w:line="300" w:lineRule="auto"/>
              <w:rPr>
                <w:rFonts w:ascii="宋体" w:hAnsi="宋体"/>
                <w:color w:val="auto"/>
                <w:highlight w:val="none"/>
              </w:rPr>
            </w:pPr>
          </w:p>
        </w:tc>
        <w:tc>
          <w:tcPr>
            <w:tcW w:w="831" w:type="dxa"/>
            <w:noWrap w:val="0"/>
            <w:vAlign w:val="center"/>
          </w:tcPr>
          <w:p w14:paraId="490D74A4">
            <w:pPr>
              <w:spacing w:line="300" w:lineRule="auto"/>
              <w:rPr>
                <w:rFonts w:ascii="宋体" w:hAnsi="宋体"/>
                <w:color w:val="auto"/>
                <w:highlight w:val="none"/>
              </w:rPr>
            </w:pPr>
          </w:p>
        </w:tc>
      </w:tr>
      <w:tr w14:paraId="0B80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14:paraId="7DE4771E">
            <w:pPr>
              <w:spacing w:line="300" w:lineRule="auto"/>
              <w:rPr>
                <w:rFonts w:ascii="宋体" w:hAnsi="宋体"/>
                <w:color w:val="auto"/>
                <w:sz w:val="24"/>
                <w:highlight w:val="none"/>
              </w:rPr>
            </w:pPr>
          </w:p>
        </w:tc>
        <w:tc>
          <w:tcPr>
            <w:tcW w:w="1134" w:type="dxa"/>
            <w:noWrap w:val="0"/>
            <w:vAlign w:val="top"/>
          </w:tcPr>
          <w:p w14:paraId="332100BC">
            <w:pPr>
              <w:spacing w:line="300" w:lineRule="auto"/>
              <w:rPr>
                <w:rFonts w:ascii="宋体" w:hAnsi="宋体"/>
                <w:color w:val="auto"/>
                <w:sz w:val="24"/>
                <w:highlight w:val="none"/>
              </w:rPr>
            </w:pPr>
          </w:p>
        </w:tc>
        <w:tc>
          <w:tcPr>
            <w:tcW w:w="992" w:type="dxa"/>
            <w:noWrap w:val="0"/>
            <w:vAlign w:val="top"/>
          </w:tcPr>
          <w:p w14:paraId="347F09CA">
            <w:pPr>
              <w:spacing w:line="300" w:lineRule="auto"/>
              <w:rPr>
                <w:rFonts w:ascii="宋体" w:hAnsi="宋体"/>
                <w:color w:val="auto"/>
                <w:sz w:val="24"/>
                <w:highlight w:val="none"/>
              </w:rPr>
            </w:pPr>
          </w:p>
        </w:tc>
        <w:tc>
          <w:tcPr>
            <w:tcW w:w="709" w:type="dxa"/>
            <w:noWrap w:val="0"/>
            <w:vAlign w:val="top"/>
          </w:tcPr>
          <w:p w14:paraId="64BAE022">
            <w:pPr>
              <w:spacing w:line="300" w:lineRule="auto"/>
              <w:rPr>
                <w:rFonts w:ascii="宋体" w:hAnsi="宋体"/>
                <w:color w:val="auto"/>
                <w:sz w:val="24"/>
                <w:highlight w:val="none"/>
              </w:rPr>
            </w:pPr>
          </w:p>
        </w:tc>
        <w:tc>
          <w:tcPr>
            <w:tcW w:w="708" w:type="dxa"/>
            <w:noWrap w:val="0"/>
            <w:vAlign w:val="top"/>
          </w:tcPr>
          <w:p w14:paraId="30A4269D">
            <w:pPr>
              <w:spacing w:line="300" w:lineRule="auto"/>
              <w:rPr>
                <w:rFonts w:ascii="宋体" w:hAnsi="宋体"/>
                <w:color w:val="auto"/>
                <w:sz w:val="24"/>
                <w:highlight w:val="none"/>
              </w:rPr>
            </w:pPr>
          </w:p>
        </w:tc>
        <w:tc>
          <w:tcPr>
            <w:tcW w:w="993" w:type="dxa"/>
            <w:noWrap w:val="0"/>
            <w:vAlign w:val="top"/>
          </w:tcPr>
          <w:p w14:paraId="15C7906C">
            <w:pPr>
              <w:spacing w:line="300" w:lineRule="auto"/>
              <w:rPr>
                <w:rFonts w:ascii="宋体" w:hAnsi="宋体"/>
                <w:color w:val="auto"/>
                <w:sz w:val="24"/>
                <w:highlight w:val="none"/>
              </w:rPr>
            </w:pPr>
          </w:p>
        </w:tc>
        <w:tc>
          <w:tcPr>
            <w:tcW w:w="992" w:type="dxa"/>
            <w:noWrap w:val="0"/>
            <w:vAlign w:val="top"/>
          </w:tcPr>
          <w:p w14:paraId="603FCB67">
            <w:pPr>
              <w:spacing w:line="300" w:lineRule="auto"/>
              <w:rPr>
                <w:rFonts w:ascii="宋体" w:hAnsi="宋体"/>
                <w:color w:val="auto"/>
                <w:sz w:val="24"/>
                <w:highlight w:val="none"/>
              </w:rPr>
            </w:pPr>
          </w:p>
        </w:tc>
        <w:tc>
          <w:tcPr>
            <w:tcW w:w="850" w:type="dxa"/>
            <w:noWrap w:val="0"/>
            <w:vAlign w:val="top"/>
          </w:tcPr>
          <w:p w14:paraId="71B9BA73">
            <w:pPr>
              <w:spacing w:line="300" w:lineRule="auto"/>
              <w:rPr>
                <w:rFonts w:ascii="黑体" w:hAnsi="宋体" w:eastAsia="黑体"/>
                <w:color w:val="auto"/>
                <w:sz w:val="24"/>
                <w:highlight w:val="none"/>
              </w:rPr>
            </w:pPr>
          </w:p>
        </w:tc>
        <w:tc>
          <w:tcPr>
            <w:tcW w:w="677" w:type="dxa"/>
            <w:noWrap w:val="0"/>
            <w:vAlign w:val="top"/>
          </w:tcPr>
          <w:p w14:paraId="4478B2CB">
            <w:pPr>
              <w:spacing w:line="300" w:lineRule="auto"/>
              <w:rPr>
                <w:rFonts w:ascii="黑体" w:hAnsi="宋体" w:eastAsia="黑体"/>
                <w:color w:val="auto"/>
                <w:sz w:val="24"/>
                <w:highlight w:val="none"/>
              </w:rPr>
            </w:pPr>
          </w:p>
          <w:p w14:paraId="62DE2861">
            <w:pPr>
              <w:spacing w:line="300" w:lineRule="auto"/>
              <w:rPr>
                <w:rFonts w:ascii="黑体" w:hAnsi="宋体" w:eastAsia="黑体"/>
                <w:color w:val="auto"/>
                <w:sz w:val="24"/>
                <w:highlight w:val="none"/>
              </w:rPr>
            </w:pPr>
          </w:p>
        </w:tc>
        <w:tc>
          <w:tcPr>
            <w:tcW w:w="831" w:type="dxa"/>
            <w:noWrap w:val="0"/>
            <w:vAlign w:val="top"/>
          </w:tcPr>
          <w:p w14:paraId="2E771211">
            <w:pPr>
              <w:spacing w:line="300" w:lineRule="auto"/>
              <w:rPr>
                <w:rFonts w:ascii="黑体" w:hAnsi="宋体" w:eastAsia="黑体"/>
                <w:color w:val="auto"/>
                <w:sz w:val="24"/>
                <w:highlight w:val="none"/>
              </w:rPr>
            </w:pPr>
          </w:p>
          <w:p w14:paraId="6A25E7BC">
            <w:pPr>
              <w:spacing w:line="300" w:lineRule="auto"/>
              <w:rPr>
                <w:rFonts w:ascii="黑体" w:hAnsi="宋体" w:eastAsia="黑体"/>
                <w:color w:val="auto"/>
                <w:sz w:val="24"/>
                <w:highlight w:val="none"/>
              </w:rPr>
            </w:pPr>
          </w:p>
        </w:tc>
      </w:tr>
    </w:tbl>
    <w:p w14:paraId="79710FA7">
      <w:pPr>
        <w:spacing w:line="300" w:lineRule="auto"/>
        <w:ind w:firstLine="3616"/>
        <w:rPr>
          <w:rFonts w:ascii="宋体" w:hAnsi="宋体"/>
          <w:color w:val="auto"/>
          <w:sz w:val="24"/>
          <w:szCs w:val="24"/>
          <w:highlight w:val="none"/>
        </w:rPr>
      </w:pPr>
      <w:r>
        <w:rPr>
          <w:rFonts w:hint="eastAsia" w:ascii="宋体" w:hAnsi="宋体"/>
          <w:color w:val="auto"/>
          <w:sz w:val="24"/>
          <w:szCs w:val="24"/>
          <w:highlight w:val="none"/>
        </w:rPr>
        <w:br w:type="textWrapping"/>
      </w:r>
    </w:p>
    <w:p w14:paraId="25600A18">
      <w:pPr>
        <w:spacing w:line="300" w:lineRule="auto"/>
        <w:ind w:firstLine="480" w:firstLineChars="200"/>
        <w:jc w:val="left"/>
        <w:rPr>
          <w:rFonts w:ascii="黑体" w:hAnsi="宋体" w:eastAsia="黑体"/>
          <w:color w:val="auto"/>
          <w:sz w:val="24"/>
          <w:highlight w:val="none"/>
        </w:rPr>
      </w:pPr>
      <w:r>
        <w:rPr>
          <w:rFonts w:hint="eastAsia" w:ascii="宋体" w:hAnsi="宋体"/>
          <w:color w:val="auto"/>
          <w:sz w:val="24"/>
          <w:szCs w:val="24"/>
          <w:highlight w:val="none"/>
        </w:rPr>
        <w:t>附件2：发包人供应材料设备一览表</w:t>
      </w:r>
      <w:r>
        <w:rPr>
          <w:rFonts w:hint="eastAsia" w:ascii="宋体" w:hAnsi="宋体"/>
          <w:color w:val="auto"/>
          <w:sz w:val="24"/>
          <w:szCs w:val="24"/>
          <w:highlight w:val="none"/>
        </w:rPr>
        <w:br w:type="textWrapping"/>
      </w:r>
    </w:p>
    <w:tbl>
      <w:tblPr>
        <w:tblStyle w:val="24"/>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17"/>
        <w:gridCol w:w="1279"/>
        <w:gridCol w:w="992"/>
        <w:gridCol w:w="992"/>
        <w:gridCol w:w="851"/>
        <w:gridCol w:w="992"/>
        <w:gridCol w:w="981"/>
        <w:gridCol w:w="840"/>
        <w:gridCol w:w="600"/>
      </w:tblGrid>
      <w:tr w14:paraId="080C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73" w:type="dxa"/>
            <w:tcBorders>
              <w:bottom w:val="single" w:color="auto" w:sz="4" w:space="0"/>
            </w:tcBorders>
            <w:noWrap w:val="0"/>
            <w:vAlign w:val="center"/>
          </w:tcPr>
          <w:p w14:paraId="0D0A06A3">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序号</w:t>
            </w:r>
          </w:p>
        </w:tc>
        <w:tc>
          <w:tcPr>
            <w:tcW w:w="1217" w:type="dxa"/>
            <w:tcBorders>
              <w:bottom w:val="single" w:color="auto" w:sz="4" w:space="0"/>
            </w:tcBorders>
            <w:noWrap w:val="0"/>
            <w:vAlign w:val="center"/>
          </w:tcPr>
          <w:p w14:paraId="0958AEA0">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材料设备品种</w:t>
            </w:r>
          </w:p>
        </w:tc>
        <w:tc>
          <w:tcPr>
            <w:tcW w:w="1279" w:type="dxa"/>
            <w:tcBorders>
              <w:bottom w:val="single" w:color="auto" w:sz="4" w:space="0"/>
            </w:tcBorders>
            <w:noWrap w:val="0"/>
            <w:vAlign w:val="center"/>
          </w:tcPr>
          <w:p w14:paraId="0C722F12">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规格型号</w:t>
            </w:r>
          </w:p>
        </w:tc>
        <w:tc>
          <w:tcPr>
            <w:tcW w:w="992" w:type="dxa"/>
            <w:tcBorders>
              <w:bottom w:val="single" w:color="auto" w:sz="4" w:space="0"/>
            </w:tcBorders>
            <w:noWrap w:val="0"/>
            <w:vAlign w:val="center"/>
          </w:tcPr>
          <w:p w14:paraId="6657DCB9">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单位</w:t>
            </w:r>
          </w:p>
        </w:tc>
        <w:tc>
          <w:tcPr>
            <w:tcW w:w="992" w:type="dxa"/>
            <w:tcBorders>
              <w:bottom w:val="single" w:color="auto" w:sz="4" w:space="0"/>
            </w:tcBorders>
            <w:noWrap w:val="0"/>
            <w:vAlign w:val="center"/>
          </w:tcPr>
          <w:p w14:paraId="441974BE">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数量</w:t>
            </w:r>
          </w:p>
        </w:tc>
        <w:tc>
          <w:tcPr>
            <w:tcW w:w="851" w:type="dxa"/>
            <w:tcBorders>
              <w:bottom w:val="single" w:color="auto" w:sz="4" w:space="0"/>
            </w:tcBorders>
            <w:noWrap w:val="0"/>
            <w:vAlign w:val="center"/>
          </w:tcPr>
          <w:p w14:paraId="36B08082">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单价</w:t>
            </w:r>
          </w:p>
        </w:tc>
        <w:tc>
          <w:tcPr>
            <w:tcW w:w="992" w:type="dxa"/>
            <w:tcBorders>
              <w:bottom w:val="single" w:color="auto" w:sz="4" w:space="0"/>
            </w:tcBorders>
            <w:noWrap w:val="0"/>
            <w:vAlign w:val="center"/>
          </w:tcPr>
          <w:p w14:paraId="1BFACF10">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质量等级</w:t>
            </w:r>
          </w:p>
        </w:tc>
        <w:tc>
          <w:tcPr>
            <w:tcW w:w="981" w:type="dxa"/>
            <w:tcBorders>
              <w:bottom w:val="single" w:color="auto" w:sz="4" w:space="0"/>
            </w:tcBorders>
            <w:noWrap w:val="0"/>
            <w:vAlign w:val="center"/>
          </w:tcPr>
          <w:p w14:paraId="22306F38">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供应时间</w:t>
            </w:r>
          </w:p>
        </w:tc>
        <w:tc>
          <w:tcPr>
            <w:tcW w:w="840" w:type="dxa"/>
            <w:tcBorders>
              <w:bottom w:val="single" w:color="auto" w:sz="4" w:space="0"/>
            </w:tcBorders>
            <w:noWrap w:val="0"/>
            <w:vAlign w:val="center"/>
          </w:tcPr>
          <w:p w14:paraId="3734EAD4">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送达地点</w:t>
            </w:r>
          </w:p>
        </w:tc>
        <w:tc>
          <w:tcPr>
            <w:tcW w:w="600" w:type="dxa"/>
            <w:tcBorders>
              <w:bottom w:val="single" w:color="auto" w:sz="4" w:space="0"/>
            </w:tcBorders>
            <w:noWrap w:val="0"/>
            <w:vAlign w:val="center"/>
          </w:tcPr>
          <w:p w14:paraId="3EA7B71C">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注</w:t>
            </w:r>
          </w:p>
        </w:tc>
      </w:tr>
      <w:tr w14:paraId="04B9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trPr>
        <w:tc>
          <w:tcPr>
            <w:tcW w:w="873" w:type="dxa"/>
            <w:noWrap w:val="0"/>
            <w:vAlign w:val="top"/>
          </w:tcPr>
          <w:p w14:paraId="33556291">
            <w:pPr>
              <w:spacing w:line="300" w:lineRule="auto"/>
              <w:rPr>
                <w:rFonts w:ascii="宋体" w:hAnsi="宋体"/>
                <w:color w:val="auto"/>
                <w:highlight w:val="none"/>
              </w:rPr>
            </w:pPr>
          </w:p>
        </w:tc>
        <w:tc>
          <w:tcPr>
            <w:tcW w:w="1217" w:type="dxa"/>
            <w:tcBorders>
              <w:tr2bl w:val="single" w:color="auto" w:sz="4" w:space="0"/>
            </w:tcBorders>
            <w:noWrap w:val="0"/>
            <w:vAlign w:val="top"/>
          </w:tcPr>
          <w:p w14:paraId="16069611">
            <w:pPr>
              <w:spacing w:line="300" w:lineRule="auto"/>
              <w:rPr>
                <w:rFonts w:ascii="宋体" w:hAnsi="宋体"/>
                <w:color w:val="auto"/>
                <w:highlight w:val="none"/>
              </w:rPr>
            </w:pPr>
          </w:p>
        </w:tc>
        <w:tc>
          <w:tcPr>
            <w:tcW w:w="1279" w:type="dxa"/>
            <w:tcBorders>
              <w:tr2bl w:val="single" w:color="auto" w:sz="4" w:space="0"/>
            </w:tcBorders>
            <w:noWrap w:val="0"/>
            <w:vAlign w:val="top"/>
          </w:tcPr>
          <w:p w14:paraId="74EDEA5A">
            <w:pPr>
              <w:spacing w:line="300" w:lineRule="auto"/>
              <w:rPr>
                <w:rFonts w:ascii="宋体" w:hAnsi="宋体"/>
                <w:color w:val="auto"/>
                <w:highlight w:val="none"/>
              </w:rPr>
            </w:pPr>
          </w:p>
        </w:tc>
        <w:tc>
          <w:tcPr>
            <w:tcW w:w="992" w:type="dxa"/>
            <w:noWrap w:val="0"/>
            <w:vAlign w:val="top"/>
          </w:tcPr>
          <w:p w14:paraId="68C72C88">
            <w:pPr>
              <w:spacing w:line="300" w:lineRule="auto"/>
              <w:rPr>
                <w:rFonts w:ascii="宋体" w:hAnsi="宋体"/>
                <w:color w:val="auto"/>
                <w:highlight w:val="none"/>
              </w:rPr>
            </w:pPr>
          </w:p>
        </w:tc>
        <w:tc>
          <w:tcPr>
            <w:tcW w:w="992" w:type="dxa"/>
            <w:tcBorders>
              <w:tr2bl w:val="single" w:color="auto" w:sz="4" w:space="0"/>
            </w:tcBorders>
            <w:noWrap w:val="0"/>
            <w:vAlign w:val="top"/>
          </w:tcPr>
          <w:p w14:paraId="6BC55477">
            <w:pPr>
              <w:spacing w:line="300" w:lineRule="auto"/>
              <w:rPr>
                <w:rFonts w:ascii="宋体" w:hAnsi="宋体"/>
                <w:color w:val="auto"/>
                <w:highlight w:val="none"/>
              </w:rPr>
            </w:pPr>
          </w:p>
        </w:tc>
        <w:tc>
          <w:tcPr>
            <w:tcW w:w="851" w:type="dxa"/>
            <w:noWrap w:val="0"/>
            <w:vAlign w:val="top"/>
          </w:tcPr>
          <w:p w14:paraId="1CD0FEE7">
            <w:pPr>
              <w:spacing w:line="300" w:lineRule="auto"/>
              <w:rPr>
                <w:rFonts w:ascii="宋体" w:hAnsi="宋体"/>
                <w:color w:val="auto"/>
                <w:highlight w:val="none"/>
              </w:rPr>
            </w:pPr>
          </w:p>
        </w:tc>
        <w:tc>
          <w:tcPr>
            <w:tcW w:w="992" w:type="dxa"/>
            <w:noWrap w:val="0"/>
            <w:vAlign w:val="top"/>
          </w:tcPr>
          <w:p w14:paraId="55489378">
            <w:pPr>
              <w:spacing w:line="300" w:lineRule="auto"/>
              <w:rPr>
                <w:rFonts w:ascii="宋体" w:hAnsi="宋体"/>
                <w:color w:val="auto"/>
                <w:highlight w:val="none"/>
              </w:rPr>
            </w:pPr>
          </w:p>
        </w:tc>
        <w:tc>
          <w:tcPr>
            <w:tcW w:w="981" w:type="dxa"/>
            <w:tcBorders>
              <w:tr2bl w:val="single" w:color="auto" w:sz="4" w:space="0"/>
            </w:tcBorders>
            <w:noWrap w:val="0"/>
            <w:vAlign w:val="top"/>
          </w:tcPr>
          <w:p w14:paraId="19558B41">
            <w:pPr>
              <w:spacing w:line="300" w:lineRule="auto"/>
              <w:rPr>
                <w:rFonts w:ascii="宋体" w:hAnsi="宋体"/>
                <w:color w:val="auto"/>
                <w:highlight w:val="none"/>
              </w:rPr>
            </w:pPr>
          </w:p>
        </w:tc>
        <w:tc>
          <w:tcPr>
            <w:tcW w:w="840" w:type="dxa"/>
            <w:tcBorders>
              <w:tr2bl w:val="single" w:color="auto" w:sz="4" w:space="0"/>
            </w:tcBorders>
            <w:noWrap w:val="0"/>
            <w:vAlign w:val="top"/>
          </w:tcPr>
          <w:p w14:paraId="33AEA9EB">
            <w:pPr>
              <w:spacing w:line="300" w:lineRule="auto"/>
              <w:rPr>
                <w:rFonts w:ascii="宋体" w:hAnsi="宋体"/>
                <w:color w:val="auto"/>
                <w:sz w:val="24"/>
                <w:highlight w:val="none"/>
              </w:rPr>
            </w:pPr>
          </w:p>
        </w:tc>
        <w:tc>
          <w:tcPr>
            <w:tcW w:w="600" w:type="dxa"/>
            <w:noWrap w:val="0"/>
            <w:vAlign w:val="top"/>
          </w:tcPr>
          <w:p w14:paraId="5F609D28">
            <w:pPr>
              <w:spacing w:line="300" w:lineRule="auto"/>
              <w:rPr>
                <w:rFonts w:ascii="宋体" w:hAnsi="宋体"/>
                <w:color w:val="auto"/>
                <w:sz w:val="24"/>
                <w:highlight w:val="none"/>
              </w:rPr>
            </w:pPr>
          </w:p>
        </w:tc>
      </w:tr>
      <w:tr w14:paraId="66DE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73" w:type="dxa"/>
            <w:noWrap w:val="0"/>
            <w:vAlign w:val="center"/>
          </w:tcPr>
          <w:p w14:paraId="52C0171B">
            <w:pPr>
              <w:spacing w:line="300" w:lineRule="auto"/>
              <w:ind w:left="0" w:leftChars="0" w:firstLine="0" w:firstLineChars="0"/>
              <w:jc w:val="both"/>
              <w:rPr>
                <w:rFonts w:ascii="宋体" w:hAnsi="宋体"/>
                <w:color w:val="auto"/>
                <w:highlight w:val="none"/>
              </w:rPr>
            </w:pPr>
            <w:r>
              <w:rPr>
                <w:rFonts w:hint="eastAsia" w:ascii="宋体" w:hAnsi="宋体"/>
                <w:color w:val="auto"/>
                <w:highlight w:val="none"/>
              </w:rPr>
              <w:t>合计</w:t>
            </w:r>
          </w:p>
        </w:tc>
        <w:tc>
          <w:tcPr>
            <w:tcW w:w="1217" w:type="dxa"/>
            <w:noWrap w:val="0"/>
            <w:vAlign w:val="top"/>
          </w:tcPr>
          <w:p w14:paraId="3D7249BA">
            <w:pPr>
              <w:spacing w:line="300" w:lineRule="auto"/>
              <w:rPr>
                <w:rFonts w:ascii="宋体" w:hAnsi="宋体"/>
                <w:color w:val="auto"/>
                <w:highlight w:val="none"/>
              </w:rPr>
            </w:pPr>
          </w:p>
        </w:tc>
        <w:tc>
          <w:tcPr>
            <w:tcW w:w="1279" w:type="dxa"/>
            <w:noWrap w:val="0"/>
            <w:vAlign w:val="top"/>
          </w:tcPr>
          <w:p w14:paraId="79A24FA4">
            <w:pPr>
              <w:spacing w:line="300" w:lineRule="auto"/>
              <w:rPr>
                <w:rFonts w:ascii="宋体" w:hAnsi="宋体"/>
                <w:color w:val="auto"/>
                <w:highlight w:val="none"/>
              </w:rPr>
            </w:pPr>
          </w:p>
        </w:tc>
        <w:tc>
          <w:tcPr>
            <w:tcW w:w="992" w:type="dxa"/>
            <w:noWrap w:val="0"/>
            <w:vAlign w:val="top"/>
          </w:tcPr>
          <w:p w14:paraId="33E56DF3">
            <w:pPr>
              <w:spacing w:line="300" w:lineRule="auto"/>
              <w:rPr>
                <w:rFonts w:ascii="宋体" w:hAnsi="宋体"/>
                <w:color w:val="auto"/>
                <w:highlight w:val="none"/>
              </w:rPr>
            </w:pPr>
          </w:p>
        </w:tc>
        <w:tc>
          <w:tcPr>
            <w:tcW w:w="992" w:type="dxa"/>
            <w:noWrap w:val="0"/>
            <w:vAlign w:val="top"/>
          </w:tcPr>
          <w:p w14:paraId="72A18051">
            <w:pPr>
              <w:spacing w:line="300" w:lineRule="auto"/>
              <w:rPr>
                <w:rFonts w:ascii="宋体" w:hAnsi="宋体"/>
                <w:color w:val="auto"/>
                <w:highlight w:val="none"/>
              </w:rPr>
            </w:pPr>
          </w:p>
        </w:tc>
        <w:tc>
          <w:tcPr>
            <w:tcW w:w="851" w:type="dxa"/>
            <w:noWrap w:val="0"/>
            <w:vAlign w:val="top"/>
          </w:tcPr>
          <w:p w14:paraId="06E97406">
            <w:pPr>
              <w:spacing w:line="300" w:lineRule="auto"/>
              <w:rPr>
                <w:rFonts w:ascii="宋体" w:hAnsi="宋体"/>
                <w:color w:val="auto"/>
                <w:highlight w:val="none"/>
              </w:rPr>
            </w:pPr>
          </w:p>
        </w:tc>
        <w:tc>
          <w:tcPr>
            <w:tcW w:w="992" w:type="dxa"/>
            <w:noWrap w:val="0"/>
            <w:vAlign w:val="top"/>
          </w:tcPr>
          <w:p w14:paraId="634A9158">
            <w:pPr>
              <w:spacing w:line="300" w:lineRule="auto"/>
              <w:rPr>
                <w:rFonts w:ascii="宋体" w:hAnsi="宋体"/>
                <w:color w:val="auto"/>
                <w:highlight w:val="none"/>
              </w:rPr>
            </w:pPr>
          </w:p>
        </w:tc>
        <w:tc>
          <w:tcPr>
            <w:tcW w:w="981" w:type="dxa"/>
            <w:noWrap w:val="0"/>
            <w:vAlign w:val="top"/>
          </w:tcPr>
          <w:p w14:paraId="2F067072">
            <w:pPr>
              <w:spacing w:line="300" w:lineRule="auto"/>
              <w:rPr>
                <w:rFonts w:ascii="宋体" w:hAnsi="宋体"/>
                <w:color w:val="auto"/>
                <w:highlight w:val="none"/>
              </w:rPr>
            </w:pPr>
          </w:p>
        </w:tc>
        <w:tc>
          <w:tcPr>
            <w:tcW w:w="840" w:type="dxa"/>
            <w:noWrap w:val="0"/>
            <w:vAlign w:val="top"/>
          </w:tcPr>
          <w:p w14:paraId="58E92210">
            <w:pPr>
              <w:spacing w:line="300" w:lineRule="auto"/>
              <w:rPr>
                <w:rFonts w:ascii="黑体" w:hAnsi="宋体" w:eastAsia="黑体"/>
                <w:color w:val="auto"/>
                <w:sz w:val="24"/>
                <w:highlight w:val="none"/>
              </w:rPr>
            </w:pPr>
          </w:p>
        </w:tc>
        <w:tc>
          <w:tcPr>
            <w:tcW w:w="600" w:type="dxa"/>
            <w:noWrap w:val="0"/>
            <w:vAlign w:val="top"/>
          </w:tcPr>
          <w:p w14:paraId="096FA458">
            <w:pPr>
              <w:spacing w:line="300" w:lineRule="auto"/>
              <w:rPr>
                <w:rFonts w:ascii="黑体" w:hAnsi="宋体" w:eastAsia="黑体"/>
                <w:color w:val="auto"/>
                <w:sz w:val="24"/>
                <w:highlight w:val="none"/>
              </w:rPr>
            </w:pPr>
          </w:p>
        </w:tc>
      </w:tr>
    </w:tbl>
    <w:p w14:paraId="76415E4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346D7A5">
      <w:pPr>
        <w:spacing w:line="300" w:lineRule="auto"/>
        <w:jc w:val="left"/>
        <w:rPr>
          <w:rFonts w:hint="eastAsia" w:ascii="宋体" w:hAnsi="宋体" w:eastAsia="宋体" w:cs="宋体"/>
          <w:color w:val="auto"/>
          <w:sz w:val="28"/>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：工程质量保修书</w:t>
      </w:r>
    </w:p>
    <w:p w14:paraId="71E680CB">
      <w:pPr>
        <w:spacing w:line="30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工程质量保修书</w:t>
      </w:r>
    </w:p>
    <w:p w14:paraId="75A80E4D">
      <w:pPr>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（示范文本）</w:t>
      </w:r>
    </w:p>
    <w:p w14:paraId="7D8B77FC">
      <w:pPr>
        <w:spacing w:line="300" w:lineRule="auto"/>
        <w:ind w:firstLine="4348"/>
        <w:rPr>
          <w:rFonts w:hint="eastAsia" w:ascii="宋体" w:hAnsi="宋体" w:eastAsia="宋体" w:cs="宋体"/>
          <w:color w:val="auto"/>
          <w:highlight w:val="none"/>
        </w:rPr>
      </w:pPr>
    </w:p>
    <w:p w14:paraId="02170A2E">
      <w:pPr>
        <w:pStyle w:val="22"/>
        <w:spacing w:before="0" w:beforeAutospacing="0" w:after="0" w:afterAutospacing="0" w:line="264" w:lineRule="auto"/>
        <w:ind w:firstLine="480" w:firstLineChars="200"/>
        <w:rPr>
          <w:rFonts w:hint="eastAsia" w:ascii="宋体" w:hAnsi="宋体" w:eastAsia="宋体" w:cs="宋体"/>
          <w:b/>
          <w:color w:val="auto"/>
          <w:highlight w:val="none"/>
          <w:u w:val="single"/>
        </w:rPr>
      </w:pPr>
      <w:r>
        <w:rPr>
          <w:rFonts w:hint="eastAsia" w:ascii="宋体" w:hAnsi="宋体" w:eastAsia="宋体" w:cs="宋体"/>
          <w:color w:val="auto"/>
          <w:highlight w:val="none"/>
        </w:rPr>
        <w:t>发包人（全称）：</w:t>
      </w:r>
      <w:r>
        <w:rPr>
          <w:rFonts w:hint="eastAsia" w:ascii="宋体" w:hAnsi="宋体" w:cs="宋体"/>
          <w:b/>
          <w:bCs/>
          <w:color w:val="auto"/>
          <w:sz w:val="24"/>
          <w:szCs w:val="24"/>
          <w:highlight w:val="none"/>
          <w:u w:val="single"/>
          <w:lang w:val="en-US" w:eastAsia="zh-CN"/>
        </w:rPr>
        <w:t>嘉善县实验小学</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color w:val="auto"/>
          <w:highlight w:val="none"/>
          <w:u w:val="single"/>
        </w:rPr>
        <w:t xml:space="preserve"> </w:t>
      </w:r>
    </w:p>
    <w:p w14:paraId="44D3116E">
      <w:pPr>
        <w:pStyle w:val="22"/>
        <w:spacing w:before="0" w:beforeAutospacing="0" w:after="0" w:afterAutospacing="0" w:line="264"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承包人（全称）：</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6DD210EE">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　　发包人和承包人根据《中华人民共和国建筑法》和《建设工程质量管理条例》，经协商一致，对</w:t>
      </w:r>
      <w:r>
        <w:rPr>
          <w:rFonts w:hint="eastAsia" w:ascii="宋体" w:hAnsi="宋体" w:cs="宋体"/>
          <w:b/>
          <w:bCs/>
          <w:color w:val="auto"/>
          <w:sz w:val="24"/>
          <w:szCs w:val="24"/>
          <w:highlight w:val="none"/>
          <w:u w:val="single"/>
          <w:lang w:val="en-US" w:eastAsia="zh-CN"/>
        </w:rPr>
        <w:t>嘉善县实验小学2025年度校舍常规维修</w:t>
      </w:r>
      <w:r>
        <w:rPr>
          <w:rFonts w:hint="eastAsia" w:ascii="宋体" w:hAnsi="宋体" w:eastAsia="宋体" w:cs="宋体"/>
          <w:color w:val="auto"/>
          <w:highlight w:val="none"/>
        </w:rPr>
        <w:t xml:space="preserve">签定工程质量保修书。 </w:t>
      </w:r>
    </w:p>
    <w:p w14:paraId="693FBC90">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一、工程质量保修范围和内容 </w:t>
      </w:r>
    </w:p>
    <w:p w14:paraId="1B1E918F">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承包人在质量保修期内，按照有关法律规定和合同约定，承担工程质量保修责任。 </w:t>
      </w:r>
    </w:p>
    <w:p w14:paraId="0CB8A4B8">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质量保修范围包括</w:t>
      </w:r>
      <w:r>
        <w:rPr>
          <w:rFonts w:hint="eastAsia" w:ascii="宋体" w:hAnsi="宋体" w:cs="宋体"/>
          <w:b/>
          <w:color w:val="auto"/>
          <w:highlight w:val="none"/>
          <w:u w:val="single"/>
          <w:lang w:val="en-US" w:eastAsia="zh-CN"/>
        </w:rPr>
        <w:t>嘉善县实验小学2025年度校舍常规维修</w:t>
      </w:r>
      <w:r>
        <w:rPr>
          <w:rFonts w:hint="eastAsia" w:ascii="宋体" w:hAnsi="宋体" w:eastAsia="宋体" w:cs="宋体"/>
          <w:color w:val="auto"/>
          <w:highlight w:val="none"/>
        </w:rPr>
        <w:t xml:space="preserve">，以及双方约定的其他项目。具体保修的内容，双方约定如下： </w:t>
      </w:r>
    </w:p>
    <w:p w14:paraId="349E4ECE">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highlight w:val="none"/>
          <w:u w:val="single"/>
        </w:rPr>
        <w:t>按合同条款中约定的承包范围，按规定进行保修</w:t>
      </w:r>
      <w:r>
        <w:rPr>
          <w:rFonts w:hint="eastAsia" w:ascii="宋体" w:hAnsi="宋体" w:eastAsia="宋体" w:cs="宋体"/>
          <w:color w:val="auto"/>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 xml:space="preserve"> </w:t>
      </w:r>
    </w:p>
    <w:p w14:paraId="1CBD7D33">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二、质量保修期 </w:t>
      </w:r>
    </w:p>
    <w:p w14:paraId="379C73C9">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双方根据《建设工程质量管理条例》及有关规定，工程的质量保修期如下： </w:t>
      </w:r>
    </w:p>
    <w:p w14:paraId="6461D409">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⒈地基基础工程和主体结构工程为设计文件规定的工程合理使用年限； </w:t>
      </w:r>
    </w:p>
    <w:p w14:paraId="1DE3DCF8">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⒉屋面防水工程、有防水要求的卫生间、房间和外墙面的防渗漏为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年； </w:t>
      </w:r>
    </w:p>
    <w:p w14:paraId="44BDD3B0">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⒊装修工程为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rPr>
        <w:t xml:space="preserve">年； </w:t>
      </w:r>
    </w:p>
    <w:p w14:paraId="2AAD2720">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⒋电气管线、给排水管道、设备安装工程为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年； </w:t>
      </w:r>
    </w:p>
    <w:p w14:paraId="11093B17">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⒌供热与供冷系统为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个采暖期、供冷期； </w:t>
      </w:r>
    </w:p>
    <w:p w14:paraId="63F972B4">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⒍住宅小区内的给排水设施、道路等配套工程为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年； </w:t>
      </w:r>
    </w:p>
    <w:p w14:paraId="315352C4">
      <w:pPr>
        <w:pStyle w:val="22"/>
        <w:spacing w:before="0" w:beforeAutospacing="0" w:after="0" w:afterAutospacing="0" w:line="264" w:lineRule="auto"/>
        <w:rPr>
          <w:rFonts w:hint="eastAsia" w:ascii="宋体" w:hAnsi="宋体" w:eastAsia="宋体" w:cs="宋体"/>
          <w:b/>
          <w:color w:val="auto"/>
          <w:highlight w:val="none"/>
          <w:u w:val="single"/>
        </w:rPr>
      </w:pPr>
      <w:r>
        <w:rPr>
          <w:rFonts w:hint="eastAsia" w:ascii="宋体" w:hAnsi="宋体" w:eastAsia="宋体" w:cs="宋体"/>
          <w:color w:val="auto"/>
          <w:highlight w:val="none"/>
        </w:rPr>
        <w:t>⒎其他项目保修期限约定如下：</w:t>
      </w:r>
      <w:r>
        <w:rPr>
          <w:rFonts w:hint="eastAsia" w:ascii="宋体" w:hAnsi="宋体" w:eastAsia="宋体" w:cs="宋体"/>
          <w:b/>
          <w:color w:val="auto"/>
          <w:sz w:val="24"/>
          <w:szCs w:val="24"/>
          <w:highlight w:val="none"/>
          <w:u w:val="single"/>
          <w:lang w:eastAsia="zh-CN"/>
        </w:rPr>
        <w:t>有规定的按规定，无规定的至少</w:t>
      </w:r>
      <w:r>
        <w:rPr>
          <w:rFonts w:hint="eastAsia" w:ascii="宋体" w:hAnsi="宋体" w:eastAsia="宋体" w:cs="宋体"/>
          <w:b/>
          <w:color w:val="auto"/>
          <w:sz w:val="24"/>
          <w:szCs w:val="24"/>
          <w:highlight w:val="none"/>
          <w:u w:val="single"/>
          <w:lang w:val="en-US" w:eastAsia="zh-CN"/>
        </w:rPr>
        <w:t>2年</w:t>
      </w:r>
      <w:r>
        <w:rPr>
          <w:rFonts w:hint="eastAsia" w:ascii="宋体" w:hAnsi="宋体" w:eastAsia="宋体" w:cs="宋体"/>
          <w:b/>
          <w:color w:val="auto"/>
          <w:highlight w:val="none"/>
          <w:u w:val="single"/>
        </w:rPr>
        <w:t>。</w:t>
      </w:r>
    </w:p>
    <w:p w14:paraId="50CB821B">
      <w:pPr>
        <w:pStyle w:val="22"/>
        <w:spacing w:before="0" w:beforeAutospacing="0" w:after="0" w:afterAutospacing="0" w:line="264" w:lineRule="auto"/>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质量保修期自工程竣工验收合格之日起计算。</w:t>
      </w:r>
    </w:p>
    <w:p w14:paraId="63ED9A2C">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三、缺陷责任期</w:t>
      </w:r>
    </w:p>
    <w:p w14:paraId="302BA288">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w:t>
      </w:r>
      <w:r>
        <w:rPr>
          <w:rFonts w:hint="eastAsia" w:ascii="宋体" w:hAnsi="宋体" w:eastAsia="宋体" w:cs="宋体"/>
          <w:color w:val="auto"/>
          <w:kern w:val="0"/>
          <w:sz w:val="24"/>
          <w:szCs w:val="24"/>
          <w:highlight w:val="none"/>
        </w:rPr>
        <w:t>缺陷责任期自工程竣工验收合格之日起计算</w:t>
      </w:r>
      <w:r>
        <w:rPr>
          <w:rFonts w:hint="eastAsia" w:ascii="宋体" w:hAnsi="宋体" w:eastAsia="宋体" w:cs="宋体"/>
          <w:color w:val="auto"/>
          <w:sz w:val="24"/>
          <w:szCs w:val="24"/>
          <w:highlight w:val="none"/>
        </w:rPr>
        <w:t>。单位工程先于全部工程进行验收，单位工程缺陷责任期自单位工程验收合格之日起算。</w:t>
      </w:r>
    </w:p>
    <w:p w14:paraId="2303BB75">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缺陷责任期终止后，发包人应退还剩余的质量保证金。</w:t>
      </w:r>
    </w:p>
    <w:p w14:paraId="18258834">
      <w:pPr>
        <w:numPr>
          <w:ilvl w:val="0"/>
          <w:numId w:val="8"/>
        </w:numPr>
        <w:spacing w:line="264"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w:t>
      </w:r>
      <w:r>
        <w:rPr>
          <w:rFonts w:hint="eastAsia" w:ascii="宋体" w:hAnsi="宋体" w:eastAsia="宋体" w:cs="宋体"/>
          <w:color w:val="auto"/>
          <w:kern w:val="0"/>
          <w:sz w:val="24"/>
          <w:szCs w:val="24"/>
          <w:highlight w:val="none"/>
        </w:rPr>
        <w:t>量保修责任</w:t>
      </w:r>
    </w:p>
    <w:p w14:paraId="11C480D5">
      <w:pPr>
        <w:pStyle w:val="22"/>
        <w:keepNext w:val="0"/>
        <w:keepLines w:val="0"/>
        <w:pageBreakBefore w:val="0"/>
        <w:kinsoku/>
        <w:wordWrap/>
        <w:overflowPunct/>
        <w:topLinePunct w:val="0"/>
        <w:bidi w:val="0"/>
        <w:spacing w:before="0" w:beforeAutospacing="0" w:after="0" w:afterAutospacing="0" w:line="300" w:lineRule="auto"/>
        <w:ind w:left="0" w:leftChars="0"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属于保修范围、内容的项目，承包人应当在接到保修通知之日起</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天内派人保修。承包人不在约定期限内派人保修的，发包人可以委托他人修理。 </w:t>
      </w:r>
    </w:p>
    <w:p w14:paraId="5CBDE15F">
      <w:pPr>
        <w:pStyle w:val="22"/>
        <w:keepNext w:val="0"/>
        <w:keepLines w:val="0"/>
        <w:pageBreakBefore w:val="0"/>
        <w:kinsoku/>
        <w:wordWrap/>
        <w:overflowPunct/>
        <w:topLinePunct w:val="0"/>
        <w:bidi w:val="0"/>
        <w:spacing w:before="0" w:beforeAutospacing="0" w:after="0" w:afterAutospacing="0" w:line="300" w:lineRule="auto"/>
        <w:ind w:left="0" w:left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发生紧急事故需抢修的，承包人在接到事故通知后，应当立即到达事故现场抢修。 </w:t>
      </w:r>
    </w:p>
    <w:p w14:paraId="5239F931">
      <w:pPr>
        <w:pStyle w:val="22"/>
        <w:keepNext w:val="0"/>
        <w:keepLines w:val="0"/>
        <w:pageBreakBefore w:val="0"/>
        <w:kinsoku/>
        <w:wordWrap/>
        <w:overflowPunct/>
        <w:topLinePunct w:val="0"/>
        <w:bidi w:val="0"/>
        <w:spacing w:before="0" w:beforeAutospacing="0" w:after="0" w:afterAutospacing="0" w:line="300" w:lineRule="auto"/>
        <w:ind w:left="0" w:leftChars="0" w:firstLine="48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对于涉及结构安全的质量问题，应当按照《建设工程质量管理条例》的规定，立即向当地建设行政主管部门和有关部门报告，采取安全防范措施，并由原设计人或者具有相应资质等级的设计人提出保修方案，承包人实施保修。 </w:t>
      </w:r>
    </w:p>
    <w:p w14:paraId="2E20BAF5">
      <w:pPr>
        <w:pStyle w:val="22"/>
        <w:keepNext w:val="0"/>
        <w:keepLines w:val="0"/>
        <w:pageBreakBefore w:val="0"/>
        <w:kinsoku/>
        <w:wordWrap/>
        <w:overflowPunct/>
        <w:topLinePunct w:val="0"/>
        <w:bidi w:val="0"/>
        <w:spacing w:before="0" w:beforeAutospacing="0" w:after="0" w:afterAutospacing="0" w:line="300" w:lineRule="auto"/>
        <w:ind w:left="0" w:leftChars="0" w:firstLine="48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4、质量保修完成后，由发包人组织验收。</w:t>
      </w:r>
    </w:p>
    <w:p w14:paraId="685B0726">
      <w:pPr>
        <w:spacing w:line="264"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五、保修费用 </w:t>
      </w:r>
    </w:p>
    <w:p w14:paraId="21818751">
      <w:pPr>
        <w:spacing w:line="264"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保修费用由造成质量缺陷的责任方承担。 </w:t>
      </w:r>
    </w:p>
    <w:p w14:paraId="6C8F79F2">
      <w:pPr>
        <w:spacing w:line="264" w:lineRule="auto"/>
        <w:rPr>
          <w:rFonts w:hint="eastAsia" w:ascii="宋体" w:hAnsi="宋体" w:eastAsia="宋体" w:cs="宋体"/>
          <w:b/>
          <w:bCs/>
          <w:color w:val="auto"/>
          <w:kern w:val="0"/>
          <w:sz w:val="24"/>
          <w:szCs w:val="24"/>
          <w:highlight w:val="none"/>
          <w:u w:val="single"/>
        </w:rPr>
      </w:pPr>
      <w:r>
        <w:rPr>
          <w:rFonts w:hint="eastAsia" w:ascii="宋体" w:hAnsi="宋体" w:eastAsia="宋体" w:cs="宋体"/>
          <w:color w:val="auto"/>
          <w:kern w:val="0"/>
          <w:sz w:val="24"/>
          <w:szCs w:val="24"/>
          <w:highlight w:val="none"/>
        </w:rPr>
        <w:t xml:space="preserve"> 六、双方约定的其他工程质量保修事项</w:t>
      </w:r>
      <w:r>
        <w:rPr>
          <w:rFonts w:hint="eastAsia" w:ascii="宋体" w:hAnsi="宋体" w:eastAsia="宋体" w:cs="宋体"/>
          <w:color w:val="auto"/>
          <w:szCs w:val="24"/>
          <w:highlight w:val="none"/>
        </w:rPr>
        <w:t>：</w:t>
      </w:r>
      <w:r>
        <w:rPr>
          <w:rFonts w:hint="eastAsia" w:ascii="宋体" w:hAnsi="宋体" w:eastAsia="宋体" w:cs="宋体"/>
          <w:color w:val="auto"/>
          <w:sz w:val="24"/>
          <w:szCs w:val="24"/>
          <w:highlight w:val="none"/>
          <w:u w:val="single"/>
        </w:rPr>
        <w:t>由于承包方原因造成质量问题一切由承包方负责，并承担费用。</w:t>
      </w:r>
    </w:p>
    <w:p w14:paraId="696BE972">
      <w:pPr>
        <w:spacing w:line="264" w:lineRule="auto"/>
        <w:rPr>
          <w:rFonts w:hint="eastAsia" w:ascii="宋体" w:hAnsi="宋体" w:eastAsia="宋体" w:cs="宋体"/>
          <w:color w:val="auto"/>
          <w:kern w:val="0"/>
          <w:sz w:val="24"/>
          <w:szCs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kern w:val="0"/>
          <w:sz w:val="24"/>
          <w:szCs w:val="24"/>
          <w:highlight w:val="none"/>
        </w:rPr>
        <w:t xml:space="preserve">工程质量保修书由发包人、承包人在工程竣工验收前共同签署，作为施工合同附件，其有效期限至保修期满。 </w:t>
      </w:r>
    </w:p>
    <w:p w14:paraId="57C375F4">
      <w:pPr>
        <w:pStyle w:val="22"/>
        <w:spacing w:beforeAutospacing="0" w:afterAutospacing="0" w:line="264" w:lineRule="auto"/>
        <w:ind w:firstLine="465"/>
        <w:rPr>
          <w:rFonts w:hint="eastAsia" w:ascii="宋体" w:hAnsi="宋体" w:eastAsia="宋体" w:cs="宋体"/>
          <w:color w:val="auto"/>
          <w:highlight w:val="none"/>
        </w:rPr>
      </w:pPr>
    </w:p>
    <w:p w14:paraId="7DB2068B">
      <w:pPr>
        <w:pStyle w:val="22"/>
        <w:spacing w:beforeAutospacing="0" w:afterAutospacing="0" w:line="264" w:lineRule="auto"/>
        <w:ind w:firstLine="465"/>
        <w:rPr>
          <w:rFonts w:hint="eastAsia" w:ascii="宋体" w:hAnsi="宋体" w:eastAsia="宋体" w:cs="宋体"/>
          <w:color w:val="auto"/>
          <w:highlight w:val="none"/>
        </w:rPr>
      </w:pPr>
    </w:p>
    <w:p w14:paraId="4D7DCD91">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 xml:space="preserve">            承包人(公章)：</w:t>
      </w:r>
      <w:r>
        <w:rPr>
          <w:rFonts w:hint="eastAsia" w:ascii="宋体" w:hAnsi="宋体" w:eastAsia="宋体" w:cs="宋体"/>
          <w:color w:val="auto"/>
          <w:sz w:val="24"/>
          <w:szCs w:val="24"/>
          <w:highlight w:val="none"/>
          <w:u w:val="single"/>
        </w:rPr>
        <w:t xml:space="preserve">           </w:t>
      </w:r>
    </w:p>
    <w:p w14:paraId="2C12FF98">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      </w:t>
      </w:r>
    </w:p>
    <w:p w14:paraId="04CECEBF">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rPr>
        <w:t xml:space="preserve">       </w:t>
      </w:r>
    </w:p>
    <w:p w14:paraId="728EC928">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委托代理人(签字)：</w:t>
      </w:r>
      <w:r>
        <w:rPr>
          <w:rFonts w:hint="eastAsia" w:ascii="宋体" w:hAnsi="宋体" w:eastAsia="宋体" w:cs="宋体"/>
          <w:color w:val="auto"/>
          <w:sz w:val="24"/>
          <w:szCs w:val="24"/>
          <w:highlight w:val="none"/>
          <w:u w:val="single"/>
        </w:rPr>
        <w:t xml:space="preserve">       </w:t>
      </w:r>
    </w:p>
    <w:p w14:paraId="0E4A3671">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3AE30428">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   </w:t>
      </w:r>
    </w:p>
    <w:p w14:paraId="0D278BE3">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6C7333AB">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7E44E054">
      <w:pPr>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13A5D1B5">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12E323B6">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附件4：</w:t>
      </w:r>
    </w:p>
    <w:p w14:paraId="03150FD0">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安全生产合同书</w:t>
      </w:r>
    </w:p>
    <w:p w14:paraId="4CDD79D6">
      <w:pPr>
        <w:spacing w:line="300" w:lineRule="auto"/>
        <w:rPr>
          <w:rFonts w:hint="eastAsia" w:ascii="宋体" w:hAnsi="宋体"/>
          <w:b/>
          <w:color w:val="auto"/>
          <w:sz w:val="24"/>
          <w:highlight w:val="none"/>
          <w:u w:val="single"/>
        </w:rPr>
      </w:pPr>
      <w:r>
        <w:rPr>
          <w:rFonts w:hint="eastAsia" w:ascii="宋体" w:hAnsi="宋体"/>
          <w:b/>
          <w:color w:val="auto"/>
          <w:sz w:val="24"/>
          <w:highlight w:val="none"/>
        </w:rPr>
        <w:t>甲方：</w:t>
      </w:r>
      <w:r>
        <w:rPr>
          <w:rFonts w:hint="eastAsia" w:ascii="宋体" w:hAnsi="宋体" w:cs="宋体"/>
          <w:b/>
          <w:bCs/>
          <w:color w:val="auto"/>
          <w:sz w:val="24"/>
          <w:szCs w:val="24"/>
          <w:highlight w:val="none"/>
          <w:u w:val="single"/>
          <w:lang w:val="en-US" w:eastAsia="zh-CN"/>
        </w:rPr>
        <w:t>嘉善县实验小学</w:t>
      </w:r>
      <w:r>
        <w:rPr>
          <w:rFonts w:hint="eastAsia" w:ascii="宋体" w:hAnsi="宋体"/>
          <w:b/>
          <w:color w:val="auto"/>
          <w:sz w:val="24"/>
          <w:highlight w:val="none"/>
          <w:u w:val="single"/>
        </w:rPr>
        <w:t xml:space="preserve"> </w:t>
      </w:r>
    </w:p>
    <w:p w14:paraId="21A96032">
      <w:pPr>
        <w:spacing w:line="300" w:lineRule="auto"/>
        <w:rPr>
          <w:rFonts w:hint="eastAsia" w:ascii="宋体" w:hAnsi="宋体"/>
          <w:b/>
          <w:color w:val="auto"/>
          <w:sz w:val="24"/>
          <w:highlight w:val="none"/>
          <w:u w:val="single"/>
        </w:rPr>
      </w:pPr>
      <w:r>
        <w:rPr>
          <w:rFonts w:hint="eastAsia" w:ascii="宋体" w:hAnsi="宋体"/>
          <w:b/>
          <w:color w:val="auto"/>
          <w:sz w:val="24"/>
          <w:highlight w:val="none"/>
        </w:rPr>
        <w:t>乙方：</w:t>
      </w:r>
      <w:r>
        <w:rPr>
          <w:rFonts w:hint="eastAsia" w:ascii="宋体" w:hAnsi="宋体"/>
          <w:b/>
          <w:color w:val="auto"/>
          <w:sz w:val="24"/>
          <w:szCs w:val="22"/>
          <w:highlight w:val="none"/>
          <w:u w:val="single"/>
          <w:lang w:eastAsia="zh-CN"/>
        </w:rPr>
        <w:t xml:space="preserve"> </w:t>
      </w:r>
      <w:r>
        <w:rPr>
          <w:rFonts w:hint="eastAsia" w:ascii="宋体" w:hAnsi="宋体"/>
          <w:b/>
          <w:color w:val="auto"/>
          <w:sz w:val="24"/>
          <w:szCs w:val="22"/>
          <w:highlight w:val="none"/>
          <w:u w:val="single"/>
          <w:lang w:val="en-US" w:eastAsia="zh-CN"/>
        </w:rPr>
        <w:t xml:space="preserve">            </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single"/>
        </w:rPr>
        <w:t xml:space="preserve"> </w:t>
      </w:r>
    </w:p>
    <w:p w14:paraId="6FEE799E">
      <w:pPr>
        <w:spacing w:line="300" w:lineRule="auto"/>
        <w:rPr>
          <w:rFonts w:hint="eastAsia" w:ascii="宋体" w:hAnsi="宋体"/>
          <w:b/>
          <w:color w:val="auto"/>
          <w:sz w:val="24"/>
          <w:highlight w:val="none"/>
          <w:u w:val="single"/>
        </w:rPr>
      </w:pPr>
      <w:r>
        <w:rPr>
          <w:rFonts w:hint="eastAsia" w:ascii="宋体" w:hAnsi="宋体"/>
          <w:color w:val="auto"/>
          <w:sz w:val="24"/>
          <w:highlight w:val="none"/>
          <w:lang w:eastAsia="zh-CN"/>
        </w:rPr>
        <w:t>工程</w:t>
      </w:r>
      <w:r>
        <w:rPr>
          <w:rFonts w:hint="eastAsia" w:ascii="宋体" w:hAnsi="宋体"/>
          <w:color w:val="auto"/>
          <w:sz w:val="24"/>
          <w:highlight w:val="none"/>
        </w:rPr>
        <w:t>项目：</w:t>
      </w:r>
      <w:r>
        <w:rPr>
          <w:rFonts w:hint="eastAsia" w:ascii="宋体" w:hAnsi="宋体"/>
          <w:b/>
          <w:color w:val="auto"/>
          <w:sz w:val="24"/>
          <w:szCs w:val="22"/>
          <w:highlight w:val="none"/>
          <w:u w:val="single"/>
          <w:lang w:eastAsia="zh-CN"/>
        </w:rPr>
        <w:t xml:space="preserve"> </w:t>
      </w:r>
      <w:r>
        <w:rPr>
          <w:rFonts w:hint="eastAsia" w:ascii="宋体" w:hAnsi="宋体" w:cs="宋体"/>
          <w:b/>
          <w:bCs/>
          <w:color w:val="auto"/>
          <w:sz w:val="24"/>
          <w:szCs w:val="24"/>
          <w:highlight w:val="none"/>
          <w:u w:val="single"/>
          <w:lang w:val="en-US" w:eastAsia="zh-CN"/>
        </w:rPr>
        <w:t>嘉善县实验小学2025年度校舍常规维修</w:t>
      </w:r>
    </w:p>
    <w:p w14:paraId="59D7A4A5">
      <w:pPr>
        <w:spacing w:line="300" w:lineRule="auto"/>
        <w:ind w:firstLine="480" w:firstLineChars="200"/>
        <w:rPr>
          <w:rFonts w:hint="eastAsia" w:ascii="宋体" w:hAnsi="宋体" w:cs="宋体"/>
          <w:color w:val="auto"/>
          <w:kern w:val="0"/>
          <w:sz w:val="24"/>
          <w:highlight w:val="none"/>
        </w:rPr>
      </w:pPr>
      <w:r>
        <w:rPr>
          <w:rFonts w:hint="eastAsia" w:ascii="宋体" w:hAnsi="宋体"/>
          <w:color w:val="auto"/>
          <w:sz w:val="24"/>
          <w:highlight w:val="none"/>
        </w:rPr>
        <w:t>为加强合作意识，明确责任，本着“安全第一，预防为主”的目的，让安全隐患消灭在萌芽中.</w:t>
      </w:r>
      <w:r>
        <w:rPr>
          <w:rFonts w:hint="eastAsia" w:ascii="宋体" w:hAnsi="宋体" w:cs="宋体"/>
          <w:color w:val="auto"/>
          <w:kern w:val="0"/>
          <w:sz w:val="24"/>
          <w:highlight w:val="none"/>
        </w:rPr>
        <w:t xml:space="preserve"> </w:t>
      </w:r>
    </w:p>
    <w:p w14:paraId="04C74D22">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经甲、乙双方协商，签订如下合同：</w:t>
      </w:r>
    </w:p>
    <w:p w14:paraId="1190A2D2">
      <w:pPr>
        <w:pStyle w:val="21"/>
        <w:spacing w:line="300" w:lineRule="auto"/>
        <w:outlineLvl w:val="0"/>
        <w:rPr>
          <w:rFonts w:hint="eastAsia" w:ascii="宋体" w:hAnsi="宋体"/>
          <w:color w:val="auto"/>
          <w:highlight w:val="none"/>
        </w:rPr>
      </w:pPr>
      <w:bookmarkStart w:id="99" w:name="_Toc25419"/>
      <w:r>
        <w:rPr>
          <w:rFonts w:hint="eastAsia" w:ascii="宋体" w:hAnsi="宋体"/>
          <w:color w:val="auto"/>
          <w:highlight w:val="none"/>
        </w:rPr>
        <w:t>一、</w:t>
      </w:r>
      <w:r>
        <w:rPr>
          <w:rFonts w:ascii="宋体" w:hAnsi="宋体"/>
          <w:color w:val="auto"/>
          <w:highlight w:val="none"/>
        </w:rPr>
        <w:t>甲方安全责任</w:t>
      </w:r>
      <w:bookmarkEnd w:id="99"/>
    </w:p>
    <w:p w14:paraId="469D2DEB">
      <w:pPr>
        <w:pStyle w:val="21"/>
        <w:spacing w:line="300" w:lineRule="auto"/>
        <w:ind w:firstLine="480" w:firstLineChars="200"/>
        <w:rPr>
          <w:rFonts w:hint="eastAsia" w:ascii="宋体" w:hAnsi="宋体"/>
          <w:color w:val="auto"/>
          <w:highlight w:val="none"/>
        </w:rPr>
      </w:pPr>
      <w:r>
        <w:rPr>
          <w:rFonts w:hint="eastAsia" w:ascii="宋体" w:hAnsi="宋体"/>
          <w:color w:val="auto"/>
          <w:highlight w:val="none"/>
        </w:rPr>
        <w:t xml:space="preserve">1、甲方不得对从事建设活动的勘察、设计、施工、工程监理等单位提出不符合建设工程安全生产法律、法规的要求。 </w:t>
      </w:r>
    </w:p>
    <w:p w14:paraId="70637D54">
      <w:pPr>
        <w:pStyle w:val="21"/>
        <w:spacing w:line="300" w:lineRule="auto"/>
        <w:ind w:firstLine="480" w:firstLineChars="200"/>
        <w:rPr>
          <w:rFonts w:hint="eastAsia" w:ascii="宋体" w:hAnsi="宋体"/>
          <w:color w:val="auto"/>
          <w:highlight w:val="none"/>
        </w:rPr>
      </w:pPr>
      <w:r>
        <w:rPr>
          <w:rFonts w:hint="eastAsia" w:ascii="宋体" w:hAnsi="宋体"/>
          <w:color w:val="auto"/>
          <w:highlight w:val="none"/>
        </w:rPr>
        <w:t xml:space="preserve">2、甲方不得暗示或明示乙方使用不符合安全法规要求的机械设备、设施等。 </w:t>
      </w:r>
    </w:p>
    <w:p w14:paraId="08E66D8E">
      <w:pPr>
        <w:pStyle w:val="21"/>
        <w:spacing w:line="300" w:lineRule="auto"/>
        <w:ind w:firstLine="480" w:firstLineChars="200"/>
        <w:rPr>
          <w:rFonts w:hint="eastAsia" w:ascii="宋体" w:hAnsi="宋体"/>
          <w:color w:val="auto"/>
          <w:highlight w:val="none"/>
        </w:rPr>
      </w:pPr>
      <w:r>
        <w:rPr>
          <w:rFonts w:hint="eastAsia" w:ascii="宋体" w:hAnsi="宋体"/>
          <w:color w:val="auto"/>
          <w:highlight w:val="none"/>
        </w:rPr>
        <w:t>3、</w:t>
      </w:r>
      <w:r>
        <w:rPr>
          <w:rFonts w:ascii="宋体" w:hAnsi="宋体"/>
          <w:color w:val="auto"/>
          <w:highlight w:val="none"/>
        </w:rPr>
        <w:t>进场施工作业前对乙方项目负责人进行安全事项交底</w:t>
      </w:r>
      <w:r>
        <w:rPr>
          <w:rFonts w:hint="eastAsia" w:ascii="宋体" w:hAnsi="宋体"/>
          <w:color w:val="auto"/>
          <w:highlight w:val="none"/>
        </w:rPr>
        <w:t>。</w:t>
      </w:r>
    </w:p>
    <w:p w14:paraId="13F9C513">
      <w:pPr>
        <w:pStyle w:val="21"/>
        <w:spacing w:line="300" w:lineRule="auto"/>
        <w:ind w:firstLine="480" w:firstLineChars="200"/>
        <w:rPr>
          <w:rFonts w:hint="eastAsia" w:ascii="宋体" w:hAnsi="宋体"/>
          <w:color w:val="auto"/>
          <w:highlight w:val="none"/>
        </w:rPr>
      </w:pPr>
      <w:r>
        <w:rPr>
          <w:rFonts w:hint="eastAsia" w:ascii="宋体" w:hAnsi="宋体"/>
          <w:color w:val="auto"/>
          <w:highlight w:val="none"/>
        </w:rPr>
        <w:t>4、</w:t>
      </w:r>
      <w:r>
        <w:rPr>
          <w:rFonts w:ascii="宋体" w:hAnsi="宋体"/>
          <w:color w:val="auto"/>
          <w:highlight w:val="none"/>
        </w:rPr>
        <w:t>监督检查乙方的安全施工作业情况，对违法乱纪现象按甲方单位安全检查考核细则规定进行违规执罚。因乙方严重违规施工作业而影响甲方正常生产时，有权停止其施工作业至整改验收合格为止。</w:t>
      </w:r>
    </w:p>
    <w:p w14:paraId="09F3E676">
      <w:pPr>
        <w:pStyle w:val="21"/>
        <w:spacing w:line="300" w:lineRule="auto"/>
        <w:outlineLvl w:val="0"/>
        <w:rPr>
          <w:rFonts w:ascii="宋体" w:hAnsi="宋体"/>
          <w:color w:val="auto"/>
          <w:highlight w:val="none"/>
        </w:rPr>
      </w:pPr>
      <w:bookmarkStart w:id="100" w:name="_Toc8144"/>
      <w:r>
        <w:rPr>
          <w:rFonts w:hint="eastAsia" w:ascii="宋体" w:hAnsi="宋体"/>
          <w:color w:val="auto"/>
          <w:highlight w:val="none"/>
        </w:rPr>
        <w:t>二、</w:t>
      </w:r>
      <w:r>
        <w:rPr>
          <w:rFonts w:ascii="宋体" w:hAnsi="宋体"/>
          <w:color w:val="auto"/>
          <w:highlight w:val="none"/>
        </w:rPr>
        <w:t>乙方安全责任</w:t>
      </w:r>
      <w:bookmarkEnd w:id="100"/>
    </w:p>
    <w:p w14:paraId="4D288D50">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1、乙方要根据《施工现场安全管理制度》做好各项安全工作。</w:t>
      </w:r>
    </w:p>
    <w:p w14:paraId="15792B4D">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2、乙方的特种作业人员要依照《特种作业人员持证上岗管理制度》做好安全工作。</w:t>
      </w:r>
    </w:p>
    <w:p w14:paraId="413D8E1F">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3、施工中，乙方因操作不当人为造成的事故，由乙方负全责。甲方有权制止乙方的违章指挥和违章作业。乙方如不依照甲方提出的各项安全管理制度具体操作，甲方有权终止合同。</w:t>
      </w:r>
    </w:p>
    <w:p w14:paraId="469030F3">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4、施工中，如因不可预知或自然灾害发生，乙方负责对现场的紧急救险和处理，保护好现场，并立即启动应急预案。</w:t>
      </w:r>
    </w:p>
    <w:p w14:paraId="09C49295">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5、乙方要保证定期开展对员工的安全活动及安全检查工作。</w:t>
      </w:r>
    </w:p>
    <w:p w14:paraId="5147F37F">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6、乙方要做好现场工种的安全防护用具工作。</w:t>
      </w:r>
    </w:p>
    <w:p w14:paraId="12873AC6">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7、在出现安全隐患时，乙方要及时予以排除。</w:t>
      </w:r>
    </w:p>
    <w:p w14:paraId="7FE2E732">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8、未尽事宜，双方协商解决。 </w:t>
      </w:r>
    </w:p>
    <w:p w14:paraId="395FDC06">
      <w:pPr>
        <w:spacing w:line="300" w:lineRule="auto"/>
        <w:outlineLvl w:val="0"/>
        <w:rPr>
          <w:rFonts w:hint="eastAsia" w:ascii="宋体" w:hAnsi="宋体"/>
          <w:color w:val="auto"/>
          <w:sz w:val="28"/>
          <w:szCs w:val="28"/>
          <w:highlight w:val="none"/>
        </w:rPr>
      </w:pPr>
      <w:bookmarkStart w:id="101" w:name="_Toc22159"/>
      <w:r>
        <w:rPr>
          <w:rFonts w:hint="eastAsia" w:ascii="宋体" w:hAnsi="宋体"/>
          <w:color w:val="auto"/>
          <w:sz w:val="24"/>
          <w:highlight w:val="none"/>
        </w:rPr>
        <w:t>三、</w:t>
      </w:r>
      <w:r>
        <w:rPr>
          <w:rFonts w:hint="eastAsia" w:ascii="宋体" w:hAnsi="宋体" w:cs="Arial"/>
          <w:color w:val="auto"/>
          <w:kern w:val="0"/>
          <w:sz w:val="24"/>
          <w:highlight w:val="none"/>
        </w:rPr>
        <w:t>本合同一式九份，甲乙双方各持三份、县财政局、财政支付（核算）中心、招标代理机构各持一份</w:t>
      </w:r>
      <w:r>
        <w:rPr>
          <w:rFonts w:hint="eastAsia" w:ascii="宋体" w:hAnsi="宋体"/>
          <w:color w:val="auto"/>
          <w:sz w:val="24"/>
          <w:highlight w:val="none"/>
        </w:rPr>
        <w:t>。签字之日起生效，工程终止后本协议即告终止。</w:t>
      </w:r>
      <w:bookmarkEnd w:id="101"/>
    </w:p>
    <w:p w14:paraId="3D87BDD1">
      <w:pPr>
        <w:spacing w:line="360" w:lineRule="auto"/>
        <w:jc w:val="left"/>
        <w:rPr>
          <w:rFonts w:hint="eastAsia" w:ascii="宋体" w:hAnsi="宋体"/>
          <w:bCs/>
          <w:color w:val="auto"/>
          <w:sz w:val="24"/>
          <w:highlight w:val="none"/>
        </w:rPr>
      </w:pPr>
      <w:r>
        <w:rPr>
          <w:rFonts w:hint="eastAsia" w:ascii="宋体" w:hAnsi="宋体"/>
          <w:bCs/>
          <w:color w:val="auto"/>
          <w:sz w:val="24"/>
          <w:highlight w:val="none"/>
        </w:rPr>
        <w:t>甲方(盖章)：                                乙方(盖章)：</w:t>
      </w:r>
    </w:p>
    <w:p w14:paraId="41533E37">
      <w:pPr>
        <w:spacing w:line="360" w:lineRule="auto"/>
        <w:jc w:val="left"/>
        <w:rPr>
          <w:rFonts w:hint="eastAsia" w:ascii="宋体" w:hAnsi="宋体"/>
          <w:bCs/>
          <w:color w:val="auto"/>
          <w:sz w:val="24"/>
          <w:highlight w:val="none"/>
        </w:rPr>
      </w:pPr>
      <w:r>
        <w:rPr>
          <w:rFonts w:hint="eastAsia" w:ascii="宋体" w:hAnsi="宋体"/>
          <w:bCs/>
          <w:color w:val="auto"/>
          <w:sz w:val="24"/>
          <w:highlight w:val="none"/>
        </w:rPr>
        <w:t>法定代理人：                                法定代理人：</w:t>
      </w:r>
    </w:p>
    <w:p w14:paraId="2E8426F2">
      <w:pPr>
        <w:spacing w:line="360" w:lineRule="auto"/>
        <w:jc w:val="left"/>
        <w:rPr>
          <w:rFonts w:hint="eastAsia" w:ascii="宋体" w:hAnsi="宋体"/>
          <w:bCs/>
          <w:color w:val="auto"/>
          <w:sz w:val="24"/>
          <w:highlight w:val="none"/>
        </w:rPr>
      </w:pPr>
      <w:r>
        <w:rPr>
          <w:rFonts w:hint="eastAsia" w:ascii="宋体" w:hAnsi="宋体"/>
          <w:bCs/>
          <w:color w:val="auto"/>
          <w:sz w:val="24"/>
          <w:highlight w:val="none"/>
        </w:rPr>
        <w:t>电      话：                                电      话：</w:t>
      </w:r>
    </w:p>
    <w:p w14:paraId="4F74CB97">
      <w:pPr>
        <w:spacing w:line="300" w:lineRule="auto"/>
        <w:rPr>
          <w:rFonts w:hint="eastAsia" w:ascii="宋体" w:hAnsi="宋体"/>
          <w:bCs/>
          <w:color w:val="auto"/>
          <w:sz w:val="24"/>
          <w:highlight w:val="none"/>
        </w:rPr>
      </w:pPr>
      <w:r>
        <w:rPr>
          <w:rFonts w:hint="eastAsia" w:ascii="宋体" w:hAnsi="宋体"/>
          <w:bCs/>
          <w:color w:val="auto"/>
          <w:sz w:val="24"/>
          <w:highlight w:val="none"/>
        </w:rPr>
        <w:t>日      期：                                日      期：</w:t>
      </w:r>
    </w:p>
    <w:p w14:paraId="6E52C0B3">
      <w:pPr>
        <w:rPr>
          <w:rFonts w:hint="eastAsia" w:ascii="宋体" w:hAnsi="宋体"/>
          <w:bCs/>
          <w:color w:val="auto"/>
          <w:sz w:val="24"/>
          <w:highlight w:val="none"/>
        </w:rPr>
      </w:pPr>
      <w:r>
        <w:rPr>
          <w:rFonts w:hint="eastAsia" w:ascii="宋体" w:hAnsi="宋体"/>
          <w:bCs/>
          <w:color w:val="auto"/>
          <w:sz w:val="24"/>
          <w:highlight w:val="none"/>
        </w:rPr>
        <w:br w:type="page"/>
      </w:r>
    </w:p>
    <w:p w14:paraId="2C59D82A">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附件5：</w:t>
      </w:r>
    </w:p>
    <w:p w14:paraId="44973B50">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廉政合同</w:t>
      </w:r>
    </w:p>
    <w:p w14:paraId="402B98BD">
      <w:pPr>
        <w:spacing w:line="540" w:lineRule="exact"/>
        <w:rPr>
          <w:rFonts w:hint="eastAsia" w:ascii="宋体" w:hAnsi="宋体" w:eastAsia="宋体" w:cs="宋体"/>
          <w:b/>
          <w:color w:val="auto"/>
          <w:kern w:val="0"/>
          <w:sz w:val="24"/>
          <w:highlight w:val="none"/>
          <w:u w:val="single"/>
          <w:lang w:val="en-US"/>
        </w:rPr>
      </w:pPr>
      <w:r>
        <w:rPr>
          <w:rFonts w:hint="eastAsia" w:ascii="宋体" w:hAnsi="宋体" w:eastAsia="宋体" w:cs="宋体"/>
          <w:b/>
          <w:bCs/>
          <w:color w:val="auto"/>
          <w:sz w:val="28"/>
          <w:szCs w:val="28"/>
          <w:highlight w:val="none"/>
        </w:rPr>
        <w:t>甲方：</w:t>
      </w:r>
      <w:r>
        <w:rPr>
          <w:rFonts w:hint="eastAsia" w:ascii="宋体" w:hAnsi="宋体" w:cs="宋体"/>
          <w:b/>
          <w:bCs/>
          <w:color w:val="auto"/>
          <w:sz w:val="24"/>
          <w:szCs w:val="24"/>
          <w:highlight w:val="none"/>
          <w:u w:val="single"/>
          <w:lang w:val="en-US" w:eastAsia="zh-CN"/>
        </w:rPr>
        <w:t>嘉善县实验小学</w:t>
      </w:r>
      <w:r>
        <w:rPr>
          <w:rFonts w:hint="eastAsia" w:ascii="宋体" w:hAnsi="宋体" w:eastAsia="宋体" w:cs="宋体"/>
          <w:b/>
          <w:bCs/>
          <w:color w:val="auto"/>
          <w:sz w:val="24"/>
          <w:szCs w:val="24"/>
          <w:highlight w:val="none"/>
          <w:u w:val="single"/>
          <w:lang w:val="en-US" w:eastAsia="zh-CN"/>
        </w:rPr>
        <w:t xml:space="preserve"> </w:t>
      </w:r>
    </w:p>
    <w:p w14:paraId="3043EED5">
      <w:pPr>
        <w:spacing w:line="5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乙方：</w:t>
      </w:r>
      <w:r>
        <w:rPr>
          <w:rFonts w:hint="eastAsia" w:ascii="宋体" w:hAnsi="宋体" w:eastAsia="宋体" w:cs="宋体"/>
          <w:b/>
          <w:color w:val="auto"/>
          <w:sz w:val="24"/>
          <w:szCs w:val="22"/>
          <w:highlight w:val="none"/>
          <w:u w:val="single"/>
          <w:lang w:eastAsia="zh-CN"/>
        </w:rPr>
        <w:t xml:space="preserve"> </w:t>
      </w:r>
      <w:r>
        <w:rPr>
          <w:rFonts w:hint="eastAsia" w:ascii="宋体" w:hAnsi="宋体" w:eastAsia="宋体" w:cs="宋体"/>
          <w:b/>
          <w:color w:val="auto"/>
          <w:sz w:val="24"/>
          <w:szCs w:val="22"/>
          <w:highlight w:val="none"/>
          <w:u w:val="single"/>
          <w:lang w:val="en-US" w:eastAsia="zh-CN"/>
        </w:rPr>
        <w:t xml:space="preserve">             </w:t>
      </w:r>
      <w:r>
        <w:rPr>
          <w:rFonts w:hint="eastAsia" w:ascii="宋体" w:hAnsi="宋体" w:eastAsia="宋体" w:cs="宋体"/>
          <w:b/>
          <w:color w:val="auto"/>
          <w:sz w:val="24"/>
          <w:szCs w:val="22"/>
          <w:highlight w:val="none"/>
          <w:u w:val="single"/>
        </w:rPr>
        <w:t xml:space="preserve"> </w:t>
      </w:r>
      <w:r>
        <w:rPr>
          <w:rFonts w:hint="eastAsia" w:ascii="宋体" w:hAnsi="宋体" w:eastAsia="宋体" w:cs="宋体"/>
          <w:b/>
          <w:color w:val="auto"/>
          <w:sz w:val="24"/>
          <w:szCs w:val="24"/>
          <w:highlight w:val="none"/>
          <w:u w:val="single"/>
        </w:rPr>
        <w:t xml:space="preserve">  </w:t>
      </w:r>
    </w:p>
    <w:p w14:paraId="33FE67B1">
      <w:pPr>
        <w:spacing w:after="312" w:afterLines="10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24"/>
          <w:szCs w:val="24"/>
          <w:highlight w:val="none"/>
        </w:rPr>
        <w:t>为将强建设工程项目的廉政管理，遏制不正之风和腐败现象的发生，确保工程安全优质按实竣工，经甲乙双方同意，签订廉政合同，作为甲乙双方共同遵守的廉政行为准则，并自觉接受建设主管部门和纪检监察组织的监督。</w:t>
      </w:r>
    </w:p>
    <w:p w14:paraId="228BDE46">
      <w:pPr>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b/>
          <w:color w:val="auto"/>
          <w:sz w:val="24"/>
          <w:szCs w:val="24"/>
          <w:highlight w:val="none"/>
        </w:rPr>
        <w:t>甲方职责：</w:t>
      </w:r>
    </w:p>
    <w:p w14:paraId="5D0E88E9">
      <w:pPr>
        <w:spacing w:line="360" w:lineRule="auto"/>
        <w:ind w:left="560" w:hanging="560" w:hanging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w:t>
      </w:r>
      <w:r>
        <w:rPr>
          <w:rFonts w:hint="eastAsia" w:ascii="宋体" w:hAnsi="宋体" w:eastAsia="宋体" w:cs="宋体"/>
          <w:color w:val="auto"/>
          <w:sz w:val="24"/>
          <w:szCs w:val="24"/>
          <w:highlight w:val="none"/>
        </w:rPr>
        <w:t>甲方及其工作人员应当自觉遵守国家和省、市有关建设工程承包工作规则以及有关廉政建设的各项规定</w:t>
      </w:r>
      <w:r>
        <w:rPr>
          <w:rFonts w:hint="eastAsia" w:ascii="宋体" w:hAnsi="宋体" w:eastAsia="宋体" w:cs="宋体"/>
          <w:color w:val="auto"/>
          <w:sz w:val="28"/>
          <w:szCs w:val="28"/>
          <w:highlight w:val="none"/>
        </w:rPr>
        <w:t>。</w:t>
      </w:r>
    </w:p>
    <w:p w14:paraId="2B51A26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二、</w:t>
      </w:r>
      <w:r>
        <w:rPr>
          <w:rFonts w:hint="eastAsia" w:ascii="宋体" w:hAnsi="宋体" w:eastAsia="宋体" w:cs="宋体"/>
          <w:color w:val="auto"/>
          <w:sz w:val="24"/>
          <w:szCs w:val="24"/>
          <w:highlight w:val="none"/>
        </w:rPr>
        <w:t>甲方及其工作人员不得以任何形式向乙方索要和收受贿赂。</w:t>
      </w:r>
    </w:p>
    <w:p w14:paraId="0FBAAAFD">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三、甲方及其工作人员应当与乙方保持正常的业务交往，不得接受乙方单位邀请的旅游、宴请、高档消费娱乐活动，不得接受礼金、礼品、礼卡和代价券等，不得在乙方报销任何应当个人支付的费用。</w:t>
      </w:r>
    </w:p>
    <w:p w14:paraId="2AA78F07">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四、甲方工作人员不得要求或接受乙方为其住房装修、婚丧嫁娶、家属和子女经商、就业、上学以及出国等提供方便。</w:t>
      </w:r>
    </w:p>
    <w:p w14:paraId="48011C14">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五、工程项目施工过程中，经设计变更认可需要追加工程款时，甲方应严格按有关规定程序办理。</w:t>
      </w:r>
    </w:p>
    <w:p w14:paraId="1AC9BA26">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六、甲方工作人员不得向乙方介绍家属或亲友从事与甲方工程有关的材料敲诈供应、工程分包等经济活动，不得向乙方有关企业购买工程及装饰材料。</w:t>
      </w:r>
    </w:p>
    <w:p w14:paraId="23B05802">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七、甲方工作人员在工程项目建设中发现乙方单位有不廉洁行为的应及时采取措施，报告主管领导。</w:t>
      </w:r>
    </w:p>
    <w:p w14:paraId="55B2C5EA">
      <w:pPr>
        <w:spacing w:line="360" w:lineRule="auto"/>
        <w:ind w:left="480" w:hanging="480" w:hanging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八、甲方及其工作人员如有违反本廉政合同的视情节轻重，由行业主管部门依据有关法规予以处理。触犯刑律的，移送司法机关追究刑事责任。</w:t>
      </w:r>
    </w:p>
    <w:p w14:paraId="4EE7B397">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乙方职责：</w:t>
      </w:r>
    </w:p>
    <w:p w14:paraId="73C19291">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一、乙方及其工作人员应了解甲方单位有关廉政管理方面的各项制度和规定，并自觉遵守执行。</w:t>
      </w:r>
    </w:p>
    <w:p w14:paraId="65099830">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应当通过正常途径开展业务工作，不得行贿甲方工作人员，不得向甲方工作人员赠送礼品、礼金、礼卡、礼券或为其购置通讯、交通工具、家电、高档办公用品等物品，不得同意报销应当由甲方工作人员个人支付的费用。</w:t>
      </w:r>
    </w:p>
    <w:p w14:paraId="25DC64F6">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三、乙方不得向甲方工作人员提供住房装修、婚丧嫁娶及其家属、子女经商、就业、上学、出国等提供方便。</w:t>
      </w:r>
    </w:p>
    <w:p w14:paraId="52F0A9C0">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四、乙方不得为谋取利益擅自与甲方工作人员就工程承包、工程费用、材料和设备供应、工程量变更、工程验收、工程质量问题处理等私下商谈或者达成默契。</w:t>
      </w:r>
    </w:p>
    <w:p w14:paraId="4670F203">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五、乙方不得以洽谈业务、签订经济合同为借口，邀请甲方工作人员外出旅游和进入营业性高档娱乐场所。</w:t>
      </w:r>
    </w:p>
    <w:p w14:paraId="0D8A3E55">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六、乙方在工程项目建设中贿赂甲方工作人员，被纪检监察机关或司法机关查处的，甲方有权更换人员，其他处罚按有关规定执行。</w:t>
      </w:r>
    </w:p>
    <w:p w14:paraId="58CB8DB5">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七、乙方在建设中发现甲方工作人员有不廉洁行为的，及时采取措施加以制止，并告知甲方单位主管领导或建设主管部门和纪检监察机关。</w:t>
      </w:r>
    </w:p>
    <w:p w14:paraId="3EE15518">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八、乙方及其工作人员如有违反本廉政合同的，视情节轻重，由行业主管部门依据有关法规予以处理，违反纪律的，由纪检监察组织追究纪律责任，触犯刑律的，移送司法机关追究刑事责任。</w:t>
      </w:r>
    </w:p>
    <w:p w14:paraId="58E36362">
      <w:pPr>
        <w:spacing w:line="360" w:lineRule="auto"/>
        <w:ind w:left="533" w:leftChars="2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本廉政合同作为《</w:t>
      </w:r>
      <w:r>
        <w:rPr>
          <w:rFonts w:hint="eastAsia" w:ascii="宋体" w:hAnsi="宋体" w:eastAsia="宋体" w:cs="宋体"/>
          <w:b/>
          <w:color w:val="auto"/>
          <w:sz w:val="24"/>
          <w:szCs w:val="22"/>
          <w:highlight w:val="none"/>
          <w:u w:val="none"/>
          <w:lang w:eastAsia="zh-CN"/>
        </w:rPr>
        <w:t xml:space="preserve"> </w:t>
      </w:r>
      <w:r>
        <w:rPr>
          <w:rFonts w:hint="eastAsia" w:ascii="宋体" w:hAnsi="宋体" w:cs="宋体"/>
          <w:b/>
          <w:bCs/>
          <w:color w:val="auto"/>
          <w:sz w:val="24"/>
          <w:szCs w:val="24"/>
          <w:highlight w:val="none"/>
          <w:u w:val="none"/>
          <w:lang w:val="en-US" w:eastAsia="zh-CN"/>
        </w:rPr>
        <w:t>嘉善县实验小学2025年度校舍常规维修</w:t>
      </w:r>
      <w:r>
        <w:rPr>
          <w:rFonts w:hint="eastAsia" w:ascii="宋体" w:hAnsi="宋体" w:eastAsia="宋体" w:cs="宋体"/>
          <w:color w:val="auto"/>
          <w:sz w:val="24"/>
          <w:szCs w:val="24"/>
          <w:highlight w:val="none"/>
        </w:rPr>
        <w:t>合同》的附件，</w:t>
      </w:r>
    </w:p>
    <w:p w14:paraId="3755313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与施工合同有同等的法律效力，经双方签署后，立即生效。</w:t>
      </w:r>
    </w:p>
    <w:p w14:paraId="11E2E78E">
      <w:pPr>
        <w:spacing w:line="360" w:lineRule="auto"/>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4"/>
          <w:highlight w:val="none"/>
        </w:rPr>
        <w:t>本合同一式九份，甲乙双方各持三份、县财政局、财政支付（核算）中心、招标代理机构各持一份</w:t>
      </w:r>
      <w:r>
        <w:rPr>
          <w:rFonts w:hint="eastAsia" w:ascii="宋体" w:hAnsi="宋体" w:eastAsia="宋体" w:cs="宋体"/>
          <w:color w:val="auto"/>
          <w:sz w:val="24"/>
          <w:szCs w:val="24"/>
          <w:highlight w:val="none"/>
        </w:rPr>
        <w:t>。</w:t>
      </w:r>
    </w:p>
    <w:p w14:paraId="18CFFAE5">
      <w:pPr>
        <w:spacing w:line="360" w:lineRule="auto"/>
        <w:ind w:firstLine="560" w:firstLineChars="200"/>
        <w:jc w:val="left"/>
        <w:rPr>
          <w:rFonts w:hint="eastAsia" w:ascii="宋体" w:hAnsi="宋体" w:eastAsia="宋体" w:cs="宋体"/>
          <w:color w:val="auto"/>
          <w:sz w:val="28"/>
          <w:szCs w:val="28"/>
          <w:highlight w:val="none"/>
        </w:rPr>
      </w:pPr>
    </w:p>
    <w:p w14:paraId="7B4727E1">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甲方(盖章)：                                乙方(盖章)：</w:t>
      </w:r>
    </w:p>
    <w:p w14:paraId="2C1148F5">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法定代理人：                                法定代理人：</w:t>
      </w:r>
    </w:p>
    <w:p w14:paraId="7A32F3FE">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                                地      址：</w:t>
      </w:r>
    </w:p>
    <w:p w14:paraId="45EF114B">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      话：                                电      话：</w:t>
      </w:r>
    </w:p>
    <w:p w14:paraId="35A55378">
      <w:pPr>
        <w:bidi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      期：                                日      期：</w:t>
      </w:r>
    </w:p>
    <w:p w14:paraId="7E0C7F55">
      <w:pPr>
        <w:rPr>
          <w:rFonts w:hint="eastAsia" w:ascii="宋体" w:hAnsi="宋体" w:eastAsia="宋体" w:cs="宋体"/>
          <w:bCs/>
          <w:color w:val="auto"/>
          <w:sz w:val="24"/>
          <w:szCs w:val="24"/>
          <w:highlight w:val="none"/>
        </w:rPr>
        <w:sectPr>
          <w:pgSz w:w="11906" w:h="16838"/>
          <w:pgMar w:top="1134" w:right="1417" w:bottom="1134" w:left="1417" w:header="851" w:footer="992" w:gutter="0"/>
          <w:pgNumType w:fmt="decimal"/>
          <w:cols w:space="425" w:num="1"/>
          <w:docGrid w:type="lines" w:linePitch="312" w:charSpace="0"/>
        </w:sectPr>
      </w:pPr>
    </w:p>
    <w:tbl>
      <w:tblPr>
        <w:tblStyle w:val="24"/>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14:paraId="20B290C5">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noWrap w:val="0"/>
            <w:vAlign w:val="bottom"/>
          </w:tcPr>
          <w:p w14:paraId="2D58279D">
            <w:pPr>
              <w:widowControl/>
              <w:spacing w:line="30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嘉 善 县 政 府 采 购 商 品 验 收 单</w:t>
            </w:r>
          </w:p>
        </w:tc>
      </w:tr>
      <w:tr w14:paraId="7714F5ED">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noWrap w:val="0"/>
            <w:vAlign w:val="bottom"/>
          </w:tcPr>
          <w:p w14:paraId="564592A4">
            <w:pPr>
              <w:widowControl/>
              <w:spacing w:line="300" w:lineRule="auto"/>
              <w:jc w:val="left"/>
              <w:rPr>
                <w:rFonts w:hint="eastAsia" w:ascii="宋体" w:hAnsi="宋体" w:eastAsia="宋体" w:cs="宋体"/>
                <w:color w:val="auto"/>
                <w:kern w:val="0"/>
                <w:sz w:val="24"/>
                <w:szCs w:val="24"/>
                <w:highlight w:val="none"/>
              </w:rPr>
            </w:pPr>
          </w:p>
        </w:tc>
        <w:tc>
          <w:tcPr>
            <w:tcW w:w="3021" w:type="dxa"/>
            <w:tcBorders>
              <w:top w:val="nil"/>
              <w:left w:val="nil"/>
              <w:bottom w:val="nil"/>
              <w:right w:val="nil"/>
            </w:tcBorders>
            <w:noWrap w:val="0"/>
            <w:vAlign w:val="bottom"/>
          </w:tcPr>
          <w:p w14:paraId="14EB011C">
            <w:pPr>
              <w:widowControl/>
              <w:spacing w:line="300" w:lineRule="auto"/>
              <w:jc w:val="left"/>
              <w:rPr>
                <w:rFonts w:hint="eastAsia" w:ascii="宋体" w:hAnsi="宋体" w:eastAsia="宋体" w:cs="宋体"/>
                <w:color w:val="auto"/>
                <w:kern w:val="0"/>
                <w:sz w:val="24"/>
                <w:szCs w:val="24"/>
                <w:highlight w:val="none"/>
              </w:rPr>
            </w:pPr>
          </w:p>
        </w:tc>
        <w:tc>
          <w:tcPr>
            <w:tcW w:w="1855" w:type="dxa"/>
            <w:tcBorders>
              <w:top w:val="nil"/>
              <w:left w:val="nil"/>
              <w:bottom w:val="nil"/>
              <w:right w:val="nil"/>
            </w:tcBorders>
            <w:noWrap w:val="0"/>
            <w:vAlign w:val="bottom"/>
          </w:tcPr>
          <w:p w14:paraId="79E9531B">
            <w:pPr>
              <w:widowControl/>
              <w:spacing w:line="300" w:lineRule="auto"/>
              <w:jc w:val="left"/>
              <w:rPr>
                <w:rFonts w:hint="eastAsia" w:ascii="宋体" w:hAnsi="宋体" w:eastAsia="宋体" w:cs="宋体"/>
                <w:color w:val="auto"/>
                <w:kern w:val="0"/>
                <w:sz w:val="24"/>
                <w:szCs w:val="24"/>
                <w:highlight w:val="none"/>
              </w:rPr>
            </w:pPr>
          </w:p>
        </w:tc>
        <w:tc>
          <w:tcPr>
            <w:tcW w:w="1745" w:type="dxa"/>
            <w:tcBorders>
              <w:top w:val="nil"/>
              <w:left w:val="nil"/>
              <w:bottom w:val="nil"/>
              <w:right w:val="nil"/>
            </w:tcBorders>
            <w:noWrap w:val="0"/>
            <w:vAlign w:val="bottom"/>
          </w:tcPr>
          <w:p w14:paraId="555EA657">
            <w:pPr>
              <w:widowControl/>
              <w:spacing w:line="300" w:lineRule="auto"/>
              <w:jc w:val="left"/>
              <w:rPr>
                <w:rFonts w:hint="eastAsia" w:ascii="宋体" w:hAnsi="宋体" w:eastAsia="宋体" w:cs="宋体"/>
                <w:color w:val="auto"/>
                <w:kern w:val="0"/>
                <w:sz w:val="24"/>
                <w:szCs w:val="24"/>
                <w:highlight w:val="none"/>
              </w:rPr>
            </w:pPr>
          </w:p>
        </w:tc>
        <w:tc>
          <w:tcPr>
            <w:tcW w:w="2080" w:type="dxa"/>
            <w:tcBorders>
              <w:top w:val="nil"/>
              <w:left w:val="nil"/>
              <w:bottom w:val="nil"/>
              <w:right w:val="nil"/>
            </w:tcBorders>
            <w:noWrap w:val="0"/>
            <w:vAlign w:val="bottom"/>
          </w:tcPr>
          <w:p w14:paraId="14550A32">
            <w:pPr>
              <w:widowControl/>
              <w:spacing w:line="300" w:lineRule="auto"/>
              <w:jc w:val="left"/>
              <w:rPr>
                <w:rFonts w:hint="eastAsia" w:ascii="宋体" w:hAnsi="宋体" w:eastAsia="宋体" w:cs="宋体"/>
                <w:color w:val="auto"/>
                <w:kern w:val="0"/>
                <w:sz w:val="24"/>
                <w:szCs w:val="24"/>
                <w:highlight w:val="none"/>
              </w:rPr>
            </w:pPr>
          </w:p>
        </w:tc>
        <w:tc>
          <w:tcPr>
            <w:tcW w:w="2081" w:type="dxa"/>
            <w:tcBorders>
              <w:top w:val="nil"/>
              <w:left w:val="nil"/>
              <w:bottom w:val="nil"/>
              <w:right w:val="nil"/>
            </w:tcBorders>
            <w:noWrap w:val="0"/>
            <w:vAlign w:val="bottom"/>
          </w:tcPr>
          <w:p w14:paraId="6B193B39">
            <w:pPr>
              <w:widowControl/>
              <w:spacing w:line="300" w:lineRule="auto"/>
              <w:jc w:val="left"/>
              <w:rPr>
                <w:rFonts w:hint="eastAsia" w:ascii="宋体" w:hAnsi="宋体" w:eastAsia="宋体" w:cs="宋体"/>
                <w:color w:val="auto"/>
                <w:kern w:val="0"/>
                <w:sz w:val="24"/>
                <w:szCs w:val="24"/>
                <w:highlight w:val="none"/>
              </w:rPr>
            </w:pPr>
          </w:p>
        </w:tc>
      </w:tr>
      <w:tr w14:paraId="28752958">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noWrap w:val="0"/>
            <w:vAlign w:val="bottom"/>
          </w:tcPr>
          <w:p w14:paraId="3E653E1D">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采购申请编号:</w:t>
            </w:r>
          </w:p>
        </w:tc>
        <w:tc>
          <w:tcPr>
            <w:tcW w:w="3021" w:type="dxa"/>
            <w:tcBorders>
              <w:top w:val="nil"/>
              <w:left w:val="nil"/>
              <w:bottom w:val="nil"/>
              <w:right w:val="nil"/>
            </w:tcBorders>
            <w:noWrap w:val="0"/>
            <w:vAlign w:val="bottom"/>
          </w:tcPr>
          <w:p w14:paraId="7191934C">
            <w:pPr>
              <w:widowControl/>
              <w:spacing w:line="300" w:lineRule="auto"/>
              <w:jc w:val="left"/>
              <w:rPr>
                <w:rFonts w:hint="eastAsia" w:ascii="宋体" w:hAnsi="宋体" w:eastAsia="宋体" w:cs="宋体"/>
                <w:color w:val="auto"/>
                <w:kern w:val="0"/>
                <w:sz w:val="24"/>
                <w:szCs w:val="24"/>
                <w:highlight w:val="none"/>
              </w:rPr>
            </w:pPr>
          </w:p>
        </w:tc>
        <w:tc>
          <w:tcPr>
            <w:tcW w:w="1855" w:type="dxa"/>
            <w:tcBorders>
              <w:top w:val="nil"/>
              <w:left w:val="nil"/>
              <w:bottom w:val="nil"/>
              <w:right w:val="nil"/>
            </w:tcBorders>
            <w:noWrap w:val="0"/>
            <w:vAlign w:val="bottom"/>
          </w:tcPr>
          <w:p w14:paraId="2BCE43FE">
            <w:pPr>
              <w:widowControl/>
              <w:spacing w:line="300" w:lineRule="auto"/>
              <w:jc w:val="left"/>
              <w:rPr>
                <w:rFonts w:hint="eastAsia" w:ascii="宋体" w:hAnsi="宋体" w:eastAsia="宋体" w:cs="宋体"/>
                <w:color w:val="auto"/>
                <w:kern w:val="0"/>
                <w:sz w:val="24"/>
                <w:szCs w:val="24"/>
                <w:highlight w:val="none"/>
              </w:rPr>
            </w:pPr>
          </w:p>
        </w:tc>
        <w:tc>
          <w:tcPr>
            <w:tcW w:w="1745" w:type="dxa"/>
            <w:tcBorders>
              <w:top w:val="nil"/>
              <w:left w:val="nil"/>
              <w:bottom w:val="nil"/>
              <w:right w:val="nil"/>
            </w:tcBorders>
            <w:noWrap w:val="0"/>
            <w:vAlign w:val="bottom"/>
          </w:tcPr>
          <w:p w14:paraId="723704FD">
            <w:pPr>
              <w:widowControl/>
              <w:spacing w:line="300" w:lineRule="auto"/>
              <w:jc w:val="left"/>
              <w:rPr>
                <w:rFonts w:hint="eastAsia" w:ascii="宋体" w:hAnsi="宋体" w:eastAsia="宋体" w:cs="宋体"/>
                <w:color w:val="auto"/>
                <w:kern w:val="0"/>
                <w:sz w:val="24"/>
                <w:szCs w:val="24"/>
                <w:highlight w:val="none"/>
              </w:rPr>
            </w:pPr>
          </w:p>
        </w:tc>
        <w:tc>
          <w:tcPr>
            <w:tcW w:w="2080" w:type="dxa"/>
            <w:tcBorders>
              <w:top w:val="nil"/>
              <w:left w:val="nil"/>
              <w:bottom w:val="nil"/>
              <w:right w:val="nil"/>
            </w:tcBorders>
            <w:noWrap w:val="0"/>
            <w:vAlign w:val="bottom"/>
          </w:tcPr>
          <w:p w14:paraId="7105AEFB">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合同编号:</w:t>
            </w:r>
          </w:p>
        </w:tc>
        <w:tc>
          <w:tcPr>
            <w:tcW w:w="2081" w:type="dxa"/>
            <w:tcBorders>
              <w:top w:val="nil"/>
              <w:left w:val="nil"/>
              <w:bottom w:val="nil"/>
              <w:right w:val="nil"/>
            </w:tcBorders>
            <w:noWrap w:val="0"/>
            <w:vAlign w:val="bottom"/>
          </w:tcPr>
          <w:p w14:paraId="67B0C9B4">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号</w:t>
            </w:r>
          </w:p>
        </w:tc>
      </w:tr>
      <w:tr w14:paraId="61BE6086">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noWrap w:val="0"/>
            <w:vAlign w:val="center"/>
          </w:tcPr>
          <w:p w14:paraId="5B44A4D1">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采购单位（需方）</w:t>
            </w:r>
          </w:p>
        </w:tc>
        <w:tc>
          <w:tcPr>
            <w:tcW w:w="3021" w:type="dxa"/>
            <w:tcBorders>
              <w:top w:val="single" w:color="auto" w:sz="4" w:space="0"/>
              <w:left w:val="nil"/>
              <w:bottom w:val="single" w:color="auto" w:sz="4" w:space="0"/>
              <w:right w:val="single" w:color="auto" w:sz="4" w:space="0"/>
            </w:tcBorders>
            <w:noWrap w:val="0"/>
            <w:vAlign w:val="center"/>
          </w:tcPr>
          <w:p w14:paraId="5FA394F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single" w:color="auto" w:sz="4" w:space="0"/>
              <w:left w:val="nil"/>
              <w:bottom w:val="single" w:color="auto" w:sz="4" w:space="0"/>
              <w:right w:val="single" w:color="auto" w:sz="4" w:space="0"/>
            </w:tcBorders>
            <w:noWrap w:val="0"/>
            <w:vAlign w:val="center"/>
          </w:tcPr>
          <w:p w14:paraId="3031B1D2">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1745" w:type="dxa"/>
            <w:tcBorders>
              <w:top w:val="single" w:color="auto" w:sz="4" w:space="0"/>
              <w:left w:val="nil"/>
              <w:bottom w:val="single" w:color="auto" w:sz="4" w:space="0"/>
              <w:right w:val="single" w:color="auto" w:sz="4" w:space="0"/>
            </w:tcBorders>
            <w:noWrap w:val="0"/>
            <w:vAlign w:val="center"/>
          </w:tcPr>
          <w:p w14:paraId="688C2E36">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single" w:color="auto" w:sz="4" w:space="0"/>
              <w:left w:val="nil"/>
              <w:bottom w:val="single" w:color="auto" w:sz="4" w:space="0"/>
              <w:right w:val="single" w:color="auto" w:sz="4" w:space="0"/>
            </w:tcBorders>
            <w:noWrap w:val="0"/>
            <w:vAlign w:val="center"/>
          </w:tcPr>
          <w:p w14:paraId="34B9A96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tc>
        <w:tc>
          <w:tcPr>
            <w:tcW w:w="2081" w:type="dxa"/>
            <w:tcBorders>
              <w:top w:val="single" w:color="auto" w:sz="4" w:space="0"/>
              <w:left w:val="nil"/>
              <w:bottom w:val="single" w:color="auto" w:sz="4" w:space="0"/>
              <w:right w:val="single" w:color="auto" w:sz="4" w:space="0"/>
            </w:tcBorders>
            <w:noWrap w:val="0"/>
            <w:vAlign w:val="center"/>
          </w:tcPr>
          <w:p w14:paraId="6925749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826527E">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noWrap w:val="0"/>
            <w:vAlign w:val="center"/>
          </w:tcPr>
          <w:p w14:paraId="105C462F">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供应商（供方）</w:t>
            </w:r>
          </w:p>
        </w:tc>
        <w:tc>
          <w:tcPr>
            <w:tcW w:w="3021" w:type="dxa"/>
            <w:tcBorders>
              <w:top w:val="nil"/>
              <w:left w:val="nil"/>
              <w:bottom w:val="single" w:color="auto" w:sz="4" w:space="0"/>
              <w:right w:val="single" w:color="auto" w:sz="4" w:space="0"/>
            </w:tcBorders>
            <w:noWrap w:val="0"/>
            <w:vAlign w:val="center"/>
          </w:tcPr>
          <w:p w14:paraId="1762BF51">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62546A59">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1745" w:type="dxa"/>
            <w:tcBorders>
              <w:top w:val="nil"/>
              <w:left w:val="nil"/>
              <w:bottom w:val="single" w:color="auto" w:sz="4" w:space="0"/>
              <w:right w:val="single" w:color="auto" w:sz="4" w:space="0"/>
            </w:tcBorders>
            <w:noWrap w:val="0"/>
            <w:vAlign w:val="center"/>
          </w:tcPr>
          <w:p w14:paraId="1AA1F499">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05D3CC95">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tc>
        <w:tc>
          <w:tcPr>
            <w:tcW w:w="2081" w:type="dxa"/>
            <w:tcBorders>
              <w:top w:val="nil"/>
              <w:left w:val="nil"/>
              <w:bottom w:val="single" w:color="auto" w:sz="4" w:space="0"/>
              <w:right w:val="single" w:color="auto" w:sz="4" w:space="0"/>
            </w:tcBorders>
            <w:noWrap w:val="0"/>
            <w:vAlign w:val="center"/>
          </w:tcPr>
          <w:p w14:paraId="58129F16">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138DAB4">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2CB1375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商品名称</w:t>
            </w:r>
          </w:p>
        </w:tc>
        <w:tc>
          <w:tcPr>
            <w:tcW w:w="3021" w:type="dxa"/>
            <w:tcBorders>
              <w:top w:val="nil"/>
              <w:left w:val="nil"/>
              <w:bottom w:val="single" w:color="auto" w:sz="4" w:space="0"/>
              <w:right w:val="single" w:color="auto" w:sz="4" w:space="0"/>
            </w:tcBorders>
            <w:noWrap w:val="0"/>
            <w:vAlign w:val="center"/>
          </w:tcPr>
          <w:p w14:paraId="6D38E2E4">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规格型号及要求</w:t>
            </w:r>
          </w:p>
        </w:tc>
        <w:tc>
          <w:tcPr>
            <w:tcW w:w="1855" w:type="dxa"/>
            <w:tcBorders>
              <w:top w:val="nil"/>
              <w:left w:val="nil"/>
              <w:bottom w:val="single" w:color="auto" w:sz="4" w:space="0"/>
              <w:right w:val="single" w:color="auto" w:sz="4" w:space="0"/>
            </w:tcBorders>
            <w:noWrap w:val="0"/>
            <w:vAlign w:val="center"/>
          </w:tcPr>
          <w:p w14:paraId="24B3FB3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计量单位</w:t>
            </w:r>
          </w:p>
        </w:tc>
        <w:tc>
          <w:tcPr>
            <w:tcW w:w="1745" w:type="dxa"/>
            <w:tcBorders>
              <w:top w:val="nil"/>
              <w:left w:val="nil"/>
              <w:bottom w:val="single" w:color="auto" w:sz="4" w:space="0"/>
              <w:right w:val="single" w:color="auto" w:sz="4" w:space="0"/>
            </w:tcBorders>
            <w:noWrap w:val="0"/>
            <w:vAlign w:val="center"/>
          </w:tcPr>
          <w:p w14:paraId="65389665">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     量</w:t>
            </w:r>
          </w:p>
        </w:tc>
        <w:tc>
          <w:tcPr>
            <w:tcW w:w="2080" w:type="dxa"/>
            <w:tcBorders>
              <w:top w:val="nil"/>
              <w:left w:val="nil"/>
              <w:bottom w:val="single" w:color="auto" w:sz="4" w:space="0"/>
              <w:right w:val="single" w:color="auto" w:sz="4" w:space="0"/>
            </w:tcBorders>
            <w:noWrap w:val="0"/>
            <w:vAlign w:val="center"/>
          </w:tcPr>
          <w:p w14:paraId="3EFC0DB5">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单价(元)</w:t>
            </w:r>
          </w:p>
        </w:tc>
        <w:tc>
          <w:tcPr>
            <w:tcW w:w="2081" w:type="dxa"/>
            <w:tcBorders>
              <w:top w:val="nil"/>
              <w:left w:val="nil"/>
              <w:bottom w:val="single" w:color="auto" w:sz="4" w:space="0"/>
              <w:right w:val="single" w:color="auto" w:sz="4" w:space="0"/>
            </w:tcBorders>
            <w:noWrap w:val="0"/>
            <w:vAlign w:val="center"/>
          </w:tcPr>
          <w:p w14:paraId="1BA4D222">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 (元)</w:t>
            </w:r>
          </w:p>
        </w:tc>
      </w:tr>
      <w:tr w14:paraId="01F78CCD">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12CB5D00">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21" w:type="dxa"/>
            <w:tcBorders>
              <w:top w:val="nil"/>
              <w:left w:val="nil"/>
              <w:bottom w:val="single" w:color="auto" w:sz="4" w:space="0"/>
              <w:right w:val="single" w:color="auto" w:sz="4" w:space="0"/>
            </w:tcBorders>
            <w:noWrap w:val="0"/>
            <w:vAlign w:val="center"/>
          </w:tcPr>
          <w:p w14:paraId="345E71FB">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50A654B3">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14:paraId="5C513AB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1577F9CE">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14:paraId="23FEE4F3">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9C93AD4">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22D4960D">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21" w:type="dxa"/>
            <w:tcBorders>
              <w:top w:val="nil"/>
              <w:left w:val="nil"/>
              <w:bottom w:val="single" w:color="auto" w:sz="4" w:space="0"/>
              <w:right w:val="single" w:color="auto" w:sz="4" w:space="0"/>
            </w:tcBorders>
            <w:noWrap w:val="0"/>
            <w:vAlign w:val="center"/>
          </w:tcPr>
          <w:p w14:paraId="32804D9F">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4C289EFF">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14:paraId="4E948805">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6D016394">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14:paraId="6190ED72">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40EBCDB">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263C5543">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   计</w:t>
            </w:r>
          </w:p>
        </w:tc>
        <w:tc>
          <w:tcPr>
            <w:tcW w:w="3021" w:type="dxa"/>
            <w:tcBorders>
              <w:top w:val="nil"/>
              <w:left w:val="nil"/>
              <w:bottom w:val="single" w:color="auto" w:sz="4" w:space="0"/>
              <w:right w:val="single" w:color="auto" w:sz="4" w:space="0"/>
            </w:tcBorders>
            <w:noWrap w:val="0"/>
            <w:vAlign w:val="center"/>
          </w:tcPr>
          <w:p w14:paraId="0C56D850">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4FA6D702">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14:paraId="6DAF6133">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7D113B6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14:paraId="4D3073C8">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4DA5AA5">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noWrap w:val="0"/>
            <w:vAlign w:val="center"/>
          </w:tcPr>
          <w:p w14:paraId="7F2444A4">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合计人民币(大写):</w:t>
            </w:r>
          </w:p>
        </w:tc>
      </w:tr>
      <w:tr w14:paraId="4128B180">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noWrap w:val="0"/>
            <w:vAlign w:val="center"/>
          </w:tcPr>
          <w:p w14:paraId="7463E2AB">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详细设备清单见装箱单</w:t>
            </w:r>
          </w:p>
        </w:tc>
      </w:tr>
      <w:tr w14:paraId="1176D005">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noWrap w:val="0"/>
            <w:vAlign w:val="bottom"/>
          </w:tcPr>
          <w:p w14:paraId="111A0C1B">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noWrap w:val="0"/>
            <w:vAlign w:val="bottom"/>
          </w:tcPr>
          <w:p w14:paraId="370E55F8">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采购单位付款意见:</w:t>
            </w:r>
          </w:p>
        </w:tc>
      </w:tr>
      <w:tr w14:paraId="0C0B69B3">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noWrap w:val="0"/>
            <w:vAlign w:val="bottom"/>
          </w:tcPr>
          <w:p w14:paraId="1AD94030">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21" w:type="dxa"/>
            <w:tcBorders>
              <w:top w:val="nil"/>
              <w:left w:val="nil"/>
              <w:bottom w:val="single" w:color="auto" w:sz="4" w:space="0"/>
              <w:right w:val="nil"/>
            </w:tcBorders>
            <w:noWrap w:val="0"/>
            <w:vAlign w:val="bottom"/>
          </w:tcPr>
          <w:p w14:paraId="6F37FE7B">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验收人（签字）:</w:t>
            </w:r>
          </w:p>
        </w:tc>
        <w:tc>
          <w:tcPr>
            <w:tcW w:w="1855" w:type="dxa"/>
            <w:tcBorders>
              <w:top w:val="nil"/>
              <w:left w:val="nil"/>
              <w:bottom w:val="single" w:color="auto" w:sz="4" w:space="0"/>
              <w:right w:val="nil"/>
            </w:tcBorders>
            <w:noWrap w:val="0"/>
            <w:vAlign w:val="bottom"/>
          </w:tcPr>
          <w:p w14:paraId="61136566">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06" w:type="dxa"/>
            <w:gridSpan w:val="3"/>
            <w:tcBorders>
              <w:top w:val="nil"/>
              <w:left w:val="single" w:color="auto" w:sz="4" w:space="0"/>
              <w:bottom w:val="single" w:color="auto" w:sz="4" w:space="0"/>
              <w:right w:val="single" w:color="000000" w:sz="4" w:space="0"/>
            </w:tcBorders>
            <w:noWrap w:val="0"/>
            <w:vAlign w:val="bottom"/>
          </w:tcPr>
          <w:p w14:paraId="7480CE23">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     年    月    日</w:t>
            </w:r>
          </w:p>
        </w:tc>
      </w:tr>
      <w:tr w14:paraId="62AD7D58">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noWrap w:val="0"/>
            <w:vAlign w:val="bottom"/>
          </w:tcPr>
          <w:p w14:paraId="2C6BD847">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供应商(盖章)</w:t>
            </w:r>
          </w:p>
        </w:tc>
        <w:tc>
          <w:tcPr>
            <w:tcW w:w="5906" w:type="dxa"/>
            <w:gridSpan w:val="3"/>
            <w:tcBorders>
              <w:top w:val="single" w:color="auto" w:sz="4" w:space="0"/>
              <w:left w:val="nil"/>
              <w:bottom w:val="nil"/>
              <w:right w:val="single" w:color="000000" w:sz="4" w:space="0"/>
            </w:tcBorders>
            <w:noWrap w:val="0"/>
            <w:vAlign w:val="bottom"/>
          </w:tcPr>
          <w:p w14:paraId="4EA7DB0F">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县公共资源交易中心意见:</w:t>
            </w:r>
          </w:p>
        </w:tc>
      </w:tr>
      <w:tr w14:paraId="43C10B14">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noWrap w:val="0"/>
            <w:vAlign w:val="bottom"/>
          </w:tcPr>
          <w:p w14:paraId="02424A23">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经办人（签字）:</w:t>
            </w:r>
          </w:p>
        </w:tc>
        <w:tc>
          <w:tcPr>
            <w:tcW w:w="1745" w:type="dxa"/>
            <w:tcBorders>
              <w:top w:val="nil"/>
              <w:left w:val="nil"/>
              <w:bottom w:val="nil"/>
              <w:right w:val="nil"/>
            </w:tcBorders>
            <w:noWrap w:val="0"/>
            <w:vAlign w:val="bottom"/>
          </w:tcPr>
          <w:p w14:paraId="2C0A5833">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nil"/>
              <w:right w:val="nil"/>
            </w:tcBorders>
            <w:noWrap w:val="0"/>
            <w:vAlign w:val="bottom"/>
          </w:tcPr>
          <w:p w14:paraId="186822B3">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(盖章)</w:t>
            </w:r>
          </w:p>
        </w:tc>
        <w:tc>
          <w:tcPr>
            <w:tcW w:w="2081" w:type="dxa"/>
            <w:tcBorders>
              <w:top w:val="nil"/>
              <w:left w:val="nil"/>
              <w:bottom w:val="nil"/>
              <w:right w:val="single" w:color="auto" w:sz="4" w:space="0"/>
            </w:tcBorders>
            <w:noWrap w:val="0"/>
            <w:vAlign w:val="bottom"/>
          </w:tcPr>
          <w:p w14:paraId="5958AC28">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85209E1">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noWrap w:val="0"/>
            <w:vAlign w:val="bottom"/>
          </w:tcPr>
          <w:p w14:paraId="4000E48F">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验收日期:20     年    月    日</w:t>
            </w:r>
          </w:p>
        </w:tc>
        <w:tc>
          <w:tcPr>
            <w:tcW w:w="5906" w:type="dxa"/>
            <w:gridSpan w:val="3"/>
            <w:tcBorders>
              <w:top w:val="nil"/>
              <w:left w:val="nil"/>
              <w:bottom w:val="single" w:color="auto" w:sz="4" w:space="0"/>
              <w:right w:val="single" w:color="000000" w:sz="4" w:space="0"/>
            </w:tcBorders>
            <w:noWrap w:val="0"/>
            <w:vAlign w:val="bottom"/>
          </w:tcPr>
          <w:p w14:paraId="1681531E">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    年    月    日</w:t>
            </w:r>
          </w:p>
        </w:tc>
      </w:tr>
      <w:tr w14:paraId="1DF1212F">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noWrap w:val="0"/>
            <w:vAlign w:val="bottom"/>
          </w:tcPr>
          <w:p w14:paraId="26964A9F">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注：1、表内各项必须填写完整，根据实际需求可增加或删除行，不得改动格式；</w:t>
            </w:r>
          </w:p>
        </w:tc>
      </w:tr>
      <w:tr w14:paraId="24A0B2B5">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noWrap w:val="0"/>
            <w:vAlign w:val="bottom"/>
          </w:tcPr>
          <w:p w14:paraId="3C28722D">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2、本表一式五份，经供需双方签字盖章后由采购单位、供应商、财政支付（核算）中心、财政局、公共资源交易中心各自留存。</w:t>
            </w:r>
          </w:p>
        </w:tc>
      </w:tr>
    </w:tbl>
    <w:p w14:paraId="212EE063">
      <w:pPr>
        <w:rPr>
          <w:rFonts w:hint="eastAsia" w:ascii="宋体" w:hAnsi="宋体" w:eastAsia="宋体" w:cs="宋体"/>
          <w:bCs/>
          <w:color w:val="auto"/>
          <w:sz w:val="24"/>
          <w:szCs w:val="24"/>
          <w:highlight w:val="none"/>
        </w:rPr>
        <w:sectPr>
          <w:pgSz w:w="16838" w:h="11906" w:orient="landscape"/>
          <w:pgMar w:top="1417" w:right="1134" w:bottom="1417" w:left="1134" w:header="851" w:footer="992" w:gutter="0"/>
          <w:pgNumType w:fmt="decimal"/>
          <w:cols w:space="425" w:num="1"/>
          <w:docGrid w:type="lines" w:linePitch="312" w:charSpace="0"/>
        </w:sectPr>
      </w:pPr>
    </w:p>
    <w:p w14:paraId="0DF9FE66">
      <w:pPr>
        <w:jc w:val="center"/>
        <w:rPr>
          <w:rFonts w:hint="eastAsia" w:ascii="宋体" w:hAnsi="宋体" w:eastAsia="宋体" w:cs="宋体"/>
          <w:b/>
          <w:bCs/>
          <w:color w:val="auto"/>
          <w:sz w:val="24"/>
          <w:highlight w:val="none"/>
        </w:rPr>
      </w:pPr>
    </w:p>
    <w:p w14:paraId="32B64E8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质疑函范本</w:t>
      </w:r>
    </w:p>
    <w:p w14:paraId="6AA60864">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3CD993B1">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质疑供应商：___________________________________</w:t>
      </w:r>
      <w:r>
        <w:rPr>
          <w:rFonts w:hint="eastAsia" w:ascii="宋体" w:hAnsi="宋体" w:eastAsia="宋体" w:cs="宋体"/>
          <w:color w:val="auto"/>
          <w:sz w:val="24"/>
          <w:highlight w:val="none"/>
          <w:u w:val="dotted"/>
        </w:rPr>
        <w:t xml:space="preserve"> </w:t>
      </w:r>
    </w:p>
    <w:p w14:paraId="0B41E19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地址：______________________________邮编：____________________</w:t>
      </w:r>
    </w:p>
    <w:p w14:paraId="07E0A055">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联系人：_________________________联系电话：____________________</w:t>
      </w:r>
    </w:p>
    <w:p w14:paraId="0AC9B4AE">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授权代表：________________________________________</w:t>
      </w:r>
    </w:p>
    <w:p w14:paraId="322EF91E">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联系电话：________________________________________</w:t>
      </w:r>
    </w:p>
    <w:p w14:paraId="5ECADC7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地址：____________________邮编：______________________________</w:t>
      </w:r>
    </w:p>
    <w:p w14:paraId="18A279CF">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1120FC7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质疑项目的名称：________________________________________</w:t>
      </w:r>
    </w:p>
    <w:p w14:paraId="7A701577">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质疑项目的编号：____________________包号：____________________</w:t>
      </w:r>
    </w:p>
    <w:p w14:paraId="62866528">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采购人名称：________________________________________</w:t>
      </w:r>
    </w:p>
    <w:p w14:paraId="3F680FD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采购文件获取日期：___________________________________</w:t>
      </w:r>
    </w:p>
    <w:p w14:paraId="6731FB32">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593610CE">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质疑事项1：________________________________________</w:t>
      </w:r>
    </w:p>
    <w:p w14:paraId="72F9DF58">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事实依据：_____________________________________________</w:t>
      </w:r>
    </w:p>
    <w:p w14:paraId="549E4E6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_______________________________________________________</w:t>
      </w:r>
    </w:p>
    <w:p w14:paraId="3B61434F">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法律依据：_____________________________________________</w:t>
      </w:r>
    </w:p>
    <w:p w14:paraId="43F9C109">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_______________________________________________________</w:t>
      </w:r>
    </w:p>
    <w:p w14:paraId="35059586">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94C33F2">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B96E947">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210A54C">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请求：__________________________________________________</w:t>
      </w:r>
    </w:p>
    <w:p w14:paraId="33C26F6B">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561D500">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8BAB878">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6F53C6E2">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5CF5768C">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4A410338">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0B725572">
      <w:pPr>
        <w:adjustRightInd w:val="0"/>
        <w:snapToGrid w:val="0"/>
        <w:spacing w:before="240" w:beforeLines="100" w:line="360" w:lineRule="auto"/>
        <w:rPr>
          <w:rFonts w:hint="eastAsia" w:ascii="宋体" w:hAnsi="宋体" w:eastAsia="宋体" w:cs="宋体"/>
          <w:bCs/>
          <w:color w:val="auto"/>
          <w:sz w:val="24"/>
          <w:highlight w:val="none"/>
        </w:rPr>
      </w:pPr>
    </w:p>
    <w:p w14:paraId="446E33BF">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质疑函制作说明：</w:t>
      </w:r>
    </w:p>
    <w:p w14:paraId="41049A50">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1.供应商提出质疑时，应提交质疑函和必要的证明材料。</w:t>
      </w:r>
    </w:p>
    <w:p w14:paraId="172C4DD3">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C232CD5">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3.质疑供应商若对项目的某一分包进行质疑，质疑函中应列明具体分包号。</w:t>
      </w:r>
    </w:p>
    <w:p w14:paraId="216AEE50">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4.质疑函的质疑事项应具体、明确，并有必要的事实依据和法律依据。</w:t>
      </w:r>
    </w:p>
    <w:p w14:paraId="78666224">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5.质疑函的质疑请求应与质疑事项相关。</w:t>
      </w:r>
    </w:p>
    <w:p w14:paraId="023D4B85">
      <w:pPr>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6.质疑供应商为自然人的，质疑函应由本人签字；质疑供应商为法人或者其他组织的，质疑函应由法定代表人、主要负责人，或者其授权代表签字或者盖章，并加盖公章。</w:t>
      </w:r>
      <w:r>
        <w:rPr>
          <w:rFonts w:hint="eastAsia" w:ascii="宋体" w:hAnsi="宋体" w:eastAsia="宋体" w:cs="宋体"/>
          <w:bCs/>
          <w:color w:val="auto"/>
          <w:sz w:val="24"/>
          <w:szCs w:val="24"/>
          <w:highlight w:val="none"/>
        </w:rPr>
        <w:br w:type="page"/>
      </w:r>
    </w:p>
    <w:p w14:paraId="09AEC97D">
      <w:pPr>
        <w:jc w:val="center"/>
        <w:rPr>
          <w:rFonts w:hint="eastAsia" w:ascii="宋体" w:hAnsi="宋体" w:eastAsia="宋体" w:cs="宋体"/>
          <w:b/>
          <w:color w:val="auto"/>
          <w:sz w:val="24"/>
          <w:highlight w:val="none"/>
        </w:rPr>
      </w:pPr>
    </w:p>
    <w:p w14:paraId="3B065C2E">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w:t>
      </w:r>
    </w:p>
    <w:p w14:paraId="46AB871E">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1D622812">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投诉人：________________________________________________</w:t>
      </w:r>
    </w:p>
    <w:p w14:paraId="37282617">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址：_______________________________邮编：_________</w:t>
      </w:r>
    </w:p>
    <w:p w14:paraId="148FED0F">
      <w:pPr>
        <w:tabs>
          <w:tab w:val="left" w:pos="6510"/>
        </w:tabs>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法定代表人/主要负责人：__________________________ </w:t>
      </w:r>
    </w:p>
    <w:p w14:paraId="1D13B32D">
      <w:pPr>
        <w:tabs>
          <w:tab w:val="left" w:pos="6510"/>
        </w:tabs>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联系电话：_____________________________________________</w:t>
      </w:r>
    </w:p>
    <w:p w14:paraId="2A7DA96A">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授权代表：____________联系电话：________________________</w:t>
      </w:r>
    </w:p>
    <w:p w14:paraId="6D8100E5">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址：________________________邮编：________________________</w:t>
      </w:r>
    </w:p>
    <w:p w14:paraId="222CB58E">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被投诉人1：____________________________________________</w:t>
      </w:r>
    </w:p>
    <w:p w14:paraId="51DA6AD3">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址：_____________________________邮编：____________</w:t>
      </w:r>
    </w:p>
    <w:p w14:paraId="38221BB1">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联系人：____________联系电话：____________</w:t>
      </w:r>
    </w:p>
    <w:p w14:paraId="04D80CA1">
      <w:pPr>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C599365">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FE517CD">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相关供应商：____________________________________________</w:t>
      </w:r>
    </w:p>
    <w:p w14:paraId="0F6E3B94">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址：________________________________邮编：_________</w:t>
      </w:r>
    </w:p>
    <w:p w14:paraId="79A5B040">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联系人：_________联系电话：________________________________</w:t>
      </w:r>
    </w:p>
    <w:p w14:paraId="47F03B23">
      <w:pPr>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DDBAFDD">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采购项目名称：________________________________</w:t>
      </w:r>
    </w:p>
    <w:p w14:paraId="4AC66727">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采购项目编号：________________________包号：____________</w:t>
      </w:r>
    </w:p>
    <w:p w14:paraId="4400C1CC">
      <w:pP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采购人名称：_____________________________________________</w:t>
      </w:r>
    </w:p>
    <w:p w14:paraId="71B11D1F">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代理机构名称：__________________________________________</w:t>
      </w:r>
    </w:p>
    <w:p w14:paraId="23169915">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公告期限：___________________________</w:t>
      </w:r>
    </w:p>
    <w:p w14:paraId="1552368C">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公告期限：___________________________</w:t>
      </w:r>
    </w:p>
    <w:p w14:paraId="2BAD1902">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0A425C5A">
      <w:pPr>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投诉人于_____年_____月_____日,向___________________提出质疑，质疑事项为：____________________________________________________________</w:t>
      </w:r>
    </w:p>
    <w:p w14:paraId="01E7D006">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 xml:space="preserve">____________________________________________________________________ </w:t>
      </w:r>
    </w:p>
    <w:p w14:paraId="3B63F654">
      <w:pPr>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采购人/代理机构</w:t>
      </w:r>
      <w:r>
        <w:rPr>
          <w:rFonts w:hint="eastAsia" w:ascii="宋体" w:hAnsi="宋体" w:eastAsia="宋体" w:cs="宋体"/>
          <w:color w:val="auto"/>
          <w:sz w:val="24"/>
          <w:highlight w:val="none"/>
        </w:rPr>
        <w:t>于_____年_____月_____日,就质疑事项作出了答复/没有在法定期限内作出答复。</w:t>
      </w:r>
    </w:p>
    <w:p w14:paraId="4833E134">
      <w:pPr>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2DA517E">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1：__________________________________________</w:t>
      </w:r>
    </w:p>
    <w:p w14:paraId="0086E1EA">
      <w:pPr>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事实依据：____________________________________________</w:t>
      </w:r>
    </w:p>
    <w:p w14:paraId="442F998D">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______________________________________________________</w:t>
      </w:r>
    </w:p>
    <w:p w14:paraId="4AD1E3E3">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法律依据：____________________________________________</w:t>
      </w:r>
    </w:p>
    <w:p w14:paraId="222B776D">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______________________________________________________</w:t>
      </w:r>
    </w:p>
    <w:p w14:paraId="1F4B35A7">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F8ED03E">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FFF58B1">
      <w:pPr>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2699C45">
      <w:pPr>
        <w:rPr>
          <w:rFonts w:hint="eastAsia" w:ascii="宋体" w:hAnsi="宋体" w:eastAsia="宋体" w:cs="宋体"/>
          <w:color w:val="auto"/>
          <w:sz w:val="24"/>
          <w:highlight w:val="none"/>
        </w:rPr>
      </w:pPr>
      <w:r>
        <w:rPr>
          <w:rFonts w:hint="eastAsia" w:ascii="宋体" w:hAnsi="宋体" w:eastAsia="宋体" w:cs="宋体"/>
          <w:color w:val="auto"/>
          <w:sz w:val="24"/>
          <w:highlight w:val="none"/>
        </w:rPr>
        <w:t>请求：___________________________</w:t>
      </w:r>
    </w:p>
    <w:p w14:paraId="6A90C8D2">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0C001F8B">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6065116">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A7E470D">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71157403">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投诉书制作说明：</w:t>
      </w:r>
    </w:p>
    <w:p w14:paraId="0D944CEC">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1.投诉人提起投诉时，应当提交投诉书和必要的证明材料，并按照被投诉人和与投诉事项有关的供应商数量提供投诉书副本。</w:t>
      </w:r>
    </w:p>
    <w:p w14:paraId="154DA678">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E71E9FF">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3.投诉人若对项目的某一分包进行投诉，投诉书应列明具体分包号。</w:t>
      </w:r>
    </w:p>
    <w:p w14:paraId="042674B5">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4.投诉书应简要列明质疑事项，质疑函、质疑答复等作为附件材料提供。</w:t>
      </w:r>
    </w:p>
    <w:p w14:paraId="05E2305E">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5.投诉书的投诉事项应具体、明确，并有必要的事实依据和法律依据。</w:t>
      </w:r>
    </w:p>
    <w:p w14:paraId="3A3B5EE9">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6.投诉书的投诉请求应与投诉事项相关。</w:t>
      </w:r>
    </w:p>
    <w:p w14:paraId="17B54139">
      <w:pPr>
        <w:pStyle w:val="12"/>
        <w:wordWrap w:val="0"/>
        <w:snapToGrid w:val="0"/>
        <w:spacing w:before="120" w:after="120" w:line="300" w:lineRule="auto"/>
        <w:ind w:right="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7.投诉人为自然人的，投诉书应当由本人签字；投诉人为法人或者其他组织的，投诉书应当由法定代表人、主要负责人，或者其授权代表签字或者盖章，并加盖公章。</w:t>
      </w:r>
    </w:p>
    <w:p w14:paraId="7EFA6932">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3C553FA4">
      <w:pPr>
        <w:pStyle w:val="23"/>
        <w:spacing w:line="300" w:lineRule="auto"/>
        <w:rPr>
          <w:rFonts w:hint="eastAsia" w:ascii="宋体" w:hAnsi="宋体" w:eastAsia="宋体" w:cs="宋体"/>
          <w:color w:val="auto"/>
          <w:highlight w:val="none"/>
        </w:rPr>
      </w:pPr>
      <w:bookmarkStart w:id="102" w:name="_Toc27759"/>
      <w:bookmarkStart w:id="103" w:name="_Toc18265"/>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章  磋商响应文件相关格式</w:t>
      </w:r>
      <w:bookmarkEnd w:id="102"/>
      <w:bookmarkEnd w:id="103"/>
    </w:p>
    <w:p w14:paraId="2ED0C099">
      <w:pPr>
        <w:pStyle w:val="12"/>
        <w:snapToGrid w:val="0"/>
        <w:spacing w:beforeLines="0" w:afterLines="0" w:line="300" w:lineRule="auto"/>
        <w:rPr>
          <w:rFonts w:hint="eastAsia" w:ascii="宋体" w:hAnsi="宋体" w:eastAsia="宋体" w:cs="宋体"/>
          <w:b/>
          <w:bCs/>
          <w:color w:val="auto"/>
          <w:sz w:val="10"/>
          <w:szCs w:val="10"/>
          <w:highlight w:val="none"/>
        </w:rPr>
      </w:pPr>
    </w:p>
    <w:p w14:paraId="4E2F8F20">
      <w:pPr>
        <w:pStyle w:val="34"/>
        <w:snapToGrid w:val="0"/>
        <w:spacing w:line="30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一、政府采购活动现场确认声明书</w:t>
      </w:r>
    </w:p>
    <w:p w14:paraId="2FC75CE2">
      <w:pPr>
        <w:pStyle w:val="34"/>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要求在解密完成后填写完成并将扫描件发送至采购代理机构邮箱（</w:t>
      </w:r>
      <w:r>
        <w:rPr>
          <w:rFonts w:hint="eastAsia" w:hAnsi="宋体" w:eastAsia="宋体" w:cs="宋体"/>
          <w:color w:val="auto"/>
          <w:sz w:val="24"/>
          <w:szCs w:val="24"/>
          <w:highlight w:val="none"/>
          <w:lang w:eastAsia="zh-CN"/>
        </w:rPr>
        <w:t>1090440571</w:t>
      </w:r>
      <w:r>
        <w:rPr>
          <w:rFonts w:hint="eastAsia" w:ascii="宋体" w:hAnsi="宋体" w:eastAsia="宋体" w:cs="宋体"/>
          <w:color w:val="auto"/>
          <w:sz w:val="24"/>
          <w:szCs w:val="24"/>
          <w:highlight w:val="none"/>
        </w:rPr>
        <w:t>@qq.com），不需要制作在投标文件中</w:t>
      </w:r>
      <w:r>
        <w:rPr>
          <w:rFonts w:hint="eastAsia" w:ascii="宋体" w:hAnsi="宋体" w:eastAsia="宋体" w:cs="宋体"/>
          <w:b/>
          <w:color w:val="auto"/>
          <w:sz w:val="24"/>
          <w:szCs w:val="24"/>
          <w:highlight w:val="none"/>
        </w:rPr>
        <w:t>）</w:t>
      </w:r>
    </w:p>
    <w:p w14:paraId="56D4B85D">
      <w:pPr>
        <w:pStyle w:val="34"/>
        <w:snapToGrid w:val="0"/>
        <w:spacing w:line="300" w:lineRule="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hAnsi="宋体" w:eastAsia="宋体" w:cs="宋体"/>
          <w:color w:val="auto"/>
          <w:spacing w:val="6"/>
          <w:sz w:val="24"/>
          <w:szCs w:val="24"/>
          <w:highlight w:val="none"/>
          <w:u w:val="single"/>
          <w:lang w:eastAsia="zh-CN"/>
        </w:rPr>
        <w:t>浙江中合工程管理有限公司</w:t>
      </w:r>
      <w:r>
        <w:rPr>
          <w:rFonts w:hint="eastAsia" w:ascii="宋体" w:hAnsi="宋体" w:eastAsia="宋体" w:cs="宋体"/>
          <w:color w:val="auto"/>
          <w:kern w:val="0"/>
          <w:sz w:val="24"/>
          <w:szCs w:val="24"/>
          <w:highlight w:val="none"/>
        </w:rPr>
        <w:t>（采购组织机构名称）：</w:t>
      </w:r>
    </w:p>
    <w:p w14:paraId="2B50D1D7">
      <w:pPr>
        <w:pStyle w:val="12"/>
        <w:snapToGrid w:val="0"/>
        <w:spacing w:beforeLines="0" w:afterLines="0" w:line="30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本人经由</w:t>
      </w:r>
      <w:r>
        <w:rPr>
          <w:rFonts w:hint="eastAsia" w:ascii="宋体" w:hAnsi="宋体" w:eastAsia="宋体" w:cs="宋体"/>
          <w:color w:val="auto"/>
          <w:spacing w:val="6"/>
          <w:sz w:val="24"/>
          <w:szCs w:val="24"/>
          <w:highlight w:val="none"/>
          <w:u w:val="single"/>
        </w:rPr>
        <w:t xml:space="preserve">                    （单位）</w:t>
      </w:r>
      <w:r>
        <w:rPr>
          <w:rFonts w:hint="eastAsia" w:ascii="宋体" w:hAnsi="宋体" w:eastAsia="宋体" w:cs="宋体"/>
          <w:color w:val="auto"/>
          <w:spacing w:val="6"/>
          <w:sz w:val="24"/>
          <w:szCs w:val="24"/>
          <w:highlight w:val="none"/>
        </w:rPr>
        <w:t>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合法授权参加</w:t>
      </w:r>
      <w:r>
        <w:rPr>
          <w:rFonts w:hint="eastAsia" w:hAnsi="宋体" w:cs="宋体"/>
          <w:b/>
          <w:bCs/>
          <w:color w:val="auto"/>
          <w:sz w:val="24"/>
          <w:szCs w:val="24"/>
          <w:highlight w:val="none"/>
          <w:u w:val="single"/>
          <w:lang w:val="en-US" w:eastAsia="zh-CN"/>
        </w:rPr>
        <w:t>嘉善县实验小学2025年度校舍常规维修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（编号：</w:t>
      </w:r>
      <w:r>
        <w:rPr>
          <w:rFonts w:hint="eastAsia" w:ascii="宋体" w:hAnsi="宋体" w:eastAsia="宋体" w:cs="宋体"/>
          <w:color w:val="auto"/>
          <w:spacing w:val="6"/>
          <w:sz w:val="24"/>
          <w:szCs w:val="24"/>
          <w:highlight w:val="none"/>
          <w:u w:val="single"/>
        </w:rPr>
        <w:t xml:space="preserve"> </w:t>
      </w:r>
      <w:r>
        <w:rPr>
          <w:rFonts w:hint="eastAsia" w:hAnsi="宋体" w:cs="宋体"/>
          <w:color w:val="auto"/>
          <w:spacing w:val="6"/>
          <w:sz w:val="24"/>
          <w:szCs w:val="24"/>
          <w:highlight w:val="none"/>
          <w:u w:val="single"/>
          <w:lang w:eastAsia="zh-CN"/>
        </w:rPr>
        <w:t>ZHJS（CS)-2025-009</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14:paraId="3B8504DE">
      <w:pPr>
        <w:pStyle w:val="35"/>
        <w:widowControl/>
        <w:numPr>
          <w:ilvl w:val="0"/>
          <w:numId w:val="9"/>
        </w:numPr>
        <w:snapToGrid w:val="0"/>
        <w:spacing w:line="300" w:lineRule="auto"/>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60B756DC">
      <w:pPr>
        <w:pStyle w:val="35"/>
        <w:widowControl/>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14:paraId="5906EFEC">
      <w:pPr>
        <w:pStyle w:val="35"/>
        <w:widowControl/>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0086BC79">
      <w:pPr>
        <w:pStyle w:val="35"/>
        <w:widowControl/>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           </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FA7965D">
      <w:pPr>
        <w:pStyle w:val="34"/>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191093A7">
      <w:pPr>
        <w:pStyle w:val="34"/>
        <w:snapToGrid w:val="0"/>
        <w:spacing w:line="300" w:lineRule="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2229B54B">
      <w:pPr>
        <w:pStyle w:val="34"/>
        <w:snapToGrid w:val="0"/>
        <w:spacing w:line="300" w:lineRule="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26B84439">
      <w:pPr>
        <w:pStyle w:val="34"/>
        <w:snapToGrid w:val="0"/>
        <w:spacing w:line="300" w:lineRule="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1AA43843">
      <w:pPr>
        <w:pStyle w:val="34"/>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4DF1B191">
      <w:pPr>
        <w:pStyle w:val="34"/>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24133F2A">
      <w:pPr>
        <w:pStyle w:val="34"/>
        <w:snapToGrid w:val="0"/>
        <w:spacing w:line="30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w:t>
      </w: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1BC1F685">
      <w:pPr>
        <w:pStyle w:val="34"/>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135B3427">
      <w:pPr>
        <w:pStyle w:val="34"/>
        <w:snapToGrid w:val="0"/>
        <w:spacing w:line="30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175E9DE">
      <w:pPr>
        <w:pStyle w:val="35"/>
        <w:widowControl/>
        <w:numPr>
          <w:ilvl w:val="0"/>
          <w:numId w:val="10"/>
        </w:numPr>
        <w:snapToGrid w:val="0"/>
        <w:spacing w:line="300" w:lineRule="auto"/>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2F7FCE28">
      <w:pPr>
        <w:pStyle w:val="35"/>
        <w:widowControl/>
        <w:numPr>
          <w:ilvl w:val="0"/>
          <w:numId w:val="10"/>
        </w:numPr>
        <w:snapToGrid w:val="0"/>
        <w:spacing w:line="300" w:lineRule="auto"/>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360A8172">
      <w:pPr>
        <w:pStyle w:val="3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4675E24">
      <w:pPr>
        <w:pStyle w:val="34"/>
        <w:snapToGrid w:val="0"/>
        <w:spacing w:line="300" w:lineRule="auto"/>
        <w:ind w:firstLine="3480" w:firstLineChars="1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5E07C4F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2025年</w:t>
      </w:r>
      <w:r>
        <w:rPr>
          <w:rFonts w:hint="eastAsia" w:ascii="宋体" w:hAnsi="宋体" w:eastAsia="宋体" w:cs="宋体"/>
          <w:color w:val="auto"/>
          <w:sz w:val="24"/>
          <w:szCs w:val="24"/>
          <w:highlight w:val="none"/>
        </w:rPr>
        <w:t xml:space="preserve">  月  日</w:t>
      </w:r>
    </w:p>
    <w:p w14:paraId="3B9D973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E899CB4">
      <w:pPr>
        <w:snapToGrid w:val="0"/>
        <w:spacing w:before="100" w:beforeAutospacing="1" w:after="100" w:afterAutospacing="1" w:line="276"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二、磋商响应文件封面格式</w:t>
      </w:r>
    </w:p>
    <w:p w14:paraId="79A475FE">
      <w:pPr>
        <w:snapToGrid w:val="0"/>
        <w:spacing w:before="100" w:beforeAutospacing="1" w:after="100" w:afterAutospacing="1" w:line="276" w:lineRule="auto"/>
        <w:ind w:left="480"/>
        <w:jc w:val="center"/>
        <w:rPr>
          <w:rFonts w:hint="eastAsia" w:ascii="宋体" w:hAnsi="宋体" w:eastAsia="宋体" w:cs="宋体"/>
          <w:b/>
          <w:bCs/>
          <w:color w:val="auto"/>
          <w:sz w:val="32"/>
          <w:szCs w:val="32"/>
          <w:highlight w:val="none"/>
        </w:rPr>
      </w:pPr>
    </w:p>
    <w:p w14:paraId="0C5D76FF">
      <w:pPr>
        <w:snapToGrid w:val="0"/>
        <w:spacing w:before="100" w:beforeAutospacing="1" w:after="100" w:afterAutospacing="1" w:line="276" w:lineRule="auto"/>
        <w:ind w:firstLine="482"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highlight w:val="none"/>
        </w:rPr>
        <w:t xml:space="preserve">                                     </w:t>
      </w:r>
    </w:p>
    <w:p w14:paraId="36711CB9">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p>
    <w:p w14:paraId="5D7EC402">
      <w:pPr>
        <w:snapToGrid w:val="0"/>
        <w:spacing w:before="100" w:beforeAutospacing="1" w:after="100" w:afterAutospacing="1" w:line="276"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14:paraId="0176B005">
      <w:pPr>
        <w:snapToGrid w:val="0"/>
        <w:spacing w:before="100" w:beforeAutospacing="1" w:after="100" w:afterAutospacing="1" w:line="276"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资格文件/商务技术文件/报价文件</w:t>
      </w:r>
    </w:p>
    <w:p w14:paraId="7C3E4217">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p>
    <w:p w14:paraId="5D3BBA28">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u w:val="none"/>
          <w:lang w:val="en-US" w:eastAsia="zh-CN"/>
        </w:rPr>
        <w:t>嘉善县实验小学2025年度校舍常规维修</w:t>
      </w:r>
      <w:r>
        <w:rPr>
          <w:rFonts w:hint="eastAsia" w:ascii="宋体" w:hAnsi="宋体" w:eastAsia="宋体" w:cs="宋体"/>
          <w:color w:val="auto"/>
          <w:sz w:val="24"/>
          <w:szCs w:val="24"/>
          <w:highlight w:val="none"/>
          <w:lang w:val="en-US" w:eastAsia="zh-CN"/>
        </w:rPr>
        <w:t xml:space="preserve"> </w:t>
      </w:r>
    </w:p>
    <w:p w14:paraId="292BA852">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ZHJS（CS)-2025-009</w:t>
      </w:r>
    </w:p>
    <w:p w14:paraId="7F58C6D8">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03B45F81">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供应商地址：</w:t>
      </w:r>
    </w:p>
    <w:p w14:paraId="5324352F">
      <w:pPr>
        <w:pStyle w:val="6"/>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p>
    <w:p w14:paraId="78FA8AB7">
      <w:pPr>
        <w:pStyle w:val="6"/>
        <w:snapToGrid w:val="0"/>
        <w:spacing w:before="100" w:beforeAutospacing="1" w:after="100" w:afterAutospacing="1" w:line="276" w:lineRule="auto"/>
        <w:ind w:firstLine="720" w:firstLineChars="200"/>
        <w:rPr>
          <w:rFonts w:hint="eastAsia" w:ascii="宋体" w:hAnsi="宋体" w:eastAsia="宋体" w:cs="宋体"/>
          <w:color w:val="auto"/>
          <w:sz w:val="36"/>
          <w:szCs w:val="36"/>
          <w:highlight w:val="none"/>
        </w:rPr>
      </w:pPr>
    </w:p>
    <w:p w14:paraId="5C1A5A86">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66A91FC">
      <w:pPr>
        <w:snapToGrid w:val="0"/>
        <w:spacing w:line="360" w:lineRule="auto"/>
        <w:ind w:right="480"/>
        <w:jc w:val="center"/>
        <w:rPr>
          <w:rFonts w:hint="eastAsia" w:ascii="宋体" w:hAnsi="宋体" w:cs="宋体"/>
          <w:b/>
          <w:color w:val="auto"/>
          <w:kern w:val="0"/>
          <w:szCs w:val="21"/>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32"/>
          <w:szCs w:val="32"/>
          <w:highlight w:val="none"/>
        </w:rPr>
        <w:t>三、</w:t>
      </w:r>
      <w:r>
        <w:rPr>
          <w:rFonts w:hint="eastAsia" w:ascii="宋体" w:hAnsi="宋体" w:cs="宋体"/>
          <w:b/>
          <w:color w:val="auto"/>
          <w:kern w:val="0"/>
          <w:sz w:val="32"/>
          <w:szCs w:val="32"/>
          <w:highlight w:val="none"/>
        </w:rPr>
        <w:t>符合参加政府采购活动应当具备的一般条件的承诺函</w:t>
      </w:r>
    </w:p>
    <w:p w14:paraId="4FCD7C77">
      <w:pPr>
        <w:snapToGrid w:val="0"/>
        <w:spacing w:line="360" w:lineRule="auto"/>
        <w:rPr>
          <w:rFonts w:hint="eastAsia" w:ascii="宋体" w:hAnsi="宋体" w:cs="宋体"/>
          <w:color w:val="auto"/>
          <w:sz w:val="24"/>
          <w:szCs w:val="24"/>
          <w:highlight w:val="none"/>
        </w:rPr>
      </w:pPr>
    </w:p>
    <w:p w14:paraId="5370F88E">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w:t>
      </w:r>
    </w:p>
    <w:p w14:paraId="4524D5FA">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我方参与</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】政府采购活动，郑重承诺：</w:t>
      </w:r>
    </w:p>
    <w:p w14:paraId="355EC146">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（一）具备《中华人民共和国政府采购法》第二十二条规定的条件：</w:t>
      </w:r>
    </w:p>
    <w:p w14:paraId="04F545E3">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687C30C9">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2.具有良好的商业信誉和健全的财务会计制度； </w:t>
      </w:r>
    </w:p>
    <w:p w14:paraId="20D8D63E">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4AEF2210">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2B1E07F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3DD934A2">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6.具有法律、行政法规规定的其他条件。</w:t>
      </w:r>
    </w:p>
    <w:p w14:paraId="27D651A9">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（二）未被信用中国（www.creditchina.gov.cn)、中国政府采购网（www.ccgp.gov.cn）列入失信被执行人、重大税收违法案件当事人名单、政府采购严重违法失信行为记录名单。</w:t>
      </w:r>
    </w:p>
    <w:p w14:paraId="49B5248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（三）不存在以下情况：</w:t>
      </w:r>
    </w:p>
    <w:p w14:paraId="6DF8A61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1.单位负责人为同一人或者存在直接控股、管理关系的不同供应商参加同一合同项下的政府采购活动的；</w:t>
      </w:r>
    </w:p>
    <w:p w14:paraId="10EB686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2.为采购项目提供整体设计、规范编制或者项目管理、监理、检测等服务后再参加该采购项目的其他采购活动的。</w:t>
      </w:r>
    </w:p>
    <w:p w14:paraId="016ACB98">
      <w:pPr>
        <w:pStyle w:val="38"/>
        <w:snapToGrid w:val="0"/>
        <w:ind w:firstLine="4809" w:firstLineChars="2004"/>
        <w:jc w:val="right"/>
        <w:rPr>
          <w:rFonts w:ascii="宋体" w:eastAsia="宋体"/>
          <w:bCs/>
          <w:color w:val="auto"/>
          <w:sz w:val="24"/>
          <w:szCs w:val="24"/>
          <w:highlight w:val="none"/>
        </w:rPr>
      </w:pPr>
    </w:p>
    <w:p w14:paraId="6DB3A8A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szCs w:val="24"/>
          <w:highlight w:val="none"/>
        </w:rPr>
        <w:t>供应商名称（盖章）</w:t>
      </w:r>
      <w:r>
        <w:rPr>
          <w:rFonts w:hint="eastAsia" w:ascii="宋体" w:hAnsi="宋体" w:cs="宋体"/>
          <w:color w:val="auto"/>
          <w:sz w:val="24"/>
          <w:highlight w:val="none"/>
        </w:rPr>
        <w:t>：</w:t>
      </w:r>
      <w:r>
        <w:rPr>
          <w:rFonts w:hint="eastAsia" w:ascii="宋体" w:hAnsi="宋体" w:cs="宋体"/>
          <w:color w:val="auto"/>
          <w:sz w:val="24"/>
          <w:szCs w:val="24"/>
          <w:highlight w:val="none"/>
        </w:rPr>
        <w:t>_________________</w:t>
      </w:r>
    </w:p>
    <w:p w14:paraId="775BF77D">
      <w:pPr>
        <w:pStyle w:val="9"/>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宋体" w:hAnsi="宋体" w:eastAsia="宋体" w:cs="宋体"/>
          <w:b/>
          <w:bCs/>
          <w:color w:val="auto"/>
          <w:kern w:val="2"/>
          <w:sz w:val="24"/>
          <w:szCs w:val="24"/>
          <w:highlight w:val="none"/>
          <w:lang w:val="en-US" w:eastAsia="zh-CN" w:bidi="ar-SA"/>
        </w:rPr>
        <w:sectPr>
          <w:pgSz w:w="11906" w:h="16838"/>
          <w:pgMar w:top="1418" w:right="1077" w:bottom="1418" w:left="1077" w:header="851" w:footer="851" w:gutter="340"/>
          <w:pgBorders>
            <w:top w:val="none" w:sz="0" w:space="0"/>
            <w:left w:val="none" w:sz="0" w:space="0"/>
            <w:bottom w:val="none" w:sz="0" w:space="0"/>
            <w:right w:val="none" w:sz="0" w:space="0"/>
          </w:pgBorders>
          <w:pgNumType w:fmt="decimal"/>
          <w:cols w:space="720" w:num="1"/>
          <w:docGrid w:linePitch="381" w:charSpace="0"/>
        </w:sect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日期：</w:t>
      </w:r>
      <w:r>
        <w:rPr>
          <w:rFonts w:hint="eastAsia" w:ascii="宋体" w:hAnsi="宋体" w:cs="宋体"/>
          <w:color w:val="auto"/>
          <w:sz w:val="24"/>
          <w:szCs w:val="24"/>
          <w:highlight w:val="none"/>
        </w:rPr>
        <w:t>____</w:t>
      </w:r>
      <w:r>
        <w:rPr>
          <w:rFonts w:hint="eastAsia" w:ascii="宋体" w:hAnsi="宋体" w:cs="宋体"/>
          <w:color w:val="auto"/>
          <w:sz w:val="24"/>
          <w:highlight w:val="none"/>
        </w:rPr>
        <w:t>年</w:t>
      </w:r>
      <w:r>
        <w:rPr>
          <w:rFonts w:hint="eastAsia" w:ascii="宋体" w:hAnsi="宋体" w:cs="宋体"/>
          <w:color w:val="auto"/>
          <w:sz w:val="24"/>
          <w:szCs w:val="24"/>
          <w:highlight w:val="none"/>
        </w:rPr>
        <w:t>____</w:t>
      </w:r>
      <w:r>
        <w:rPr>
          <w:rFonts w:hint="eastAsia" w:ascii="宋体" w:hAnsi="宋体" w:cs="宋体"/>
          <w:color w:val="auto"/>
          <w:sz w:val="24"/>
          <w:highlight w:val="none"/>
        </w:rPr>
        <w:t>月</w:t>
      </w:r>
      <w:r>
        <w:rPr>
          <w:rFonts w:hint="eastAsia" w:ascii="宋体" w:hAnsi="宋体" w:cs="宋体"/>
          <w:color w:val="auto"/>
          <w:sz w:val="24"/>
          <w:szCs w:val="24"/>
          <w:highlight w:val="none"/>
        </w:rPr>
        <w:t>____</w:t>
      </w:r>
      <w:r>
        <w:rPr>
          <w:rFonts w:hint="eastAsia" w:ascii="宋体" w:hAnsi="宋体" w:cs="宋体"/>
          <w:color w:val="auto"/>
          <w:sz w:val="24"/>
          <w:highlight w:val="none"/>
        </w:rPr>
        <w:t>日</w:t>
      </w:r>
    </w:p>
    <w:p w14:paraId="294191A6">
      <w:pPr>
        <w:spacing w:line="300"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、中小企业声明函（</w:t>
      </w:r>
      <w:r>
        <w:rPr>
          <w:rFonts w:hint="eastAsia" w:ascii="宋体" w:hAnsi="宋体" w:eastAsia="宋体" w:cs="宋体"/>
          <w:b/>
          <w:bCs/>
          <w:color w:val="auto"/>
          <w:sz w:val="32"/>
          <w:szCs w:val="32"/>
          <w:highlight w:val="none"/>
          <w:lang w:val="en-US" w:eastAsia="zh-CN"/>
        </w:rPr>
        <w:t>工程</w:t>
      </w:r>
      <w:r>
        <w:rPr>
          <w:rFonts w:hint="eastAsia" w:ascii="宋体" w:hAnsi="宋体" w:eastAsia="宋体" w:cs="宋体"/>
          <w:b/>
          <w:bCs/>
          <w:color w:val="auto"/>
          <w:sz w:val="32"/>
          <w:szCs w:val="32"/>
          <w:highlight w:val="none"/>
        </w:rPr>
        <w:t>）格式</w:t>
      </w:r>
    </w:p>
    <w:p w14:paraId="0FA27BA1">
      <w:pPr>
        <w:spacing w:line="300" w:lineRule="auto"/>
        <w:ind w:firstLine="315" w:firstLineChars="98"/>
        <w:jc w:val="center"/>
        <w:rPr>
          <w:rFonts w:hint="eastAsia" w:ascii="宋体" w:hAnsi="宋体" w:eastAsia="宋体" w:cs="宋体"/>
          <w:b/>
          <w:bCs/>
          <w:color w:val="auto"/>
          <w:sz w:val="32"/>
          <w:szCs w:val="32"/>
          <w:highlight w:val="none"/>
        </w:rPr>
      </w:pPr>
    </w:p>
    <w:p w14:paraId="28888C33">
      <w:pPr>
        <w:spacing w:line="300" w:lineRule="auto"/>
        <w:ind w:firstLine="315" w:firstLineChars="98"/>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w:t>
      </w:r>
      <w:r>
        <w:rPr>
          <w:rFonts w:hint="eastAsia" w:ascii="宋体" w:hAnsi="宋体" w:eastAsia="宋体" w:cs="宋体"/>
          <w:b/>
          <w:bCs/>
          <w:color w:val="auto"/>
          <w:sz w:val="32"/>
          <w:szCs w:val="32"/>
          <w:highlight w:val="none"/>
          <w:lang w:val="en-US" w:eastAsia="zh-CN"/>
        </w:rPr>
        <w:t>工程</w:t>
      </w:r>
      <w:r>
        <w:rPr>
          <w:rFonts w:hint="eastAsia" w:ascii="宋体" w:hAnsi="宋体" w:eastAsia="宋体" w:cs="宋体"/>
          <w:b/>
          <w:bCs/>
          <w:color w:val="auto"/>
          <w:sz w:val="32"/>
          <w:szCs w:val="32"/>
          <w:highlight w:val="none"/>
        </w:rPr>
        <w:t>）</w:t>
      </w:r>
    </w:p>
    <w:p w14:paraId="378F15F5">
      <w:pPr>
        <w:keepNext w:val="0"/>
        <w:keepLines w:val="0"/>
        <w:pageBreakBefore w:val="0"/>
        <w:kinsoku/>
        <w:wordWrap/>
        <w:overflowPunct/>
        <w:topLinePunct w:val="0"/>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119AAED1">
      <w:pPr>
        <w:keepNext w:val="0"/>
        <w:keepLines w:val="0"/>
        <w:pageBreakBefore w:val="0"/>
        <w:widowControl/>
        <w:suppressLineNumbers w:val="0"/>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本公司郑重声明，根据《政府采购促进中小企业发展管理办法》（财库﹝2020﹞46 号）的规定，本公司参加</w:t>
      </w:r>
      <w:r>
        <w:rPr>
          <w:rFonts w:hint="eastAsia" w:ascii="宋体" w:hAnsi="宋体" w:eastAsia="宋体" w:cs="宋体"/>
          <w:color w:val="auto"/>
          <w:kern w:val="0"/>
          <w:sz w:val="24"/>
          <w:szCs w:val="24"/>
          <w:highlight w:val="none"/>
          <w:u w:val="single"/>
          <w:lang w:val="en-US" w:eastAsia="zh-CN" w:bidi="ar-SA"/>
        </w:rPr>
        <w:t>（单位名称）</w:t>
      </w:r>
      <w:r>
        <w:rPr>
          <w:rFonts w:hint="eastAsia" w:ascii="宋体" w:hAnsi="宋体" w:eastAsia="宋体" w:cs="宋体"/>
          <w:color w:val="auto"/>
          <w:kern w:val="0"/>
          <w:sz w:val="24"/>
          <w:szCs w:val="24"/>
          <w:highlight w:val="none"/>
          <w:lang w:val="en-US" w:eastAsia="zh-CN" w:bidi="ar-SA"/>
        </w:rPr>
        <w:t>的</w:t>
      </w:r>
      <w:r>
        <w:rPr>
          <w:rFonts w:hint="eastAsia" w:ascii="宋体" w:hAnsi="宋体" w:eastAsia="宋体" w:cs="宋体"/>
          <w:color w:val="auto"/>
          <w:kern w:val="0"/>
          <w:sz w:val="24"/>
          <w:szCs w:val="24"/>
          <w:highlight w:val="none"/>
          <w:u w:val="single"/>
          <w:lang w:val="en-US" w:eastAsia="zh-CN" w:bidi="ar-SA"/>
        </w:rPr>
        <w:t>（项目名称）</w:t>
      </w:r>
      <w:r>
        <w:rPr>
          <w:rFonts w:hint="eastAsia" w:ascii="宋体" w:hAnsi="宋体" w:eastAsia="宋体" w:cs="宋体"/>
          <w:color w:val="auto"/>
          <w:kern w:val="0"/>
          <w:sz w:val="24"/>
          <w:szCs w:val="24"/>
          <w:highlight w:val="none"/>
          <w:lang w:val="en-US" w:eastAsia="zh-CN" w:bidi="ar-SA"/>
        </w:rPr>
        <w:t>采购活动，工程的施工单位全部为符合政策要求的中小企业。企业的具体情况如下：</w:t>
      </w:r>
    </w:p>
    <w:p w14:paraId="582544FE">
      <w:pPr>
        <w:keepNext w:val="0"/>
        <w:keepLines w:val="0"/>
        <w:pageBreakBefore w:val="0"/>
        <w:widowControl/>
        <w:suppressLineNumbers w:val="0"/>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w:t>
      </w:r>
      <w:r>
        <w:rPr>
          <w:rFonts w:hint="eastAsia" w:ascii="宋体" w:hAnsi="宋体" w:cs="宋体"/>
          <w:color w:val="auto"/>
          <w:sz w:val="24"/>
          <w:szCs w:val="24"/>
          <w:highlight w:val="none"/>
          <w:u w:val="single"/>
          <w:lang w:val="en-US" w:eastAsia="zh-CN"/>
        </w:rPr>
        <w:t>嘉善县实验小学2025年度校舍常规维修</w:t>
      </w:r>
      <w:r>
        <w:rPr>
          <w:rFonts w:hint="eastAsia" w:ascii="宋体" w:hAnsi="宋体" w:eastAsia="宋体" w:cs="宋体"/>
          <w:color w:val="auto"/>
          <w:kern w:val="0"/>
          <w:sz w:val="24"/>
          <w:szCs w:val="24"/>
          <w:highlight w:val="none"/>
          <w:u w:val="single"/>
          <w:lang w:val="en-US" w:eastAsia="zh-CN" w:bidi="ar-SA"/>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建筑业</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fldChar w:fldCharType="begin"/>
      </w:r>
      <w:r>
        <w:rPr>
          <w:rFonts w:hint="eastAsia" w:ascii="宋体" w:hAnsi="宋体" w:eastAsia="宋体" w:cs="宋体"/>
          <w:color w:val="auto"/>
          <w:sz w:val="24"/>
          <w:szCs w:val="24"/>
          <w:highlight w:val="none"/>
          <w:vertAlign w:val="superscript"/>
        </w:rPr>
        <w:instrText xml:space="preserve"> HYPERLINK \l "_bookmark1" </w:instrText>
      </w:r>
      <w:r>
        <w:rPr>
          <w:rFonts w:hint="eastAsia" w:ascii="宋体" w:hAnsi="宋体" w:eastAsia="宋体" w:cs="宋体"/>
          <w:color w:val="auto"/>
          <w:sz w:val="24"/>
          <w:szCs w:val="24"/>
          <w:highlight w:val="none"/>
          <w:vertAlign w:val="superscript"/>
        </w:rPr>
        <w:fldChar w:fldCharType="separate"/>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vertAlign w:val="superscript"/>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w:t>
      </w:r>
    </w:p>
    <w:p w14:paraId="4A4FECBE">
      <w:pPr>
        <w:pStyle w:val="7"/>
        <w:keepNext w:val="0"/>
        <w:keepLines w:val="0"/>
        <w:pageBreakBefore w:val="0"/>
        <w:kinsoku/>
        <w:wordWrap/>
        <w:overflowPunct/>
        <w:topLinePunct w:val="0"/>
        <w:autoSpaceDE w:val="0"/>
        <w:autoSpaceDN w:val="0"/>
        <w:bidi w:val="0"/>
        <w:adjustRightInd/>
        <w:snapToGrid/>
        <w:spacing w:before="108" w:line="300" w:lineRule="auto"/>
        <w:ind w:right="-54"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3C874369">
      <w:pPr>
        <w:pStyle w:val="7"/>
        <w:keepNext w:val="0"/>
        <w:keepLines w:val="0"/>
        <w:pageBreakBefore w:val="0"/>
        <w:kinsoku/>
        <w:wordWrap/>
        <w:overflowPunct/>
        <w:topLinePunct w:val="0"/>
        <w:autoSpaceDE w:val="0"/>
        <w:autoSpaceDN w:val="0"/>
        <w:bidi w:val="0"/>
        <w:adjustRightInd/>
        <w:snapToGrid/>
        <w:spacing w:line="300" w:lineRule="auto"/>
        <w:ind w:right="-54"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3DA2EA37">
      <w:pPr>
        <w:pStyle w:val="7"/>
        <w:keepNext w:val="0"/>
        <w:keepLines w:val="0"/>
        <w:pageBreakBefore w:val="0"/>
        <w:widowControl w:val="0"/>
        <w:kinsoku/>
        <w:wordWrap/>
        <w:overflowPunct/>
        <w:topLinePunct w:val="0"/>
        <w:autoSpaceDE w:val="0"/>
        <w:autoSpaceDN w:val="0"/>
        <w:bidi w:val="0"/>
        <w:adjustRightInd/>
        <w:snapToGrid/>
        <w:spacing w:line="360" w:lineRule="auto"/>
        <w:ind w:right="-54" w:firstLine="480"/>
        <w:textAlignment w:val="auto"/>
        <w:rPr>
          <w:rFonts w:hint="eastAsia" w:ascii="宋体" w:hAnsi="宋体" w:eastAsia="宋体" w:cs="宋体"/>
          <w:color w:val="auto"/>
          <w:highlight w:val="none"/>
        </w:rPr>
      </w:pPr>
    </w:p>
    <w:p w14:paraId="45201030">
      <w:pPr>
        <w:pStyle w:val="7"/>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73"/>
        <w:textAlignment w:val="auto"/>
        <w:rPr>
          <w:rFonts w:hint="eastAsia" w:ascii="宋体" w:hAnsi="宋体" w:eastAsia="宋体" w:cs="宋体"/>
          <w:color w:val="auto"/>
          <w:w w:val="99"/>
          <w:highlight w:val="none"/>
        </w:rPr>
      </w:pPr>
    </w:p>
    <w:p w14:paraId="44E9DEE0">
      <w:pPr>
        <w:pStyle w:val="7"/>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73"/>
        <w:textAlignment w:val="auto"/>
        <w:rPr>
          <w:rFonts w:hint="eastAsia" w:ascii="宋体" w:hAnsi="宋体" w:eastAsia="宋体" w:cs="宋体"/>
          <w:color w:val="auto"/>
          <w:w w:val="99"/>
          <w:highlight w:val="none"/>
        </w:rPr>
      </w:pPr>
    </w:p>
    <w:p w14:paraId="49152080">
      <w:pPr>
        <w:pStyle w:val="7"/>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80"/>
        <w:textAlignment w:val="auto"/>
        <w:rPr>
          <w:rFonts w:hint="eastAsia" w:ascii="宋体" w:hAnsi="宋体" w:eastAsia="宋体" w:cs="宋体"/>
          <w:color w:val="auto"/>
          <w:w w:val="99"/>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highlight w:val="none"/>
        </w:rPr>
        <w:t>：___________</w:t>
      </w:r>
    </w:p>
    <w:p w14:paraId="310EF087">
      <w:pPr>
        <w:pStyle w:val="7"/>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日期：___________</w:t>
      </w:r>
    </w:p>
    <w:p w14:paraId="6A27F354">
      <w:pPr>
        <w:spacing w:line="300" w:lineRule="auto"/>
        <w:ind w:firstLine="236" w:firstLineChars="98"/>
        <w:jc w:val="center"/>
        <w:rPr>
          <w:rFonts w:hint="eastAsia" w:ascii="宋体" w:hAnsi="宋体" w:eastAsia="宋体" w:cs="宋体"/>
          <w:b/>
          <w:bCs/>
          <w:color w:val="auto"/>
          <w:szCs w:val="24"/>
          <w:highlight w:val="none"/>
        </w:rPr>
      </w:pPr>
    </w:p>
    <w:p w14:paraId="3FDB0743">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331D5E5D">
      <w:pPr>
        <w:spacing w:line="300" w:lineRule="auto"/>
        <w:ind w:firstLine="482"/>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2.本采购标的对应的所属行业：</w:t>
      </w:r>
      <w:r>
        <w:rPr>
          <w:rFonts w:hint="eastAsia" w:ascii="宋体" w:hAnsi="宋体" w:cs="宋体"/>
          <w:b/>
          <w:bCs/>
          <w:color w:val="auto"/>
          <w:sz w:val="24"/>
          <w:szCs w:val="24"/>
          <w:highlight w:val="none"/>
          <w:lang w:val="en-US" w:eastAsia="zh-CN"/>
        </w:rPr>
        <w:t>建筑业</w:t>
      </w:r>
    </w:p>
    <w:p w14:paraId="63659057">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01C0B1F">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3.符合《关于促进残疾人就业政府采购政策的通知》（财库〔2017〕141号）规定的条件并提供《残疾人福利性单位声明函》的残疾人福利性单位视同小型、微型企业；</w:t>
      </w:r>
    </w:p>
    <w:p w14:paraId="47239337">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eastAsia="宋体" w:cs="宋体"/>
          <w:b/>
          <w:bCs/>
          <w:color w:val="auto"/>
          <w:sz w:val="24"/>
          <w:szCs w:val="24"/>
          <w:highlight w:val="none"/>
          <w:lang w:val="en-US" w:eastAsia="zh-CN"/>
        </w:rPr>
        <w:br w:type="page"/>
      </w:r>
    </w:p>
    <w:p w14:paraId="662AB297">
      <w:pPr>
        <w:spacing w:line="300" w:lineRule="auto"/>
        <w:ind w:firstLine="315" w:firstLineChars="98"/>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、残疾人福利性单位声明函格式</w:t>
      </w:r>
    </w:p>
    <w:p w14:paraId="400729C4">
      <w:pPr>
        <w:spacing w:line="300" w:lineRule="auto"/>
        <w:ind w:firstLine="315" w:firstLineChars="98"/>
        <w:jc w:val="center"/>
        <w:rPr>
          <w:rFonts w:hint="eastAsia" w:ascii="宋体" w:hAnsi="宋体" w:eastAsia="宋体" w:cs="宋体"/>
          <w:b/>
          <w:bCs/>
          <w:color w:val="auto"/>
          <w:sz w:val="32"/>
          <w:szCs w:val="32"/>
          <w:highlight w:val="none"/>
        </w:rPr>
      </w:pPr>
    </w:p>
    <w:p w14:paraId="5086F02D">
      <w:pPr>
        <w:spacing w:line="300" w:lineRule="auto"/>
        <w:ind w:firstLine="315" w:firstLineChars="98"/>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14:paraId="01ECCAA0">
      <w:pPr>
        <w:spacing w:line="300" w:lineRule="auto"/>
        <w:ind w:firstLine="480"/>
        <w:jc w:val="center"/>
        <w:rPr>
          <w:rFonts w:hint="eastAsia" w:ascii="宋体" w:hAnsi="宋体" w:eastAsia="宋体" w:cs="宋体"/>
          <w:color w:val="auto"/>
          <w:szCs w:val="24"/>
          <w:highlight w:val="none"/>
        </w:rPr>
      </w:pPr>
      <w:r>
        <w:rPr>
          <w:rFonts w:hint="eastAsia" w:ascii="宋体" w:hAnsi="宋体" w:eastAsia="宋体" w:cs="宋体"/>
          <w:b/>
          <w:color w:val="auto"/>
          <w:sz w:val="24"/>
          <w:highlight w:val="none"/>
        </w:rPr>
        <w:t>【非残疾人福利性单位不用提供】</w:t>
      </w:r>
    </w:p>
    <w:p w14:paraId="4745AE59">
      <w:pPr>
        <w:spacing w:line="300" w:lineRule="auto"/>
        <w:ind w:firstLine="480"/>
        <w:rPr>
          <w:rFonts w:hint="eastAsia" w:ascii="宋体" w:hAnsi="宋体" w:eastAsia="宋体" w:cs="宋体"/>
          <w:color w:val="auto"/>
          <w:szCs w:val="24"/>
          <w:highlight w:val="none"/>
        </w:rPr>
      </w:pPr>
    </w:p>
    <w:p w14:paraId="1D406730">
      <w:pPr>
        <w:spacing w:line="30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0CFF93">
      <w:pPr>
        <w:spacing w:line="30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50246CD">
      <w:pPr>
        <w:pStyle w:val="12"/>
        <w:snapToGrid w:val="0"/>
        <w:spacing w:before="24" w:beforeLines="10" w:after="24" w:afterLines="10"/>
        <w:ind w:right="480" w:firstLine="420"/>
        <w:jc w:val="right"/>
        <w:rPr>
          <w:rFonts w:hint="eastAsia" w:ascii="宋体" w:hAnsi="宋体" w:eastAsia="宋体" w:cs="宋体"/>
          <w:color w:val="auto"/>
          <w:sz w:val="24"/>
          <w:szCs w:val="24"/>
          <w:highlight w:val="none"/>
        </w:rPr>
      </w:pPr>
    </w:p>
    <w:p w14:paraId="0CF0B45B">
      <w:pPr>
        <w:pStyle w:val="12"/>
        <w:snapToGrid w:val="0"/>
        <w:spacing w:before="24" w:beforeLines="10" w:after="24" w:afterLines="10"/>
        <w:ind w:right="480" w:firstLine="420"/>
        <w:jc w:val="right"/>
        <w:rPr>
          <w:rFonts w:hint="eastAsia" w:ascii="宋体" w:hAnsi="宋体" w:eastAsia="宋体" w:cs="宋体"/>
          <w:color w:val="auto"/>
          <w:sz w:val="24"/>
          <w:szCs w:val="24"/>
          <w:highlight w:val="none"/>
        </w:rPr>
      </w:pPr>
    </w:p>
    <w:p w14:paraId="7D957F96">
      <w:pPr>
        <w:pStyle w:val="12"/>
        <w:snapToGrid w:val="0"/>
        <w:spacing w:before="24" w:beforeLines="10" w:after="24" w:afterLines="10"/>
        <w:ind w:right="480" w:firstLine="420"/>
        <w:jc w:val="right"/>
        <w:rPr>
          <w:rFonts w:hint="eastAsia" w:ascii="宋体" w:hAnsi="宋体" w:eastAsia="宋体" w:cs="宋体"/>
          <w:color w:val="auto"/>
          <w:sz w:val="24"/>
          <w:szCs w:val="24"/>
          <w:highlight w:val="none"/>
        </w:rPr>
      </w:pPr>
    </w:p>
    <w:p w14:paraId="3C20BA0D">
      <w:pPr>
        <w:spacing w:line="30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___________</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39FA3F91">
      <w:pPr>
        <w:spacing w:line="300" w:lineRule="auto"/>
        <w:ind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w:t>
      </w:r>
    </w:p>
    <w:p w14:paraId="751F6EE3">
      <w:pPr>
        <w:spacing w:line="30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期：_____年____月____日</w:t>
      </w:r>
    </w:p>
    <w:p w14:paraId="3F5C64ED">
      <w:pPr>
        <w:spacing w:line="300" w:lineRule="auto"/>
        <w:ind w:firstLine="315" w:firstLineChars="98"/>
        <w:jc w:val="center"/>
        <w:rPr>
          <w:rFonts w:hint="eastAsia" w:ascii="宋体" w:hAnsi="宋体" w:eastAsia="宋体" w:cs="宋体"/>
          <w:b/>
          <w:bCs/>
          <w:color w:val="auto"/>
          <w:sz w:val="32"/>
          <w:szCs w:val="32"/>
          <w:highlight w:val="none"/>
          <w:lang w:val="en-US" w:eastAsia="zh-CN"/>
        </w:rPr>
      </w:pPr>
    </w:p>
    <w:p w14:paraId="503041AE">
      <w:pPr>
        <w:spacing w:line="300" w:lineRule="auto"/>
        <w:ind w:firstLine="315" w:firstLineChars="98"/>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监狱和戒毒企业证明材料</w:t>
      </w:r>
    </w:p>
    <w:p w14:paraId="6965EFBF">
      <w:pPr>
        <w:spacing w:before="107"/>
        <w:ind w:left="604" w:right="66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【非监狱企业不用提供】</w:t>
      </w:r>
    </w:p>
    <w:p w14:paraId="067C7AB8">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监狱和戒毒企业参加投标时应提供由省级以上监狱管理局、戒毒管理局（含新疆生产建设兵团）出具的属于监狱企业的证明文件。</w:t>
      </w:r>
    </w:p>
    <w:p w14:paraId="2428E53A">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793504D6">
      <w:pPr>
        <w:snapToGrid w:val="0"/>
        <w:spacing w:before="100" w:beforeAutospacing="1" w:after="100" w:afterAutospacing="1" w:line="276" w:lineRule="auto"/>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、磋商声明书格式</w:t>
      </w:r>
    </w:p>
    <w:p w14:paraId="24D140C2">
      <w:pPr>
        <w:snapToGrid w:val="0"/>
        <w:spacing w:before="100" w:beforeAutospacing="1" w:after="100" w:afterAutospacing="1" w:line="276" w:lineRule="auto"/>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磋商声明书</w:t>
      </w:r>
    </w:p>
    <w:p w14:paraId="55E73008">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（代理机构名称）：</w:t>
      </w:r>
    </w:p>
    <w:p w14:paraId="6AA6E7F4">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6C674AE">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（供应商名称）的法定代表人，我方愿意参加贵方组织的</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嘉善县实验小学2025年度校舍常规维修</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项目的磋商，为便于贵方公正、择优地确定成交单位及其服务，我方就本次磋商有关事项郑重声明如下：</w:t>
      </w:r>
    </w:p>
    <w:p w14:paraId="38AC9030">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14:paraId="26B30F0E">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2.我方不是采购人的附属机构；在获知本项目采购信息后，与采购人聘请的为此项目提供咨询服务的公司及其附属机构没有任何联系。</w:t>
      </w:r>
    </w:p>
    <w:p w14:paraId="39A2DF60">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3.我方此次向贵方提供的服务名称为：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77D6090">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4.我方诚意提请贵方关注：有关该项目的重大决策和事项有：</w:t>
      </w:r>
    </w:p>
    <w:p w14:paraId="57079A94">
      <w:pPr>
        <w:snapToGrid w:val="0"/>
        <w:spacing w:line="27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0CB64B0C">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p>
    <w:p w14:paraId="1E3D9D02">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5.我方最近三年内的被公开披露或查处的违法违规行为有：</w:t>
      </w:r>
      <w:r>
        <w:rPr>
          <w:rFonts w:hint="eastAsia" w:ascii="宋体" w:hAnsi="宋体" w:eastAsia="宋体" w:cs="宋体"/>
          <w:color w:val="auto"/>
          <w:sz w:val="24"/>
          <w:highlight w:val="none"/>
        </w:rPr>
        <w:t>（若有，请如实填写；若无，请作出“参加政府采购活动前三年内，在经营活动中没有重大违法记录”的承诺）</w:t>
      </w:r>
    </w:p>
    <w:p w14:paraId="0588AFD1">
      <w:pPr>
        <w:snapToGrid w:val="0"/>
        <w:spacing w:line="27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2A4055B5">
      <w:pPr>
        <w:snapToGrid w:val="0"/>
        <w:spacing w:line="27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2B2B5747">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6.以上事项如有虚假或隐瞒，我方愿意承担一切后果和责任。</w:t>
      </w:r>
    </w:p>
    <w:p w14:paraId="1F7E16FB">
      <w:pPr>
        <w:pStyle w:val="36"/>
        <w:snapToGrid w:val="0"/>
        <w:spacing w:before="100" w:beforeAutospacing="1" w:after="100" w:afterAutospacing="1" w:line="276" w:lineRule="auto"/>
        <w:ind w:firstLine="480" w:firstLineChars="200"/>
        <w:rPr>
          <w:rFonts w:hint="eastAsia" w:ascii="宋体" w:hAnsi="宋体" w:eastAsia="宋体" w:cs="宋体"/>
          <w:color w:val="auto"/>
          <w:highlight w:val="none"/>
        </w:rPr>
      </w:pPr>
    </w:p>
    <w:p w14:paraId="152A921C">
      <w:pPr>
        <w:snapToGrid w:val="0"/>
        <w:spacing w:before="100" w:beforeAutospacing="1" w:after="100" w:afterAutospacing="1" w:line="276"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p>
    <w:p w14:paraId="6A43246D">
      <w:pPr>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    月    日</w:t>
      </w:r>
    </w:p>
    <w:p w14:paraId="3FE36FB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88A1E6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、诚信承诺书格式</w:t>
      </w:r>
    </w:p>
    <w:p w14:paraId="13534AD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诚信承诺书</w:t>
      </w:r>
    </w:p>
    <w:p w14:paraId="5BDECD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（采购人或采购组织机构） </w:t>
      </w:r>
      <w:r>
        <w:rPr>
          <w:rFonts w:hint="eastAsia" w:ascii="宋体" w:hAnsi="宋体" w:eastAsia="宋体" w:cs="宋体"/>
          <w:color w:val="auto"/>
          <w:sz w:val="24"/>
          <w:highlight w:val="none"/>
        </w:rPr>
        <w:t>：</w:t>
      </w:r>
    </w:p>
    <w:p w14:paraId="17A4EE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我方在参加贵单位的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嘉善县实验小学2025年度校舍常规维修</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highlight w:val="none"/>
        </w:rPr>
        <w:t>政府采购项目的磋商活动中，郑重承诺如下：</w:t>
      </w:r>
    </w:p>
    <w:p w14:paraId="6D4A9E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1.我方申报的所有资料都是真实、准确、完整的；</w:t>
      </w:r>
    </w:p>
    <w:p w14:paraId="496984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2.我方无资质挂靠情形，保证不参与串标、围标及抬标；</w:t>
      </w:r>
    </w:p>
    <w:p w14:paraId="569F7E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3.我方未处于被各级行政主管部门做出停止市场行为处罚的期限内；</w:t>
      </w:r>
    </w:p>
    <w:p w14:paraId="5D0A27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4.我方参加本项目政府采购活动前3年内在经营活动中没有重大违法记录、没有受到行政处罚、行政处理（含通报）或记入不良行为；</w:t>
      </w:r>
    </w:p>
    <w:p w14:paraId="658423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5.我方法人代表、主要负责人所在的公司在近三年内没有违法违规行为；</w:t>
      </w:r>
    </w:p>
    <w:p w14:paraId="7D6699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6.若我方中标，将严格按照规定及时与采购人签订合同；</w:t>
      </w:r>
    </w:p>
    <w:p w14:paraId="3FC4D9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7.若我方中标，将严格按照磋商文件要求及响应文件承诺的报价、质量、工期、响应方案、项目负责人等内容组织实施；</w:t>
      </w:r>
    </w:p>
    <w:p w14:paraId="31AC13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若违反上述承诺，隐瞒、提供虚假资料或不按磋商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17761A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5A7D8F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01704F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7C5C1F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B77D97C">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5F61462">
      <w:pPr>
        <w:snapToGrid w:val="0"/>
        <w:spacing w:before="100" w:beforeAutospacing="1" w:after="100" w:afterAutospacing="1" w:line="276"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、法定代表人授权委托书格式</w:t>
      </w:r>
    </w:p>
    <w:p w14:paraId="21E9B53E">
      <w:pPr>
        <w:snapToGrid w:val="0"/>
        <w:spacing w:before="100" w:beforeAutospacing="1" w:after="100" w:afterAutospacing="1" w:line="276" w:lineRule="auto"/>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法定代表人授权委托书</w:t>
      </w:r>
    </w:p>
    <w:p w14:paraId="1A9E8DCE">
      <w:pPr>
        <w:snapToGrid w:val="0"/>
        <w:spacing w:before="100" w:beforeAutospacing="1" w:after="100" w:afterAutospacing="1" w:line="276"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（采购单位名称）</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w:t>
      </w:r>
    </w:p>
    <w:p w14:paraId="4234466C">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（供应商名称）的法定代表人，现授权委托本单位在职职工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（姓名）以我方的名义参加</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嘉善县实验小学2025年度校舍常规维修</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政府采购项目的磋商活动，并代表我方全权办理针对上述项目的磋商、开标、评标、签约等具体事务和签署相关文件。</w:t>
      </w:r>
    </w:p>
    <w:p w14:paraId="1C2D1D27">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我方对被授权人的签名负全部责任。</w:t>
      </w:r>
    </w:p>
    <w:p w14:paraId="204EA456">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在撤销授权的书面通知以前，本授权书一直有效。被授权人在授权书有效期内签署的所有文件不因授权的撤销而失效。</w:t>
      </w:r>
    </w:p>
    <w:p w14:paraId="43398AD4">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14:paraId="1B459C1B">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p>
    <w:p w14:paraId="172BE2AF">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w:t>
      </w:r>
      <w:r>
        <w:rPr>
          <w:rFonts w:hint="eastAsia" w:ascii="宋体" w:hAnsi="宋体" w:cs="宋体"/>
          <w:color w:val="auto"/>
          <w:sz w:val="24"/>
          <w:szCs w:val="24"/>
          <w:highlight w:val="none"/>
        </w:rPr>
        <w:t>签字</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cs="宋体"/>
          <w:color w:val="auto"/>
          <w:sz w:val="24"/>
          <w:szCs w:val="24"/>
          <w:highlight w:val="none"/>
        </w:rPr>
        <w:t>签字</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u w:val="single"/>
        </w:rPr>
        <w:t xml:space="preserve">          </w:t>
      </w:r>
    </w:p>
    <w:p w14:paraId="1DCBDF2E">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35691B3B">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2CDC0A2">
      <w:pPr>
        <w:snapToGrid w:val="0"/>
        <w:spacing w:before="100" w:beforeAutospacing="1" w:after="100" w:afterAutospacing="1" w:line="276" w:lineRule="auto"/>
        <w:ind w:right="9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4589DD7D">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bl>
      <w:tblPr>
        <w:tblStyle w:val="24"/>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3A30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noWrap w:val="0"/>
            <w:vAlign w:val="top"/>
          </w:tcPr>
          <w:p w14:paraId="1B7482F4">
            <w:pPr>
              <w:spacing w:line="300" w:lineRule="auto"/>
              <w:rPr>
                <w:rFonts w:hint="eastAsia" w:ascii="宋体" w:hAnsi="宋体" w:eastAsia="宋体" w:cs="宋体"/>
                <w:b/>
                <w:bCs/>
                <w:color w:val="auto"/>
                <w:sz w:val="44"/>
                <w:szCs w:val="44"/>
                <w:highlight w:val="none"/>
              </w:rPr>
            </w:pPr>
          </w:p>
          <w:p w14:paraId="4DF5BE8F">
            <w:pPr>
              <w:spacing w:line="30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被授权人身份证复印件（双面复印）</w:t>
            </w:r>
          </w:p>
        </w:tc>
      </w:tr>
    </w:tbl>
    <w:p w14:paraId="76E44DE2">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401CDCC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十</w:t>
      </w:r>
      <w:r>
        <w:rPr>
          <w:rFonts w:hint="eastAsia" w:ascii="宋体" w:hAnsi="宋体" w:eastAsia="宋体" w:cs="宋体"/>
          <w:b/>
          <w:color w:val="auto"/>
          <w:sz w:val="32"/>
          <w:szCs w:val="32"/>
          <w:highlight w:val="none"/>
        </w:rPr>
        <w:t>、供应商基本情况表格式</w:t>
      </w:r>
    </w:p>
    <w:p w14:paraId="1FDD7A30">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供应商基本情况表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2412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6E38B63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tc>
        <w:tc>
          <w:tcPr>
            <w:tcW w:w="6339" w:type="dxa"/>
            <w:gridSpan w:val="5"/>
            <w:noWrap w:val="0"/>
            <w:vAlign w:val="center"/>
          </w:tcPr>
          <w:p w14:paraId="63FE14AA">
            <w:pPr>
              <w:spacing w:line="360" w:lineRule="auto"/>
              <w:ind w:firstLine="480" w:firstLineChars="200"/>
              <w:rPr>
                <w:rFonts w:hint="eastAsia" w:ascii="宋体" w:hAnsi="宋体" w:eastAsia="宋体" w:cs="宋体"/>
                <w:color w:val="auto"/>
                <w:sz w:val="24"/>
                <w:highlight w:val="none"/>
              </w:rPr>
            </w:pPr>
          </w:p>
        </w:tc>
      </w:tr>
      <w:tr w14:paraId="08A1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115EC934">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6339" w:type="dxa"/>
            <w:gridSpan w:val="5"/>
            <w:noWrap w:val="0"/>
            <w:vAlign w:val="center"/>
          </w:tcPr>
          <w:p w14:paraId="702C903B">
            <w:pPr>
              <w:spacing w:line="360" w:lineRule="auto"/>
              <w:ind w:firstLine="480" w:firstLineChars="200"/>
              <w:rPr>
                <w:rFonts w:hint="eastAsia" w:ascii="宋体" w:hAnsi="宋体" w:eastAsia="宋体" w:cs="宋体"/>
                <w:color w:val="auto"/>
                <w:sz w:val="24"/>
                <w:highlight w:val="none"/>
              </w:rPr>
            </w:pPr>
          </w:p>
        </w:tc>
      </w:tr>
      <w:tr w14:paraId="4857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noWrap w:val="0"/>
            <w:vAlign w:val="center"/>
          </w:tcPr>
          <w:p w14:paraId="20D044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经营范围</w:t>
            </w:r>
          </w:p>
        </w:tc>
        <w:tc>
          <w:tcPr>
            <w:tcW w:w="2118" w:type="dxa"/>
            <w:noWrap w:val="0"/>
            <w:vAlign w:val="center"/>
          </w:tcPr>
          <w:p w14:paraId="1EA29476">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04B0EA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企业类型</w:t>
            </w:r>
          </w:p>
        </w:tc>
        <w:tc>
          <w:tcPr>
            <w:tcW w:w="2241" w:type="dxa"/>
            <w:gridSpan w:val="3"/>
            <w:noWrap w:val="0"/>
            <w:vAlign w:val="center"/>
          </w:tcPr>
          <w:p w14:paraId="0666384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（大型、中型、小型、微型）</w:t>
            </w:r>
          </w:p>
        </w:tc>
      </w:tr>
      <w:tr w14:paraId="5660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185E09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p>
        </w:tc>
        <w:tc>
          <w:tcPr>
            <w:tcW w:w="2118" w:type="dxa"/>
            <w:noWrap w:val="0"/>
            <w:vAlign w:val="center"/>
          </w:tcPr>
          <w:p w14:paraId="3F0A550C">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1B93C0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经济性质</w:t>
            </w:r>
          </w:p>
        </w:tc>
        <w:tc>
          <w:tcPr>
            <w:tcW w:w="2241" w:type="dxa"/>
            <w:gridSpan w:val="3"/>
            <w:noWrap w:val="0"/>
            <w:vAlign w:val="center"/>
          </w:tcPr>
          <w:p w14:paraId="1CE285B4">
            <w:pPr>
              <w:spacing w:line="360" w:lineRule="auto"/>
              <w:ind w:firstLine="480" w:firstLineChars="200"/>
              <w:rPr>
                <w:rFonts w:hint="eastAsia" w:ascii="宋体" w:hAnsi="宋体" w:eastAsia="宋体" w:cs="宋体"/>
                <w:color w:val="auto"/>
                <w:sz w:val="24"/>
                <w:highlight w:val="none"/>
              </w:rPr>
            </w:pPr>
          </w:p>
        </w:tc>
      </w:tr>
      <w:tr w14:paraId="764A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2EC713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118" w:type="dxa"/>
            <w:noWrap w:val="0"/>
            <w:vAlign w:val="center"/>
          </w:tcPr>
          <w:p w14:paraId="27A78EEC">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0ECA75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2241" w:type="dxa"/>
            <w:gridSpan w:val="3"/>
            <w:noWrap w:val="0"/>
            <w:vAlign w:val="center"/>
          </w:tcPr>
          <w:p w14:paraId="587A80DF">
            <w:pPr>
              <w:spacing w:line="360" w:lineRule="auto"/>
              <w:ind w:firstLine="480" w:firstLineChars="200"/>
              <w:rPr>
                <w:rFonts w:hint="eastAsia" w:ascii="宋体" w:hAnsi="宋体" w:eastAsia="宋体" w:cs="宋体"/>
                <w:color w:val="auto"/>
                <w:sz w:val="24"/>
                <w:highlight w:val="none"/>
              </w:rPr>
            </w:pPr>
          </w:p>
        </w:tc>
      </w:tr>
      <w:tr w14:paraId="0C10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0"/>
            <w:vAlign w:val="center"/>
          </w:tcPr>
          <w:p w14:paraId="2F7DD8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注册资本</w:t>
            </w:r>
          </w:p>
        </w:tc>
        <w:tc>
          <w:tcPr>
            <w:tcW w:w="2118" w:type="dxa"/>
            <w:vMerge w:val="restart"/>
            <w:noWrap w:val="0"/>
            <w:vAlign w:val="center"/>
          </w:tcPr>
          <w:p w14:paraId="1D2B2F4F">
            <w:pPr>
              <w:spacing w:line="360" w:lineRule="auto"/>
              <w:ind w:firstLine="480" w:firstLineChars="200"/>
              <w:rPr>
                <w:rFonts w:hint="eastAsia" w:ascii="宋体" w:hAnsi="宋体" w:eastAsia="宋体" w:cs="宋体"/>
                <w:color w:val="auto"/>
                <w:sz w:val="24"/>
                <w:highlight w:val="none"/>
              </w:rPr>
            </w:pPr>
          </w:p>
        </w:tc>
        <w:tc>
          <w:tcPr>
            <w:tcW w:w="1980" w:type="dxa"/>
            <w:vMerge w:val="restart"/>
            <w:noWrap w:val="0"/>
            <w:vAlign w:val="center"/>
          </w:tcPr>
          <w:p w14:paraId="327CFFE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技术人员数</w:t>
            </w:r>
          </w:p>
        </w:tc>
        <w:tc>
          <w:tcPr>
            <w:tcW w:w="720" w:type="dxa"/>
            <w:noWrap w:val="0"/>
            <w:vAlign w:val="center"/>
          </w:tcPr>
          <w:p w14:paraId="6835C5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高级</w:t>
            </w:r>
          </w:p>
        </w:tc>
        <w:tc>
          <w:tcPr>
            <w:tcW w:w="720" w:type="dxa"/>
            <w:noWrap w:val="0"/>
            <w:vAlign w:val="center"/>
          </w:tcPr>
          <w:p w14:paraId="46143C2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中级</w:t>
            </w:r>
          </w:p>
        </w:tc>
        <w:tc>
          <w:tcPr>
            <w:tcW w:w="801" w:type="dxa"/>
            <w:noWrap w:val="0"/>
            <w:vAlign w:val="center"/>
          </w:tcPr>
          <w:p w14:paraId="1A8651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初级</w:t>
            </w:r>
          </w:p>
        </w:tc>
      </w:tr>
      <w:tr w14:paraId="688D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0"/>
            <w:vAlign w:val="center"/>
          </w:tcPr>
          <w:p w14:paraId="189FC4E3">
            <w:pPr>
              <w:spacing w:line="360" w:lineRule="auto"/>
              <w:ind w:firstLine="480" w:firstLineChars="200"/>
              <w:rPr>
                <w:rFonts w:hint="eastAsia" w:ascii="宋体" w:hAnsi="宋体" w:eastAsia="宋体" w:cs="宋体"/>
                <w:color w:val="auto"/>
                <w:sz w:val="24"/>
                <w:highlight w:val="none"/>
              </w:rPr>
            </w:pPr>
          </w:p>
        </w:tc>
        <w:tc>
          <w:tcPr>
            <w:tcW w:w="2118" w:type="dxa"/>
            <w:vMerge w:val="continue"/>
            <w:noWrap w:val="0"/>
            <w:vAlign w:val="center"/>
          </w:tcPr>
          <w:p w14:paraId="20A00F98">
            <w:pPr>
              <w:spacing w:line="360" w:lineRule="auto"/>
              <w:ind w:firstLine="480" w:firstLineChars="200"/>
              <w:rPr>
                <w:rFonts w:hint="eastAsia" w:ascii="宋体" w:hAnsi="宋体" w:eastAsia="宋体" w:cs="宋体"/>
                <w:color w:val="auto"/>
                <w:sz w:val="24"/>
                <w:highlight w:val="none"/>
              </w:rPr>
            </w:pPr>
          </w:p>
        </w:tc>
        <w:tc>
          <w:tcPr>
            <w:tcW w:w="1980" w:type="dxa"/>
            <w:vMerge w:val="continue"/>
            <w:noWrap w:val="0"/>
            <w:vAlign w:val="center"/>
          </w:tcPr>
          <w:p w14:paraId="757B1E65">
            <w:pPr>
              <w:spacing w:line="360" w:lineRule="auto"/>
              <w:ind w:firstLine="480" w:firstLineChars="200"/>
              <w:rPr>
                <w:rFonts w:hint="eastAsia" w:ascii="宋体" w:hAnsi="宋体" w:eastAsia="宋体" w:cs="宋体"/>
                <w:color w:val="auto"/>
                <w:sz w:val="24"/>
                <w:highlight w:val="none"/>
              </w:rPr>
            </w:pPr>
          </w:p>
        </w:tc>
        <w:tc>
          <w:tcPr>
            <w:tcW w:w="720" w:type="dxa"/>
            <w:noWrap w:val="0"/>
            <w:vAlign w:val="center"/>
          </w:tcPr>
          <w:p w14:paraId="51E75D7F">
            <w:pPr>
              <w:spacing w:line="360" w:lineRule="auto"/>
              <w:ind w:firstLine="480" w:firstLineChars="200"/>
              <w:rPr>
                <w:rFonts w:hint="eastAsia" w:ascii="宋体" w:hAnsi="宋体" w:eastAsia="宋体" w:cs="宋体"/>
                <w:color w:val="auto"/>
                <w:sz w:val="24"/>
                <w:highlight w:val="none"/>
              </w:rPr>
            </w:pPr>
          </w:p>
        </w:tc>
        <w:tc>
          <w:tcPr>
            <w:tcW w:w="720" w:type="dxa"/>
            <w:noWrap w:val="0"/>
            <w:vAlign w:val="center"/>
          </w:tcPr>
          <w:p w14:paraId="42712DB0">
            <w:pPr>
              <w:spacing w:line="360" w:lineRule="auto"/>
              <w:ind w:firstLine="480" w:firstLineChars="200"/>
              <w:rPr>
                <w:rFonts w:hint="eastAsia" w:ascii="宋体" w:hAnsi="宋体" w:eastAsia="宋体" w:cs="宋体"/>
                <w:color w:val="auto"/>
                <w:sz w:val="24"/>
                <w:highlight w:val="none"/>
              </w:rPr>
            </w:pPr>
          </w:p>
        </w:tc>
        <w:tc>
          <w:tcPr>
            <w:tcW w:w="801" w:type="dxa"/>
            <w:noWrap w:val="0"/>
            <w:vAlign w:val="center"/>
          </w:tcPr>
          <w:p w14:paraId="11715E47">
            <w:pPr>
              <w:spacing w:line="360" w:lineRule="auto"/>
              <w:ind w:firstLine="480" w:firstLineChars="200"/>
              <w:rPr>
                <w:rFonts w:hint="eastAsia" w:ascii="宋体" w:hAnsi="宋体" w:eastAsia="宋体" w:cs="宋体"/>
                <w:color w:val="auto"/>
                <w:sz w:val="24"/>
                <w:highlight w:val="none"/>
              </w:rPr>
            </w:pPr>
          </w:p>
        </w:tc>
      </w:tr>
      <w:tr w14:paraId="7558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420BCE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资产总额</w:t>
            </w:r>
          </w:p>
        </w:tc>
        <w:tc>
          <w:tcPr>
            <w:tcW w:w="2118" w:type="dxa"/>
            <w:noWrap w:val="0"/>
            <w:vAlign w:val="center"/>
          </w:tcPr>
          <w:p w14:paraId="534BB3AF">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36533DA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所有者权益</w:t>
            </w:r>
          </w:p>
        </w:tc>
        <w:tc>
          <w:tcPr>
            <w:tcW w:w="2241" w:type="dxa"/>
            <w:gridSpan w:val="3"/>
            <w:noWrap w:val="0"/>
            <w:vAlign w:val="center"/>
          </w:tcPr>
          <w:p w14:paraId="04EC47C3">
            <w:pPr>
              <w:spacing w:line="360" w:lineRule="auto"/>
              <w:ind w:firstLine="480" w:firstLineChars="200"/>
              <w:rPr>
                <w:rFonts w:hint="eastAsia" w:ascii="宋体" w:hAnsi="宋体" w:eastAsia="宋体" w:cs="宋体"/>
                <w:color w:val="auto"/>
                <w:sz w:val="24"/>
                <w:highlight w:val="none"/>
              </w:rPr>
            </w:pPr>
          </w:p>
        </w:tc>
      </w:tr>
      <w:tr w14:paraId="59E6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04302E5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是否依法纳税</w:t>
            </w:r>
          </w:p>
        </w:tc>
        <w:tc>
          <w:tcPr>
            <w:tcW w:w="2118" w:type="dxa"/>
            <w:noWrap w:val="0"/>
            <w:vAlign w:val="center"/>
          </w:tcPr>
          <w:p w14:paraId="6A0A3683">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0E2DB18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是否参加社保</w:t>
            </w:r>
          </w:p>
        </w:tc>
        <w:tc>
          <w:tcPr>
            <w:tcW w:w="2241" w:type="dxa"/>
            <w:gridSpan w:val="3"/>
            <w:noWrap w:val="0"/>
            <w:vAlign w:val="center"/>
          </w:tcPr>
          <w:p w14:paraId="16BAE692">
            <w:pPr>
              <w:spacing w:line="360" w:lineRule="auto"/>
              <w:ind w:firstLine="480" w:firstLineChars="200"/>
              <w:rPr>
                <w:rFonts w:hint="eastAsia" w:ascii="宋体" w:hAnsi="宋体" w:eastAsia="宋体" w:cs="宋体"/>
                <w:color w:val="auto"/>
                <w:sz w:val="24"/>
                <w:highlight w:val="none"/>
              </w:rPr>
            </w:pPr>
          </w:p>
        </w:tc>
      </w:tr>
      <w:tr w14:paraId="7C72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14:paraId="5B0D64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本地化服务机构情况</w:t>
            </w:r>
          </w:p>
        </w:tc>
        <w:tc>
          <w:tcPr>
            <w:tcW w:w="6339" w:type="dxa"/>
            <w:gridSpan w:val="5"/>
            <w:noWrap w:val="0"/>
            <w:vAlign w:val="center"/>
          </w:tcPr>
          <w:p w14:paraId="2407ED5E">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本地化服务机构名称：</w:t>
            </w:r>
          </w:p>
          <w:p w14:paraId="51ED1CD6">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7DA27EDD">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人员状况：</w:t>
            </w:r>
          </w:p>
          <w:p w14:paraId="51292D1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p w14:paraId="573D4B5B">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（可另附纸说明）</w:t>
            </w:r>
          </w:p>
        </w:tc>
      </w:tr>
    </w:tbl>
    <w:p w14:paraId="18DDE3CC">
      <w:pPr>
        <w:spacing w:line="360" w:lineRule="auto"/>
        <w:ind w:firstLine="480" w:firstLineChars="200"/>
        <w:jc w:val="left"/>
        <w:rPr>
          <w:rFonts w:hint="eastAsia" w:ascii="宋体" w:hAnsi="宋体" w:eastAsia="宋体" w:cs="宋体"/>
          <w:color w:val="auto"/>
          <w:sz w:val="24"/>
          <w:highlight w:val="none"/>
          <w:lang w:eastAsia="zh-CN"/>
        </w:rPr>
      </w:pPr>
    </w:p>
    <w:p w14:paraId="5047061B">
      <w:pPr>
        <w:spacing w:line="360" w:lineRule="auto"/>
        <w:ind w:firstLine="3360" w:firstLineChars="1400"/>
        <w:contextualSpacing/>
        <w:rPr>
          <w:rFonts w:hint="eastAsia" w:ascii="宋体" w:hAnsi="宋体" w:eastAsia="宋体" w:cs="宋体"/>
          <w:color w:val="auto"/>
          <w:sz w:val="24"/>
          <w:szCs w:val="24"/>
          <w:highlight w:val="none"/>
        </w:rPr>
      </w:pPr>
    </w:p>
    <w:p w14:paraId="56C4BF16">
      <w:pPr>
        <w:spacing w:line="300" w:lineRule="auto"/>
        <w:ind w:firstLine="2400" w:firstLineChars="100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Cs w:val="24"/>
          <w:highlight w:val="none"/>
        </w:rPr>
        <w:t>________________</w:t>
      </w:r>
    </w:p>
    <w:p w14:paraId="5F0D2B9C">
      <w:pPr>
        <w:spacing w:line="300" w:lineRule="auto"/>
        <w:ind w:firstLine="4800" w:firstLineChars="2000"/>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color w:val="auto"/>
          <w:sz w:val="24"/>
          <w:szCs w:val="24"/>
          <w:highlight w:val="none"/>
        </w:rPr>
        <w:t>供应商名称（盖章）：</w:t>
      </w:r>
      <w:r>
        <w:rPr>
          <w:rFonts w:hint="eastAsia" w:ascii="宋体" w:hAnsi="宋体" w:eastAsia="宋体" w:cs="宋体"/>
          <w:i w:val="0"/>
          <w:iCs w:val="0"/>
          <w:color w:val="auto"/>
          <w:sz w:val="24"/>
          <w:szCs w:val="24"/>
          <w:highlight w:val="none"/>
          <w:u w:val="single"/>
          <w:lang w:val="en-US" w:eastAsia="zh-CN"/>
        </w:rPr>
        <w:t xml:space="preserve">               </w:t>
      </w:r>
    </w:p>
    <w:p w14:paraId="6B850B7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期：_____年____月____日</w:t>
      </w:r>
    </w:p>
    <w:p w14:paraId="22D83CE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45A16F1">
      <w:pPr>
        <w:snapToGrid w:val="0"/>
        <w:spacing w:before="100" w:beforeAutospacing="1" w:after="100" w:afterAutospacing="1" w:line="360" w:lineRule="exact"/>
        <w:ind w:firstLine="0" w:firstLineChars="0"/>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lang w:val="en-US" w:eastAsia="zh-CN"/>
        </w:rPr>
        <w:t>十一</w:t>
      </w:r>
      <w:r>
        <w:rPr>
          <w:rFonts w:hint="eastAsia" w:ascii="宋体" w:hAnsi="宋体" w:eastAsia="宋体" w:cs="宋体"/>
          <w:b/>
          <w:color w:val="auto"/>
          <w:sz w:val="32"/>
          <w:szCs w:val="32"/>
          <w:highlight w:val="none"/>
        </w:rPr>
        <w:t>、项目负责人简历表格式</w:t>
      </w:r>
    </w:p>
    <w:p w14:paraId="37EE7B9F">
      <w:pPr>
        <w:snapToGrid w:val="0"/>
        <w:spacing w:before="100" w:beforeAutospacing="1" w:after="100" w:afterAutospacing="1" w:line="276" w:lineRule="auto"/>
        <w:ind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项目负责人简历表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342"/>
        <w:gridCol w:w="899"/>
        <w:gridCol w:w="1524"/>
        <w:gridCol w:w="273"/>
        <w:gridCol w:w="1870"/>
      </w:tblGrid>
      <w:tr w14:paraId="0EA1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noWrap w:val="0"/>
            <w:vAlign w:val="center"/>
          </w:tcPr>
          <w:p w14:paraId="4D9EB7C9">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804" w:type="dxa"/>
            <w:gridSpan w:val="2"/>
            <w:noWrap w:val="0"/>
            <w:vAlign w:val="center"/>
          </w:tcPr>
          <w:p w14:paraId="5F8BC055">
            <w:pPr>
              <w:spacing w:line="300" w:lineRule="auto"/>
              <w:ind w:firstLine="0" w:firstLineChars="0"/>
              <w:jc w:val="center"/>
              <w:rPr>
                <w:rFonts w:hint="eastAsia" w:ascii="宋体" w:hAnsi="宋体" w:eastAsia="宋体" w:cs="宋体"/>
                <w:color w:val="auto"/>
                <w:sz w:val="24"/>
                <w:szCs w:val="24"/>
                <w:highlight w:val="none"/>
              </w:rPr>
            </w:pPr>
          </w:p>
        </w:tc>
        <w:tc>
          <w:tcPr>
            <w:tcW w:w="1093" w:type="dxa"/>
            <w:noWrap w:val="0"/>
            <w:vAlign w:val="center"/>
          </w:tcPr>
          <w:p w14:paraId="35FBB3A5">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41" w:type="dxa"/>
            <w:gridSpan w:val="2"/>
            <w:noWrap w:val="0"/>
            <w:vAlign w:val="center"/>
          </w:tcPr>
          <w:p w14:paraId="2ABD7FD0">
            <w:pPr>
              <w:spacing w:line="300" w:lineRule="auto"/>
              <w:ind w:firstLine="0" w:firstLineChars="0"/>
              <w:jc w:val="center"/>
              <w:rPr>
                <w:rFonts w:hint="eastAsia" w:ascii="宋体" w:hAnsi="宋体" w:eastAsia="宋体" w:cs="宋体"/>
                <w:color w:val="auto"/>
                <w:sz w:val="24"/>
                <w:szCs w:val="24"/>
                <w:highlight w:val="none"/>
              </w:rPr>
            </w:pPr>
          </w:p>
        </w:tc>
        <w:tc>
          <w:tcPr>
            <w:tcW w:w="1524" w:type="dxa"/>
            <w:noWrap w:val="0"/>
            <w:vAlign w:val="center"/>
          </w:tcPr>
          <w:p w14:paraId="21F3777D">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143" w:type="dxa"/>
            <w:gridSpan w:val="2"/>
            <w:noWrap w:val="0"/>
            <w:vAlign w:val="center"/>
          </w:tcPr>
          <w:p w14:paraId="299785BC">
            <w:pPr>
              <w:spacing w:line="300" w:lineRule="auto"/>
              <w:ind w:firstLine="0" w:firstLineChars="0"/>
              <w:jc w:val="center"/>
              <w:rPr>
                <w:rFonts w:hint="eastAsia" w:ascii="宋体" w:hAnsi="宋体" w:eastAsia="宋体" w:cs="宋体"/>
                <w:color w:val="auto"/>
                <w:sz w:val="24"/>
                <w:szCs w:val="24"/>
                <w:highlight w:val="none"/>
              </w:rPr>
            </w:pPr>
          </w:p>
        </w:tc>
      </w:tr>
      <w:tr w14:paraId="05CC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noWrap w:val="0"/>
            <w:vAlign w:val="center"/>
          </w:tcPr>
          <w:p w14:paraId="0E01942F">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804" w:type="dxa"/>
            <w:gridSpan w:val="2"/>
            <w:noWrap w:val="0"/>
            <w:vAlign w:val="center"/>
          </w:tcPr>
          <w:p w14:paraId="21003AC3">
            <w:pPr>
              <w:spacing w:line="300" w:lineRule="auto"/>
              <w:ind w:firstLine="0" w:firstLineChars="0"/>
              <w:jc w:val="center"/>
              <w:rPr>
                <w:rFonts w:hint="eastAsia" w:ascii="宋体" w:hAnsi="宋体" w:eastAsia="宋体" w:cs="宋体"/>
                <w:color w:val="auto"/>
                <w:sz w:val="24"/>
                <w:szCs w:val="24"/>
                <w:highlight w:val="none"/>
              </w:rPr>
            </w:pPr>
          </w:p>
        </w:tc>
        <w:tc>
          <w:tcPr>
            <w:tcW w:w="1093" w:type="dxa"/>
            <w:noWrap w:val="0"/>
            <w:vAlign w:val="center"/>
          </w:tcPr>
          <w:p w14:paraId="6F9EC3B1">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241" w:type="dxa"/>
            <w:gridSpan w:val="2"/>
            <w:noWrap w:val="0"/>
            <w:vAlign w:val="center"/>
          </w:tcPr>
          <w:p w14:paraId="52CFBD9F">
            <w:pPr>
              <w:spacing w:line="300" w:lineRule="auto"/>
              <w:ind w:firstLine="0" w:firstLineChars="0"/>
              <w:jc w:val="center"/>
              <w:rPr>
                <w:rFonts w:hint="eastAsia" w:ascii="宋体" w:hAnsi="宋体" w:eastAsia="宋体" w:cs="宋体"/>
                <w:color w:val="auto"/>
                <w:sz w:val="24"/>
                <w:szCs w:val="24"/>
                <w:highlight w:val="none"/>
              </w:rPr>
            </w:pPr>
          </w:p>
        </w:tc>
        <w:tc>
          <w:tcPr>
            <w:tcW w:w="1524" w:type="dxa"/>
            <w:noWrap w:val="0"/>
            <w:vAlign w:val="center"/>
          </w:tcPr>
          <w:p w14:paraId="4FCDFE34">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拟在本项目</w:t>
            </w:r>
          </w:p>
          <w:p w14:paraId="24809046">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143" w:type="dxa"/>
            <w:gridSpan w:val="2"/>
            <w:noWrap w:val="0"/>
            <w:vAlign w:val="center"/>
          </w:tcPr>
          <w:p w14:paraId="0A6167D0">
            <w:pPr>
              <w:spacing w:line="300" w:lineRule="auto"/>
              <w:ind w:firstLine="0" w:firstLineChars="0"/>
              <w:jc w:val="center"/>
              <w:rPr>
                <w:rFonts w:hint="eastAsia" w:ascii="宋体" w:hAnsi="宋体" w:eastAsia="宋体" w:cs="宋体"/>
                <w:color w:val="auto"/>
                <w:sz w:val="24"/>
                <w:szCs w:val="24"/>
                <w:highlight w:val="none"/>
              </w:rPr>
            </w:pPr>
          </w:p>
        </w:tc>
      </w:tr>
      <w:tr w14:paraId="4527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9" w:type="dxa"/>
            <w:noWrap w:val="0"/>
            <w:vAlign w:val="center"/>
          </w:tcPr>
          <w:p w14:paraId="46818111">
            <w:pPr>
              <w:spacing w:line="30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注册资质</w:t>
            </w:r>
          </w:p>
        </w:tc>
        <w:tc>
          <w:tcPr>
            <w:tcW w:w="4138" w:type="dxa"/>
            <w:gridSpan w:val="5"/>
            <w:noWrap w:val="0"/>
            <w:vAlign w:val="center"/>
          </w:tcPr>
          <w:p w14:paraId="53B1AE3E">
            <w:pPr>
              <w:spacing w:line="300" w:lineRule="auto"/>
              <w:ind w:firstLine="0" w:firstLineChars="0"/>
              <w:jc w:val="center"/>
              <w:rPr>
                <w:rFonts w:hint="eastAsia" w:ascii="宋体" w:hAnsi="宋体" w:eastAsia="宋体" w:cs="宋体"/>
                <w:color w:val="auto"/>
                <w:sz w:val="24"/>
                <w:szCs w:val="24"/>
                <w:highlight w:val="none"/>
              </w:rPr>
            </w:pPr>
          </w:p>
        </w:tc>
        <w:tc>
          <w:tcPr>
            <w:tcW w:w="1524" w:type="dxa"/>
            <w:noWrap w:val="0"/>
            <w:vAlign w:val="center"/>
          </w:tcPr>
          <w:p w14:paraId="6C59AA28">
            <w:pPr>
              <w:spacing w:line="30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2143" w:type="dxa"/>
            <w:gridSpan w:val="2"/>
            <w:noWrap w:val="0"/>
            <w:vAlign w:val="center"/>
          </w:tcPr>
          <w:p w14:paraId="4AC456E5">
            <w:pPr>
              <w:spacing w:line="300" w:lineRule="auto"/>
              <w:ind w:firstLine="0" w:firstLineChars="0"/>
              <w:jc w:val="center"/>
              <w:rPr>
                <w:rFonts w:hint="eastAsia" w:ascii="宋体" w:hAnsi="宋体" w:eastAsia="宋体" w:cs="宋体"/>
                <w:color w:val="auto"/>
                <w:sz w:val="24"/>
                <w:szCs w:val="24"/>
                <w:highlight w:val="none"/>
              </w:rPr>
            </w:pPr>
          </w:p>
        </w:tc>
      </w:tr>
      <w:tr w14:paraId="221C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9"/>
            <w:noWrap w:val="0"/>
            <w:vAlign w:val="top"/>
          </w:tcPr>
          <w:p w14:paraId="3C971CFC">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    历</w:t>
            </w:r>
          </w:p>
        </w:tc>
      </w:tr>
      <w:tr w14:paraId="47CF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noWrap w:val="0"/>
            <w:vAlign w:val="center"/>
          </w:tcPr>
          <w:p w14:paraId="37E9E182">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委托单位</w:t>
            </w:r>
          </w:p>
        </w:tc>
        <w:tc>
          <w:tcPr>
            <w:tcW w:w="1625" w:type="dxa"/>
            <w:noWrap w:val="0"/>
            <w:vAlign w:val="center"/>
          </w:tcPr>
          <w:p w14:paraId="5C8D6149">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w:t>
            </w:r>
          </w:p>
          <w:p w14:paraId="687F83D7">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35" w:type="dxa"/>
            <w:gridSpan w:val="2"/>
            <w:noWrap w:val="0"/>
            <w:vAlign w:val="center"/>
          </w:tcPr>
          <w:p w14:paraId="06050B04">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担任何职</w:t>
            </w:r>
          </w:p>
        </w:tc>
        <w:tc>
          <w:tcPr>
            <w:tcW w:w="2696" w:type="dxa"/>
            <w:gridSpan w:val="3"/>
            <w:noWrap w:val="0"/>
            <w:vAlign w:val="center"/>
          </w:tcPr>
          <w:p w14:paraId="0BEC67A2">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规模及结构类型</w:t>
            </w:r>
          </w:p>
        </w:tc>
        <w:tc>
          <w:tcPr>
            <w:tcW w:w="1870" w:type="dxa"/>
            <w:noWrap w:val="0"/>
            <w:vAlign w:val="center"/>
          </w:tcPr>
          <w:p w14:paraId="77B7C461">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  果</w:t>
            </w:r>
          </w:p>
          <w:p w14:paraId="5260668C">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（获奖情况）</w:t>
            </w:r>
          </w:p>
        </w:tc>
      </w:tr>
      <w:tr w14:paraId="6666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1559B6B6">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079AD3CC">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0975BC72">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79CC54F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78406722">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4DD7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2D301ED9">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2542BA13">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3876689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100D9C4C">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26404EE5">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38BA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620815BB">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2F39E7AD">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586A2FEF">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27D38F8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5760C860">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25E5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3EC5B97C">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68ADD09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41BCC4AA">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740DE367">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12D58CC8">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4CE5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7D87E30C">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0C8AA16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20FD1E4A">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5AF120D7">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692F23D1">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0D80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24F1435E">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07D6EF6B">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0D0C1893">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4AE0CDA1">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224C252A">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1224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2765E2BB">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64332B0A">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553E4042">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5ECABF0D">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4BB3519A">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2455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6F9BE9C8">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6D10AA80">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3C22978A">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6352EAA3">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7EC7E26B">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1CCD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62FA1A9F">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057A91A6">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1DA41D43">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1A6C254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7F5059B2">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1037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4E12C065">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24A08FA7">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28F43822">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2A4EDB06">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33D5D188">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bl>
    <w:p w14:paraId="1ECAA49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left="0" w:leftChars="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各投标人必须如实填写此表格，并提供其人员的相关证书扫描件并加盖公章。</w:t>
      </w:r>
    </w:p>
    <w:p w14:paraId="30A19DEB">
      <w:pPr>
        <w:tabs>
          <w:tab w:val="left" w:pos="1418"/>
        </w:tabs>
        <w:rPr>
          <w:rFonts w:hint="eastAsia" w:ascii="宋体" w:hAnsi="宋体" w:eastAsia="宋体" w:cs="宋体"/>
          <w:color w:val="auto"/>
          <w:sz w:val="24"/>
          <w:szCs w:val="24"/>
          <w:highlight w:val="none"/>
        </w:rPr>
      </w:pPr>
    </w:p>
    <w:p w14:paraId="352A93A3">
      <w:pPr>
        <w:spacing w:line="30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___________</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4A231AAC">
      <w:pPr>
        <w:spacing w:line="300" w:lineRule="auto"/>
        <w:ind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w:t>
      </w:r>
    </w:p>
    <w:p w14:paraId="47021895">
      <w:pPr>
        <w:pStyle w:val="3"/>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                                     </w:t>
      </w:r>
      <w:r>
        <w:rPr>
          <w:rFonts w:hint="eastAsia" w:ascii="宋体" w:hAnsi="宋体" w:eastAsia="宋体" w:cs="宋体"/>
          <w:b w:val="0"/>
          <w:color w:val="auto"/>
          <w:kern w:val="2"/>
          <w:sz w:val="24"/>
          <w:szCs w:val="24"/>
          <w:highlight w:val="none"/>
          <w:lang w:val="en-US" w:eastAsia="zh-CN" w:bidi="ar-SA"/>
        </w:rPr>
        <w:t xml:space="preserve">    </w:t>
      </w:r>
      <w:bookmarkStart w:id="104" w:name="_Toc2503"/>
      <w:r>
        <w:rPr>
          <w:rFonts w:hint="eastAsia" w:ascii="宋体" w:hAnsi="宋体" w:eastAsia="宋体" w:cs="宋体"/>
          <w:b w:val="0"/>
          <w:color w:val="auto"/>
          <w:kern w:val="2"/>
          <w:sz w:val="24"/>
          <w:szCs w:val="24"/>
          <w:highlight w:val="none"/>
          <w:lang w:val="en-US" w:eastAsia="zh-CN" w:bidi="ar-SA"/>
        </w:rPr>
        <w:t>日    期：_____年____月____日</w:t>
      </w:r>
      <w:bookmarkEnd w:id="104"/>
    </w:p>
    <w:p w14:paraId="3C314295">
      <w:pPr>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br w:type="page"/>
      </w:r>
    </w:p>
    <w:p w14:paraId="2FDAD45B">
      <w:pPr>
        <w:ind w:firstLine="48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十</w:t>
      </w:r>
      <w:r>
        <w:rPr>
          <w:rFonts w:hint="eastAsia" w:ascii="宋体" w:hAnsi="宋体" w:cs="宋体"/>
          <w:b/>
          <w:color w:val="auto"/>
          <w:sz w:val="32"/>
          <w:szCs w:val="32"/>
          <w:highlight w:val="none"/>
          <w:lang w:val="en-US" w:eastAsia="zh-CN"/>
        </w:rPr>
        <w:t>二</w:t>
      </w:r>
      <w:r>
        <w:rPr>
          <w:rFonts w:hint="eastAsia" w:ascii="宋体" w:hAnsi="宋体" w:eastAsia="宋体" w:cs="宋体"/>
          <w:b/>
          <w:color w:val="auto"/>
          <w:sz w:val="32"/>
          <w:szCs w:val="32"/>
          <w:highlight w:val="none"/>
        </w:rPr>
        <w:t>、拟投入施工现场的主要管理人员情况</w:t>
      </w:r>
      <w:r>
        <w:rPr>
          <w:rFonts w:hint="eastAsia" w:ascii="宋体" w:hAnsi="宋体" w:eastAsia="宋体" w:cs="宋体"/>
          <w:b/>
          <w:color w:val="auto"/>
          <w:sz w:val="32"/>
          <w:szCs w:val="32"/>
          <w:highlight w:val="none"/>
          <w:lang w:val="en-US" w:eastAsia="zh-CN"/>
        </w:rPr>
        <w:t>表</w:t>
      </w:r>
      <w:r>
        <w:rPr>
          <w:rFonts w:hint="eastAsia" w:ascii="宋体" w:hAnsi="宋体" w:eastAsia="宋体" w:cs="宋体"/>
          <w:b/>
          <w:color w:val="auto"/>
          <w:sz w:val="32"/>
          <w:szCs w:val="32"/>
          <w:highlight w:val="none"/>
        </w:rPr>
        <w:t>格式</w:t>
      </w:r>
    </w:p>
    <w:p w14:paraId="2C057043">
      <w:pPr>
        <w:ind w:firstLine="480"/>
        <w:jc w:val="center"/>
        <w:rPr>
          <w:rFonts w:hint="eastAsia" w:ascii="宋体" w:hAnsi="宋体" w:eastAsia="宋体" w:cs="宋体"/>
          <w:b/>
          <w:color w:val="auto"/>
          <w:sz w:val="32"/>
          <w:szCs w:val="32"/>
          <w:highlight w:val="none"/>
        </w:rPr>
      </w:pPr>
    </w:p>
    <w:p w14:paraId="5832B03A">
      <w:pPr>
        <w:ind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拟投入施工现场的主要管理人员情况</w:t>
      </w:r>
      <w:r>
        <w:rPr>
          <w:rFonts w:hint="eastAsia" w:ascii="宋体" w:hAnsi="宋体" w:eastAsia="宋体" w:cs="宋体"/>
          <w:b/>
          <w:color w:val="auto"/>
          <w:sz w:val="32"/>
          <w:szCs w:val="32"/>
          <w:highlight w:val="none"/>
          <w:lang w:val="en-US" w:eastAsia="zh-CN"/>
        </w:rPr>
        <w:t>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9"/>
        <w:gridCol w:w="758"/>
        <w:gridCol w:w="2587"/>
        <w:gridCol w:w="885"/>
        <w:gridCol w:w="1905"/>
        <w:gridCol w:w="1420"/>
      </w:tblGrid>
      <w:tr w14:paraId="66F5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4" w:type="dxa"/>
            <w:noWrap w:val="0"/>
            <w:vAlign w:val="center"/>
          </w:tcPr>
          <w:p w14:paraId="6FD944BA">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59" w:type="dxa"/>
            <w:noWrap w:val="0"/>
            <w:vAlign w:val="center"/>
          </w:tcPr>
          <w:p w14:paraId="0CD0A2EA">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58" w:type="dxa"/>
            <w:noWrap w:val="0"/>
            <w:vAlign w:val="center"/>
          </w:tcPr>
          <w:p w14:paraId="4603BF5D">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职位</w:t>
            </w:r>
          </w:p>
        </w:tc>
        <w:tc>
          <w:tcPr>
            <w:tcW w:w="2587" w:type="dxa"/>
            <w:noWrap w:val="0"/>
            <w:vAlign w:val="center"/>
          </w:tcPr>
          <w:p w14:paraId="083D671E">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学历、职称、资格证书</w:t>
            </w:r>
          </w:p>
        </w:tc>
        <w:tc>
          <w:tcPr>
            <w:tcW w:w="885" w:type="dxa"/>
            <w:noWrap w:val="0"/>
            <w:vAlign w:val="center"/>
          </w:tcPr>
          <w:p w14:paraId="69D74F0D">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905" w:type="dxa"/>
            <w:noWrap w:val="0"/>
            <w:vAlign w:val="center"/>
          </w:tcPr>
          <w:p w14:paraId="2A60659D">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从事本工作时间</w:t>
            </w:r>
          </w:p>
        </w:tc>
        <w:tc>
          <w:tcPr>
            <w:tcW w:w="1420" w:type="dxa"/>
            <w:noWrap w:val="0"/>
            <w:vAlign w:val="top"/>
          </w:tcPr>
          <w:p w14:paraId="6DCEE219">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在本项目中担任的工作</w:t>
            </w:r>
          </w:p>
        </w:tc>
      </w:tr>
      <w:tr w14:paraId="6F04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00705D64">
            <w:pPr>
              <w:adjustRightInd w:val="0"/>
              <w:spacing w:before="120" w:beforeLines="50"/>
              <w:ind w:firstLine="480"/>
              <w:jc w:val="center"/>
              <w:textAlignment w:val="baseline"/>
              <w:rPr>
                <w:rFonts w:hint="eastAsia" w:ascii="宋体" w:hAnsi="宋体" w:eastAsia="宋体" w:cs="宋体"/>
                <w:color w:val="auto"/>
                <w:sz w:val="24"/>
                <w:szCs w:val="24"/>
                <w:highlight w:val="none"/>
              </w:rPr>
            </w:pPr>
          </w:p>
        </w:tc>
        <w:tc>
          <w:tcPr>
            <w:tcW w:w="759" w:type="dxa"/>
            <w:noWrap w:val="0"/>
            <w:vAlign w:val="top"/>
          </w:tcPr>
          <w:p w14:paraId="281F9B69">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0E8D0100">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7ECB948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3125E365">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EE1C33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5DCC5AA1">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6F69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7319EFF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6595BA8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5A37D73C">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7D208335">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779FE67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584D7D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462A0E2">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76C3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58E3D600">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0CCB80F5">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4373FA7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609F64EA">
            <w:pPr>
              <w:pStyle w:val="13"/>
              <w:adjustRightInd w:val="0"/>
              <w:spacing w:before="120" w:beforeLines="50"/>
              <w:ind w:left="5250" w:leftChars="0" w:firstLine="480"/>
              <w:textAlignment w:val="baseline"/>
              <w:rPr>
                <w:rFonts w:hint="eastAsia" w:ascii="宋体" w:hAnsi="宋体" w:eastAsia="宋体" w:cs="宋体"/>
                <w:color w:val="auto"/>
                <w:kern w:val="2"/>
                <w:sz w:val="24"/>
                <w:szCs w:val="24"/>
                <w:highlight w:val="none"/>
              </w:rPr>
            </w:pPr>
          </w:p>
        </w:tc>
        <w:tc>
          <w:tcPr>
            <w:tcW w:w="885" w:type="dxa"/>
            <w:noWrap w:val="0"/>
            <w:vAlign w:val="top"/>
          </w:tcPr>
          <w:p w14:paraId="713FE72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56C2E0D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02381ED6">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2297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0C365FC2">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0F8DC96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11FD0F64">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4C8C7BB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797D3C8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6F0B6C2C">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343D799E">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415B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553C19C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4786102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6C0654B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447FB694">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63E4FD9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F7261FF">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56ABF3E9">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5EB1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38D6DBD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798C0CA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492ADFF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23CB46CA">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7DF925A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07C11BA">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009C2D7D">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4DC3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2AEA3914">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02E7437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3EFEFFC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43A2EBE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01C426B1">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6497B88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4941712B">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76DA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10F3E52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605517E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6AB1C37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5E1FB73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5D70A52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5410F03F">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50B7C456">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3B2C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61850D8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243469B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7DF628E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3014456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01859620">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44A6E5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4EE1B8C">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6AC5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1EB704D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6448C439">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33B40EF9">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390A001F">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1E93432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2B569DB5">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B8A77EC">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6856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190B7570">
            <w:pPr>
              <w:adjustRightInd w:val="0"/>
              <w:spacing w:before="120" w:beforeLines="50"/>
              <w:ind w:firstLine="480"/>
              <w:jc w:val="center"/>
              <w:textAlignment w:val="baseline"/>
              <w:rPr>
                <w:rFonts w:hint="eastAsia" w:ascii="宋体" w:hAnsi="宋体" w:eastAsia="宋体" w:cs="宋体"/>
                <w:color w:val="auto"/>
                <w:sz w:val="24"/>
                <w:szCs w:val="24"/>
                <w:highlight w:val="none"/>
              </w:rPr>
            </w:pPr>
          </w:p>
        </w:tc>
        <w:tc>
          <w:tcPr>
            <w:tcW w:w="759" w:type="dxa"/>
            <w:noWrap w:val="0"/>
            <w:vAlign w:val="top"/>
          </w:tcPr>
          <w:p w14:paraId="0EA2ED5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2613254F">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71FBBF5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708BF78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006613C2">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DBB5274">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6A7D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04" w:type="dxa"/>
            <w:noWrap w:val="0"/>
            <w:vAlign w:val="top"/>
          </w:tcPr>
          <w:p w14:paraId="762BEC8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15F8CAF0">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602BF6F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40A5856C">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57072C4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15AFE55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D542BA4">
            <w:pPr>
              <w:adjustRightInd w:val="0"/>
              <w:spacing w:before="120" w:beforeLines="50"/>
              <w:ind w:firstLine="480"/>
              <w:textAlignment w:val="baseline"/>
              <w:rPr>
                <w:rFonts w:hint="eastAsia" w:ascii="宋体" w:hAnsi="宋体" w:eastAsia="宋体" w:cs="宋体"/>
                <w:color w:val="auto"/>
                <w:sz w:val="24"/>
                <w:szCs w:val="24"/>
                <w:highlight w:val="none"/>
              </w:rPr>
            </w:pPr>
          </w:p>
        </w:tc>
      </w:tr>
    </w:tbl>
    <w:p w14:paraId="37477175">
      <w:pPr>
        <w:snapToGrid w:val="0"/>
        <w:spacing w:before="100" w:beforeAutospacing="1" w:after="100" w:afterAutospacing="1"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 各投标人必须如实填写此表格。</w:t>
      </w:r>
    </w:p>
    <w:p w14:paraId="642C813F">
      <w:pPr>
        <w:tabs>
          <w:tab w:val="left" w:pos="1418"/>
        </w:tabs>
        <w:ind w:firstLine="480"/>
        <w:rPr>
          <w:rFonts w:hint="eastAsia" w:ascii="宋体" w:hAnsi="宋体" w:eastAsia="宋体" w:cs="宋体"/>
          <w:color w:val="auto"/>
          <w:sz w:val="24"/>
          <w:szCs w:val="24"/>
          <w:highlight w:val="none"/>
        </w:rPr>
      </w:pPr>
    </w:p>
    <w:p w14:paraId="2E9408FA">
      <w:pPr>
        <w:tabs>
          <w:tab w:val="left" w:pos="1418"/>
        </w:tabs>
        <w:ind w:firstLine="480"/>
        <w:rPr>
          <w:rFonts w:hint="eastAsia" w:ascii="宋体" w:hAnsi="宋体" w:eastAsia="宋体" w:cs="宋体"/>
          <w:color w:val="auto"/>
          <w:sz w:val="24"/>
          <w:szCs w:val="24"/>
          <w:highlight w:val="none"/>
        </w:rPr>
      </w:pPr>
    </w:p>
    <w:p w14:paraId="31E716BB">
      <w:pPr>
        <w:spacing w:line="30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___________</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335985FA">
      <w:pPr>
        <w:spacing w:line="300" w:lineRule="auto"/>
        <w:ind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w:t>
      </w:r>
    </w:p>
    <w:p w14:paraId="65525D71">
      <w:pPr>
        <w:pStyle w:val="3"/>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                                    </w:t>
      </w:r>
      <w:r>
        <w:rPr>
          <w:rFonts w:hint="eastAsia" w:ascii="宋体" w:hAnsi="宋体" w:eastAsia="宋体" w:cs="宋体"/>
          <w:b w:val="0"/>
          <w:color w:val="auto"/>
          <w:kern w:val="2"/>
          <w:sz w:val="24"/>
          <w:szCs w:val="24"/>
          <w:highlight w:val="none"/>
          <w:lang w:val="en-US" w:eastAsia="zh-CN" w:bidi="ar-SA"/>
        </w:rPr>
        <w:t xml:space="preserve">      </w:t>
      </w:r>
      <w:bookmarkStart w:id="105" w:name="_Toc21633"/>
      <w:r>
        <w:rPr>
          <w:rFonts w:hint="eastAsia" w:ascii="宋体" w:hAnsi="宋体" w:eastAsia="宋体" w:cs="宋体"/>
          <w:b w:val="0"/>
          <w:color w:val="auto"/>
          <w:kern w:val="2"/>
          <w:sz w:val="24"/>
          <w:szCs w:val="24"/>
          <w:highlight w:val="none"/>
          <w:lang w:val="en-US" w:eastAsia="zh-CN" w:bidi="ar-SA"/>
        </w:rPr>
        <w:t>日    期：_____年____月____日</w:t>
      </w:r>
      <w:bookmarkEnd w:id="105"/>
    </w:p>
    <w:p w14:paraId="62DA9317">
      <w:pP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br w:type="page"/>
      </w:r>
    </w:p>
    <w:p w14:paraId="5A673F59">
      <w:pPr>
        <w:snapToGrid w:val="0"/>
        <w:spacing w:before="100" w:beforeAutospacing="1" w:after="100" w:afterAutospacing="1" w:line="276"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w:t>
      </w: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、磋商函格式</w:t>
      </w:r>
    </w:p>
    <w:p w14:paraId="1807DCD2">
      <w:pPr>
        <w:snapToGrid w:val="0"/>
        <w:spacing w:before="100" w:beforeAutospacing="1" w:after="100" w:afterAutospacing="1" w:line="276" w:lineRule="auto"/>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磋 商 函</w:t>
      </w:r>
    </w:p>
    <w:p w14:paraId="295A74BD">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（代理机构名称）：</w:t>
      </w:r>
    </w:p>
    <w:p w14:paraId="370CC9A2">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嘉善县实验小学2025年度校舍常规维修</w:t>
      </w:r>
      <w:r>
        <w:rPr>
          <w:rFonts w:hint="eastAsia" w:ascii="宋体" w:hAnsi="宋体" w:eastAsia="宋体" w:cs="宋体"/>
          <w:color w:val="auto"/>
          <w:sz w:val="24"/>
          <w:szCs w:val="24"/>
          <w:highlight w:val="none"/>
        </w:rPr>
        <w:t>项目的磋商公告</w:t>
      </w:r>
    </w:p>
    <w:p w14:paraId="34FD7B13">
      <w:pPr>
        <w:keepNext w:val="0"/>
        <w:keepLines w:val="0"/>
        <w:pageBreakBefore w:val="0"/>
        <w:widowControl w:val="0"/>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（全名）经正式授权并代表供应商</w:t>
      </w:r>
      <w:r>
        <w:rPr>
          <w:rFonts w:hint="eastAsia" w:ascii="宋体" w:hAnsi="宋体" w:cs="宋体"/>
          <w:color w:val="auto"/>
          <w:sz w:val="24"/>
          <w:szCs w:val="24"/>
          <w:highlight w:val="none"/>
          <w:lang w:val="en-US" w:eastAsia="zh-CN"/>
        </w:rPr>
        <w:t xml:space="preserve">  </w:t>
      </w:r>
    </w:p>
    <w:p w14:paraId="5B5CE9B9">
      <w:pPr>
        <w:keepNext w:val="0"/>
        <w:keepLines w:val="0"/>
        <w:pageBreakBefore w:val="0"/>
        <w:widowControl w:val="0"/>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（供应商名称）提交响应文件。</w:t>
      </w:r>
      <w:r>
        <w:rPr>
          <w:rFonts w:hint="eastAsia" w:ascii="宋体" w:hAnsi="宋体" w:eastAsia="宋体" w:cs="宋体"/>
          <w:color w:val="auto"/>
          <w:sz w:val="24"/>
          <w:highlight w:val="none"/>
        </w:rPr>
        <w:t>我方愿以</w:t>
      </w:r>
      <w:r>
        <w:rPr>
          <w:rFonts w:hint="eastAsia" w:ascii="宋体" w:hAnsi="宋体" w:eastAsia="宋体" w:cs="宋体"/>
          <w:color w:val="auto"/>
          <w:sz w:val="24"/>
          <w:highlight w:val="none"/>
          <w:lang w:val="en-US" w:eastAsia="zh-CN"/>
        </w:rPr>
        <w:t>报价一览表中</w:t>
      </w:r>
      <w:r>
        <w:rPr>
          <w:rFonts w:hint="eastAsia" w:ascii="宋体" w:hAnsi="宋体" w:eastAsia="宋体" w:cs="宋体"/>
          <w:color w:val="auto"/>
          <w:sz w:val="24"/>
          <w:highlight w:val="none"/>
        </w:rPr>
        <w:t>的投标报价并由</w:t>
      </w:r>
      <w:r>
        <w:rPr>
          <w:rFonts w:hint="eastAsia" w:ascii="宋体" w:hAnsi="宋体" w:eastAsia="宋体" w:cs="宋体"/>
          <w:b/>
          <w:color w:val="auto"/>
          <w:sz w:val="24"/>
          <w:highlight w:val="none"/>
          <w:lang w:eastAsia="zh-CN"/>
        </w:rPr>
        <w:t>项目负责人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按上述合同条款、工程建设标准的条件要求承包上述工程的施工、竣工，并承担任何质量缺陷保修责任</w:t>
      </w:r>
      <w:r>
        <w:rPr>
          <w:rFonts w:hint="eastAsia" w:ascii="宋体" w:hAnsi="宋体" w:eastAsia="宋体" w:cs="宋体"/>
          <w:color w:val="auto"/>
          <w:sz w:val="24"/>
          <w:highlight w:val="none"/>
          <w:lang w:eastAsia="zh-CN"/>
        </w:rPr>
        <w:t>。</w:t>
      </w:r>
    </w:p>
    <w:p w14:paraId="1F85C496">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14:paraId="549DDDA4">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1.我放已详细审查全部“竞争性磋商文件”，包括修改文件（如有的话）以及全部参考资料和有关附件，已经了解我方对于磋商文件、采购过程、采购结果有依法进行询问、质疑、投诉的权利及相关渠道和要求。</w:t>
      </w:r>
    </w:p>
    <w:p w14:paraId="3DF7050B">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2.供应商在磋商之前已经与贵方进行了充分的沟通，完全理解并接受磋商文件的各项规定和要求，对磋商文件的合理性、合法性不再有异议。</w:t>
      </w:r>
    </w:p>
    <w:p w14:paraId="68D59712">
      <w:pPr>
        <w:pStyle w:val="8"/>
        <w:keepNext w:val="0"/>
        <w:keepLines w:val="0"/>
        <w:pageBreakBefore w:val="0"/>
        <w:widowControl w:val="0"/>
        <w:kinsoku/>
        <w:wordWrap/>
        <w:overflowPunct/>
        <w:topLinePunct w:val="0"/>
        <w:autoSpaceDE/>
        <w:autoSpaceDN/>
        <w:bidi w:val="0"/>
        <w:adjustRightInd/>
        <w:spacing w:after="0" w:line="30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3.一旦我方中标，我方在接到你方发出的中标通知书之日起</w:t>
      </w:r>
      <w:r>
        <w:rPr>
          <w:rFonts w:hint="eastAsia" w:ascii="宋体" w:hAnsi="宋体" w:cs="宋体"/>
          <w:b w:val="0"/>
          <w:bCs w:val="0"/>
          <w:color w:val="auto"/>
          <w:kern w:val="2"/>
          <w:sz w:val="24"/>
          <w:szCs w:val="24"/>
          <w:highlight w:val="none"/>
          <w:u w:val="single"/>
          <w:lang w:val="en-US" w:eastAsia="zh-CN" w:bidi="ar-SA"/>
        </w:rPr>
        <w:t>30</w:t>
      </w:r>
      <w:r>
        <w:rPr>
          <w:rFonts w:hint="eastAsia" w:ascii="宋体" w:hAnsi="宋体" w:eastAsia="宋体" w:cs="宋体"/>
          <w:b w:val="0"/>
          <w:bCs w:val="0"/>
          <w:color w:val="auto"/>
          <w:kern w:val="2"/>
          <w:sz w:val="24"/>
          <w:szCs w:val="24"/>
          <w:highlight w:val="none"/>
          <w:lang w:val="en-US" w:eastAsia="zh-CN" w:bidi="ar-SA"/>
        </w:rPr>
        <w:t>天内，按成交通知书、</w:t>
      </w:r>
      <w:r>
        <w:rPr>
          <w:rFonts w:hint="eastAsia" w:ascii="宋体" w:hAnsi="宋体" w:eastAsia="宋体" w:cs="宋体"/>
          <w:color w:val="auto"/>
          <w:sz w:val="24"/>
          <w:szCs w:val="24"/>
          <w:highlight w:val="none"/>
        </w:rPr>
        <w:t>竞争性磋商文件</w:t>
      </w:r>
      <w:r>
        <w:rPr>
          <w:rFonts w:hint="eastAsia" w:ascii="宋体" w:hAnsi="宋体" w:eastAsia="宋体" w:cs="宋体"/>
          <w:b w:val="0"/>
          <w:bCs w:val="0"/>
          <w:color w:val="auto"/>
          <w:kern w:val="2"/>
          <w:sz w:val="24"/>
          <w:szCs w:val="24"/>
          <w:highlight w:val="none"/>
          <w:lang w:val="en-US" w:eastAsia="zh-CN" w:bidi="ar-SA"/>
        </w:rPr>
        <w:t>和本投标书的约定与你方签订施工承包合同，并</w:t>
      </w:r>
      <w:r>
        <w:rPr>
          <w:rFonts w:hint="eastAsia" w:ascii="宋体" w:hAnsi="宋体" w:cs="宋体"/>
          <w:b w:val="0"/>
          <w:bCs w:val="0"/>
          <w:color w:val="auto"/>
          <w:kern w:val="2"/>
          <w:sz w:val="24"/>
          <w:szCs w:val="24"/>
          <w:highlight w:val="none"/>
          <w:lang w:val="en-US" w:eastAsia="zh-CN" w:bidi="ar-SA"/>
        </w:rPr>
        <w:t>在项目实施前向招标人</w:t>
      </w:r>
      <w:r>
        <w:rPr>
          <w:rFonts w:hint="eastAsia" w:ascii="宋体" w:hAnsi="宋体" w:eastAsia="宋体" w:cs="宋体"/>
          <w:b w:val="0"/>
          <w:bCs w:val="0"/>
          <w:color w:val="auto"/>
          <w:kern w:val="2"/>
          <w:sz w:val="24"/>
          <w:szCs w:val="24"/>
          <w:highlight w:val="none"/>
          <w:lang w:val="en-US" w:eastAsia="zh-CN" w:bidi="ar-SA"/>
        </w:rPr>
        <w:t>递交投标报价的</w:t>
      </w:r>
      <w:r>
        <w:rPr>
          <w:rFonts w:hint="eastAsia" w:ascii="宋体" w:hAnsi="宋体" w:cs="宋体"/>
          <w:b w:val="0"/>
          <w:bCs w:val="0"/>
          <w:color w:val="auto"/>
          <w:kern w:val="2"/>
          <w:sz w:val="24"/>
          <w:szCs w:val="24"/>
          <w:highlight w:val="none"/>
          <w:u w:val="single"/>
          <w:lang w:val="en-US" w:eastAsia="zh-CN" w:bidi="ar-SA"/>
        </w:rPr>
        <w:t>1</w:t>
      </w:r>
      <w:r>
        <w:rPr>
          <w:rFonts w:hint="eastAsia" w:ascii="宋体" w:hAnsi="宋体" w:eastAsia="宋体" w:cs="宋体"/>
          <w:b w:val="0"/>
          <w:bCs w:val="0"/>
          <w:color w:val="auto"/>
          <w:kern w:val="2"/>
          <w:sz w:val="24"/>
          <w:szCs w:val="24"/>
          <w:highlight w:val="none"/>
          <w:u w:val="single"/>
          <w:lang w:val="en-US" w:eastAsia="zh-CN" w:bidi="ar-SA"/>
        </w:rPr>
        <w:t>%</w:t>
      </w:r>
      <w:r>
        <w:rPr>
          <w:rFonts w:hint="eastAsia" w:ascii="宋体" w:hAnsi="宋体" w:eastAsia="宋体" w:cs="宋体"/>
          <w:b w:val="0"/>
          <w:bCs w:val="0"/>
          <w:color w:val="auto"/>
          <w:kern w:val="2"/>
          <w:sz w:val="24"/>
          <w:szCs w:val="24"/>
          <w:highlight w:val="none"/>
          <w:lang w:val="en-US" w:eastAsia="zh-CN" w:bidi="ar-SA"/>
        </w:rPr>
        <w:t>的履约保证金，履行规定的一切责任和义务。</w:t>
      </w:r>
    </w:p>
    <w:p w14:paraId="5D9FAE3D">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本</w:t>
      </w:r>
      <w:r>
        <w:rPr>
          <w:rFonts w:hint="eastAsia" w:ascii="宋体" w:hAnsi="宋体" w:cs="宋体"/>
          <w:color w:val="auto"/>
          <w:sz w:val="24"/>
          <w:szCs w:val="24"/>
          <w:highlight w:val="none"/>
          <w:lang w:val="en-US" w:eastAsia="zh-CN"/>
        </w:rPr>
        <w:t>响应文件有效期自</w:t>
      </w:r>
      <w:r>
        <w:rPr>
          <w:rFonts w:hint="eastAsia" w:ascii="宋体" w:hAnsi="宋体" w:cs="宋体"/>
          <w:color w:val="auto"/>
          <w:sz w:val="24"/>
          <w:szCs w:val="24"/>
          <w:highlight w:val="none"/>
        </w:rPr>
        <w:t>提交首次响应文件截止日起</w:t>
      </w:r>
      <w:r>
        <w:rPr>
          <w:rFonts w:hint="eastAsia" w:ascii="宋体" w:hAnsi="宋体" w:cs="宋体"/>
          <w:color w:val="auto"/>
          <w:sz w:val="24"/>
          <w:szCs w:val="24"/>
          <w:highlight w:val="none"/>
          <w:u w:val="single"/>
        </w:rPr>
        <w:t xml:space="preserve"> 90</w:t>
      </w:r>
      <w:r>
        <w:rPr>
          <w:rFonts w:hint="eastAsia" w:ascii="宋体" w:hAnsi="宋体" w:cs="宋体"/>
          <w:color w:val="auto"/>
          <w:sz w:val="24"/>
          <w:szCs w:val="24"/>
          <w:highlight w:val="none"/>
        </w:rPr>
        <w:t>个日历日。</w:t>
      </w:r>
    </w:p>
    <w:p w14:paraId="3421DCD2">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.如成交，本响应文件至本项目合同履行完毕止均保持有效，我方将按“磋商文件”及政府采购法律、法规的规定履行合同责任和义务。</w:t>
      </w:r>
    </w:p>
    <w:p w14:paraId="07F5546D">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.我方同意按照贵方要求提供与磋商有关的一切数据或资料。</w:t>
      </w:r>
    </w:p>
    <w:p w14:paraId="6F18E653">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.与本磋商有关的一切正式往来信函请寄：</w:t>
      </w:r>
    </w:p>
    <w:p w14:paraId="6185B1CB">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邮编：__________   电话：______________</w:t>
      </w:r>
    </w:p>
    <w:p w14:paraId="2F6893CF">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传真：______________供应商代表姓名 ___________  职务：</w:t>
      </w:r>
      <w:r>
        <w:rPr>
          <w:rFonts w:hint="eastAsia" w:ascii="宋体" w:hAnsi="宋体" w:eastAsia="宋体" w:cs="宋体"/>
          <w:color w:val="auto"/>
          <w:sz w:val="24"/>
          <w:szCs w:val="24"/>
          <w:highlight w:val="none"/>
          <w:u w:val="single"/>
        </w:rPr>
        <w:t xml:space="preserve">             </w:t>
      </w:r>
    </w:p>
    <w:p w14:paraId="1A19BBF9">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供应商名称(盖章):___________________</w:t>
      </w:r>
    </w:p>
    <w:p w14:paraId="3DC608F0">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银行帐号：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EAC3A0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 xml:space="preserve">:___________   </w:t>
      </w:r>
    </w:p>
    <w:p w14:paraId="1BC65B4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日期:_____年___月___日</w:t>
      </w:r>
    </w:p>
    <w:p w14:paraId="1EDCBEA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E53B8C3">
      <w:pPr>
        <w:snapToGrid w:val="0"/>
        <w:spacing w:before="100" w:beforeAutospacing="1" w:after="100" w:afterAutospacing="1"/>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w:t>
      </w:r>
      <w:r>
        <w:rPr>
          <w:rFonts w:hint="eastAsia" w:ascii="宋体" w:hAnsi="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、报价一览表格式</w:t>
      </w:r>
    </w:p>
    <w:p w14:paraId="1D5D27A7">
      <w:pPr>
        <w:snapToGrid w:val="0"/>
        <w:spacing w:before="100" w:beforeAutospacing="1" w:after="100" w:afterAutospacing="1"/>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第壹轮</w:t>
      </w:r>
      <w:r>
        <w:rPr>
          <w:rFonts w:hint="eastAsia" w:ascii="宋体" w:hAnsi="宋体" w:eastAsia="宋体" w:cs="宋体"/>
          <w:b/>
          <w:bCs/>
          <w:color w:val="auto"/>
          <w:sz w:val="32"/>
          <w:szCs w:val="32"/>
          <w:highlight w:val="none"/>
        </w:rPr>
        <w:t>报价一览表</w:t>
      </w:r>
    </w:p>
    <w:p w14:paraId="76BD763D">
      <w:pPr>
        <w:spacing w:before="120" w:beforeLines="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供应商名称（盖章）：__________________</w:t>
      </w:r>
    </w:p>
    <w:p w14:paraId="3B7C20E3">
      <w:pPr>
        <w:spacing w:before="120" w:beforeLines="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项目编号：__________________</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58"/>
        <w:gridCol w:w="5538"/>
      </w:tblGrid>
      <w:tr w14:paraId="1D348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1EB1C094">
            <w:pPr>
              <w:snapToGrid w:val="0"/>
              <w:spacing w:before="100" w:beforeAutospacing="1" w:after="100" w:afterAutospacing="1"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5538" w:type="dxa"/>
            <w:tcBorders>
              <w:top w:val="single" w:color="auto" w:sz="4" w:space="0"/>
              <w:left w:val="single" w:color="auto" w:sz="4" w:space="0"/>
              <w:bottom w:val="single" w:color="auto" w:sz="4" w:space="0"/>
            </w:tcBorders>
            <w:noWrap w:val="0"/>
            <w:vAlign w:val="center"/>
          </w:tcPr>
          <w:p w14:paraId="3DD62676">
            <w:pPr>
              <w:snapToGrid w:val="0"/>
              <w:spacing w:before="100" w:beforeAutospacing="1" w:after="100" w:afterAutospacing="1" w:line="240" w:lineRule="auto"/>
              <w:jc w:val="center"/>
              <w:rPr>
                <w:rFonts w:hint="eastAsia" w:ascii="宋体" w:hAnsi="宋体" w:eastAsia="宋体" w:cs="宋体"/>
                <w:b/>
                <w:bCs/>
                <w:color w:val="auto"/>
                <w:sz w:val="24"/>
                <w:highlight w:val="none"/>
                <w:lang w:eastAsia="zh-CN"/>
              </w:rPr>
            </w:pPr>
          </w:p>
        </w:tc>
      </w:tr>
      <w:tr w14:paraId="593C5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52718D8D">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投标报价</w:t>
            </w:r>
            <w:r>
              <w:rPr>
                <w:rFonts w:hint="eastAsia" w:ascii="宋体" w:hAnsi="宋体" w:cs="宋体"/>
                <w:b/>
                <w:bCs/>
                <w:color w:val="auto"/>
                <w:sz w:val="24"/>
                <w:highlight w:val="none"/>
                <w:lang w:val="en-US" w:eastAsia="zh-CN"/>
              </w:rPr>
              <w:t>总价</w:t>
            </w:r>
          </w:p>
        </w:tc>
        <w:tc>
          <w:tcPr>
            <w:tcW w:w="5538" w:type="dxa"/>
            <w:tcBorders>
              <w:top w:val="single" w:color="auto" w:sz="4" w:space="0"/>
              <w:left w:val="single" w:color="auto" w:sz="4" w:space="0"/>
              <w:bottom w:val="single" w:color="auto" w:sz="4" w:space="0"/>
            </w:tcBorders>
            <w:noWrap w:val="0"/>
            <w:vAlign w:val="center"/>
          </w:tcPr>
          <w:p w14:paraId="4690877F">
            <w:pPr>
              <w:bidi w:val="0"/>
              <w:spacing w:line="240" w:lineRule="auto"/>
              <w:rPr>
                <w:rFonts w:hint="eastAsia"/>
                <w:b/>
                <w:bCs/>
                <w:color w:val="auto"/>
                <w:highlight w:val="none"/>
                <w:lang w:val="en-US" w:eastAsia="zh-CN"/>
              </w:rPr>
            </w:pPr>
            <w:r>
              <w:rPr>
                <w:rFonts w:hint="eastAsia"/>
                <w:b/>
                <w:bCs/>
                <w:color w:val="auto"/>
                <w:highlight w:val="none"/>
              </w:rPr>
              <w:t xml:space="preserve">大写：   </w:t>
            </w:r>
            <w:r>
              <w:rPr>
                <w:rFonts w:hint="eastAsia"/>
                <w:b/>
                <w:bCs/>
                <w:color w:val="auto"/>
                <w:highlight w:val="none"/>
                <w:lang w:val="en-US" w:eastAsia="zh-CN"/>
              </w:rPr>
              <w:t xml:space="preserve">    </w:t>
            </w:r>
          </w:p>
          <w:p w14:paraId="02044C96">
            <w:pPr>
              <w:bidi w:val="0"/>
              <w:spacing w:line="240" w:lineRule="auto"/>
              <w:rPr>
                <w:rFonts w:hint="eastAsia"/>
                <w:b/>
                <w:bCs/>
                <w:color w:val="auto"/>
                <w:highlight w:val="none"/>
                <w:lang w:val="en-US" w:eastAsia="zh-CN"/>
              </w:rPr>
            </w:pPr>
            <w:r>
              <w:rPr>
                <w:rFonts w:hint="eastAsia"/>
                <w:b/>
                <w:bCs/>
                <w:color w:val="auto"/>
                <w:highlight w:val="none"/>
              </w:rPr>
              <w:t>小写：</w:t>
            </w:r>
            <w:r>
              <w:rPr>
                <w:rFonts w:hint="eastAsia"/>
                <w:b/>
                <w:bCs/>
                <w:color w:val="auto"/>
                <w:highlight w:val="none"/>
                <w:lang w:val="en-US" w:eastAsia="zh-CN"/>
              </w:rPr>
              <w:t xml:space="preserve">       </w:t>
            </w:r>
          </w:p>
        </w:tc>
      </w:tr>
      <w:tr w14:paraId="6D622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0F048203">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合同履行期限（工期）</w:t>
            </w:r>
          </w:p>
        </w:tc>
        <w:tc>
          <w:tcPr>
            <w:tcW w:w="5538" w:type="dxa"/>
            <w:tcBorders>
              <w:top w:val="single" w:color="auto" w:sz="4" w:space="0"/>
              <w:left w:val="single" w:color="auto" w:sz="4" w:space="0"/>
              <w:bottom w:val="single" w:color="auto" w:sz="4" w:space="0"/>
            </w:tcBorders>
            <w:noWrap w:val="0"/>
            <w:vAlign w:val="center"/>
          </w:tcPr>
          <w:p w14:paraId="35088BCF">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rPr>
            </w:pPr>
            <w:r>
              <w:rPr>
                <w:rFonts w:hint="eastAsia" w:ascii="宋体" w:hAnsi="宋体" w:cs="宋体"/>
                <w:b/>
                <w:bCs/>
                <w:color w:val="auto"/>
                <w:sz w:val="24"/>
                <w:highlight w:val="none"/>
                <w:u w:val="single"/>
                <w:lang w:val="en-US" w:eastAsia="zh-CN"/>
              </w:rPr>
              <w:t xml:space="preserve">    日历天 </w:t>
            </w:r>
          </w:p>
        </w:tc>
      </w:tr>
      <w:tr w14:paraId="20808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664951EF">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项目负责人</w:t>
            </w:r>
          </w:p>
        </w:tc>
        <w:tc>
          <w:tcPr>
            <w:tcW w:w="5538" w:type="dxa"/>
            <w:tcBorders>
              <w:top w:val="single" w:color="auto" w:sz="4" w:space="0"/>
              <w:left w:val="single" w:color="auto" w:sz="4" w:space="0"/>
              <w:bottom w:val="single" w:color="auto" w:sz="4" w:space="0"/>
            </w:tcBorders>
            <w:noWrap w:val="0"/>
            <w:vAlign w:val="center"/>
          </w:tcPr>
          <w:p w14:paraId="6B57987B">
            <w:pPr>
              <w:snapToGrid w:val="0"/>
              <w:spacing w:before="100" w:beforeAutospacing="1" w:after="100" w:afterAutospacing="1" w:line="240" w:lineRule="auto"/>
              <w:jc w:val="center"/>
              <w:rPr>
                <w:rFonts w:hint="eastAsia" w:ascii="宋体" w:hAnsi="宋体" w:eastAsia="宋体" w:cs="宋体"/>
                <w:b/>
                <w:bCs/>
                <w:color w:val="auto"/>
                <w:sz w:val="24"/>
                <w:highlight w:val="none"/>
              </w:rPr>
            </w:pPr>
          </w:p>
        </w:tc>
      </w:tr>
      <w:tr w14:paraId="0B0E9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54CA4219">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质量目标</w:t>
            </w:r>
          </w:p>
        </w:tc>
        <w:tc>
          <w:tcPr>
            <w:tcW w:w="5538" w:type="dxa"/>
            <w:tcBorders>
              <w:top w:val="single" w:color="auto" w:sz="4" w:space="0"/>
              <w:left w:val="single" w:color="auto" w:sz="4" w:space="0"/>
              <w:bottom w:val="single" w:color="auto" w:sz="4" w:space="0"/>
            </w:tcBorders>
            <w:noWrap w:val="0"/>
            <w:vAlign w:val="center"/>
          </w:tcPr>
          <w:p w14:paraId="445C765F">
            <w:pPr>
              <w:snapToGrid w:val="0"/>
              <w:spacing w:before="100" w:beforeAutospacing="1" w:after="100" w:afterAutospacing="1" w:line="240" w:lineRule="auto"/>
              <w:jc w:val="center"/>
              <w:rPr>
                <w:rFonts w:hint="eastAsia" w:ascii="宋体" w:hAnsi="宋体" w:eastAsia="宋体" w:cs="宋体"/>
                <w:b/>
                <w:bCs/>
                <w:color w:val="auto"/>
                <w:sz w:val="24"/>
                <w:highlight w:val="none"/>
              </w:rPr>
            </w:pPr>
          </w:p>
        </w:tc>
      </w:tr>
    </w:tbl>
    <w:p w14:paraId="4D6CBC08">
      <w:pPr>
        <w:spacing w:line="30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报价一经涂改，应在涂改处加盖单位公章或者由法定代表人或授权委托人签字或盖章，否则其投标作无效标处理</w:t>
      </w:r>
      <w:r>
        <w:rPr>
          <w:rFonts w:hint="eastAsia" w:ascii="宋体" w:hAnsi="宋体" w:eastAsia="宋体" w:cs="宋体"/>
          <w:b w:val="0"/>
          <w:bCs/>
          <w:color w:val="auto"/>
          <w:sz w:val="24"/>
          <w:szCs w:val="24"/>
          <w:highlight w:val="none"/>
          <w:lang w:eastAsia="zh-CN"/>
        </w:rPr>
        <w:t>。</w:t>
      </w:r>
    </w:p>
    <w:p w14:paraId="601BE5C8">
      <w:pPr>
        <w:spacing w:line="30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本次报价为磋商响应文件所确定的响应需求范围内和合同中要求完成的全部工作内容，一旦中标将不予调整。包括但不限于</w:t>
      </w:r>
      <w:r>
        <w:rPr>
          <w:rFonts w:hint="eastAsia" w:ascii="宋体" w:hAnsi="宋体" w:eastAsia="宋体" w:cs="宋体"/>
          <w:b w:val="0"/>
          <w:bCs/>
          <w:color w:val="auto"/>
          <w:sz w:val="24"/>
          <w:szCs w:val="24"/>
          <w:highlight w:val="none"/>
        </w:rPr>
        <w:t>其应包括直接费、间接费、施工设备、劳务、管理、材料、安装、维护、利润、税金</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招标代理服务费及政策性文件规定等完成本项目各项应有费用</w:t>
      </w:r>
      <w:r>
        <w:rPr>
          <w:rFonts w:hint="eastAsia" w:ascii="宋体" w:hAnsi="宋体" w:eastAsia="宋体" w:cs="宋体"/>
          <w:b w:val="0"/>
          <w:bCs/>
          <w:color w:val="auto"/>
          <w:sz w:val="24"/>
          <w:szCs w:val="24"/>
          <w:highlight w:val="none"/>
          <w:lang w:eastAsia="zh-CN"/>
        </w:rPr>
        <w:t>。</w:t>
      </w:r>
    </w:p>
    <w:p w14:paraId="7F2DF91B">
      <w:pPr>
        <w:spacing w:line="30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rPr>
        <w:t>▲最高限价：</w:t>
      </w:r>
      <w:r>
        <w:rPr>
          <w:rFonts w:hint="eastAsia" w:ascii="宋体" w:hAnsi="宋体" w:cs="宋体"/>
          <w:color w:val="auto"/>
          <w:kern w:val="0"/>
          <w:sz w:val="24"/>
          <w:szCs w:val="24"/>
          <w:highlight w:val="none"/>
          <w:lang w:val="en-US" w:eastAsia="zh-CN" w:bidi="ar-SA"/>
        </w:rPr>
        <w:t>691633</w:t>
      </w:r>
      <w:r>
        <w:rPr>
          <w:rFonts w:hint="eastAsia" w:ascii="宋体" w:hAnsi="宋体" w:cs="宋体"/>
          <w:b w:val="0"/>
          <w:bCs/>
          <w:color w:val="auto"/>
          <w:sz w:val="24"/>
          <w:szCs w:val="24"/>
          <w:highlight w:val="none"/>
          <w:u w:val="none"/>
          <w:lang w:val="en-US" w:eastAsia="zh-CN"/>
        </w:rPr>
        <w:t>.</w:t>
      </w:r>
      <w:r>
        <w:rPr>
          <w:rFonts w:hint="eastAsia" w:ascii="宋体" w:hAnsi="宋体" w:cs="宋体"/>
          <w:color w:val="auto"/>
          <w:sz w:val="24"/>
          <w:szCs w:val="24"/>
          <w:highlight w:val="none"/>
          <w:lang w:val="en-US" w:eastAsia="zh-CN"/>
        </w:rPr>
        <w:t>00元</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rPr>
        <w:t>报价高于</w:t>
      </w:r>
      <w:r>
        <w:rPr>
          <w:rFonts w:hint="eastAsia" w:ascii="宋体" w:hAnsi="宋体" w:eastAsia="宋体" w:cs="宋体"/>
          <w:b w:val="0"/>
          <w:bCs/>
          <w:color w:val="auto"/>
          <w:sz w:val="24"/>
          <w:szCs w:val="24"/>
          <w:highlight w:val="none"/>
          <w:lang w:val="en-US" w:eastAsia="zh-CN"/>
        </w:rPr>
        <w:t>最高</w:t>
      </w:r>
      <w:r>
        <w:rPr>
          <w:rFonts w:hint="eastAsia" w:ascii="宋体" w:hAnsi="宋体" w:eastAsia="宋体" w:cs="宋体"/>
          <w:b w:val="0"/>
          <w:bCs/>
          <w:color w:val="auto"/>
          <w:sz w:val="24"/>
          <w:szCs w:val="24"/>
          <w:highlight w:val="none"/>
        </w:rPr>
        <w:t>限价的均作无效标处理</w:t>
      </w:r>
      <w:r>
        <w:rPr>
          <w:rFonts w:hint="eastAsia" w:ascii="宋体" w:hAnsi="宋体" w:eastAsia="宋体" w:cs="宋体"/>
          <w:b w:val="0"/>
          <w:bCs/>
          <w:color w:val="auto"/>
          <w:sz w:val="24"/>
          <w:szCs w:val="24"/>
          <w:highlight w:val="none"/>
          <w:lang w:eastAsia="zh-CN"/>
        </w:rPr>
        <w:t>。</w:t>
      </w:r>
    </w:p>
    <w:p w14:paraId="072DDCB0">
      <w:pPr>
        <w:adjustRightInd w:val="0"/>
        <w:spacing w:line="360" w:lineRule="auto"/>
        <w:ind w:firstLine="588" w:firstLineChars="245"/>
        <w:contextualSpacing/>
        <w:rPr>
          <w:rFonts w:hint="eastAsia" w:ascii="宋体" w:hAnsi="宋体" w:eastAsia="宋体" w:cs="宋体"/>
          <w:color w:val="auto"/>
          <w:sz w:val="24"/>
          <w:szCs w:val="24"/>
          <w:highlight w:val="none"/>
        </w:rPr>
      </w:pPr>
    </w:p>
    <w:p w14:paraId="705A39C4">
      <w:pPr>
        <w:tabs>
          <w:tab w:val="left" w:pos="1418"/>
        </w:tabs>
        <w:spacing w:line="360" w:lineRule="auto"/>
        <w:ind w:firstLine="3360" w:firstLineChars="1400"/>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44932BAD">
      <w:pPr>
        <w:tabs>
          <w:tab w:val="left" w:pos="1418"/>
        </w:tabs>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B6F3EF1">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p w14:paraId="076E1735">
      <w:pPr>
        <w:snapToGrid w:val="0"/>
        <w:spacing w:before="100" w:beforeAutospacing="1" w:after="100" w:afterAutospacing="1"/>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最终</w:t>
      </w:r>
      <w:r>
        <w:rPr>
          <w:rFonts w:hint="eastAsia" w:ascii="宋体" w:hAnsi="宋体" w:eastAsia="宋体" w:cs="宋体"/>
          <w:b/>
          <w:bCs/>
          <w:color w:val="auto"/>
          <w:sz w:val="32"/>
          <w:szCs w:val="32"/>
          <w:highlight w:val="none"/>
        </w:rPr>
        <w:t>报价一览表</w:t>
      </w:r>
    </w:p>
    <w:p w14:paraId="72877521">
      <w:pPr>
        <w:keepNext w:val="0"/>
        <w:keepLines w:val="0"/>
        <w:pageBreakBefore w:val="0"/>
        <w:widowControl w:val="0"/>
        <w:kinsoku/>
        <w:wordWrap/>
        <w:overflowPunct/>
        <w:topLinePunct w:val="0"/>
        <w:autoSpaceDE/>
        <w:autoSpaceDN/>
        <w:bidi w:val="0"/>
        <w:adjustRightInd/>
        <w:snapToGrid/>
        <w:spacing w:before="120" w:beforeLines="5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供应商名称（盖章）：__________________</w:t>
      </w:r>
    </w:p>
    <w:p w14:paraId="1D6B2F3D">
      <w:pPr>
        <w:keepNext w:val="0"/>
        <w:keepLines w:val="0"/>
        <w:pageBreakBefore w:val="0"/>
        <w:widowControl w:val="0"/>
        <w:kinsoku/>
        <w:wordWrap/>
        <w:overflowPunct/>
        <w:topLinePunct w:val="0"/>
        <w:autoSpaceDE/>
        <w:autoSpaceDN/>
        <w:bidi w:val="0"/>
        <w:adjustRightInd/>
        <w:snapToGrid/>
        <w:spacing w:before="120" w:beforeLines="5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项目编号：__________________</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15"/>
        <w:gridCol w:w="5458"/>
      </w:tblGrid>
      <w:tr w14:paraId="60527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137C47E7">
            <w:pPr>
              <w:snapToGrid w:val="0"/>
              <w:spacing w:before="100" w:beforeAutospacing="1" w:after="100" w:afterAutospacing="1"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5458" w:type="dxa"/>
            <w:tcBorders>
              <w:top w:val="single" w:color="auto" w:sz="4" w:space="0"/>
              <w:left w:val="single" w:color="auto" w:sz="4" w:space="0"/>
              <w:bottom w:val="single" w:color="auto" w:sz="4" w:space="0"/>
            </w:tcBorders>
            <w:noWrap w:val="0"/>
            <w:vAlign w:val="center"/>
          </w:tcPr>
          <w:p w14:paraId="1ED70014">
            <w:pPr>
              <w:snapToGrid w:val="0"/>
              <w:spacing w:before="100" w:beforeAutospacing="1" w:after="100" w:afterAutospacing="1" w:line="240" w:lineRule="auto"/>
              <w:jc w:val="center"/>
              <w:rPr>
                <w:rFonts w:hint="eastAsia" w:ascii="宋体" w:hAnsi="宋体" w:eastAsia="宋体" w:cs="宋体"/>
                <w:b/>
                <w:bCs/>
                <w:color w:val="auto"/>
                <w:sz w:val="24"/>
                <w:highlight w:val="none"/>
                <w:lang w:eastAsia="zh-CN"/>
              </w:rPr>
            </w:pPr>
          </w:p>
        </w:tc>
      </w:tr>
      <w:tr w14:paraId="54B4A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705F9093">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下浮率</w:t>
            </w:r>
          </w:p>
        </w:tc>
        <w:tc>
          <w:tcPr>
            <w:tcW w:w="5458" w:type="dxa"/>
            <w:tcBorders>
              <w:top w:val="single" w:color="auto" w:sz="4" w:space="0"/>
              <w:left w:val="single" w:color="auto" w:sz="4" w:space="0"/>
              <w:bottom w:val="single" w:color="auto" w:sz="4" w:space="0"/>
            </w:tcBorders>
            <w:noWrap w:val="0"/>
            <w:vAlign w:val="center"/>
          </w:tcPr>
          <w:p w14:paraId="4DA40EBB">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ind w:firstLine="720" w:firstLineChars="3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4990E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53846A99">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投标报价</w:t>
            </w:r>
            <w:r>
              <w:rPr>
                <w:rFonts w:hint="eastAsia" w:ascii="宋体" w:hAnsi="宋体" w:cs="宋体"/>
                <w:b/>
                <w:bCs/>
                <w:color w:val="auto"/>
                <w:sz w:val="24"/>
                <w:highlight w:val="none"/>
                <w:lang w:val="en-US" w:eastAsia="zh-CN"/>
              </w:rPr>
              <w:t>总价</w:t>
            </w:r>
          </w:p>
        </w:tc>
        <w:tc>
          <w:tcPr>
            <w:tcW w:w="5458" w:type="dxa"/>
            <w:tcBorders>
              <w:top w:val="single" w:color="auto" w:sz="4" w:space="0"/>
              <w:left w:val="single" w:color="auto" w:sz="4" w:space="0"/>
              <w:bottom w:val="single" w:color="auto" w:sz="4" w:space="0"/>
            </w:tcBorders>
            <w:noWrap w:val="0"/>
            <w:vAlign w:val="center"/>
          </w:tcPr>
          <w:p w14:paraId="753FED07">
            <w:pPr>
              <w:bidi w:val="0"/>
              <w:spacing w:line="240" w:lineRule="auto"/>
              <w:rPr>
                <w:rFonts w:hint="eastAsia"/>
                <w:b/>
                <w:bCs/>
                <w:color w:val="auto"/>
                <w:highlight w:val="none"/>
                <w:lang w:val="en-US" w:eastAsia="zh-CN"/>
              </w:rPr>
            </w:pPr>
            <w:r>
              <w:rPr>
                <w:rFonts w:hint="eastAsia"/>
                <w:b/>
                <w:bCs/>
                <w:color w:val="auto"/>
                <w:highlight w:val="none"/>
              </w:rPr>
              <w:t xml:space="preserve">大写：   </w:t>
            </w:r>
            <w:r>
              <w:rPr>
                <w:rFonts w:hint="eastAsia"/>
                <w:b/>
                <w:bCs/>
                <w:color w:val="auto"/>
                <w:highlight w:val="none"/>
                <w:lang w:val="en-US" w:eastAsia="zh-CN"/>
              </w:rPr>
              <w:t xml:space="preserve">    </w:t>
            </w:r>
          </w:p>
          <w:p w14:paraId="2AB50C58">
            <w:pPr>
              <w:bidi w:val="0"/>
              <w:spacing w:line="240" w:lineRule="auto"/>
              <w:rPr>
                <w:rFonts w:hint="eastAsia" w:ascii="宋体" w:hAnsi="宋体" w:eastAsia="宋体" w:cs="宋体"/>
                <w:color w:val="auto"/>
                <w:sz w:val="24"/>
                <w:highlight w:val="none"/>
              </w:rPr>
            </w:pPr>
            <w:r>
              <w:rPr>
                <w:rFonts w:hint="eastAsia"/>
                <w:b/>
                <w:bCs/>
                <w:color w:val="auto"/>
                <w:highlight w:val="none"/>
              </w:rPr>
              <w:t>小写：</w:t>
            </w:r>
            <w:r>
              <w:rPr>
                <w:rFonts w:hint="eastAsia"/>
                <w:b/>
                <w:bCs/>
                <w:color w:val="auto"/>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tc>
      </w:tr>
      <w:tr w14:paraId="5FA68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2091E146">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合同履行期限（工期）</w:t>
            </w:r>
          </w:p>
        </w:tc>
        <w:tc>
          <w:tcPr>
            <w:tcW w:w="5458" w:type="dxa"/>
            <w:tcBorders>
              <w:top w:val="single" w:color="auto" w:sz="4" w:space="0"/>
              <w:left w:val="single" w:color="auto" w:sz="4" w:space="0"/>
              <w:bottom w:val="single" w:color="auto" w:sz="4" w:space="0"/>
            </w:tcBorders>
            <w:noWrap w:val="0"/>
            <w:vAlign w:val="center"/>
          </w:tcPr>
          <w:p w14:paraId="4393340D">
            <w:pPr>
              <w:snapToGrid w:val="0"/>
              <w:spacing w:before="100" w:beforeAutospacing="1" w:after="100" w:afterAutospacing="1" w:line="240" w:lineRule="auto"/>
              <w:jc w:val="center"/>
              <w:rPr>
                <w:rFonts w:hint="eastAsia" w:ascii="宋体" w:hAnsi="宋体" w:eastAsia="宋体" w:cs="宋体"/>
                <w:color w:val="auto"/>
                <w:sz w:val="24"/>
                <w:highlight w:val="none"/>
                <w:lang w:val="en-US"/>
              </w:rPr>
            </w:pPr>
            <w:r>
              <w:rPr>
                <w:rFonts w:hint="eastAsia" w:ascii="宋体" w:hAnsi="宋体" w:cs="宋体"/>
                <w:b/>
                <w:bCs/>
                <w:color w:val="auto"/>
                <w:sz w:val="24"/>
                <w:highlight w:val="none"/>
                <w:u w:val="single"/>
                <w:lang w:val="en-US" w:eastAsia="zh-CN"/>
              </w:rPr>
              <w:t xml:space="preserve">     日历天</w:t>
            </w:r>
          </w:p>
        </w:tc>
      </w:tr>
      <w:tr w14:paraId="668E0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2078F4F0">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项目负责人</w:t>
            </w:r>
          </w:p>
        </w:tc>
        <w:tc>
          <w:tcPr>
            <w:tcW w:w="5458" w:type="dxa"/>
            <w:tcBorders>
              <w:top w:val="single" w:color="auto" w:sz="4" w:space="0"/>
              <w:left w:val="single" w:color="auto" w:sz="4" w:space="0"/>
              <w:bottom w:val="single" w:color="auto" w:sz="4" w:space="0"/>
            </w:tcBorders>
            <w:noWrap w:val="0"/>
            <w:vAlign w:val="center"/>
          </w:tcPr>
          <w:p w14:paraId="4C54D8B7">
            <w:pPr>
              <w:snapToGrid w:val="0"/>
              <w:spacing w:before="100" w:beforeAutospacing="1" w:after="100" w:afterAutospacing="1" w:line="240" w:lineRule="auto"/>
              <w:jc w:val="center"/>
              <w:rPr>
                <w:rFonts w:hint="eastAsia" w:ascii="宋体" w:hAnsi="宋体" w:eastAsia="宋体" w:cs="宋体"/>
                <w:color w:val="auto"/>
                <w:sz w:val="24"/>
                <w:highlight w:val="none"/>
              </w:rPr>
            </w:pPr>
          </w:p>
        </w:tc>
      </w:tr>
      <w:tr w14:paraId="629AB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7EF63CEB">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质量目标</w:t>
            </w:r>
          </w:p>
        </w:tc>
        <w:tc>
          <w:tcPr>
            <w:tcW w:w="5458" w:type="dxa"/>
            <w:tcBorders>
              <w:top w:val="single" w:color="auto" w:sz="4" w:space="0"/>
              <w:left w:val="single" w:color="auto" w:sz="4" w:space="0"/>
              <w:bottom w:val="single" w:color="auto" w:sz="4" w:space="0"/>
            </w:tcBorders>
            <w:noWrap w:val="0"/>
            <w:vAlign w:val="center"/>
          </w:tcPr>
          <w:p w14:paraId="63054DA5">
            <w:pPr>
              <w:snapToGrid w:val="0"/>
              <w:spacing w:before="100" w:beforeAutospacing="1" w:after="100" w:afterAutospacing="1" w:line="240" w:lineRule="auto"/>
              <w:jc w:val="center"/>
              <w:rPr>
                <w:rFonts w:hint="eastAsia" w:ascii="宋体" w:hAnsi="宋体" w:eastAsia="宋体" w:cs="宋体"/>
                <w:color w:val="auto"/>
                <w:sz w:val="24"/>
                <w:highlight w:val="none"/>
              </w:rPr>
            </w:pPr>
          </w:p>
        </w:tc>
      </w:tr>
    </w:tbl>
    <w:p w14:paraId="75373DB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报价一经涂改，应在涂改处加盖单位公章或者由法定代表人或授权委托人签字或盖章，否则其投标作无效标处理</w:t>
      </w:r>
      <w:r>
        <w:rPr>
          <w:rFonts w:hint="eastAsia" w:ascii="宋体" w:hAnsi="宋体" w:eastAsia="宋体" w:cs="宋体"/>
          <w:b w:val="0"/>
          <w:bCs/>
          <w:color w:val="auto"/>
          <w:sz w:val="24"/>
          <w:szCs w:val="24"/>
          <w:highlight w:val="none"/>
          <w:lang w:eastAsia="zh-CN"/>
        </w:rPr>
        <w:t>。</w:t>
      </w:r>
    </w:p>
    <w:p w14:paraId="44C4DAF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本次报价为磋商响应文件所确定的响应需求范围内和合同中要求完成的全部工作内容，一旦中标将不予调整。包括但不限于</w:t>
      </w:r>
      <w:r>
        <w:rPr>
          <w:rFonts w:hint="eastAsia" w:ascii="宋体" w:hAnsi="宋体" w:eastAsia="宋体" w:cs="宋体"/>
          <w:b w:val="0"/>
          <w:bCs/>
          <w:color w:val="auto"/>
          <w:sz w:val="24"/>
          <w:szCs w:val="24"/>
          <w:highlight w:val="none"/>
        </w:rPr>
        <w:t>其应包括直接费、间接费、施工设备、劳务、管理、材料、安装、维护、利润、税金</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招标代理服务费及政策性文件规定等完成本项目各项应有费用</w:t>
      </w:r>
      <w:r>
        <w:rPr>
          <w:rFonts w:hint="eastAsia" w:ascii="宋体" w:hAnsi="宋体" w:eastAsia="宋体" w:cs="宋体"/>
          <w:b w:val="0"/>
          <w:bCs/>
          <w:color w:val="auto"/>
          <w:sz w:val="24"/>
          <w:szCs w:val="24"/>
          <w:highlight w:val="none"/>
          <w:lang w:eastAsia="zh-CN"/>
        </w:rPr>
        <w:t>。</w:t>
      </w:r>
    </w:p>
    <w:p w14:paraId="1957202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rPr>
        <w:t>▲最高限价</w:t>
      </w:r>
      <w:r>
        <w:rPr>
          <w:rFonts w:hint="eastAsia" w:ascii="宋体" w:hAnsi="宋体" w:cs="宋体"/>
          <w:b w:val="0"/>
          <w:bCs/>
          <w:color w:val="auto"/>
          <w:sz w:val="24"/>
          <w:szCs w:val="24"/>
          <w:highlight w:val="none"/>
          <w:u w:val="none"/>
          <w:lang w:val="en-US" w:eastAsia="zh-CN"/>
        </w:rPr>
        <w:t>：</w:t>
      </w:r>
      <w:r>
        <w:rPr>
          <w:rFonts w:hint="eastAsia" w:ascii="宋体" w:hAnsi="宋体" w:cs="宋体"/>
          <w:color w:val="auto"/>
          <w:kern w:val="0"/>
          <w:sz w:val="24"/>
          <w:szCs w:val="24"/>
          <w:highlight w:val="none"/>
          <w:lang w:val="en-US" w:eastAsia="zh-CN" w:bidi="ar-SA"/>
        </w:rPr>
        <w:t>691633</w:t>
      </w:r>
      <w:r>
        <w:rPr>
          <w:rFonts w:hint="eastAsia" w:ascii="宋体" w:hAnsi="宋体" w:cs="宋体"/>
          <w:b w:val="0"/>
          <w:bCs/>
          <w:color w:val="auto"/>
          <w:sz w:val="24"/>
          <w:szCs w:val="24"/>
          <w:highlight w:val="none"/>
          <w:u w:val="none"/>
          <w:lang w:val="en-US" w:eastAsia="zh-CN"/>
        </w:rPr>
        <w:t>.</w:t>
      </w:r>
      <w:r>
        <w:rPr>
          <w:rFonts w:hint="eastAsia" w:ascii="宋体" w:hAnsi="宋体" w:cs="宋体"/>
          <w:color w:val="auto"/>
          <w:sz w:val="24"/>
          <w:szCs w:val="24"/>
          <w:highlight w:val="none"/>
          <w:lang w:val="en-US" w:eastAsia="zh-CN"/>
        </w:rPr>
        <w:t>00元</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rPr>
        <w:t>报价高于上限价的均作无效标处理</w:t>
      </w:r>
      <w:r>
        <w:rPr>
          <w:rFonts w:hint="eastAsia" w:ascii="宋体" w:hAnsi="宋体" w:eastAsia="宋体" w:cs="宋体"/>
          <w:b w:val="0"/>
          <w:bCs/>
          <w:color w:val="auto"/>
          <w:sz w:val="24"/>
          <w:szCs w:val="24"/>
          <w:highlight w:val="none"/>
          <w:lang w:eastAsia="zh-CN"/>
        </w:rPr>
        <w:t>。</w:t>
      </w:r>
    </w:p>
    <w:p w14:paraId="69745712">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lang w:val="en-US" w:eastAsia="zh-CN"/>
        </w:rPr>
        <w:t>4.本表中</w:t>
      </w:r>
      <w:r>
        <w:rPr>
          <w:rFonts w:hint="eastAsia" w:ascii="宋体" w:hAnsi="宋体" w:eastAsia="宋体" w:cs="宋体"/>
          <w:b/>
          <w:bCs w:val="0"/>
          <w:color w:val="auto"/>
          <w:sz w:val="24"/>
          <w:highlight w:val="none"/>
          <w:lang w:val="en-US" w:eastAsia="zh-CN"/>
        </w:rPr>
        <w:t>最终投标</w:t>
      </w:r>
      <w:r>
        <w:rPr>
          <w:rFonts w:hint="eastAsia" w:ascii="宋体" w:hAnsi="宋体" w:eastAsia="宋体" w:cs="宋体"/>
          <w:b/>
          <w:bCs w:val="0"/>
          <w:color w:val="auto"/>
          <w:sz w:val="24"/>
          <w:highlight w:val="none"/>
        </w:rPr>
        <w:t>报价=</w:t>
      </w:r>
      <w:r>
        <w:rPr>
          <w:rFonts w:hint="eastAsia" w:ascii="宋体" w:hAnsi="宋体" w:eastAsia="宋体" w:cs="宋体"/>
          <w:b/>
          <w:bCs w:val="0"/>
          <w:color w:val="auto"/>
          <w:sz w:val="24"/>
          <w:highlight w:val="none"/>
          <w:lang w:val="en-US" w:eastAsia="zh-CN"/>
        </w:rPr>
        <w:t>第壹轮投标报价</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lang w:val="en-US" w:eastAsia="zh-CN"/>
        </w:rPr>
        <w:t>1-下浮率</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szCs w:val="24"/>
          <w:highlight w:val="none"/>
          <w:lang w:val="en-US" w:eastAsia="zh-CN"/>
        </w:rPr>
        <w:t>下浮率小数点后保留二位小数（四舍五入）。本工程结算方式：按成交供应商的第壹轮报价的计算口径，按实际工程量计算所得工程造价</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lang w:val="en-US" w:eastAsia="zh-CN"/>
        </w:rPr>
        <w:t>1-成交下浮率</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szCs w:val="24"/>
          <w:highlight w:val="none"/>
          <w:u w:val="none"/>
          <w:lang w:val="en-US" w:eastAsia="zh-CN"/>
        </w:rPr>
        <w:t>。</w:t>
      </w:r>
    </w:p>
    <w:p w14:paraId="661FC5BB">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宋体" w:hAnsi="宋体" w:eastAsia="宋体" w:cs="宋体"/>
          <w:b/>
          <w:bCs w:val="0"/>
          <w:color w:val="auto"/>
          <w:highlight w:val="none"/>
          <w:u w:val="none"/>
          <w:lang w:val="en-US" w:eastAsia="zh-CN"/>
        </w:rPr>
      </w:pPr>
      <w:r>
        <w:rPr>
          <w:rFonts w:hint="eastAsia" w:ascii="宋体" w:hAnsi="宋体" w:eastAsia="宋体" w:cs="宋体"/>
          <w:b/>
          <w:bCs w:val="0"/>
          <w:color w:val="auto"/>
          <w:sz w:val="24"/>
          <w:highlight w:val="none"/>
          <w:u w:val="none"/>
          <w:lang w:val="en-US" w:eastAsia="zh-CN"/>
        </w:rPr>
        <w:t>5.</w:t>
      </w:r>
      <w:r>
        <w:rPr>
          <w:rFonts w:hint="eastAsia" w:hAnsi="宋体"/>
          <w:b w:val="0"/>
          <w:bCs/>
          <w:color w:val="auto"/>
          <w:sz w:val="24"/>
          <w:szCs w:val="24"/>
          <w:highlight w:val="none"/>
          <w:u w:val="none"/>
        </w:rPr>
        <w:t>▲</w:t>
      </w:r>
      <w:r>
        <w:rPr>
          <w:rFonts w:hint="eastAsia" w:ascii="宋体" w:hAnsi="宋体"/>
          <w:b/>
          <w:bCs w:val="0"/>
          <w:color w:val="auto"/>
          <w:sz w:val="24"/>
          <w:highlight w:val="none"/>
          <w:u w:val="none"/>
        </w:rPr>
        <w:t>未按上述公式计算</w:t>
      </w:r>
      <w:r>
        <w:rPr>
          <w:rFonts w:hint="eastAsia" w:ascii="宋体" w:hAnsi="宋体"/>
          <w:b/>
          <w:bCs w:val="0"/>
          <w:color w:val="auto"/>
          <w:sz w:val="24"/>
          <w:highlight w:val="none"/>
          <w:u w:val="none"/>
          <w:lang w:val="en-US" w:eastAsia="zh-CN"/>
        </w:rPr>
        <w:t>投标最终</w:t>
      </w:r>
      <w:r>
        <w:rPr>
          <w:rFonts w:hint="eastAsia" w:ascii="宋体" w:hAnsi="宋体"/>
          <w:b/>
          <w:bCs w:val="0"/>
          <w:color w:val="auto"/>
          <w:sz w:val="24"/>
          <w:highlight w:val="none"/>
          <w:u w:val="none"/>
        </w:rPr>
        <w:t>报价的</w:t>
      </w:r>
      <w:r>
        <w:rPr>
          <w:rFonts w:hint="eastAsia" w:ascii="宋体" w:hAnsi="宋体"/>
          <w:b/>
          <w:bCs w:val="0"/>
          <w:color w:val="auto"/>
          <w:sz w:val="24"/>
          <w:highlight w:val="none"/>
          <w:u w:val="none"/>
          <w:lang w:val="en-US" w:eastAsia="zh-CN"/>
        </w:rPr>
        <w:t>供应商</w:t>
      </w:r>
      <w:r>
        <w:rPr>
          <w:rFonts w:hint="eastAsia" w:ascii="宋体" w:hAnsi="宋体"/>
          <w:b/>
          <w:bCs w:val="0"/>
          <w:color w:val="auto"/>
          <w:sz w:val="24"/>
          <w:highlight w:val="none"/>
          <w:u w:val="none"/>
        </w:rPr>
        <w:t>，由</w:t>
      </w:r>
      <w:r>
        <w:rPr>
          <w:rFonts w:hint="eastAsia" w:ascii="宋体" w:hAnsi="宋体"/>
          <w:b/>
          <w:bCs w:val="0"/>
          <w:color w:val="auto"/>
          <w:sz w:val="24"/>
          <w:highlight w:val="none"/>
          <w:u w:val="none"/>
          <w:lang w:val="en-US" w:eastAsia="zh-CN"/>
        </w:rPr>
        <w:t>评审小组</w:t>
      </w:r>
      <w:r>
        <w:rPr>
          <w:rFonts w:hint="eastAsia" w:ascii="宋体" w:hAnsi="宋体"/>
          <w:b/>
          <w:bCs w:val="0"/>
          <w:color w:val="auto"/>
          <w:sz w:val="24"/>
          <w:highlight w:val="none"/>
          <w:u w:val="none"/>
        </w:rPr>
        <w:t>作否决投标处理</w:t>
      </w:r>
      <w:r>
        <w:rPr>
          <w:rFonts w:hint="eastAsia" w:ascii="宋体" w:hAnsi="宋体"/>
          <w:b/>
          <w:bCs w:val="0"/>
          <w:color w:val="auto"/>
          <w:sz w:val="24"/>
          <w:highlight w:val="none"/>
          <w:u w:val="none"/>
          <w:lang w:eastAsia="zh-CN"/>
        </w:rPr>
        <w:t>。</w:t>
      </w:r>
    </w:p>
    <w:p w14:paraId="508257CA">
      <w:pPr>
        <w:pStyle w:val="8"/>
        <w:keepNext w:val="0"/>
        <w:keepLines w:val="0"/>
        <w:pageBreakBefore w:val="0"/>
        <w:widowControl w:val="0"/>
        <w:kinsoku/>
        <w:wordWrap/>
        <w:overflowPunct/>
        <w:topLinePunct w:val="0"/>
        <w:autoSpaceDE/>
        <w:autoSpaceDN/>
        <w:bidi w:val="0"/>
        <w:adjustRightInd/>
        <w:snapToGrid/>
        <w:spacing w:after="0" w:line="240" w:lineRule="auto"/>
        <w:ind w:firstLine="482" w:firstLineChars="200"/>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6</w:t>
      </w:r>
      <w:r>
        <w:rPr>
          <w:rFonts w:hint="eastAsia" w:ascii="宋体" w:hAnsi="宋体" w:eastAsia="宋体" w:cs="宋体"/>
          <w:b/>
          <w:bCs/>
          <w:color w:val="auto"/>
          <w:sz w:val="24"/>
          <w:szCs w:val="24"/>
          <w:highlight w:val="none"/>
          <w:u w:val="none"/>
          <w:lang w:val="en-US" w:eastAsia="zh-CN"/>
        </w:rPr>
        <w:t>.本表不得提供在磋商响应文件中，仅在开标时要求最终报价时按规定提供。</w:t>
      </w:r>
    </w:p>
    <w:p w14:paraId="1CD03846">
      <w:pPr>
        <w:keepNext w:val="0"/>
        <w:keepLines w:val="0"/>
        <w:pageBreakBefore w:val="0"/>
        <w:widowControl w:val="0"/>
        <w:tabs>
          <w:tab w:val="left" w:pos="1418"/>
        </w:tabs>
        <w:kinsoku/>
        <w:wordWrap/>
        <w:overflowPunct/>
        <w:topLinePunct w:val="0"/>
        <w:autoSpaceDE/>
        <w:autoSpaceDN/>
        <w:bidi w:val="0"/>
        <w:adjustRightInd/>
        <w:spacing w:line="360" w:lineRule="auto"/>
        <w:ind w:firstLine="3360" w:firstLineChars="1400"/>
        <w:textAlignment w:val="auto"/>
        <w:rPr>
          <w:rFonts w:hint="eastAsia" w:ascii="宋体" w:hAnsi="宋体" w:eastAsia="宋体" w:cs="宋体"/>
          <w:color w:val="auto"/>
          <w:sz w:val="24"/>
          <w:szCs w:val="24"/>
          <w:highlight w:val="none"/>
          <w:lang w:val="en-US" w:eastAsia="zh-CN"/>
        </w:rPr>
      </w:pPr>
    </w:p>
    <w:p w14:paraId="37910C1C">
      <w:pPr>
        <w:keepNext w:val="0"/>
        <w:keepLines w:val="0"/>
        <w:pageBreakBefore w:val="0"/>
        <w:widowControl w:val="0"/>
        <w:tabs>
          <w:tab w:val="left" w:pos="1418"/>
        </w:tabs>
        <w:kinsoku/>
        <w:wordWrap/>
        <w:overflowPunct/>
        <w:topLinePunct w:val="0"/>
        <w:autoSpaceDE/>
        <w:autoSpaceDN/>
        <w:bidi w:val="0"/>
        <w:adjustRightInd/>
        <w:spacing w:line="360" w:lineRule="auto"/>
        <w:ind w:firstLine="3360" w:firstLineChars="1400"/>
        <w:textAlignment w:val="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3215D09F">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60" w:lineRule="auto"/>
        <w:ind w:firstLine="5740" w:firstLineChars="2050"/>
        <w:textAlignment w:val="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日  期：</w:t>
      </w:r>
      <w:r>
        <w:rPr>
          <w:rFonts w:hint="eastAsia" w:ascii="宋体" w:hAnsi="宋体" w:eastAsia="宋体" w:cs="宋体"/>
          <w:color w:val="auto"/>
          <w:spacing w:val="20"/>
          <w:sz w:val="24"/>
          <w:szCs w:val="24"/>
          <w:highlight w:val="none"/>
          <w:u w:val="single"/>
        </w:rPr>
        <w:t xml:space="preserve">            </w:t>
      </w:r>
    </w:p>
    <w:p w14:paraId="75FD19D7">
      <w:pPr>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u w:val="single"/>
        </w:rPr>
        <w:br w:type="page"/>
      </w:r>
    </w:p>
    <w:tbl>
      <w:tblPr>
        <w:tblStyle w:val="24"/>
        <w:tblW w:w="9622" w:type="dxa"/>
        <w:tblInd w:w="0" w:type="dxa"/>
        <w:tblLayout w:type="fixed"/>
        <w:tblCellMar>
          <w:top w:w="0" w:type="dxa"/>
          <w:left w:w="108" w:type="dxa"/>
          <w:bottom w:w="0" w:type="dxa"/>
          <w:right w:w="108" w:type="dxa"/>
        </w:tblCellMar>
      </w:tblPr>
      <w:tblGrid>
        <w:gridCol w:w="9622"/>
      </w:tblGrid>
      <w:tr w14:paraId="293803EA">
        <w:tblPrEx>
          <w:tblCellMar>
            <w:top w:w="0" w:type="dxa"/>
            <w:left w:w="108" w:type="dxa"/>
            <w:bottom w:w="0" w:type="dxa"/>
            <w:right w:w="108" w:type="dxa"/>
          </w:tblCellMar>
        </w:tblPrEx>
        <w:tc>
          <w:tcPr>
            <w:tcW w:w="9622" w:type="dxa"/>
            <w:noWrap w:val="0"/>
            <w:vAlign w:val="top"/>
          </w:tcPr>
          <w:p w14:paraId="66FCD91A">
            <w:pPr>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color w:val="auto"/>
                <w:spacing w:val="20"/>
                <w:sz w:val="24"/>
                <w:szCs w:val="24"/>
                <w:highlight w:val="none"/>
                <w:u w:val="single"/>
              </w:rPr>
              <w:br w:type="page"/>
            </w:r>
            <w:r>
              <w:rPr>
                <w:rFonts w:hint="eastAsia" w:ascii="宋体" w:hAnsi="宋体" w:eastAsia="宋体" w:cs="宋体"/>
                <w:b/>
                <w:bCs/>
                <w:color w:val="auto"/>
                <w:sz w:val="30"/>
                <w:szCs w:val="30"/>
                <w:highlight w:val="none"/>
                <w:lang w:val="en-US" w:eastAsia="zh-CN"/>
              </w:rPr>
              <w:t>十</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lang w:val="en-US" w:eastAsia="zh-CN"/>
              </w:rPr>
              <w:t>、分项报价明细表（格式）</w:t>
            </w:r>
          </w:p>
          <w:p w14:paraId="5E6E501E">
            <w:pPr>
              <w:numPr>
                <w:ilvl w:val="0"/>
                <w:numId w:val="0"/>
              </w:numPr>
              <w:spacing w:line="300" w:lineRule="auto"/>
              <w:jc w:val="center"/>
              <w:rPr>
                <w:rFonts w:hint="eastAsia" w:ascii="宋体" w:hAnsi="宋体" w:eastAsia="宋体" w:cs="宋体"/>
                <w:b/>
                <w:bCs/>
                <w:color w:val="auto"/>
                <w:sz w:val="36"/>
                <w:szCs w:val="36"/>
                <w:highlight w:val="none"/>
              </w:rPr>
            </w:pPr>
          </w:p>
          <w:p w14:paraId="75C129C6">
            <w:pPr>
              <w:numPr>
                <w:ilvl w:val="0"/>
                <w:numId w:val="0"/>
              </w:numPr>
              <w:spacing w:line="30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投　标　</w:t>
            </w:r>
            <w:r>
              <w:rPr>
                <w:rFonts w:hint="eastAsia" w:ascii="宋体" w:hAnsi="宋体" w:eastAsia="宋体" w:cs="宋体"/>
                <w:b/>
                <w:bCs/>
                <w:color w:val="auto"/>
                <w:sz w:val="36"/>
                <w:szCs w:val="36"/>
                <w:highlight w:val="none"/>
                <w:lang w:eastAsia="zh-CN"/>
              </w:rPr>
              <w:t>报</w:t>
            </w:r>
            <w:r>
              <w:rPr>
                <w:rFonts w:hint="eastAsia" w:ascii="宋体" w:hAnsi="宋体" w:eastAsia="宋体" w:cs="宋体"/>
                <w:b/>
                <w:bCs/>
                <w:color w:val="auto"/>
                <w:sz w:val="36"/>
                <w:szCs w:val="36"/>
                <w:highlight w:val="none"/>
              </w:rPr>
              <w:t>　价</w:t>
            </w:r>
          </w:p>
        </w:tc>
      </w:tr>
    </w:tbl>
    <w:p w14:paraId="27BE416E">
      <w:pPr>
        <w:spacing w:line="300" w:lineRule="auto"/>
        <w:jc w:val="right"/>
        <w:rPr>
          <w:rFonts w:hint="eastAsia" w:ascii="宋体" w:hAnsi="宋体" w:eastAsia="宋体" w:cs="宋体"/>
          <w:b/>
          <w:color w:val="auto"/>
          <w:sz w:val="21"/>
          <w:highlight w:val="none"/>
        </w:rPr>
      </w:pPr>
    </w:p>
    <w:p w14:paraId="713A1906">
      <w:pPr>
        <w:spacing w:line="700" w:lineRule="exact"/>
        <w:ind w:left="0" w:leftChars="0" w:firstLine="0" w:firstLineChars="0"/>
        <w:rPr>
          <w:rFonts w:hint="eastAsia" w:ascii="宋体" w:hAnsi="宋体" w:eastAsia="宋体" w:cs="宋体"/>
          <w:color w:val="auto"/>
          <w:spacing w:val="240"/>
          <w:kern w:val="0"/>
          <w:sz w:val="28"/>
          <w:szCs w:val="28"/>
          <w:highlight w:val="none"/>
        </w:rPr>
      </w:pPr>
    </w:p>
    <w:p w14:paraId="13F3A461">
      <w:pPr>
        <w:spacing w:line="7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pacing w:val="240"/>
          <w:kern w:val="0"/>
          <w:sz w:val="24"/>
          <w:szCs w:val="24"/>
          <w:highlight w:val="none"/>
        </w:rPr>
        <w:t>招标</w:t>
      </w:r>
      <w:r>
        <w:rPr>
          <w:rFonts w:hint="eastAsia" w:ascii="宋体" w:hAnsi="宋体" w:eastAsia="宋体" w:cs="宋体"/>
          <w:color w:val="auto"/>
          <w:kern w:val="0"/>
          <w:sz w:val="24"/>
          <w:szCs w:val="24"/>
          <w:highlight w:val="none"/>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43A4B732">
      <w:pPr>
        <w:spacing w:line="7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pacing w:val="113"/>
          <w:kern w:val="0"/>
          <w:sz w:val="24"/>
          <w:szCs w:val="24"/>
          <w:highlight w:val="none"/>
        </w:rPr>
        <w:t>工程名</w:t>
      </w:r>
      <w:r>
        <w:rPr>
          <w:rFonts w:hint="eastAsia" w:ascii="宋体" w:hAnsi="宋体" w:eastAsia="宋体" w:cs="宋体"/>
          <w:color w:val="auto"/>
          <w:spacing w:val="1"/>
          <w:kern w:val="0"/>
          <w:sz w:val="24"/>
          <w:szCs w:val="24"/>
          <w:highlight w:val="none"/>
        </w:rPr>
        <w:t>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24EA6C69">
      <w:pPr>
        <w:spacing w:line="7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投标总价（小写）：</w:t>
      </w:r>
      <w:r>
        <w:rPr>
          <w:rFonts w:hint="eastAsia" w:ascii="宋体" w:hAnsi="宋体" w:eastAsia="宋体" w:cs="宋体"/>
          <w:color w:val="auto"/>
          <w:sz w:val="24"/>
          <w:szCs w:val="24"/>
          <w:highlight w:val="none"/>
          <w:u w:val="single"/>
        </w:rPr>
        <w:t xml:space="preserve">                                                 </w:t>
      </w:r>
    </w:p>
    <w:p w14:paraId="13029A40">
      <w:pPr>
        <w:spacing w:line="700" w:lineRule="exact"/>
        <w:ind w:left="0" w:leftChars="0"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p>
    <w:p w14:paraId="5762A2C1">
      <w:pPr>
        <w:ind w:firstLine="1200" w:firstLineChars="500"/>
        <w:rPr>
          <w:rFonts w:hint="eastAsia" w:ascii="宋体" w:hAnsi="宋体" w:eastAsia="宋体" w:cs="宋体"/>
          <w:color w:val="auto"/>
          <w:sz w:val="24"/>
          <w:szCs w:val="24"/>
          <w:highlight w:val="none"/>
          <w:u w:val="single"/>
        </w:rPr>
      </w:pPr>
    </w:p>
    <w:tbl>
      <w:tblPr>
        <w:tblStyle w:val="24"/>
        <w:tblW w:w="8928" w:type="dxa"/>
        <w:jc w:val="center"/>
        <w:tblLayout w:type="fixed"/>
        <w:tblCellMar>
          <w:top w:w="0" w:type="dxa"/>
          <w:left w:w="108" w:type="dxa"/>
          <w:bottom w:w="0" w:type="dxa"/>
          <w:right w:w="108" w:type="dxa"/>
        </w:tblCellMar>
      </w:tblPr>
      <w:tblGrid>
        <w:gridCol w:w="8928"/>
      </w:tblGrid>
      <w:tr w14:paraId="714FE47A">
        <w:tblPrEx>
          <w:tblCellMar>
            <w:top w:w="0" w:type="dxa"/>
            <w:left w:w="108" w:type="dxa"/>
            <w:bottom w:w="0" w:type="dxa"/>
            <w:right w:w="108" w:type="dxa"/>
          </w:tblCellMar>
        </w:tblPrEx>
        <w:trPr>
          <w:trHeight w:val="1890" w:hRule="atLeast"/>
          <w:jc w:val="center"/>
        </w:trPr>
        <w:tc>
          <w:tcPr>
            <w:tcW w:w="8928" w:type="dxa"/>
            <w:noWrap w:val="0"/>
            <w:vAlign w:val="top"/>
          </w:tcPr>
          <w:p w14:paraId="1FFFF7C2">
            <w:pPr>
              <w:tabs>
                <w:tab w:val="left" w:pos="3780"/>
              </w:tabs>
              <w:ind w:left="1800"/>
              <w:rPr>
                <w:rFonts w:hint="eastAsia" w:ascii="宋体" w:hAnsi="宋体" w:eastAsia="宋体" w:cs="宋体"/>
                <w:color w:val="auto"/>
                <w:sz w:val="24"/>
                <w:szCs w:val="24"/>
                <w:highlight w:val="none"/>
              </w:rPr>
            </w:pPr>
          </w:p>
          <w:p w14:paraId="5199AAF2">
            <w:pPr>
              <w:tabs>
                <w:tab w:val="left" w:pos="3780"/>
              </w:tabs>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14:paraId="30C7A73E">
            <w:pPr>
              <w:tabs>
                <w:tab w:val="left" w:pos="3780"/>
              </w:tabs>
              <w:ind w:left="18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（单位盖章）</w:t>
            </w:r>
          </w:p>
        </w:tc>
      </w:tr>
      <w:tr w14:paraId="4450A560">
        <w:tblPrEx>
          <w:tblCellMar>
            <w:top w:w="0" w:type="dxa"/>
            <w:left w:w="108" w:type="dxa"/>
            <w:bottom w:w="0" w:type="dxa"/>
            <w:right w:w="108" w:type="dxa"/>
          </w:tblCellMar>
        </w:tblPrEx>
        <w:trPr>
          <w:trHeight w:val="1890" w:hRule="atLeast"/>
          <w:jc w:val="center"/>
        </w:trPr>
        <w:tc>
          <w:tcPr>
            <w:tcW w:w="8928" w:type="dxa"/>
            <w:noWrap w:val="0"/>
            <w:vAlign w:val="center"/>
          </w:tcPr>
          <w:p w14:paraId="0069A53F">
            <w:pPr>
              <w:tabs>
                <w:tab w:val="left" w:pos="3780"/>
              </w:tabs>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法定代表人</w:t>
            </w:r>
          </w:p>
          <w:p w14:paraId="3288D497">
            <w:pPr>
              <w:tabs>
                <w:tab w:val="left" w:pos="3780"/>
              </w:tabs>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或其授权人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0DD9B893">
            <w:pPr>
              <w:tabs>
                <w:tab w:val="left" w:pos="3780"/>
              </w:tabs>
              <w:ind w:left="18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w:t>
            </w:r>
          </w:p>
        </w:tc>
      </w:tr>
      <w:tr w14:paraId="0A741A98">
        <w:tblPrEx>
          <w:tblCellMar>
            <w:top w:w="0" w:type="dxa"/>
            <w:left w:w="108" w:type="dxa"/>
            <w:bottom w:w="0" w:type="dxa"/>
            <w:right w:w="108" w:type="dxa"/>
          </w:tblCellMar>
        </w:tblPrEx>
        <w:trPr>
          <w:trHeight w:val="1890" w:hRule="atLeast"/>
          <w:jc w:val="center"/>
        </w:trPr>
        <w:tc>
          <w:tcPr>
            <w:tcW w:w="8928" w:type="dxa"/>
            <w:noWrap w:val="0"/>
            <w:vAlign w:val="center"/>
          </w:tcPr>
          <w:p w14:paraId="69DDC53E">
            <w:pPr>
              <w:tabs>
                <w:tab w:val="left" w:pos="3780"/>
              </w:tabs>
              <w:ind w:left="1800"/>
              <w:rPr>
                <w:rFonts w:hint="eastAsia" w:ascii="宋体" w:hAnsi="宋体" w:eastAsia="宋体" w:cs="宋体"/>
                <w:color w:val="auto"/>
                <w:sz w:val="24"/>
                <w:szCs w:val="24"/>
                <w:highlight w:val="none"/>
              </w:rPr>
            </w:pPr>
          </w:p>
          <w:p w14:paraId="3CCB1ED3">
            <w:pPr>
              <w:tabs>
                <w:tab w:val="left" w:pos="3780"/>
              </w:tabs>
              <w:rPr>
                <w:rFonts w:hint="eastAsia" w:ascii="宋体" w:hAnsi="宋体" w:eastAsia="宋体" w:cs="宋体"/>
                <w:color w:val="auto"/>
                <w:sz w:val="24"/>
                <w:szCs w:val="24"/>
                <w:highlight w:val="none"/>
                <w:u w:val="single"/>
              </w:rPr>
            </w:pPr>
            <w:r>
              <w:rPr>
                <w:rFonts w:hint="eastAsia" w:ascii="宋体" w:hAnsi="宋体" w:eastAsia="宋体" w:cs="宋体"/>
                <w:color w:val="auto"/>
                <w:spacing w:val="90"/>
                <w:kern w:val="0"/>
                <w:sz w:val="24"/>
                <w:szCs w:val="24"/>
                <w:highlight w:val="none"/>
              </w:rPr>
              <w:t>编制</w:t>
            </w:r>
            <w:r>
              <w:rPr>
                <w:rFonts w:hint="eastAsia" w:ascii="宋体" w:hAnsi="宋体" w:eastAsia="宋体" w:cs="宋体"/>
                <w:color w:val="auto"/>
                <w:kern w:val="0"/>
                <w:sz w:val="24"/>
                <w:szCs w:val="24"/>
                <w:highlight w:val="none"/>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2FD6B03D">
            <w:pPr>
              <w:tabs>
                <w:tab w:val="left" w:pos="3780"/>
              </w:tabs>
              <w:ind w:left="18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w:t>
            </w:r>
            <w:r>
              <w:rPr>
                <w:rFonts w:hint="eastAsia" w:ascii="宋体" w:hAnsi="宋体" w:eastAsia="宋体" w:cs="宋体"/>
                <w:color w:val="auto"/>
                <w:sz w:val="24"/>
                <w:szCs w:val="24"/>
                <w:highlight w:val="none"/>
                <w:lang w:val="en-US" w:eastAsia="zh-CN"/>
              </w:rPr>
              <w:t>工程师</w:t>
            </w:r>
            <w:r>
              <w:rPr>
                <w:rFonts w:hint="eastAsia" w:ascii="宋体" w:hAnsi="宋体" w:eastAsia="宋体" w:cs="宋体"/>
                <w:color w:val="auto"/>
                <w:sz w:val="24"/>
                <w:szCs w:val="24"/>
                <w:highlight w:val="none"/>
              </w:rPr>
              <w:t>签字盖专用章）</w:t>
            </w:r>
          </w:p>
        </w:tc>
      </w:tr>
      <w:tr w14:paraId="1FF95E4B">
        <w:tblPrEx>
          <w:tblCellMar>
            <w:top w:w="0" w:type="dxa"/>
            <w:left w:w="108" w:type="dxa"/>
            <w:bottom w:w="0" w:type="dxa"/>
            <w:right w:w="108" w:type="dxa"/>
          </w:tblCellMar>
        </w:tblPrEx>
        <w:trPr>
          <w:trHeight w:val="1890" w:hRule="atLeast"/>
          <w:jc w:val="center"/>
        </w:trPr>
        <w:tc>
          <w:tcPr>
            <w:tcW w:w="8928" w:type="dxa"/>
            <w:noWrap w:val="0"/>
            <w:vAlign w:val="center"/>
          </w:tcPr>
          <w:p w14:paraId="3140A9C0">
            <w:pPr>
              <w:tabs>
                <w:tab w:val="left" w:pos="378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编制时间：       年     月     日</w:t>
            </w:r>
          </w:p>
        </w:tc>
      </w:tr>
    </w:tbl>
    <w:p w14:paraId="2A7B001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9B9002D">
      <w:pPr>
        <w:spacing w:line="30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编制说明</w:t>
      </w:r>
    </w:p>
    <w:p w14:paraId="095A58A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color w:val="auto"/>
          <w:spacing w:val="-6"/>
          <w:sz w:val="36"/>
          <w:szCs w:val="36"/>
          <w:highlight w:val="none"/>
        </w:rPr>
      </w:pPr>
    </w:p>
    <w:p w14:paraId="46CB815E">
      <w:pPr>
        <w:spacing w:line="300" w:lineRule="auto"/>
        <w:rPr>
          <w:rFonts w:hint="eastAsia" w:ascii="宋体" w:hAnsi="宋体" w:eastAsia="宋体" w:cs="宋体"/>
          <w:color w:val="auto"/>
          <w:spacing w:val="-8"/>
          <w:sz w:val="18"/>
          <w:szCs w:val="18"/>
          <w:highlight w:val="none"/>
        </w:rPr>
      </w:pPr>
      <w:r>
        <w:rPr>
          <w:rFonts w:hint="eastAsia" w:ascii="宋体" w:hAnsi="宋体" w:eastAsia="宋体" w:cs="宋体"/>
          <w:color w:val="auto"/>
          <w:spacing w:val="-6"/>
          <w:sz w:val="18"/>
          <w:szCs w:val="18"/>
          <w:highlight w:val="none"/>
        </w:rPr>
        <w:t>工程名称：</w:t>
      </w:r>
      <w:r>
        <w:rPr>
          <w:rFonts w:hint="eastAsia" w:ascii="宋体" w:hAnsi="宋体" w:eastAsia="宋体" w:cs="宋体"/>
          <w:color w:val="auto"/>
          <w:spacing w:val="0"/>
          <w:sz w:val="18"/>
          <w:szCs w:val="18"/>
          <w:highlight w:val="none"/>
          <w:lang w:val="en-US" w:eastAsia="zh-CN"/>
        </w:rPr>
        <w:t xml:space="preserve">                           </w:t>
      </w:r>
      <w:r>
        <w:rPr>
          <w:rFonts w:hint="eastAsia" w:ascii="宋体" w:hAnsi="宋体" w:eastAsia="宋体" w:cs="宋体"/>
          <w:color w:val="auto"/>
          <w:spacing w:val="-6"/>
          <w:sz w:val="18"/>
          <w:szCs w:val="18"/>
          <w:highlight w:val="none"/>
        </w:rPr>
        <w:t xml:space="preserve"> </w:t>
      </w:r>
      <w:r>
        <w:rPr>
          <w:rFonts w:hint="eastAsia" w:ascii="宋体" w:hAnsi="宋体" w:eastAsia="宋体" w:cs="宋体"/>
          <w:color w:val="auto"/>
          <w:spacing w:val="0"/>
          <w:sz w:val="18"/>
          <w:szCs w:val="18"/>
          <w:highlight w:val="none"/>
        </w:rPr>
        <w:t xml:space="preserve"> </w:t>
      </w:r>
      <w:r>
        <w:rPr>
          <w:rFonts w:hint="eastAsia" w:ascii="宋体" w:hAnsi="宋体" w:eastAsia="宋体" w:cs="宋体"/>
          <w:color w:val="auto"/>
          <w:spacing w:val="-8"/>
          <w:sz w:val="18"/>
          <w:szCs w:val="18"/>
          <w:highlight w:val="none"/>
          <w:lang w:val="en-US" w:eastAsia="zh-CN"/>
        </w:rPr>
        <w:t xml:space="preserve">                                        </w:t>
      </w:r>
      <w:r>
        <w:rPr>
          <w:rFonts w:hint="eastAsia" w:ascii="宋体" w:hAnsi="宋体" w:eastAsia="宋体" w:cs="宋体"/>
          <w:color w:val="auto"/>
          <w:spacing w:val="-8"/>
          <w:sz w:val="18"/>
          <w:szCs w:val="18"/>
          <w:highlight w:val="none"/>
        </w:rPr>
        <w:t xml:space="preserve">第 </w:t>
      </w:r>
      <w:r>
        <w:rPr>
          <w:rFonts w:hint="eastAsia" w:ascii="宋体" w:hAnsi="宋体" w:eastAsia="宋体" w:cs="宋体"/>
          <w:color w:val="auto"/>
          <w:spacing w:val="-8"/>
          <w:sz w:val="18"/>
          <w:szCs w:val="18"/>
          <w:highlight w:val="none"/>
          <w:lang w:val="en-US" w:eastAsia="zh-CN"/>
        </w:rPr>
        <w:t xml:space="preserve">  </w:t>
      </w:r>
      <w:r>
        <w:rPr>
          <w:rFonts w:hint="eastAsia" w:ascii="宋体" w:hAnsi="宋体" w:eastAsia="宋体" w:cs="宋体"/>
          <w:color w:val="auto"/>
          <w:spacing w:val="-8"/>
          <w:sz w:val="18"/>
          <w:szCs w:val="18"/>
          <w:highlight w:val="none"/>
        </w:rPr>
        <w:t xml:space="preserve"> 页 共 </w:t>
      </w:r>
      <w:r>
        <w:rPr>
          <w:rFonts w:hint="eastAsia" w:ascii="宋体" w:hAnsi="宋体" w:eastAsia="宋体" w:cs="宋体"/>
          <w:color w:val="auto"/>
          <w:spacing w:val="-8"/>
          <w:sz w:val="18"/>
          <w:szCs w:val="18"/>
          <w:highlight w:val="none"/>
          <w:lang w:val="en-US" w:eastAsia="zh-CN"/>
        </w:rPr>
        <w:t xml:space="preserve">  </w:t>
      </w:r>
      <w:r>
        <w:rPr>
          <w:rFonts w:hint="eastAsia" w:ascii="宋体" w:hAnsi="宋体" w:eastAsia="宋体" w:cs="宋体"/>
          <w:color w:val="auto"/>
          <w:spacing w:val="-8"/>
          <w:sz w:val="18"/>
          <w:szCs w:val="18"/>
          <w:highlight w:val="none"/>
        </w:rPr>
        <w:t xml:space="preserve"> 页 </w:t>
      </w:r>
    </w:p>
    <w:tbl>
      <w:tblPr>
        <w:tblStyle w:val="24"/>
        <w:tblW w:w="94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59"/>
      </w:tblGrid>
      <w:tr w14:paraId="001466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0" w:hRule="atLeast"/>
          <w:jc w:val="center"/>
        </w:trPr>
        <w:tc>
          <w:tcPr>
            <w:tcW w:w="9459" w:type="dxa"/>
            <w:noWrap w:val="0"/>
            <w:vAlign w:val="top"/>
          </w:tcPr>
          <w:p w14:paraId="738F51BD">
            <w:pPr>
              <w:tabs>
                <w:tab w:val="left" w:pos="3780"/>
              </w:tabs>
              <w:spacing w:line="300" w:lineRule="auto"/>
              <w:rPr>
                <w:rFonts w:hint="eastAsia" w:ascii="宋体" w:hAnsi="宋体" w:eastAsia="宋体" w:cs="宋体"/>
                <w:color w:val="auto"/>
                <w:highlight w:val="none"/>
              </w:rPr>
            </w:pPr>
          </w:p>
        </w:tc>
      </w:tr>
    </w:tbl>
    <w:p w14:paraId="628D225E">
      <w:pPr>
        <w:spacing w:line="300" w:lineRule="auto"/>
        <w:rPr>
          <w:rFonts w:hint="eastAsia" w:ascii="宋体" w:hAnsi="宋体" w:eastAsia="宋体" w:cs="宋体"/>
          <w:b/>
          <w:color w:val="auto"/>
          <w:sz w:val="24"/>
          <w:highlight w:val="none"/>
        </w:rPr>
      </w:pPr>
    </w:p>
    <w:p w14:paraId="7602AE10">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投标报价费用表</w:t>
      </w:r>
    </w:p>
    <w:p w14:paraId="0DD660A8">
      <w:pPr>
        <w:tabs>
          <w:tab w:val="left" w:pos="3780"/>
        </w:tabs>
        <w:rPr>
          <w:rFonts w:hint="eastAsia" w:ascii="宋体" w:hAnsi="宋体" w:eastAsia="宋体" w:cs="宋体"/>
          <w:color w:val="auto"/>
          <w:highlight w:val="none"/>
        </w:rPr>
      </w:pPr>
    </w:p>
    <w:p w14:paraId="1A98A81C">
      <w:pPr>
        <w:tabs>
          <w:tab w:val="left" w:pos="3780"/>
        </w:tabs>
        <w:spacing w:after="60" w:afterLines="25"/>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                                          第   页 共   页</w:t>
      </w:r>
    </w:p>
    <w:tbl>
      <w:tblPr>
        <w:tblStyle w:val="24"/>
        <w:tblW w:w="9409" w:type="dxa"/>
        <w:tblInd w:w="93" w:type="dxa"/>
        <w:tblLayout w:type="fixed"/>
        <w:tblCellMar>
          <w:top w:w="0" w:type="dxa"/>
          <w:left w:w="108" w:type="dxa"/>
          <w:bottom w:w="0" w:type="dxa"/>
          <w:right w:w="108" w:type="dxa"/>
        </w:tblCellMar>
      </w:tblPr>
      <w:tblGrid>
        <w:gridCol w:w="1020"/>
        <w:gridCol w:w="1830"/>
        <w:gridCol w:w="1200"/>
        <w:gridCol w:w="980"/>
        <w:gridCol w:w="1480"/>
        <w:gridCol w:w="920"/>
        <w:gridCol w:w="980"/>
        <w:gridCol w:w="999"/>
      </w:tblGrid>
      <w:tr w14:paraId="2DC14D71">
        <w:tblPrEx>
          <w:tblCellMar>
            <w:top w:w="0" w:type="dxa"/>
            <w:left w:w="108" w:type="dxa"/>
            <w:bottom w:w="0" w:type="dxa"/>
            <w:right w:w="108" w:type="dxa"/>
          </w:tblCellMar>
        </w:tblPrEx>
        <w:trPr>
          <w:trHeight w:val="435" w:hRule="atLeast"/>
        </w:trPr>
        <w:tc>
          <w:tcPr>
            <w:tcW w:w="1020" w:type="dxa"/>
            <w:vMerge w:val="restart"/>
            <w:tcBorders>
              <w:top w:val="single" w:color="000000" w:sz="4" w:space="0"/>
              <w:left w:val="single" w:color="000000" w:sz="4" w:space="0"/>
              <w:bottom w:val="nil"/>
              <w:right w:val="nil"/>
            </w:tcBorders>
            <w:shd w:val="clear" w:color="000000" w:fill="FFFFFF"/>
            <w:noWrap w:val="0"/>
            <w:vAlign w:val="center"/>
          </w:tcPr>
          <w:p w14:paraId="06F75AD6">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1830" w:type="dxa"/>
            <w:vMerge w:val="restart"/>
            <w:tcBorders>
              <w:top w:val="single" w:color="000000" w:sz="4" w:space="0"/>
              <w:left w:val="single" w:color="000000" w:sz="4" w:space="0"/>
              <w:bottom w:val="nil"/>
              <w:right w:val="nil"/>
            </w:tcBorders>
            <w:shd w:val="clear" w:color="000000" w:fill="FFFFFF"/>
            <w:noWrap w:val="0"/>
            <w:vAlign w:val="center"/>
          </w:tcPr>
          <w:p w14:paraId="11729E7A">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工程名称</w:t>
            </w:r>
          </w:p>
        </w:tc>
        <w:tc>
          <w:tcPr>
            <w:tcW w:w="1200" w:type="dxa"/>
            <w:vMerge w:val="restart"/>
            <w:tcBorders>
              <w:top w:val="single" w:color="000000" w:sz="4" w:space="0"/>
              <w:left w:val="single" w:color="000000" w:sz="4" w:space="0"/>
              <w:bottom w:val="nil"/>
              <w:right w:val="nil"/>
            </w:tcBorders>
            <w:shd w:val="clear" w:color="000000" w:fill="FFFFFF"/>
            <w:noWrap w:val="0"/>
            <w:vAlign w:val="center"/>
          </w:tcPr>
          <w:p w14:paraId="6FC6B4AA">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金额(元)</w:t>
            </w:r>
          </w:p>
        </w:tc>
        <w:tc>
          <w:tcPr>
            <w:tcW w:w="4360" w:type="dxa"/>
            <w:gridSpan w:val="4"/>
            <w:tcBorders>
              <w:top w:val="single" w:color="000000" w:sz="4" w:space="0"/>
              <w:left w:val="single" w:color="000000" w:sz="4" w:space="0"/>
              <w:bottom w:val="nil"/>
              <w:right w:val="nil"/>
            </w:tcBorders>
            <w:shd w:val="clear" w:color="000000" w:fill="FFFFFF"/>
            <w:noWrap w:val="0"/>
            <w:vAlign w:val="center"/>
          </w:tcPr>
          <w:p w14:paraId="0C75B2E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其中：（元）</w:t>
            </w:r>
          </w:p>
        </w:tc>
        <w:tc>
          <w:tcPr>
            <w:tcW w:w="999"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754A6D27">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689677EE">
        <w:tblPrEx>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nil"/>
            </w:tcBorders>
            <w:shd w:val="clear" w:color="auto" w:fill="auto"/>
            <w:noWrap w:val="0"/>
            <w:vAlign w:val="center"/>
          </w:tcPr>
          <w:p w14:paraId="57785BAC">
            <w:pPr>
              <w:widowControl/>
              <w:jc w:val="left"/>
              <w:rPr>
                <w:rFonts w:hint="eastAsia" w:ascii="宋体" w:hAnsi="宋体" w:eastAsia="宋体" w:cs="宋体"/>
                <w:color w:val="auto"/>
                <w:kern w:val="0"/>
                <w:sz w:val="18"/>
                <w:szCs w:val="18"/>
                <w:highlight w:val="none"/>
              </w:rPr>
            </w:pPr>
          </w:p>
        </w:tc>
        <w:tc>
          <w:tcPr>
            <w:tcW w:w="1830" w:type="dxa"/>
            <w:vMerge w:val="continue"/>
            <w:tcBorders>
              <w:top w:val="single" w:color="000000" w:sz="4" w:space="0"/>
              <w:left w:val="single" w:color="000000" w:sz="4" w:space="0"/>
              <w:bottom w:val="nil"/>
              <w:right w:val="nil"/>
            </w:tcBorders>
            <w:shd w:val="clear" w:color="auto" w:fill="auto"/>
            <w:noWrap w:val="0"/>
            <w:vAlign w:val="center"/>
          </w:tcPr>
          <w:p w14:paraId="3A1A8EF0">
            <w:pPr>
              <w:widowControl/>
              <w:jc w:val="left"/>
              <w:rPr>
                <w:rFonts w:hint="eastAsia" w:ascii="宋体" w:hAnsi="宋体" w:eastAsia="宋体" w:cs="宋体"/>
                <w:color w:val="auto"/>
                <w:kern w:val="0"/>
                <w:sz w:val="18"/>
                <w:szCs w:val="18"/>
                <w:highlight w:val="none"/>
              </w:rPr>
            </w:pPr>
          </w:p>
        </w:tc>
        <w:tc>
          <w:tcPr>
            <w:tcW w:w="1200" w:type="dxa"/>
            <w:vMerge w:val="continue"/>
            <w:tcBorders>
              <w:top w:val="single" w:color="000000" w:sz="4" w:space="0"/>
              <w:left w:val="single" w:color="000000" w:sz="4" w:space="0"/>
              <w:bottom w:val="nil"/>
              <w:right w:val="nil"/>
            </w:tcBorders>
            <w:shd w:val="clear" w:color="auto" w:fill="auto"/>
            <w:noWrap w:val="0"/>
            <w:vAlign w:val="center"/>
          </w:tcPr>
          <w:p w14:paraId="604CE462">
            <w:pPr>
              <w:widowControl/>
              <w:jc w:val="left"/>
              <w:rPr>
                <w:rFonts w:hint="eastAsia" w:ascii="宋体" w:hAnsi="宋体" w:eastAsia="宋体" w:cs="宋体"/>
                <w:color w:val="auto"/>
                <w:kern w:val="0"/>
                <w:sz w:val="18"/>
                <w:szCs w:val="18"/>
                <w:highlight w:val="none"/>
              </w:rPr>
            </w:pPr>
          </w:p>
        </w:tc>
        <w:tc>
          <w:tcPr>
            <w:tcW w:w="980" w:type="dxa"/>
            <w:tcBorders>
              <w:top w:val="single" w:color="000000" w:sz="4" w:space="0"/>
              <w:left w:val="single" w:color="000000" w:sz="4" w:space="0"/>
              <w:bottom w:val="nil"/>
              <w:right w:val="nil"/>
            </w:tcBorders>
            <w:shd w:val="clear" w:color="000000" w:fill="FFFFFF"/>
            <w:noWrap w:val="0"/>
            <w:vAlign w:val="center"/>
          </w:tcPr>
          <w:p w14:paraId="488F0441">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1480" w:type="dxa"/>
            <w:tcBorders>
              <w:top w:val="single" w:color="000000" w:sz="4" w:space="0"/>
              <w:left w:val="single" w:color="000000" w:sz="4" w:space="0"/>
              <w:bottom w:val="nil"/>
              <w:right w:val="nil"/>
            </w:tcBorders>
            <w:shd w:val="clear" w:color="000000" w:fill="FFFFFF"/>
            <w:noWrap w:val="0"/>
            <w:vAlign w:val="center"/>
          </w:tcPr>
          <w:p w14:paraId="248A44E2">
            <w:pPr>
              <w:widowControl/>
              <w:ind w:left="0" w:leftChars="0" w:firstLine="0" w:firstLineChars="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安全文明</w:t>
            </w:r>
          </w:p>
          <w:p w14:paraId="425F5844">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施工基本费</w:t>
            </w:r>
          </w:p>
        </w:tc>
        <w:tc>
          <w:tcPr>
            <w:tcW w:w="920" w:type="dxa"/>
            <w:tcBorders>
              <w:top w:val="single" w:color="000000" w:sz="4" w:space="0"/>
              <w:left w:val="single" w:color="000000" w:sz="4" w:space="0"/>
              <w:bottom w:val="nil"/>
              <w:right w:val="nil"/>
            </w:tcBorders>
            <w:shd w:val="clear" w:color="000000" w:fill="FFFFFF"/>
            <w:noWrap w:val="0"/>
            <w:vAlign w:val="center"/>
          </w:tcPr>
          <w:p w14:paraId="3C63DA06">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规费</w:t>
            </w:r>
          </w:p>
        </w:tc>
        <w:tc>
          <w:tcPr>
            <w:tcW w:w="980" w:type="dxa"/>
            <w:tcBorders>
              <w:top w:val="single" w:color="000000" w:sz="4" w:space="0"/>
              <w:left w:val="single" w:color="000000" w:sz="4" w:space="0"/>
              <w:bottom w:val="nil"/>
              <w:right w:val="single" w:color="000000" w:sz="4" w:space="0"/>
            </w:tcBorders>
            <w:shd w:val="clear" w:color="000000" w:fill="FFFFFF"/>
            <w:noWrap w:val="0"/>
            <w:vAlign w:val="center"/>
          </w:tcPr>
          <w:p w14:paraId="79088340">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税金</w:t>
            </w:r>
          </w:p>
        </w:tc>
        <w:tc>
          <w:tcPr>
            <w:tcW w:w="999" w:type="dxa"/>
            <w:vMerge w:val="continue"/>
            <w:tcBorders>
              <w:top w:val="single" w:color="000000" w:sz="4" w:space="0"/>
              <w:left w:val="single" w:color="000000" w:sz="4" w:space="0"/>
              <w:bottom w:val="nil"/>
              <w:right w:val="single" w:color="000000" w:sz="4" w:space="0"/>
            </w:tcBorders>
            <w:noWrap w:val="0"/>
            <w:vAlign w:val="center"/>
          </w:tcPr>
          <w:p w14:paraId="73690017">
            <w:pPr>
              <w:widowControl/>
              <w:jc w:val="left"/>
              <w:rPr>
                <w:rFonts w:hint="eastAsia" w:ascii="宋体" w:hAnsi="宋体" w:eastAsia="宋体" w:cs="宋体"/>
                <w:color w:val="auto"/>
                <w:kern w:val="0"/>
                <w:sz w:val="18"/>
                <w:szCs w:val="18"/>
                <w:highlight w:val="none"/>
              </w:rPr>
            </w:pPr>
          </w:p>
        </w:tc>
      </w:tr>
      <w:tr w14:paraId="6F744473">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0B5B1F7B">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1830" w:type="dxa"/>
            <w:tcBorders>
              <w:top w:val="single" w:color="000000" w:sz="4" w:space="0"/>
              <w:left w:val="single" w:color="000000" w:sz="4" w:space="0"/>
              <w:bottom w:val="nil"/>
              <w:right w:val="nil"/>
            </w:tcBorders>
            <w:shd w:val="clear" w:color="000000" w:fill="FFFFFF"/>
            <w:noWrap w:val="0"/>
            <w:vAlign w:val="center"/>
          </w:tcPr>
          <w:p w14:paraId="4D8150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单位工程</w:t>
            </w:r>
          </w:p>
        </w:tc>
        <w:tc>
          <w:tcPr>
            <w:tcW w:w="1200" w:type="dxa"/>
            <w:tcBorders>
              <w:top w:val="single" w:color="000000" w:sz="4" w:space="0"/>
              <w:left w:val="single" w:color="000000" w:sz="4" w:space="0"/>
              <w:bottom w:val="nil"/>
              <w:right w:val="nil"/>
            </w:tcBorders>
            <w:shd w:val="clear" w:color="000000" w:fill="FFFFFF"/>
            <w:noWrap/>
            <w:vAlign w:val="center"/>
          </w:tcPr>
          <w:p w14:paraId="5DFBFEF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5AC6FDB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2183241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4D6E7C2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6963185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74DACE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6DDD739">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094673B2">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1830" w:type="dxa"/>
            <w:tcBorders>
              <w:top w:val="single" w:color="000000" w:sz="4" w:space="0"/>
              <w:left w:val="single" w:color="000000" w:sz="4" w:space="0"/>
              <w:bottom w:val="nil"/>
              <w:right w:val="nil"/>
            </w:tcBorders>
            <w:shd w:val="clear" w:color="000000" w:fill="FFFFFF"/>
            <w:noWrap w:val="0"/>
            <w:vAlign w:val="center"/>
          </w:tcPr>
          <w:p w14:paraId="69FB6C1B">
            <w:pPr>
              <w:widowControl/>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专业工程</w:t>
            </w:r>
          </w:p>
        </w:tc>
        <w:tc>
          <w:tcPr>
            <w:tcW w:w="1200" w:type="dxa"/>
            <w:tcBorders>
              <w:top w:val="single" w:color="000000" w:sz="4" w:space="0"/>
              <w:left w:val="single" w:color="000000" w:sz="4" w:space="0"/>
              <w:bottom w:val="nil"/>
              <w:right w:val="nil"/>
            </w:tcBorders>
            <w:shd w:val="clear" w:color="000000" w:fill="FFFFFF"/>
            <w:noWrap/>
            <w:vAlign w:val="center"/>
          </w:tcPr>
          <w:p w14:paraId="61E8DC8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72EDE11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54E88A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5BCADB3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5A42F96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7467BD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6295E46">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520CDD02">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1830" w:type="dxa"/>
            <w:tcBorders>
              <w:top w:val="single" w:color="000000" w:sz="4" w:space="0"/>
              <w:left w:val="single" w:color="000000" w:sz="4" w:space="0"/>
              <w:bottom w:val="nil"/>
              <w:right w:val="nil"/>
            </w:tcBorders>
            <w:shd w:val="clear" w:color="000000" w:fill="FFFFFF"/>
            <w:noWrap w:val="0"/>
            <w:vAlign w:val="center"/>
          </w:tcPr>
          <w:p w14:paraId="695B41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专业工程</w:t>
            </w:r>
          </w:p>
        </w:tc>
        <w:tc>
          <w:tcPr>
            <w:tcW w:w="1200" w:type="dxa"/>
            <w:tcBorders>
              <w:top w:val="single" w:color="000000" w:sz="4" w:space="0"/>
              <w:left w:val="single" w:color="000000" w:sz="4" w:space="0"/>
              <w:bottom w:val="nil"/>
              <w:right w:val="nil"/>
            </w:tcBorders>
            <w:shd w:val="clear" w:color="000000" w:fill="FFFFFF"/>
            <w:noWrap/>
            <w:vAlign w:val="center"/>
          </w:tcPr>
          <w:p w14:paraId="66FB0F5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52C1ED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72D32DB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720086D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4A00640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610D089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64C875C">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7F76047C">
            <w:pPr>
              <w:widowControl/>
              <w:jc w:val="center"/>
              <w:rPr>
                <w:rFonts w:hint="eastAsia" w:ascii="宋体" w:hAnsi="宋体" w:eastAsia="宋体" w:cs="宋体"/>
                <w:color w:val="auto"/>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14:paraId="3E39DC3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200" w:type="dxa"/>
            <w:tcBorders>
              <w:top w:val="single" w:color="000000" w:sz="4" w:space="0"/>
              <w:left w:val="single" w:color="000000" w:sz="4" w:space="0"/>
              <w:bottom w:val="nil"/>
              <w:right w:val="nil"/>
            </w:tcBorders>
            <w:shd w:val="clear" w:color="000000" w:fill="FFFFFF"/>
            <w:noWrap/>
            <w:vAlign w:val="center"/>
          </w:tcPr>
          <w:p w14:paraId="1FF227F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D59F13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0AEFDFC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630AEAB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4D12A36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55BC08D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D0A93D2">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20760A2F">
            <w:pPr>
              <w:widowControl/>
              <w:jc w:val="center"/>
              <w:rPr>
                <w:rFonts w:hint="eastAsia" w:ascii="宋体" w:hAnsi="宋体" w:eastAsia="宋体" w:cs="宋体"/>
                <w:color w:val="auto"/>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14:paraId="56BA66A7">
            <w:pPr>
              <w:widowControl/>
              <w:jc w:val="left"/>
              <w:rPr>
                <w:rFonts w:hint="eastAsia" w:ascii="宋体" w:hAnsi="宋体" w:eastAsia="宋体" w:cs="宋体"/>
                <w:color w:val="auto"/>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ign w:val="center"/>
          </w:tcPr>
          <w:p w14:paraId="3CED209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D76A14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5185DC8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08C0CF8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17DE16B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0A12328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469F5B8">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0E1F2F16">
            <w:pPr>
              <w:widowControl/>
              <w:jc w:val="center"/>
              <w:rPr>
                <w:rFonts w:hint="eastAsia" w:ascii="宋体" w:hAnsi="宋体" w:eastAsia="宋体" w:cs="宋体"/>
                <w:color w:val="auto"/>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14:paraId="575EEDEC">
            <w:pPr>
              <w:widowControl/>
              <w:jc w:val="left"/>
              <w:rPr>
                <w:rFonts w:hint="eastAsia" w:ascii="宋体" w:hAnsi="宋体" w:eastAsia="宋体" w:cs="宋体"/>
                <w:color w:val="auto"/>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ign w:val="center"/>
          </w:tcPr>
          <w:p w14:paraId="02A0220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40CE298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793C4C6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26E55F7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46978F8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1777FB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564F811">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411B0BB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30" w:type="dxa"/>
            <w:tcBorders>
              <w:top w:val="single" w:color="000000" w:sz="4" w:space="0"/>
              <w:left w:val="single" w:color="000000" w:sz="4" w:space="0"/>
              <w:bottom w:val="nil"/>
              <w:right w:val="nil"/>
            </w:tcBorders>
            <w:shd w:val="clear" w:color="000000" w:fill="FFFFFF"/>
            <w:noWrap w:val="0"/>
            <w:vAlign w:val="center"/>
          </w:tcPr>
          <w:p w14:paraId="06A41E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ign w:val="center"/>
          </w:tcPr>
          <w:p w14:paraId="4D82399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7F1901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4EE3D25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6CCC6DB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360F89A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3E405F7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5CF29F7">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1F627DB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30" w:type="dxa"/>
            <w:tcBorders>
              <w:top w:val="single" w:color="000000" w:sz="4" w:space="0"/>
              <w:left w:val="single" w:color="000000" w:sz="4" w:space="0"/>
              <w:bottom w:val="nil"/>
              <w:right w:val="nil"/>
            </w:tcBorders>
            <w:shd w:val="clear" w:color="000000" w:fill="FFFFFF"/>
            <w:noWrap w:val="0"/>
            <w:vAlign w:val="center"/>
          </w:tcPr>
          <w:p w14:paraId="5330115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ign w:val="center"/>
          </w:tcPr>
          <w:p w14:paraId="48C0E3A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1464494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25C1D0F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04DDDFA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3F10CAA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742A0A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825838F">
        <w:tblPrEx>
          <w:tblCellMar>
            <w:top w:w="0" w:type="dxa"/>
            <w:left w:w="108" w:type="dxa"/>
            <w:bottom w:w="0" w:type="dxa"/>
            <w:right w:w="108" w:type="dxa"/>
          </w:tblCellMar>
        </w:tblPrEx>
        <w:trPr>
          <w:trHeight w:val="435" w:hRule="atLeast"/>
        </w:trPr>
        <w:tc>
          <w:tcPr>
            <w:tcW w:w="2850"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1B96C2A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200" w:type="dxa"/>
            <w:tcBorders>
              <w:top w:val="single" w:color="000000" w:sz="4" w:space="0"/>
              <w:left w:val="single" w:color="000000" w:sz="4" w:space="0"/>
              <w:bottom w:val="single" w:color="000000" w:sz="4" w:space="0"/>
              <w:right w:val="nil"/>
            </w:tcBorders>
            <w:shd w:val="clear" w:color="000000" w:fill="FFFFFF"/>
            <w:noWrap w:val="0"/>
            <w:vAlign w:val="center"/>
          </w:tcPr>
          <w:p w14:paraId="04CA85C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single" w:color="000000" w:sz="4" w:space="0"/>
              <w:right w:val="nil"/>
            </w:tcBorders>
            <w:shd w:val="clear" w:color="000000" w:fill="FFFFFF"/>
            <w:noWrap/>
            <w:vAlign w:val="center"/>
          </w:tcPr>
          <w:p w14:paraId="2D3972E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single" w:color="000000" w:sz="4" w:space="0"/>
              <w:right w:val="nil"/>
            </w:tcBorders>
            <w:shd w:val="clear" w:color="000000" w:fill="FFFFFF"/>
            <w:noWrap/>
            <w:vAlign w:val="center"/>
          </w:tcPr>
          <w:p w14:paraId="257C21D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single" w:color="000000" w:sz="4" w:space="0"/>
              <w:right w:val="nil"/>
            </w:tcBorders>
            <w:shd w:val="clear" w:color="000000" w:fill="FFFFFF"/>
            <w:noWrap/>
            <w:vAlign w:val="center"/>
          </w:tcPr>
          <w:p w14:paraId="1D9B061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single" w:color="000000" w:sz="4" w:space="0"/>
              <w:right w:val="nil"/>
            </w:tcBorders>
            <w:shd w:val="clear" w:color="000000" w:fill="FFFFFF"/>
            <w:noWrap/>
            <w:vAlign w:val="center"/>
          </w:tcPr>
          <w:p w14:paraId="71463A8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D24B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4E58942B">
      <w:pPr>
        <w:jc w:val="center"/>
        <w:rPr>
          <w:rFonts w:hint="eastAsia" w:ascii="宋体" w:hAnsi="宋体" w:eastAsia="宋体" w:cs="宋体"/>
          <w:b/>
          <w:bCs/>
          <w:color w:val="auto"/>
          <w:sz w:val="36"/>
          <w:szCs w:val="36"/>
          <w:highlight w:val="none"/>
        </w:rPr>
      </w:pPr>
    </w:p>
    <w:p w14:paraId="4574AF58">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单位（专业）工程投标报价计算表</w:t>
      </w:r>
    </w:p>
    <w:p w14:paraId="199640DE">
      <w:pPr>
        <w:tabs>
          <w:tab w:val="left" w:pos="3780"/>
        </w:tabs>
        <w:spacing w:after="60" w:afterLines="25"/>
        <w:ind w:left="0" w:leftChars="0" w:firstLine="0" w:firstLineChars="0"/>
        <w:rPr>
          <w:rFonts w:hint="eastAsia" w:ascii="宋体" w:hAnsi="宋体" w:eastAsia="宋体" w:cs="宋体"/>
          <w:color w:val="auto"/>
          <w:highlight w:val="none"/>
        </w:rPr>
      </w:pPr>
    </w:p>
    <w:p w14:paraId="4096FF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单位工程名称：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 xml:space="preserve">标段: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 xml:space="preserve">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 xml:space="preserve">  第 页 共 页</w:t>
      </w:r>
    </w:p>
    <w:tbl>
      <w:tblPr>
        <w:tblStyle w:val="24"/>
        <w:tblW w:w="9428" w:type="dxa"/>
        <w:tblInd w:w="93" w:type="dxa"/>
        <w:tblLayout w:type="fixed"/>
        <w:tblCellMar>
          <w:top w:w="0" w:type="dxa"/>
          <w:left w:w="108" w:type="dxa"/>
          <w:bottom w:w="0" w:type="dxa"/>
          <w:right w:w="108" w:type="dxa"/>
        </w:tblCellMar>
      </w:tblPr>
      <w:tblGrid>
        <w:gridCol w:w="666"/>
        <w:gridCol w:w="698"/>
        <w:gridCol w:w="2195"/>
        <w:gridCol w:w="3290"/>
        <w:gridCol w:w="1246"/>
        <w:gridCol w:w="1333"/>
      </w:tblGrid>
      <w:tr w14:paraId="677A7099">
        <w:tblPrEx>
          <w:tblCellMar>
            <w:top w:w="0" w:type="dxa"/>
            <w:left w:w="108" w:type="dxa"/>
            <w:bottom w:w="0" w:type="dxa"/>
            <w:right w:w="108" w:type="dxa"/>
          </w:tblCellMar>
        </w:tblPrEx>
        <w:trPr>
          <w:trHeight w:val="50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835E6BA">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2F084FB5">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费用名称</w:t>
            </w:r>
          </w:p>
        </w:tc>
        <w:tc>
          <w:tcPr>
            <w:tcW w:w="3290" w:type="dxa"/>
            <w:tcBorders>
              <w:top w:val="single" w:color="000000" w:sz="4" w:space="0"/>
              <w:left w:val="single" w:color="000000" w:sz="4" w:space="0"/>
              <w:bottom w:val="nil"/>
              <w:right w:val="nil"/>
            </w:tcBorders>
            <w:shd w:val="clear" w:color="000000" w:fill="FFFFFF"/>
            <w:noWrap w:val="0"/>
            <w:vAlign w:val="center"/>
          </w:tcPr>
          <w:p w14:paraId="7887F7F6">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计算公式</w:t>
            </w:r>
          </w:p>
        </w:tc>
        <w:tc>
          <w:tcPr>
            <w:tcW w:w="1246" w:type="dxa"/>
            <w:tcBorders>
              <w:top w:val="single" w:color="000000" w:sz="4" w:space="0"/>
              <w:left w:val="single" w:color="000000" w:sz="4" w:space="0"/>
              <w:bottom w:val="nil"/>
              <w:right w:val="nil"/>
            </w:tcBorders>
            <w:shd w:val="clear" w:color="000000" w:fill="FFFFFF"/>
            <w:noWrap w:val="0"/>
            <w:vAlign w:val="center"/>
          </w:tcPr>
          <w:p w14:paraId="70D1CB8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金额(元)</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00EDF0B0">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2F46CF9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36AA6C4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35972856">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分部分项工程费</w:t>
            </w:r>
          </w:p>
        </w:tc>
        <w:tc>
          <w:tcPr>
            <w:tcW w:w="3290" w:type="dxa"/>
            <w:tcBorders>
              <w:top w:val="single" w:color="000000" w:sz="4" w:space="0"/>
              <w:left w:val="single" w:color="000000" w:sz="4" w:space="0"/>
              <w:bottom w:val="nil"/>
              <w:right w:val="nil"/>
            </w:tcBorders>
            <w:shd w:val="clear" w:color="000000" w:fill="FFFFFF"/>
            <w:noWrap w:val="0"/>
            <w:vAlign w:val="center"/>
          </w:tcPr>
          <w:p w14:paraId="1857480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∑(分部分项工程量×综合单价）</w:t>
            </w:r>
          </w:p>
        </w:tc>
        <w:tc>
          <w:tcPr>
            <w:tcW w:w="1246" w:type="dxa"/>
            <w:tcBorders>
              <w:top w:val="single" w:color="000000" w:sz="4" w:space="0"/>
              <w:left w:val="single" w:color="000000" w:sz="4" w:space="0"/>
              <w:bottom w:val="nil"/>
              <w:right w:val="nil"/>
            </w:tcBorders>
            <w:shd w:val="clear" w:color="000000" w:fill="FFFFFF"/>
            <w:noWrap/>
            <w:vAlign w:val="center"/>
          </w:tcPr>
          <w:p w14:paraId="593CE6D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1BA5E16B">
            <w:pPr>
              <w:widowControl/>
              <w:jc w:val="left"/>
              <w:rPr>
                <w:rFonts w:hint="eastAsia" w:ascii="宋体" w:hAnsi="宋体" w:eastAsia="宋体" w:cs="宋体"/>
                <w:color w:val="auto"/>
                <w:kern w:val="0"/>
                <w:sz w:val="18"/>
                <w:szCs w:val="18"/>
                <w:highlight w:val="none"/>
              </w:rPr>
            </w:pPr>
          </w:p>
        </w:tc>
      </w:tr>
      <w:tr w14:paraId="1BE9702D">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242441B">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14:paraId="1DD80A14">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6557B17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 人工费+机械费</w:t>
            </w:r>
          </w:p>
        </w:tc>
        <w:tc>
          <w:tcPr>
            <w:tcW w:w="3290" w:type="dxa"/>
            <w:tcBorders>
              <w:top w:val="single" w:color="000000" w:sz="4" w:space="0"/>
              <w:left w:val="single" w:color="000000" w:sz="4" w:space="0"/>
              <w:bottom w:val="nil"/>
              <w:right w:val="nil"/>
            </w:tcBorders>
            <w:shd w:val="clear" w:color="000000" w:fill="FFFFFF"/>
            <w:noWrap w:val="0"/>
            <w:vAlign w:val="center"/>
          </w:tcPr>
          <w:p w14:paraId="1430FD5B">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∑分部分项（人工费+机械费）</w:t>
            </w:r>
          </w:p>
        </w:tc>
        <w:tc>
          <w:tcPr>
            <w:tcW w:w="1246" w:type="dxa"/>
            <w:tcBorders>
              <w:top w:val="single" w:color="000000" w:sz="4" w:space="0"/>
              <w:left w:val="single" w:color="000000" w:sz="4" w:space="0"/>
              <w:bottom w:val="nil"/>
              <w:right w:val="nil"/>
            </w:tcBorders>
            <w:shd w:val="clear" w:color="000000" w:fill="FFFFFF"/>
            <w:noWrap/>
            <w:vAlign w:val="center"/>
          </w:tcPr>
          <w:p w14:paraId="504FC16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2843C52C">
            <w:pPr>
              <w:widowControl/>
              <w:jc w:val="left"/>
              <w:rPr>
                <w:rFonts w:hint="eastAsia" w:ascii="宋体" w:hAnsi="宋体" w:eastAsia="宋体" w:cs="宋体"/>
                <w:color w:val="auto"/>
                <w:kern w:val="0"/>
                <w:sz w:val="18"/>
                <w:szCs w:val="18"/>
                <w:highlight w:val="none"/>
              </w:rPr>
            </w:pPr>
          </w:p>
        </w:tc>
      </w:tr>
      <w:tr w14:paraId="420ACDA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73DCA58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26F6DA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59CF214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（2.1+2.2）</w:t>
            </w:r>
          </w:p>
        </w:tc>
        <w:tc>
          <w:tcPr>
            <w:tcW w:w="1246" w:type="dxa"/>
            <w:tcBorders>
              <w:top w:val="single" w:color="000000" w:sz="4" w:space="0"/>
              <w:left w:val="single" w:color="000000" w:sz="4" w:space="0"/>
              <w:bottom w:val="nil"/>
              <w:right w:val="nil"/>
            </w:tcBorders>
            <w:shd w:val="clear" w:color="000000" w:fill="FFFFFF"/>
            <w:noWrap/>
            <w:vAlign w:val="center"/>
          </w:tcPr>
          <w:p w14:paraId="35DF5D3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57F8B9FB">
            <w:pPr>
              <w:widowControl/>
              <w:jc w:val="left"/>
              <w:rPr>
                <w:rFonts w:hint="eastAsia" w:ascii="宋体" w:hAnsi="宋体" w:eastAsia="宋体" w:cs="宋体"/>
                <w:color w:val="auto"/>
                <w:kern w:val="0"/>
                <w:sz w:val="18"/>
                <w:szCs w:val="18"/>
                <w:highlight w:val="none"/>
              </w:rPr>
            </w:pPr>
          </w:p>
        </w:tc>
      </w:tr>
      <w:tr w14:paraId="1E8BAB63">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6510844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1949818A">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施工技术措施项目费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297FF3F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∑(技措项目工程量×综合单价）</w:t>
            </w:r>
          </w:p>
        </w:tc>
        <w:tc>
          <w:tcPr>
            <w:tcW w:w="1246" w:type="dxa"/>
            <w:tcBorders>
              <w:top w:val="single" w:color="000000" w:sz="4" w:space="0"/>
              <w:left w:val="single" w:color="000000" w:sz="4" w:space="0"/>
              <w:bottom w:val="nil"/>
              <w:right w:val="nil"/>
            </w:tcBorders>
            <w:shd w:val="clear" w:color="000000" w:fill="FFFFFF"/>
            <w:noWrap/>
            <w:vAlign w:val="center"/>
          </w:tcPr>
          <w:p w14:paraId="6B6C9AD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968AB31">
            <w:pPr>
              <w:widowControl/>
              <w:jc w:val="left"/>
              <w:rPr>
                <w:rFonts w:hint="eastAsia" w:ascii="宋体" w:hAnsi="宋体" w:eastAsia="宋体" w:cs="宋体"/>
                <w:color w:val="auto"/>
                <w:kern w:val="0"/>
                <w:sz w:val="18"/>
                <w:szCs w:val="18"/>
                <w:highlight w:val="none"/>
              </w:rPr>
            </w:pPr>
          </w:p>
        </w:tc>
      </w:tr>
      <w:tr w14:paraId="3E12511F">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1BE5F3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14:paraId="63483284">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24D24375">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2.1.1 人工费+机械费</w:t>
            </w:r>
          </w:p>
        </w:tc>
        <w:tc>
          <w:tcPr>
            <w:tcW w:w="3290" w:type="dxa"/>
            <w:tcBorders>
              <w:top w:val="single" w:color="000000" w:sz="4" w:space="0"/>
              <w:left w:val="single" w:color="000000" w:sz="4" w:space="0"/>
              <w:bottom w:val="nil"/>
              <w:right w:val="nil"/>
            </w:tcBorders>
            <w:shd w:val="clear" w:color="000000" w:fill="FFFFFF"/>
            <w:noWrap w:val="0"/>
            <w:vAlign w:val="center"/>
          </w:tcPr>
          <w:p w14:paraId="2F45746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∑技措项目（人工费+机械费）</w:t>
            </w:r>
          </w:p>
        </w:tc>
        <w:tc>
          <w:tcPr>
            <w:tcW w:w="1246" w:type="dxa"/>
            <w:tcBorders>
              <w:top w:val="single" w:color="000000" w:sz="4" w:space="0"/>
              <w:left w:val="single" w:color="000000" w:sz="4" w:space="0"/>
              <w:bottom w:val="nil"/>
              <w:right w:val="nil"/>
            </w:tcBorders>
            <w:shd w:val="clear" w:color="000000" w:fill="FFFFFF"/>
            <w:noWrap/>
            <w:vAlign w:val="center"/>
          </w:tcPr>
          <w:p w14:paraId="6061E0B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A61372B">
            <w:pPr>
              <w:widowControl/>
              <w:jc w:val="left"/>
              <w:rPr>
                <w:rFonts w:hint="eastAsia" w:ascii="宋体" w:hAnsi="宋体" w:eastAsia="宋体" w:cs="宋体"/>
                <w:color w:val="auto"/>
                <w:kern w:val="0"/>
                <w:sz w:val="18"/>
                <w:szCs w:val="18"/>
                <w:highlight w:val="none"/>
              </w:rPr>
            </w:pPr>
          </w:p>
        </w:tc>
      </w:tr>
      <w:tr w14:paraId="3BB6E9BE">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25CCE2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EB2A784">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施工组织措施项目费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45D61E4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14:paraId="2240259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5037A037">
            <w:pPr>
              <w:widowControl/>
              <w:jc w:val="left"/>
              <w:rPr>
                <w:rFonts w:hint="eastAsia" w:ascii="宋体" w:hAnsi="宋体" w:eastAsia="宋体" w:cs="宋体"/>
                <w:color w:val="auto"/>
                <w:kern w:val="0"/>
                <w:sz w:val="18"/>
                <w:szCs w:val="18"/>
                <w:highlight w:val="none"/>
              </w:rPr>
            </w:pPr>
          </w:p>
        </w:tc>
      </w:tr>
      <w:tr w14:paraId="31A8A9B1">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F22EA3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14:paraId="7D68590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05B8DA92">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安全文明施工基本费</w:t>
            </w:r>
          </w:p>
        </w:tc>
        <w:tc>
          <w:tcPr>
            <w:tcW w:w="3290" w:type="dxa"/>
            <w:tcBorders>
              <w:top w:val="single" w:color="000000" w:sz="4" w:space="0"/>
              <w:left w:val="single" w:color="000000" w:sz="4" w:space="0"/>
              <w:bottom w:val="nil"/>
              <w:right w:val="nil"/>
            </w:tcBorders>
            <w:shd w:val="clear" w:color="000000" w:fill="FFFFFF"/>
            <w:noWrap w:val="0"/>
            <w:vAlign w:val="center"/>
          </w:tcPr>
          <w:p w14:paraId="53E5E2E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14:paraId="27B574D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15B1814B">
            <w:pPr>
              <w:widowControl/>
              <w:jc w:val="left"/>
              <w:rPr>
                <w:rFonts w:hint="eastAsia" w:ascii="宋体" w:hAnsi="宋体" w:eastAsia="宋体" w:cs="宋体"/>
                <w:color w:val="auto"/>
                <w:kern w:val="0"/>
                <w:sz w:val="18"/>
                <w:szCs w:val="18"/>
                <w:highlight w:val="none"/>
              </w:rPr>
            </w:pPr>
          </w:p>
        </w:tc>
      </w:tr>
      <w:tr w14:paraId="4B9EF391">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261A477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0F29825D">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1266251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（3.1+3.2+3.3+3.4）</w:t>
            </w:r>
          </w:p>
        </w:tc>
        <w:tc>
          <w:tcPr>
            <w:tcW w:w="1246" w:type="dxa"/>
            <w:tcBorders>
              <w:top w:val="single" w:color="000000" w:sz="4" w:space="0"/>
              <w:left w:val="single" w:color="000000" w:sz="4" w:space="0"/>
              <w:bottom w:val="nil"/>
              <w:right w:val="nil"/>
            </w:tcBorders>
            <w:shd w:val="clear" w:color="000000" w:fill="FFFFFF"/>
            <w:noWrap/>
            <w:vAlign w:val="center"/>
          </w:tcPr>
          <w:p w14:paraId="5842225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8808C09">
            <w:pPr>
              <w:widowControl/>
              <w:jc w:val="left"/>
              <w:rPr>
                <w:rFonts w:hint="eastAsia" w:ascii="宋体" w:hAnsi="宋体" w:eastAsia="宋体" w:cs="宋体"/>
                <w:color w:val="auto"/>
                <w:kern w:val="0"/>
                <w:sz w:val="18"/>
                <w:szCs w:val="18"/>
                <w:highlight w:val="none"/>
              </w:rPr>
            </w:pPr>
          </w:p>
        </w:tc>
      </w:tr>
      <w:tr w14:paraId="1934F732">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07A6699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44360F43">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暂列金额</w:t>
            </w:r>
          </w:p>
        </w:tc>
        <w:tc>
          <w:tcPr>
            <w:tcW w:w="3290" w:type="dxa"/>
            <w:tcBorders>
              <w:top w:val="single" w:color="000000" w:sz="4" w:space="0"/>
              <w:left w:val="single" w:color="000000" w:sz="4" w:space="0"/>
              <w:bottom w:val="nil"/>
              <w:right w:val="nil"/>
            </w:tcBorders>
            <w:shd w:val="clear" w:color="000000" w:fill="FFFFFF"/>
            <w:noWrap w:val="0"/>
            <w:vAlign w:val="center"/>
          </w:tcPr>
          <w:p w14:paraId="149AAEE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3.1.1+3.1.2+3.1.3</w:t>
            </w:r>
          </w:p>
        </w:tc>
        <w:tc>
          <w:tcPr>
            <w:tcW w:w="1246" w:type="dxa"/>
            <w:tcBorders>
              <w:top w:val="single" w:color="000000" w:sz="4" w:space="0"/>
              <w:left w:val="single" w:color="000000" w:sz="4" w:space="0"/>
              <w:bottom w:val="nil"/>
              <w:right w:val="nil"/>
            </w:tcBorders>
            <w:shd w:val="clear" w:color="000000" w:fill="FFFFFF"/>
            <w:noWrap/>
            <w:vAlign w:val="center"/>
          </w:tcPr>
          <w:p w14:paraId="3AB23D0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3106B8F0">
            <w:pPr>
              <w:widowControl/>
              <w:jc w:val="left"/>
              <w:rPr>
                <w:rFonts w:hint="eastAsia" w:ascii="宋体" w:hAnsi="宋体" w:eastAsia="宋体" w:cs="宋体"/>
                <w:color w:val="auto"/>
                <w:kern w:val="0"/>
                <w:sz w:val="18"/>
                <w:szCs w:val="18"/>
                <w:highlight w:val="none"/>
              </w:rPr>
            </w:pPr>
          </w:p>
        </w:tc>
      </w:tr>
      <w:tr w14:paraId="4AD73FF8">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FCF01D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14:paraId="50B61D89">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4A4B2F5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标化工地增加费</w:t>
            </w:r>
          </w:p>
        </w:tc>
        <w:tc>
          <w:tcPr>
            <w:tcW w:w="3290" w:type="dxa"/>
            <w:tcBorders>
              <w:top w:val="single" w:color="000000" w:sz="4" w:space="0"/>
              <w:left w:val="single" w:color="000000" w:sz="4" w:space="0"/>
              <w:bottom w:val="nil"/>
              <w:right w:val="nil"/>
            </w:tcBorders>
            <w:shd w:val="clear" w:color="000000" w:fill="FFFFFF"/>
            <w:noWrap w:val="0"/>
            <w:vAlign w:val="center"/>
          </w:tcPr>
          <w:p w14:paraId="4C0335F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495359D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79FCFD2C">
            <w:pPr>
              <w:widowControl/>
              <w:jc w:val="left"/>
              <w:rPr>
                <w:rFonts w:hint="eastAsia" w:ascii="宋体" w:hAnsi="宋体" w:eastAsia="宋体" w:cs="宋体"/>
                <w:color w:val="auto"/>
                <w:kern w:val="0"/>
                <w:sz w:val="18"/>
                <w:szCs w:val="18"/>
                <w:highlight w:val="none"/>
              </w:rPr>
            </w:pPr>
          </w:p>
        </w:tc>
      </w:tr>
      <w:tr w14:paraId="000AED89">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6A36658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5626143B">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025DD7AC">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优质工程增加费</w:t>
            </w:r>
          </w:p>
        </w:tc>
        <w:tc>
          <w:tcPr>
            <w:tcW w:w="3290" w:type="dxa"/>
            <w:tcBorders>
              <w:top w:val="single" w:color="000000" w:sz="4" w:space="0"/>
              <w:left w:val="single" w:color="000000" w:sz="4" w:space="0"/>
              <w:bottom w:val="nil"/>
              <w:right w:val="nil"/>
            </w:tcBorders>
            <w:shd w:val="clear" w:color="000000" w:fill="FFFFFF"/>
            <w:noWrap w:val="0"/>
            <w:vAlign w:val="center"/>
          </w:tcPr>
          <w:p w14:paraId="0394149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1DEDCD3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38613C10">
            <w:pPr>
              <w:widowControl/>
              <w:jc w:val="left"/>
              <w:rPr>
                <w:rFonts w:hint="eastAsia" w:ascii="宋体" w:hAnsi="宋体" w:eastAsia="宋体" w:cs="宋体"/>
                <w:color w:val="auto"/>
                <w:kern w:val="0"/>
                <w:sz w:val="18"/>
                <w:szCs w:val="18"/>
                <w:highlight w:val="none"/>
              </w:rPr>
            </w:pPr>
          </w:p>
        </w:tc>
      </w:tr>
      <w:tr w14:paraId="4DB04720">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227A5E1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3.1.3</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2A68A822">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2E3C7404">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其他暂列金额</w:t>
            </w:r>
          </w:p>
        </w:tc>
        <w:tc>
          <w:tcPr>
            <w:tcW w:w="3290" w:type="dxa"/>
            <w:tcBorders>
              <w:top w:val="single" w:color="000000" w:sz="4" w:space="0"/>
              <w:left w:val="single" w:color="000000" w:sz="4" w:space="0"/>
              <w:bottom w:val="nil"/>
              <w:right w:val="nil"/>
            </w:tcBorders>
            <w:shd w:val="clear" w:color="000000" w:fill="FFFFFF"/>
            <w:noWrap w:val="0"/>
            <w:vAlign w:val="center"/>
          </w:tcPr>
          <w:p w14:paraId="74E31A0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676EC6B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7DE526D6">
            <w:pPr>
              <w:widowControl/>
              <w:jc w:val="left"/>
              <w:rPr>
                <w:rFonts w:hint="eastAsia" w:ascii="宋体" w:hAnsi="宋体" w:eastAsia="宋体" w:cs="宋体"/>
                <w:color w:val="auto"/>
                <w:kern w:val="0"/>
                <w:sz w:val="18"/>
                <w:szCs w:val="18"/>
                <w:highlight w:val="none"/>
              </w:rPr>
            </w:pPr>
          </w:p>
        </w:tc>
      </w:tr>
      <w:tr w14:paraId="3C685BBB">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34B9F17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4740245">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119F843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3.2.1+3.2.2+3.2.3</w:t>
            </w:r>
          </w:p>
        </w:tc>
        <w:tc>
          <w:tcPr>
            <w:tcW w:w="1246" w:type="dxa"/>
            <w:tcBorders>
              <w:top w:val="single" w:color="000000" w:sz="4" w:space="0"/>
              <w:left w:val="single" w:color="000000" w:sz="4" w:space="0"/>
              <w:bottom w:val="nil"/>
              <w:right w:val="nil"/>
            </w:tcBorders>
            <w:shd w:val="clear" w:color="000000" w:fill="FFFFFF"/>
            <w:noWrap/>
            <w:vAlign w:val="center"/>
          </w:tcPr>
          <w:p w14:paraId="764135D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2D60BAC3">
            <w:pPr>
              <w:widowControl/>
              <w:jc w:val="left"/>
              <w:rPr>
                <w:rFonts w:hint="eastAsia" w:ascii="宋体" w:hAnsi="宋体" w:eastAsia="宋体" w:cs="宋体"/>
                <w:color w:val="auto"/>
                <w:kern w:val="0"/>
                <w:sz w:val="18"/>
                <w:szCs w:val="18"/>
                <w:highlight w:val="none"/>
              </w:rPr>
            </w:pPr>
          </w:p>
        </w:tc>
      </w:tr>
      <w:tr w14:paraId="1ACDAEF6">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CF55A7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14:paraId="7880999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2491C57A">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材料（工程设备）暂估价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6194CEBF">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按招标文件规定额度列计</w:t>
            </w:r>
          </w:p>
          <w:p w14:paraId="5FD6051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(或计入综合单价)</w:t>
            </w:r>
          </w:p>
        </w:tc>
        <w:tc>
          <w:tcPr>
            <w:tcW w:w="1246" w:type="dxa"/>
            <w:tcBorders>
              <w:top w:val="single" w:color="000000" w:sz="4" w:space="0"/>
              <w:left w:val="single" w:color="000000" w:sz="4" w:space="0"/>
              <w:bottom w:val="nil"/>
              <w:right w:val="nil"/>
            </w:tcBorders>
            <w:shd w:val="clear" w:color="000000" w:fill="FFFFFF"/>
            <w:noWrap/>
            <w:vAlign w:val="center"/>
          </w:tcPr>
          <w:p w14:paraId="0CC669F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BC85462">
            <w:pPr>
              <w:widowControl/>
              <w:jc w:val="left"/>
              <w:rPr>
                <w:rFonts w:hint="eastAsia" w:ascii="宋体" w:hAnsi="宋体" w:eastAsia="宋体" w:cs="宋体"/>
                <w:color w:val="auto"/>
                <w:kern w:val="0"/>
                <w:sz w:val="18"/>
                <w:szCs w:val="18"/>
                <w:highlight w:val="none"/>
              </w:rPr>
            </w:pPr>
          </w:p>
        </w:tc>
      </w:tr>
      <w:tr w14:paraId="10C56578">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2D70386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2CA02396">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6C9D663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专业工程暂估价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61BBFD1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52C2CEC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17EFB553">
            <w:pPr>
              <w:widowControl/>
              <w:jc w:val="left"/>
              <w:rPr>
                <w:rFonts w:hint="eastAsia" w:ascii="宋体" w:hAnsi="宋体" w:eastAsia="宋体" w:cs="宋体"/>
                <w:color w:val="auto"/>
                <w:kern w:val="0"/>
                <w:sz w:val="18"/>
                <w:szCs w:val="18"/>
                <w:highlight w:val="none"/>
              </w:rPr>
            </w:pPr>
          </w:p>
        </w:tc>
      </w:tr>
      <w:tr w14:paraId="53591C9E">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38968F7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3.2.3</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14C90081">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4E0BE530">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专项技术措施暂估价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30C6DFF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73D7BA2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53159770">
            <w:pPr>
              <w:widowControl/>
              <w:jc w:val="left"/>
              <w:rPr>
                <w:rFonts w:hint="eastAsia" w:ascii="宋体" w:hAnsi="宋体" w:eastAsia="宋体" w:cs="宋体"/>
                <w:color w:val="auto"/>
                <w:kern w:val="0"/>
                <w:sz w:val="18"/>
                <w:szCs w:val="18"/>
                <w:highlight w:val="none"/>
              </w:rPr>
            </w:pPr>
          </w:p>
        </w:tc>
      </w:tr>
      <w:tr w14:paraId="200549D8">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73F959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3.3</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4BC0594D">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计日工</w:t>
            </w:r>
          </w:p>
        </w:tc>
        <w:tc>
          <w:tcPr>
            <w:tcW w:w="3290" w:type="dxa"/>
            <w:tcBorders>
              <w:top w:val="single" w:color="000000" w:sz="4" w:space="0"/>
              <w:left w:val="single" w:color="000000" w:sz="4" w:space="0"/>
              <w:bottom w:val="nil"/>
              <w:right w:val="nil"/>
            </w:tcBorders>
            <w:shd w:val="clear" w:color="000000" w:fill="FFFFFF"/>
            <w:noWrap w:val="0"/>
            <w:vAlign w:val="center"/>
          </w:tcPr>
          <w:p w14:paraId="6C2D6D7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∑计日工(暂估数量×综合单价）</w:t>
            </w:r>
          </w:p>
        </w:tc>
        <w:tc>
          <w:tcPr>
            <w:tcW w:w="1246" w:type="dxa"/>
            <w:tcBorders>
              <w:top w:val="single" w:color="000000" w:sz="4" w:space="0"/>
              <w:left w:val="single" w:color="000000" w:sz="4" w:space="0"/>
              <w:bottom w:val="nil"/>
              <w:right w:val="nil"/>
            </w:tcBorders>
            <w:shd w:val="clear" w:color="000000" w:fill="FFFFFF"/>
            <w:noWrap/>
            <w:vAlign w:val="center"/>
          </w:tcPr>
          <w:p w14:paraId="0D47B33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582CBBB">
            <w:pPr>
              <w:widowControl/>
              <w:jc w:val="left"/>
              <w:rPr>
                <w:rFonts w:hint="eastAsia" w:ascii="宋体" w:hAnsi="宋体" w:eastAsia="宋体" w:cs="宋体"/>
                <w:color w:val="auto"/>
                <w:kern w:val="0"/>
                <w:sz w:val="18"/>
                <w:szCs w:val="18"/>
                <w:highlight w:val="none"/>
              </w:rPr>
            </w:pPr>
          </w:p>
        </w:tc>
      </w:tr>
      <w:tr w14:paraId="78D9FEE7">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7A49DB6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172A550">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施工总承包服务费</w:t>
            </w:r>
          </w:p>
        </w:tc>
        <w:tc>
          <w:tcPr>
            <w:tcW w:w="3290" w:type="dxa"/>
            <w:tcBorders>
              <w:top w:val="single" w:color="000000" w:sz="4" w:space="0"/>
              <w:left w:val="single" w:color="000000" w:sz="4" w:space="0"/>
              <w:bottom w:val="nil"/>
              <w:right w:val="nil"/>
            </w:tcBorders>
            <w:shd w:val="clear" w:color="000000" w:fill="FFFFFF"/>
            <w:noWrap w:val="0"/>
            <w:vAlign w:val="center"/>
          </w:tcPr>
          <w:p w14:paraId="5DA191B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3.4.1+3.4.2</w:t>
            </w:r>
          </w:p>
        </w:tc>
        <w:tc>
          <w:tcPr>
            <w:tcW w:w="1246" w:type="dxa"/>
            <w:tcBorders>
              <w:top w:val="single" w:color="000000" w:sz="4" w:space="0"/>
              <w:left w:val="single" w:color="000000" w:sz="4" w:space="0"/>
              <w:bottom w:val="nil"/>
              <w:right w:val="nil"/>
            </w:tcBorders>
            <w:shd w:val="clear" w:color="000000" w:fill="FFFFFF"/>
            <w:noWrap/>
            <w:vAlign w:val="center"/>
          </w:tcPr>
          <w:p w14:paraId="22B3CB9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201DEC1B">
            <w:pPr>
              <w:widowControl/>
              <w:jc w:val="left"/>
              <w:rPr>
                <w:rFonts w:hint="eastAsia" w:ascii="宋体" w:hAnsi="宋体" w:eastAsia="宋体" w:cs="宋体"/>
                <w:color w:val="auto"/>
                <w:kern w:val="0"/>
                <w:sz w:val="18"/>
                <w:szCs w:val="18"/>
                <w:highlight w:val="none"/>
              </w:rPr>
            </w:pPr>
          </w:p>
        </w:tc>
      </w:tr>
      <w:tr w14:paraId="62297257">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639A71D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14:paraId="1A5E870E">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48DEEA5D">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专业发包工程管理费</w:t>
            </w:r>
          </w:p>
        </w:tc>
        <w:tc>
          <w:tcPr>
            <w:tcW w:w="3290" w:type="dxa"/>
            <w:tcBorders>
              <w:top w:val="single" w:color="000000" w:sz="4" w:space="0"/>
              <w:left w:val="single" w:color="000000" w:sz="4" w:space="0"/>
              <w:bottom w:val="nil"/>
              <w:right w:val="nil"/>
            </w:tcBorders>
            <w:shd w:val="clear" w:color="000000" w:fill="FFFFFF"/>
            <w:noWrap w:val="0"/>
            <w:vAlign w:val="center"/>
          </w:tcPr>
          <w:p w14:paraId="2868510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∑专业发包工程（暂估金额×费率）</w:t>
            </w:r>
          </w:p>
        </w:tc>
        <w:tc>
          <w:tcPr>
            <w:tcW w:w="1246" w:type="dxa"/>
            <w:tcBorders>
              <w:top w:val="single" w:color="000000" w:sz="4" w:space="0"/>
              <w:left w:val="single" w:color="000000" w:sz="4" w:space="0"/>
              <w:bottom w:val="nil"/>
              <w:right w:val="nil"/>
            </w:tcBorders>
            <w:shd w:val="clear" w:color="000000" w:fill="FFFFFF"/>
            <w:noWrap/>
            <w:vAlign w:val="center"/>
          </w:tcPr>
          <w:p w14:paraId="3BACCFD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4504314D">
            <w:pPr>
              <w:widowControl/>
              <w:jc w:val="left"/>
              <w:rPr>
                <w:rFonts w:hint="eastAsia" w:ascii="宋体" w:hAnsi="宋体" w:eastAsia="宋体" w:cs="宋体"/>
                <w:color w:val="auto"/>
                <w:kern w:val="0"/>
                <w:sz w:val="18"/>
                <w:szCs w:val="18"/>
                <w:highlight w:val="none"/>
              </w:rPr>
            </w:pPr>
          </w:p>
        </w:tc>
      </w:tr>
      <w:tr w14:paraId="1D6CD13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584E151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5E48BBF3">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5A11B22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甲供材料设备管理费</w:t>
            </w:r>
          </w:p>
        </w:tc>
        <w:tc>
          <w:tcPr>
            <w:tcW w:w="3290" w:type="dxa"/>
            <w:tcBorders>
              <w:top w:val="single" w:color="000000" w:sz="4" w:space="0"/>
              <w:left w:val="single" w:color="000000" w:sz="4" w:space="0"/>
              <w:bottom w:val="nil"/>
              <w:right w:val="nil"/>
            </w:tcBorders>
            <w:shd w:val="clear" w:color="000000" w:fill="FFFFFF"/>
            <w:noWrap w:val="0"/>
            <w:vAlign w:val="center"/>
          </w:tcPr>
          <w:p w14:paraId="4F2C37B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甲供材料暂估金额×费率+甲供设备暂估金额×费率</w:t>
            </w:r>
          </w:p>
        </w:tc>
        <w:tc>
          <w:tcPr>
            <w:tcW w:w="1246" w:type="dxa"/>
            <w:tcBorders>
              <w:top w:val="single" w:color="000000" w:sz="4" w:space="0"/>
              <w:left w:val="single" w:color="000000" w:sz="4" w:space="0"/>
              <w:bottom w:val="nil"/>
              <w:right w:val="nil"/>
            </w:tcBorders>
            <w:shd w:val="clear" w:color="000000" w:fill="FFFFFF"/>
            <w:noWrap/>
            <w:vAlign w:val="center"/>
          </w:tcPr>
          <w:p w14:paraId="3B2C8EE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0D4269BE">
            <w:pPr>
              <w:widowControl/>
              <w:jc w:val="left"/>
              <w:rPr>
                <w:rFonts w:hint="eastAsia" w:ascii="宋体" w:hAnsi="宋体" w:eastAsia="宋体" w:cs="宋体"/>
                <w:color w:val="auto"/>
                <w:kern w:val="0"/>
                <w:sz w:val="18"/>
                <w:szCs w:val="18"/>
                <w:highlight w:val="none"/>
              </w:rPr>
            </w:pPr>
          </w:p>
        </w:tc>
      </w:tr>
      <w:tr w14:paraId="6E7E9079">
        <w:tblPrEx>
          <w:tblCellMar>
            <w:top w:w="0" w:type="dxa"/>
            <w:left w:w="108" w:type="dxa"/>
            <w:bottom w:w="0" w:type="dxa"/>
            <w:right w:w="108" w:type="dxa"/>
          </w:tblCellMar>
        </w:tblPrEx>
        <w:trPr>
          <w:trHeight w:val="465"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2E1753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4C6379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规费</w:t>
            </w:r>
          </w:p>
        </w:tc>
        <w:tc>
          <w:tcPr>
            <w:tcW w:w="3290" w:type="dxa"/>
            <w:tcBorders>
              <w:top w:val="single" w:color="000000" w:sz="4" w:space="0"/>
              <w:left w:val="single" w:color="000000" w:sz="4" w:space="0"/>
              <w:bottom w:val="nil"/>
              <w:right w:val="nil"/>
            </w:tcBorders>
            <w:shd w:val="clear" w:color="000000" w:fill="FFFFFF"/>
            <w:noWrap w:val="0"/>
            <w:vAlign w:val="center"/>
          </w:tcPr>
          <w:p w14:paraId="3511C0C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14:paraId="7F5346F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B49DB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51223B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21EE027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029E207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税金</w:t>
            </w:r>
          </w:p>
        </w:tc>
        <w:tc>
          <w:tcPr>
            <w:tcW w:w="3290" w:type="dxa"/>
            <w:tcBorders>
              <w:top w:val="single" w:color="000000" w:sz="4" w:space="0"/>
              <w:left w:val="single" w:color="000000" w:sz="4" w:space="0"/>
              <w:bottom w:val="nil"/>
              <w:right w:val="nil"/>
            </w:tcBorders>
            <w:shd w:val="clear" w:color="000000" w:fill="FFFFFF"/>
            <w:noWrap w:val="0"/>
            <w:vAlign w:val="center"/>
          </w:tcPr>
          <w:p w14:paraId="3FCEC4C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(1+2+3+4+计税不计费)×费率</w:t>
            </w:r>
          </w:p>
        </w:tc>
        <w:tc>
          <w:tcPr>
            <w:tcW w:w="1246" w:type="dxa"/>
            <w:tcBorders>
              <w:top w:val="single" w:color="000000" w:sz="4" w:space="0"/>
              <w:left w:val="single" w:color="000000" w:sz="4" w:space="0"/>
              <w:bottom w:val="nil"/>
              <w:right w:val="nil"/>
            </w:tcBorders>
            <w:shd w:val="clear" w:color="000000" w:fill="FFFFFF"/>
            <w:noWrap/>
            <w:vAlign w:val="center"/>
          </w:tcPr>
          <w:p w14:paraId="0B2768D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00C54B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DB975E5">
        <w:tblPrEx>
          <w:tblCellMar>
            <w:top w:w="0" w:type="dxa"/>
            <w:left w:w="108" w:type="dxa"/>
            <w:bottom w:w="0" w:type="dxa"/>
            <w:right w:w="108" w:type="dxa"/>
          </w:tblCellMar>
        </w:tblPrEx>
        <w:trPr>
          <w:trHeight w:val="380" w:hRule="atLeast"/>
        </w:trPr>
        <w:tc>
          <w:tcPr>
            <w:tcW w:w="3559" w:type="dxa"/>
            <w:gridSpan w:val="3"/>
            <w:tcBorders>
              <w:top w:val="single" w:color="000000" w:sz="4" w:space="0"/>
              <w:left w:val="single" w:color="000000" w:sz="4" w:space="0"/>
              <w:bottom w:val="single" w:color="000000" w:sz="4" w:space="0"/>
              <w:right w:val="nil"/>
            </w:tcBorders>
            <w:shd w:val="clear" w:color="000000" w:fill="FFFFFF"/>
            <w:noWrap w:val="0"/>
            <w:vAlign w:val="center"/>
          </w:tcPr>
          <w:p w14:paraId="64A1857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投标报价合计</w:t>
            </w:r>
          </w:p>
        </w:tc>
        <w:tc>
          <w:tcPr>
            <w:tcW w:w="3290" w:type="dxa"/>
            <w:tcBorders>
              <w:top w:val="single" w:color="000000" w:sz="4" w:space="0"/>
              <w:left w:val="single" w:color="000000" w:sz="4" w:space="0"/>
              <w:bottom w:val="single" w:color="000000" w:sz="4" w:space="0"/>
              <w:right w:val="nil"/>
            </w:tcBorders>
            <w:shd w:val="clear" w:color="000000" w:fill="FFFFFF"/>
            <w:noWrap w:val="0"/>
            <w:vAlign w:val="center"/>
          </w:tcPr>
          <w:p w14:paraId="3644B8F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1+2+3+4+5</w:t>
            </w:r>
          </w:p>
        </w:tc>
        <w:tc>
          <w:tcPr>
            <w:tcW w:w="1246" w:type="dxa"/>
            <w:tcBorders>
              <w:top w:val="single" w:color="000000" w:sz="4" w:space="0"/>
              <w:left w:val="single" w:color="000000" w:sz="4" w:space="0"/>
              <w:bottom w:val="single" w:color="000000" w:sz="4" w:space="0"/>
              <w:right w:val="nil"/>
            </w:tcBorders>
            <w:shd w:val="clear" w:color="000000" w:fill="FFFFFF"/>
            <w:noWrap/>
            <w:vAlign w:val="center"/>
          </w:tcPr>
          <w:p w14:paraId="09144D2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DC52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1EF75FA4">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分部分项工程量清单与计价表</w:t>
      </w:r>
    </w:p>
    <w:p w14:paraId="586F38EF">
      <w:pPr>
        <w:tabs>
          <w:tab w:val="left" w:pos="3780"/>
        </w:tabs>
        <w:rPr>
          <w:rFonts w:hint="eastAsia" w:ascii="宋体" w:hAnsi="宋体" w:eastAsia="宋体" w:cs="宋体"/>
          <w:color w:val="auto"/>
          <w:highlight w:val="none"/>
        </w:rPr>
      </w:pPr>
    </w:p>
    <w:p w14:paraId="471096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标段: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 xml:space="preserve"> 第   页 共   页</w:t>
      </w:r>
    </w:p>
    <w:tbl>
      <w:tblPr>
        <w:tblStyle w:val="24"/>
        <w:tblW w:w="9654" w:type="dxa"/>
        <w:tblInd w:w="93" w:type="dxa"/>
        <w:tblLayout w:type="fixed"/>
        <w:tblCellMar>
          <w:top w:w="0" w:type="dxa"/>
          <w:left w:w="108" w:type="dxa"/>
          <w:bottom w:w="0" w:type="dxa"/>
          <w:right w:w="108" w:type="dxa"/>
        </w:tblCellMar>
      </w:tblPr>
      <w:tblGrid>
        <w:gridCol w:w="760"/>
        <w:gridCol w:w="956"/>
        <w:gridCol w:w="993"/>
        <w:gridCol w:w="141"/>
        <w:gridCol w:w="645"/>
        <w:gridCol w:w="54"/>
        <w:gridCol w:w="718"/>
        <w:gridCol w:w="143"/>
        <w:gridCol w:w="708"/>
        <w:gridCol w:w="142"/>
        <w:gridCol w:w="709"/>
        <w:gridCol w:w="142"/>
        <w:gridCol w:w="708"/>
        <w:gridCol w:w="284"/>
        <w:gridCol w:w="567"/>
        <w:gridCol w:w="283"/>
        <w:gridCol w:w="567"/>
        <w:gridCol w:w="426"/>
        <w:gridCol w:w="708"/>
      </w:tblGrid>
      <w:tr w14:paraId="60C486EA">
        <w:tblPrEx>
          <w:tblCellMar>
            <w:top w:w="0" w:type="dxa"/>
            <w:left w:w="108" w:type="dxa"/>
            <w:bottom w:w="0" w:type="dxa"/>
            <w:right w:w="108" w:type="dxa"/>
          </w:tblCellMar>
        </w:tblPrEx>
        <w:trPr>
          <w:trHeight w:val="450" w:hRule="atLeast"/>
        </w:trPr>
        <w:tc>
          <w:tcPr>
            <w:tcW w:w="760" w:type="dxa"/>
            <w:vMerge w:val="restart"/>
            <w:tcBorders>
              <w:top w:val="single" w:color="000000" w:sz="4" w:space="0"/>
              <w:left w:val="single" w:color="000000" w:sz="4" w:space="0"/>
              <w:bottom w:val="nil"/>
              <w:right w:val="nil"/>
            </w:tcBorders>
            <w:shd w:val="clear" w:color="000000" w:fill="FFFFFF"/>
            <w:noWrap w:val="0"/>
            <w:vAlign w:val="center"/>
          </w:tcPr>
          <w:p w14:paraId="21A94E8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956" w:type="dxa"/>
            <w:vMerge w:val="restart"/>
            <w:tcBorders>
              <w:top w:val="single" w:color="000000" w:sz="4" w:space="0"/>
              <w:left w:val="single" w:color="000000" w:sz="4" w:space="0"/>
              <w:bottom w:val="nil"/>
              <w:right w:val="nil"/>
            </w:tcBorders>
            <w:shd w:val="clear" w:color="000000" w:fill="FFFFFF"/>
            <w:noWrap w:val="0"/>
            <w:vAlign w:val="center"/>
          </w:tcPr>
          <w:p w14:paraId="342D20E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项目编码</w:t>
            </w:r>
          </w:p>
        </w:tc>
        <w:tc>
          <w:tcPr>
            <w:tcW w:w="1134" w:type="dxa"/>
            <w:gridSpan w:val="2"/>
            <w:vMerge w:val="restart"/>
            <w:tcBorders>
              <w:top w:val="single" w:color="000000" w:sz="4" w:space="0"/>
              <w:left w:val="single" w:color="000000" w:sz="4" w:space="0"/>
              <w:bottom w:val="nil"/>
              <w:right w:val="nil"/>
            </w:tcBorders>
            <w:shd w:val="clear" w:color="000000" w:fill="FFFFFF"/>
            <w:noWrap w:val="0"/>
            <w:vAlign w:val="center"/>
          </w:tcPr>
          <w:p w14:paraId="200A8E5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645" w:type="dxa"/>
            <w:vMerge w:val="restart"/>
            <w:tcBorders>
              <w:top w:val="single" w:color="000000" w:sz="4" w:space="0"/>
              <w:left w:val="single" w:color="000000" w:sz="4" w:space="0"/>
              <w:bottom w:val="nil"/>
              <w:right w:val="nil"/>
            </w:tcBorders>
            <w:shd w:val="clear" w:color="000000" w:fill="FFFFFF"/>
            <w:noWrap w:val="0"/>
            <w:vAlign w:val="center"/>
          </w:tcPr>
          <w:p w14:paraId="1342E1AA">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计量</w:t>
            </w:r>
          </w:p>
          <w:p w14:paraId="18135AB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772" w:type="dxa"/>
            <w:gridSpan w:val="2"/>
            <w:vMerge w:val="restart"/>
            <w:tcBorders>
              <w:top w:val="single" w:color="000000" w:sz="4" w:space="0"/>
              <w:left w:val="single" w:color="000000" w:sz="4" w:space="0"/>
              <w:bottom w:val="nil"/>
              <w:right w:val="nil"/>
            </w:tcBorders>
            <w:shd w:val="clear" w:color="000000" w:fill="FFFFFF"/>
            <w:noWrap w:val="0"/>
            <w:vAlign w:val="center"/>
          </w:tcPr>
          <w:p w14:paraId="141A88E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工程量</w:t>
            </w:r>
          </w:p>
        </w:tc>
        <w:tc>
          <w:tcPr>
            <w:tcW w:w="4253" w:type="dxa"/>
            <w:gridSpan w:val="10"/>
            <w:tcBorders>
              <w:top w:val="single" w:color="000000" w:sz="4" w:space="0"/>
              <w:left w:val="single" w:color="000000" w:sz="4" w:space="0"/>
              <w:bottom w:val="nil"/>
              <w:right w:val="nil"/>
            </w:tcBorders>
            <w:shd w:val="clear" w:color="000000" w:fill="FFFFFF"/>
            <w:noWrap w:val="0"/>
            <w:vAlign w:val="center"/>
          </w:tcPr>
          <w:p w14:paraId="6CCD4EA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 额  (元)</w:t>
            </w:r>
          </w:p>
        </w:tc>
        <w:tc>
          <w:tcPr>
            <w:tcW w:w="1134" w:type="dxa"/>
            <w:gridSpan w:val="2"/>
            <w:vMerge w:val="restart"/>
            <w:tcBorders>
              <w:top w:val="single" w:color="000000" w:sz="4" w:space="0"/>
              <w:left w:val="single" w:color="000000" w:sz="4" w:space="0"/>
              <w:bottom w:val="nil"/>
              <w:right w:val="single" w:color="000000" w:sz="4" w:space="0"/>
            </w:tcBorders>
            <w:shd w:val="clear" w:color="000000" w:fill="FFFFFF"/>
            <w:noWrap w:val="0"/>
            <w:vAlign w:val="center"/>
          </w:tcPr>
          <w:p w14:paraId="36FE2EA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26CFF15">
        <w:tblPrEx>
          <w:tblCellMar>
            <w:top w:w="0" w:type="dxa"/>
            <w:left w:w="108" w:type="dxa"/>
            <w:bottom w:w="0" w:type="dxa"/>
            <w:right w:w="108" w:type="dxa"/>
          </w:tblCellMar>
        </w:tblPrEx>
        <w:trPr>
          <w:trHeight w:val="36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7E50397B">
            <w:pPr>
              <w:widowControl/>
              <w:jc w:val="left"/>
              <w:rPr>
                <w:rFonts w:hint="eastAsia" w:ascii="宋体" w:hAnsi="宋体" w:eastAsia="宋体" w:cs="宋体"/>
                <w:color w:val="auto"/>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5B5F6A45">
            <w:pPr>
              <w:widowControl/>
              <w:jc w:val="left"/>
              <w:rPr>
                <w:rFonts w:hint="eastAsia" w:ascii="宋体" w:hAnsi="宋体" w:eastAsia="宋体" w:cs="宋体"/>
                <w:color w:val="auto"/>
                <w:kern w:val="0"/>
                <w:sz w:val="18"/>
                <w:szCs w:val="18"/>
                <w:highlight w:val="none"/>
              </w:rPr>
            </w:pPr>
          </w:p>
        </w:tc>
        <w:tc>
          <w:tcPr>
            <w:tcW w:w="1134" w:type="dxa"/>
            <w:gridSpan w:val="2"/>
            <w:vMerge w:val="continue"/>
            <w:tcBorders>
              <w:top w:val="single" w:color="000000" w:sz="4" w:space="0"/>
              <w:left w:val="single" w:color="000000" w:sz="4" w:space="0"/>
              <w:bottom w:val="nil"/>
              <w:right w:val="nil"/>
            </w:tcBorders>
            <w:shd w:val="clear" w:color="auto" w:fill="auto"/>
            <w:noWrap w:val="0"/>
            <w:vAlign w:val="center"/>
          </w:tcPr>
          <w:p w14:paraId="637DC897">
            <w:pPr>
              <w:widowControl/>
              <w:jc w:val="left"/>
              <w:rPr>
                <w:rFonts w:hint="eastAsia" w:ascii="宋体" w:hAnsi="宋体" w:eastAsia="宋体" w:cs="宋体"/>
                <w:color w:val="auto"/>
                <w:kern w:val="0"/>
                <w:sz w:val="18"/>
                <w:szCs w:val="18"/>
                <w:highlight w:val="none"/>
              </w:rPr>
            </w:pPr>
          </w:p>
        </w:tc>
        <w:tc>
          <w:tcPr>
            <w:tcW w:w="645" w:type="dxa"/>
            <w:vMerge w:val="continue"/>
            <w:tcBorders>
              <w:top w:val="single" w:color="000000" w:sz="4" w:space="0"/>
              <w:left w:val="single" w:color="000000" w:sz="4" w:space="0"/>
              <w:bottom w:val="nil"/>
              <w:right w:val="nil"/>
            </w:tcBorders>
            <w:shd w:val="clear" w:color="auto" w:fill="auto"/>
            <w:noWrap w:val="0"/>
            <w:vAlign w:val="center"/>
          </w:tcPr>
          <w:p w14:paraId="1F4763EE">
            <w:pPr>
              <w:widowControl/>
              <w:jc w:val="left"/>
              <w:rPr>
                <w:rFonts w:hint="eastAsia" w:ascii="宋体" w:hAnsi="宋体" w:eastAsia="宋体" w:cs="宋体"/>
                <w:color w:val="auto"/>
                <w:kern w:val="0"/>
                <w:sz w:val="18"/>
                <w:szCs w:val="18"/>
                <w:highlight w:val="none"/>
              </w:rPr>
            </w:pPr>
          </w:p>
        </w:tc>
        <w:tc>
          <w:tcPr>
            <w:tcW w:w="772" w:type="dxa"/>
            <w:gridSpan w:val="2"/>
            <w:vMerge w:val="continue"/>
            <w:tcBorders>
              <w:top w:val="single" w:color="000000" w:sz="4" w:space="0"/>
              <w:left w:val="single" w:color="000000" w:sz="4" w:space="0"/>
              <w:bottom w:val="nil"/>
              <w:right w:val="nil"/>
            </w:tcBorders>
            <w:shd w:val="clear" w:color="auto" w:fill="auto"/>
            <w:noWrap w:val="0"/>
            <w:vAlign w:val="center"/>
          </w:tcPr>
          <w:p w14:paraId="087DFF85">
            <w:pPr>
              <w:widowControl/>
              <w:jc w:val="left"/>
              <w:rPr>
                <w:rFonts w:hint="eastAsia" w:ascii="宋体" w:hAnsi="宋体" w:eastAsia="宋体" w:cs="宋体"/>
                <w:color w:val="auto"/>
                <w:kern w:val="0"/>
                <w:sz w:val="18"/>
                <w:szCs w:val="18"/>
                <w:highlight w:val="none"/>
              </w:rPr>
            </w:pP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14:paraId="3EE1FF9E">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综合单价</w:t>
            </w: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14:paraId="7C1E072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w:t>
            </w:r>
          </w:p>
        </w:tc>
        <w:tc>
          <w:tcPr>
            <w:tcW w:w="2551" w:type="dxa"/>
            <w:gridSpan w:val="6"/>
            <w:tcBorders>
              <w:top w:val="single" w:color="000000" w:sz="4" w:space="0"/>
              <w:left w:val="single" w:color="000000" w:sz="4" w:space="0"/>
              <w:bottom w:val="nil"/>
              <w:right w:val="single" w:color="000000" w:sz="4" w:space="0"/>
            </w:tcBorders>
            <w:shd w:val="clear" w:color="000000" w:fill="FFFFFF"/>
            <w:noWrap w:val="0"/>
            <w:vAlign w:val="center"/>
          </w:tcPr>
          <w:p w14:paraId="2C0E465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1134" w:type="dxa"/>
            <w:gridSpan w:val="2"/>
            <w:vMerge w:val="continue"/>
            <w:tcBorders>
              <w:top w:val="single" w:color="000000" w:sz="4" w:space="0"/>
              <w:left w:val="single" w:color="000000" w:sz="4" w:space="0"/>
              <w:bottom w:val="nil"/>
              <w:right w:val="single" w:color="000000" w:sz="4" w:space="0"/>
            </w:tcBorders>
            <w:noWrap w:val="0"/>
            <w:vAlign w:val="center"/>
          </w:tcPr>
          <w:p w14:paraId="7D5A73E1">
            <w:pPr>
              <w:widowControl/>
              <w:jc w:val="left"/>
              <w:rPr>
                <w:rFonts w:hint="eastAsia" w:ascii="宋体" w:hAnsi="宋体" w:eastAsia="宋体" w:cs="宋体"/>
                <w:color w:val="auto"/>
                <w:kern w:val="0"/>
                <w:sz w:val="18"/>
                <w:szCs w:val="18"/>
                <w:highlight w:val="none"/>
              </w:rPr>
            </w:pPr>
          </w:p>
        </w:tc>
      </w:tr>
      <w:tr w14:paraId="4BCB0CA7">
        <w:tblPrEx>
          <w:tblCellMar>
            <w:top w:w="0" w:type="dxa"/>
            <w:left w:w="108" w:type="dxa"/>
            <w:bottom w:w="0" w:type="dxa"/>
            <w:right w:w="108" w:type="dxa"/>
          </w:tblCellMar>
        </w:tblPrEx>
        <w:trPr>
          <w:trHeight w:val="45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5363AF4C">
            <w:pPr>
              <w:widowControl/>
              <w:jc w:val="left"/>
              <w:rPr>
                <w:rFonts w:hint="eastAsia" w:ascii="宋体" w:hAnsi="宋体" w:eastAsia="宋体" w:cs="宋体"/>
                <w:color w:val="auto"/>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4F8AD2D0">
            <w:pPr>
              <w:widowControl/>
              <w:jc w:val="left"/>
              <w:rPr>
                <w:rFonts w:hint="eastAsia" w:ascii="宋体" w:hAnsi="宋体" w:eastAsia="宋体" w:cs="宋体"/>
                <w:color w:val="auto"/>
                <w:kern w:val="0"/>
                <w:sz w:val="18"/>
                <w:szCs w:val="18"/>
                <w:highlight w:val="none"/>
              </w:rPr>
            </w:pPr>
          </w:p>
        </w:tc>
        <w:tc>
          <w:tcPr>
            <w:tcW w:w="1134" w:type="dxa"/>
            <w:gridSpan w:val="2"/>
            <w:vMerge w:val="continue"/>
            <w:tcBorders>
              <w:top w:val="single" w:color="000000" w:sz="4" w:space="0"/>
              <w:left w:val="single" w:color="000000" w:sz="4" w:space="0"/>
              <w:bottom w:val="nil"/>
              <w:right w:val="nil"/>
            </w:tcBorders>
            <w:shd w:val="clear" w:color="auto" w:fill="auto"/>
            <w:noWrap w:val="0"/>
            <w:vAlign w:val="center"/>
          </w:tcPr>
          <w:p w14:paraId="1937FE6E">
            <w:pPr>
              <w:widowControl/>
              <w:jc w:val="left"/>
              <w:rPr>
                <w:rFonts w:hint="eastAsia" w:ascii="宋体" w:hAnsi="宋体" w:eastAsia="宋体" w:cs="宋体"/>
                <w:color w:val="auto"/>
                <w:kern w:val="0"/>
                <w:sz w:val="18"/>
                <w:szCs w:val="18"/>
                <w:highlight w:val="none"/>
              </w:rPr>
            </w:pPr>
          </w:p>
        </w:tc>
        <w:tc>
          <w:tcPr>
            <w:tcW w:w="645" w:type="dxa"/>
            <w:vMerge w:val="continue"/>
            <w:tcBorders>
              <w:top w:val="single" w:color="000000" w:sz="4" w:space="0"/>
              <w:left w:val="single" w:color="000000" w:sz="4" w:space="0"/>
              <w:bottom w:val="nil"/>
              <w:right w:val="nil"/>
            </w:tcBorders>
            <w:shd w:val="clear" w:color="auto" w:fill="auto"/>
            <w:noWrap w:val="0"/>
            <w:vAlign w:val="center"/>
          </w:tcPr>
          <w:p w14:paraId="0B1A3A53">
            <w:pPr>
              <w:widowControl/>
              <w:jc w:val="left"/>
              <w:rPr>
                <w:rFonts w:hint="eastAsia" w:ascii="宋体" w:hAnsi="宋体" w:eastAsia="宋体" w:cs="宋体"/>
                <w:color w:val="auto"/>
                <w:kern w:val="0"/>
                <w:sz w:val="18"/>
                <w:szCs w:val="18"/>
                <w:highlight w:val="none"/>
              </w:rPr>
            </w:pPr>
          </w:p>
        </w:tc>
        <w:tc>
          <w:tcPr>
            <w:tcW w:w="772" w:type="dxa"/>
            <w:gridSpan w:val="2"/>
            <w:vMerge w:val="continue"/>
            <w:tcBorders>
              <w:top w:val="single" w:color="000000" w:sz="4" w:space="0"/>
              <w:left w:val="single" w:color="000000" w:sz="4" w:space="0"/>
              <w:bottom w:val="nil"/>
              <w:right w:val="nil"/>
            </w:tcBorders>
            <w:shd w:val="clear" w:color="auto" w:fill="auto"/>
            <w:noWrap w:val="0"/>
            <w:vAlign w:val="center"/>
          </w:tcPr>
          <w:p w14:paraId="6BCB0C7C">
            <w:pPr>
              <w:widowControl/>
              <w:jc w:val="left"/>
              <w:rPr>
                <w:rFonts w:hint="eastAsia" w:ascii="宋体" w:hAnsi="宋体" w:eastAsia="宋体" w:cs="宋体"/>
                <w:color w:val="auto"/>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14:paraId="0FA43A50">
            <w:pPr>
              <w:widowControl/>
              <w:jc w:val="left"/>
              <w:rPr>
                <w:rFonts w:hint="eastAsia" w:ascii="宋体" w:hAnsi="宋体" w:eastAsia="宋体" w:cs="宋体"/>
                <w:color w:val="auto"/>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14:paraId="6897ED9A">
            <w:pPr>
              <w:widowControl/>
              <w:jc w:val="left"/>
              <w:rPr>
                <w:rFonts w:hint="eastAsia" w:ascii="宋体" w:hAnsi="宋体" w:eastAsia="宋体" w:cs="宋体"/>
                <w:color w:val="auto"/>
                <w:kern w:val="0"/>
                <w:sz w:val="18"/>
                <w:szCs w:val="18"/>
                <w:highlight w:val="none"/>
              </w:rPr>
            </w:pPr>
          </w:p>
        </w:tc>
        <w:tc>
          <w:tcPr>
            <w:tcW w:w="850" w:type="dxa"/>
            <w:gridSpan w:val="2"/>
            <w:tcBorders>
              <w:top w:val="single" w:color="000000" w:sz="4" w:space="0"/>
              <w:left w:val="single" w:color="000000" w:sz="4" w:space="0"/>
              <w:bottom w:val="nil"/>
              <w:right w:val="nil"/>
            </w:tcBorders>
            <w:shd w:val="clear" w:color="000000" w:fill="FFFFFF"/>
            <w:noWrap w:val="0"/>
            <w:vAlign w:val="center"/>
          </w:tcPr>
          <w:p w14:paraId="1195A66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w:t>
            </w:r>
          </w:p>
        </w:tc>
        <w:tc>
          <w:tcPr>
            <w:tcW w:w="851" w:type="dxa"/>
            <w:gridSpan w:val="2"/>
            <w:tcBorders>
              <w:top w:val="single" w:color="000000" w:sz="4" w:space="0"/>
              <w:left w:val="single" w:color="000000" w:sz="4" w:space="0"/>
              <w:bottom w:val="nil"/>
              <w:right w:val="nil"/>
            </w:tcBorders>
            <w:shd w:val="clear" w:color="000000" w:fill="FFFFFF"/>
            <w:noWrap w:val="0"/>
            <w:vAlign w:val="center"/>
          </w:tcPr>
          <w:p w14:paraId="7C5FD41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机械费</w:t>
            </w:r>
          </w:p>
        </w:tc>
        <w:tc>
          <w:tcPr>
            <w:tcW w:w="85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37C723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1134" w:type="dxa"/>
            <w:gridSpan w:val="2"/>
            <w:vMerge w:val="continue"/>
            <w:tcBorders>
              <w:top w:val="single" w:color="000000" w:sz="4" w:space="0"/>
              <w:left w:val="single" w:color="000000" w:sz="4" w:space="0"/>
              <w:bottom w:val="nil"/>
              <w:right w:val="single" w:color="000000" w:sz="4" w:space="0"/>
            </w:tcBorders>
            <w:noWrap w:val="0"/>
            <w:vAlign w:val="center"/>
          </w:tcPr>
          <w:p w14:paraId="75732C3E">
            <w:pPr>
              <w:widowControl/>
              <w:jc w:val="left"/>
              <w:rPr>
                <w:rFonts w:hint="eastAsia" w:ascii="宋体" w:hAnsi="宋体" w:eastAsia="宋体" w:cs="宋体"/>
                <w:color w:val="auto"/>
                <w:kern w:val="0"/>
                <w:sz w:val="18"/>
                <w:szCs w:val="18"/>
                <w:highlight w:val="none"/>
              </w:rPr>
            </w:pPr>
          </w:p>
        </w:tc>
      </w:tr>
      <w:tr w14:paraId="66319CBF">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15C917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5876B4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0388B0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0C3BDA7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3B372EA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DFC116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53580C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2B8D7B6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6E8A4BA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B86C1A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194F1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1ACC4A2">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82C23A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4177738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5A3813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159C8CF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1AD7C2D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6C24BF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00D819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68DC8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0E7E993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45FA6EF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144692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23D0372">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7201314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5F16BF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6A8844B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7D2D52F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4166481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CD16BE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DF2C65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4C03907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728E728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7079524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7CDC6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D33BB58">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ABA2D3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724567C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699033B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2C6C22B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378277A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90F4A4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4CB85A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E38556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E2F862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7D3F83A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A8DABF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B75BD6F">
        <w:tblPrEx>
          <w:tblCellMar>
            <w:top w:w="0" w:type="dxa"/>
            <w:left w:w="108" w:type="dxa"/>
            <w:bottom w:w="0" w:type="dxa"/>
            <w:right w:w="108" w:type="dxa"/>
          </w:tblCellMar>
        </w:tblPrEx>
        <w:trPr>
          <w:trHeight w:val="450" w:hRule="atLeast"/>
        </w:trPr>
        <w:tc>
          <w:tcPr>
            <w:tcW w:w="5118" w:type="dxa"/>
            <w:gridSpan w:val="9"/>
            <w:tcBorders>
              <w:top w:val="single" w:color="000000" w:sz="4" w:space="0"/>
              <w:left w:val="single" w:color="000000" w:sz="4" w:space="0"/>
              <w:bottom w:val="nil"/>
              <w:right w:val="nil"/>
            </w:tcBorders>
            <w:shd w:val="clear" w:color="000000" w:fill="FFFFFF"/>
            <w:noWrap w:val="0"/>
            <w:vAlign w:val="center"/>
          </w:tcPr>
          <w:p w14:paraId="74A98A5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本页小计</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699B8B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2200852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05EDF57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CAE7F3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71BAEEE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AA55BEF">
        <w:tblPrEx>
          <w:tblCellMar>
            <w:top w:w="0" w:type="dxa"/>
            <w:left w:w="108" w:type="dxa"/>
            <w:bottom w:w="0" w:type="dxa"/>
            <w:right w:w="108" w:type="dxa"/>
          </w:tblCellMar>
        </w:tblPrEx>
        <w:trPr>
          <w:trHeight w:val="450" w:hRule="atLeast"/>
        </w:trPr>
        <w:tc>
          <w:tcPr>
            <w:tcW w:w="5118" w:type="dxa"/>
            <w:gridSpan w:val="9"/>
            <w:tcBorders>
              <w:top w:val="single" w:color="000000" w:sz="4" w:space="0"/>
              <w:left w:val="single" w:color="000000" w:sz="4" w:space="0"/>
              <w:bottom w:val="single" w:color="000000" w:sz="4" w:space="0"/>
              <w:right w:val="nil"/>
            </w:tcBorders>
            <w:shd w:val="clear" w:color="000000" w:fill="FFFFFF"/>
            <w:noWrap w:val="0"/>
            <w:vAlign w:val="center"/>
          </w:tcPr>
          <w:p w14:paraId="78BB12D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020890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14:paraId="1D52560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15971DC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14:paraId="1ED606E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36FB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EC25E5A">
        <w:tblPrEx>
          <w:tblCellMar>
            <w:top w:w="0" w:type="dxa"/>
            <w:left w:w="108" w:type="dxa"/>
            <w:bottom w:w="0" w:type="dxa"/>
            <w:right w:w="108" w:type="dxa"/>
          </w:tblCellMar>
        </w:tblPrEx>
        <w:trPr>
          <w:trHeight w:val="900" w:hRule="atLeast"/>
        </w:trPr>
        <w:tc>
          <w:tcPr>
            <w:tcW w:w="9654" w:type="dxa"/>
            <w:gridSpan w:val="19"/>
            <w:tcBorders>
              <w:top w:val="nil"/>
              <w:left w:val="nil"/>
              <w:bottom w:val="nil"/>
              <w:right w:val="nil"/>
            </w:tcBorders>
            <w:shd w:val="clear" w:color="000000" w:fill="FFFFFF"/>
            <w:noWrap w:val="0"/>
            <w:vAlign w:val="center"/>
          </w:tcPr>
          <w:p w14:paraId="0E46FB61">
            <w:pPr>
              <w:widowControl/>
              <w:jc w:val="left"/>
              <w:rPr>
                <w:rFonts w:hint="eastAsia" w:ascii="宋体" w:hAnsi="宋体" w:eastAsia="宋体" w:cs="宋体"/>
                <w:b w:val="0"/>
                <w:color w:val="auto"/>
                <w:sz w:val="24"/>
                <w:highlight w:val="none"/>
              </w:rPr>
            </w:pPr>
          </w:p>
          <w:p w14:paraId="3F0981B1">
            <w:pPr>
              <w:widowControl/>
              <w:jc w:val="center"/>
              <w:rPr>
                <w:rFonts w:hint="eastAsia" w:ascii="宋体" w:hAnsi="宋体" w:eastAsia="宋体" w:cs="宋体"/>
                <w:b/>
                <w:bCs/>
                <w:color w:val="auto"/>
                <w:kern w:val="0"/>
                <w:sz w:val="36"/>
                <w:szCs w:val="36"/>
                <w:highlight w:val="none"/>
              </w:rPr>
            </w:pPr>
          </w:p>
          <w:p w14:paraId="64441721">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6"/>
                <w:szCs w:val="36"/>
                <w:highlight w:val="none"/>
              </w:rPr>
              <w:t>施工技术措施项目清单与计价表</w:t>
            </w:r>
          </w:p>
        </w:tc>
      </w:tr>
      <w:tr w14:paraId="4ED5BB9F">
        <w:tblPrEx>
          <w:tblCellMar>
            <w:top w:w="0" w:type="dxa"/>
            <w:left w:w="108" w:type="dxa"/>
            <w:bottom w:w="0" w:type="dxa"/>
            <w:right w:w="108" w:type="dxa"/>
          </w:tblCellMar>
        </w:tblPrEx>
        <w:trPr>
          <w:trHeight w:val="450" w:hRule="atLeast"/>
        </w:trPr>
        <w:tc>
          <w:tcPr>
            <w:tcW w:w="2709" w:type="dxa"/>
            <w:gridSpan w:val="3"/>
            <w:tcBorders>
              <w:top w:val="nil"/>
              <w:left w:val="nil"/>
              <w:bottom w:val="nil"/>
              <w:right w:val="nil"/>
            </w:tcBorders>
            <w:shd w:val="clear" w:color="000000" w:fill="FFFFFF"/>
            <w:noWrap w:val="0"/>
            <w:vAlign w:val="bottom"/>
          </w:tcPr>
          <w:p w14:paraId="5C285A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单位(专业)工程名称:</w:t>
            </w:r>
          </w:p>
        </w:tc>
        <w:tc>
          <w:tcPr>
            <w:tcW w:w="3402" w:type="dxa"/>
            <w:gridSpan w:val="9"/>
            <w:tcBorders>
              <w:top w:val="nil"/>
              <w:left w:val="nil"/>
              <w:bottom w:val="nil"/>
              <w:right w:val="nil"/>
            </w:tcBorders>
            <w:shd w:val="clear" w:color="000000" w:fill="FFFFFF"/>
            <w:noWrap w:val="0"/>
            <w:vAlign w:val="bottom"/>
          </w:tcPr>
          <w:p w14:paraId="7406B71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992" w:type="dxa"/>
            <w:gridSpan w:val="2"/>
            <w:tcBorders>
              <w:top w:val="nil"/>
              <w:left w:val="nil"/>
              <w:bottom w:val="nil"/>
              <w:right w:val="nil"/>
            </w:tcBorders>
            <w:shd w:val="clear" w:color="000000" w:fill="FFFFFF"/>
            <w:noWrap w:val="0"/>
            <w:vAlign w:val="bottom"/>
          </w:tcPr>
          <w:p w14:paraId="38038077">
            <w:pPr>
              <w:widowControl/>
              <w:jc w:val="center"/>
              <w:rPr>
                <w:rFonts w:hint="eastAsia" w:ascii="宋体" w:hAnsi="宋体" w:eastAsia="宋体" w:cs="宋体"/>
                <w:color w:val="auto"/>
                <w:kern w:val="0"/>
                <w:sz w:val="18"/>
                <w:szCs w:val="18"/>
                <w:highlight w:val="none"/>
              </w:rPr>
            </w:pPr>
          </w:p>
        </w:tc>
        <w:tc>
          <w:tcPr>
            <w:tcW w:w="2551" w:type="dxa"/>
            <w:gridSpan w:val="5"/>
            <w:tcBorders>
              <w:top w:val="nil"/>
              <w:left w:val="nil"/>
              <w:bottom w:val="nil"/>
              <w:right w:val="nil"/>
            </w:tcBorders>
            <w:shd w:val="clear" w:color="000000" w:fill="FFFFFF"/>
            <w:noWrap w:val="0"/>
            <w:vAlign w:val="bottom"/>
          </w:tcPr>
          <w:p w14:paraId="64F2B11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692D4272">
        <w:tblPrEx>
          <w:tblCellMar>
            <w:top w:w="0" w:type="dxa"/>
            <w:left w:w="108" w:type="dxa"/>
            <w:bottom w:w="0" w:type="dxa"/>
            <w:right w:w="108" w:type="dxa"/>
          </w:tblCellMar>
        </w:tblPrEx>
        <w:trPr>
          <w:trHeight w:val="450" w:hRule="atLeast"/>
        </w:trPr>
        <w:tc>
          <w:tcPr>
            <w:tcW w:w="760" w:type="dxa"/>
            <w:vMerge w:val="restart"/>
            <w:tcBorders>
              <w:top w:val="single" w:color="000000" w:sz="4" w:space="0"/>
              <w:left w:val="single" w:color="000000" w:sz="4" w:space="0"/>
              <w:bottom w:val="nil"/>
              <w:right w:val="nil"/>
            </w:tcBorders>
            <w:shd w:val="clear" w:color="000000" w:fill="FFFFFF"/>
            <w:noWrap w:val="0"/>
            <w:vAlign w:val="center"/>
          </w:tcPr>
          <w:p w14:paraId="054D28B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956" w:type="dxa"/>
            <w:vMerge w:val="restart"/>
            <w:tcBorders>
              <w:top w:val="single" w:color="000000" w:sz="4" w:space="0"/>
              <w:left w:val="single" w:color="000000" w:sz="4" w:space="0"/>
              <w:bottom w:val="nil"/>
              <w:right w:val="nil"/>
            </w:tcBorders>
            <w:shd w:val="clear" w:color="000000" w:fill="FFFFFF"/>
            <w:noWrap w:val="0"/>
            <w:vAlign w:val="center"/>
          </w:tcPr>
          <w:p w14:paraId="4C4928C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项目编码</w:t>
            </w:r>
          </w:p>
        </w:tc>
        <w:tc>
          <w:tcPr>
            <w:tcW w:w="993" w:type="dxa"/>
            <w:vMerge w:val="restart"/>
            <w:tcBorders>
              <w:top w:val="single" w:color="000000" w:sz="4" w:space="0"/>
              <w:left w:val="single" w:color="000000" w:sz="4" w:space="0"/>
              <w:bottom w:val="nil"/>
              <w:right w:val="nil"/>
            </w:tcBorders>
            <w:shd w:val="clear" w:color="000000" w:fill="FFFFFF"/>
            <w:noWrap w:val="0"/>
            <w:vAlign w:val="center"/>
          </w:tcPr>
          <w:p w14:paraId="76FC73D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840" w:type="dxa"/>
            <w:gridSpan w:val="3"/>
            <w:vMerge w:val="restart"/>
            <w:tcBorders>
              <w:top w:val="single" w:color="000000" w:sz="4" w:space="0"/>
              <w:left w:val="single" w:color="000000" w:sz="4" w:space="0"/>
              <w:bottom w:val="nil"/>
              <w:right w:val="nil"/>
            </w:tcBorders>
            <w:shd w:val="clear" w:color="000000" w:fill="FFFFFF"/>
            <w:noWrap w:val="0"/>
            <w:vAlign w:val="center"/>
          </w:tcPr>
          <w:p w14:paraId="05C380DE">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计量</w:t>
            </w:r>
          </w:p>
          <w:p w14:paraId="0A60EB7B">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861" w:type="dxa"/>
            <w:gridSpan w:val="2"/>
            <w:vMerge w:val="restart"/>
            <w:tcBorders>
              <w:top w:val="single" w:color="000000" w:sz="4" w:space="0"/>
              <w:left w:val="single" w:color="000000" w:sz="4" w:space="0"/>
              <w:bottom w:val="nil"/>
              <w:right w:val="nil"/>
            </w:tcBorders>
            <w:shd w:val="clear" w:color="000000" w:fill="FFFFFF"/>
            <w:noWrap w:val="0"/>
            <w:vAlign w:val="center"/>
          </w:tcPr>
          <w:p w14:paraId="62CAC97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工程量</w:t>
            </w:r>
          </w:p>
        </w:tc>
        <w:tc>
          <w:tcPr>
            <w:tcW w:w="4536" w:type="dxa"/>
            <w:gridSpan w:val="10"/>
            <w:tcBorders>
              <w:top w:val="single" w:color="000000" w:sz="4" w:space="0"/>
              <w:left w:val="single" w:color="000000" w:sz="4" w:space="0"/>
              <w:bottom w:val="nil"/>
              <w:right w:val="nil"/>
            </w:tcBorders>
            <w:shd w:val="clear" w:color="000000" w:fill="FFFFFF"/>
            <w:noWrap w:val="0"/>
            <w:vAlign w:val="center"/>
          </w:tcPr>
          <w:p w14:paraId="51D09FE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 额  (元)</w:t>
            </w:r>
          </w:p>
        </w:tc>
        <w:tc>
          <w:tcPr>
            <w:tcW w:w="708"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4DD4231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54DA9323">
        <w:tblPrEx>
          <w:tblCellMar>
            <w:top w:w="0" w:type="dxa"/>
            <w:left w:w="108" w:type="dxa"/>
            <w:bottom w:w="0" w:type="dxa"/>
            <w:right w:w="108" w:type="dxa"/>
          </w:tblCellMar>
        </w:tblPrEx>
        <w:trPr>
          <w:trHeight w:val="36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20BC7C1F">
            <w:pPr>
              <w:widowControl/>
              <w:jc w:val="left"/>
              <w:rPr>
                <w:rFonts w:hint="eastAsia" w:ascii="宋体" w:hAnsi="宋体" w:eastAsia="宋体" w:cs="宋体"/>
                <w:color w:val="auto"/>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4A1AB79E">
            <w:pPr>
              <w:widowControl/>
              <w:jc w:val="left"/>
              <w:rPr>
                <w:rFonts w:hint="eastAsia" w:ascii="宋体" w:hAnsi="宋体" w:eastAsia="宋体" w:cs="宋体"/>
                <w:color w:val="auto"/>
                <w:kern w:val="0"/>
                <w:sz w:val="18"/>
                <w:szCs w:val="18"/>
                <w:highlight w:val="none"/>
              </w:rPr>
            </w:pPr>
          </w:p>
        </w:tc>
        <w:tc>
          <w:tcPr>
            <w:tcW w:w="993" w:type="dxa"/>
            <w:vMerge w:val="continue"/>
            <w:tcBorders>
              <w:top w:val="single" w:color="000000" w:sz="4" w:space="0"/>
              <w:left w:val="single" w:color="000000" w:sz="4" w:space="0"/>
              <w:bottom w:val="nil"/>
              <w:right w:val="nil"/>
            </w:tcBorders>
            <w:shd w:val="clear" w:color="auto" w:fill="auto"/>
            <w:noWrap w:val="0"/>
            <w:vAlign w:val="center"/>
          </w:tcPr>
          <w:p w14:paraId="2C8A23F5">
            <w:pPr>
              <w:widowControl/>
              <w:jc w:val="left"/>
              <w:rPr>
                <w:rFonts w:hint="eastAsia" w:ascii="宋体" w:hAnsi="宋体" w:eastAsia="宋体" w:cs="宋体"/>
                <w:color w:val="auto"/>
                <w:kern w:val="0"/>
                <w:sz w:val="18"/>
                <w:szCs w:val="18"/>
                <w:highlight w:val="none"/>
              </w:rPr>
            </w:pPr>
          </w:p>
        </w:tc>
        <w:tc>
          <w:tcPr>
            <w:tcW w:w="840" w:type="dxa"/>
            <w:gridSpan w:val="3"/>
            <w:vMerge w:val="continue"/>
            <w:tcBorders>
              <w:top w:val="single" w:color="000000" w:sz="4" w:space="0"/>
              <w:left w:val="single" w:color="000000" w:sz="4" w:space="0"/>
              <w:bottom w:val="nil"/>
              <w:right w:val="nil"/>
            </w:tcBorders>
            <w:shd w:val="clear" w:color="auto" w:fill="auto"/>
            <w:noWrap w:val="0"/>
            <w:vAlign w:val="center"/>
          </w:tcPr>
          <w:p w14:paraId="35647E12">
            <w:pPr>
              <w:widowControl/>
              <w:jc w:val="left"/>
              <w:rPr>
                <w:rFonts w:hint="eastAsia" w:ascii="宋体" w:hAnsi="宋体" w:eastAsia="宋体" w:cs="宋体"/>
                <w:color w:val="auto"/>
                <w:kern w:val="0"/>
                <w:sz w:val="18"/>
                <w:szCs w:val="18"/>
                <w:highlight w:val="none"/>
              </w:rPr>
            </w:pPr>
          </w:p>
        </w:tc>
        <w:tc>
          <w:tcPr>
            <w:tcW w:w="861" w:type="dxa"/>
            <w:gridSpan w:val="2"/>
            <w:vMerge w:val="continue"/>
            <w:tcBorders>
              <w:top w:val="single" w:color="000000" w:sz="4" w:space="0"/>
              <w:left w:val="single" w:color="000000" w:sz="4" w:space="0"/>
              <w:bottom w:val="nil"/>
              <w:right w:val="nil"/>
            </w:tcBorders>
            <w:shd w:val="clear" w:color="auto" w:fill="auto"/>
            <w:noWrap w:val="0"/>
            <w:vAlign w:val="center"/>
          </w:tcPr>
          <w:p w14:paraId="506D2ED5">
            <w:pPr>
              <w:widowControl/>
              <w:jc w:val="left"/>
              <w:rPr>
                <w:rFonts w:hint="eastAsia" w:ascii="宋体" w:hAnsi="宋体" w:eastAsia="宋体" w:cs="宋体"/>
                <w:color w:val="auto"/>
                <w:kern w:val="0"/>
                <w:sz w:val="18"/>
                <w:szCs w:val="18"/>
                <w:highlight w:val="none"/>
              </w:rPr>
            </w:pPr>
          </w:p>
        </w:tc>
        <w:tc>
          <w:tcPr>
            <w:tcW w:w="850" w:type="dxa"/>
            <w:gridSpan w:val="2"/>
            <w:vMerge w:val="restart"/>
            <w:tcBorders>
              <w:top w:val="single" w:color="000000" w:sz="4" w:space="0"/>
              <w:left w:val="single" w:color="000000" w:sz="4" w:space="0"/>
              <w:bottom w:val="nil"/>
              <w:right w:val="nil"/>
            </w:tcBorders>
            <w:shd w:val="clear" w:color="000000" w:fill="FFFFFF"/>
            <w:noWrap w:val="0"/>
            <w:vAlign w:val="center"/>
          </w:tcPr>
          <w:p w14:paraId="70CF6A5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综合单价</w:t>
            </w: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14:paraId="4F93D6D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w:t>
            </w:r>
          </w:p>
        </w:tc>
        <w:tc>
          <w:tcPr>
            <w:tcW w:w="2835" w:type="dxa"/>
            <w:gridSpan w:val="6"/>
            <w:tcBorders>
              <w:top w:val="single" w:color="000000" w:sz="4" w:space="0"/>
              <w:left w:val="single" w:color="000000" w:sz="4" w:space="0"/>
              <w:bottom w:val="nil"/>
              <w:right w:val="single" w:color="000000" w:sz="4" w:space="0"/>
            </w:tcBorders>
            <w:shd w:val="clear" w:color="000000" w:fill="FFFFFF"/>
            <w:noWrap w:val="0"/>
            <w:vAlign w:val="center"/>
          </w:tcPr>
          <w:p w14:paraId="3E7C290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708" w:type="dxa"/>
            <w:vMerge w:val="continue"/>
            <w:tcBorders>
              <w:top w:val="single" w:color="000000" w:sz="4" w:space="0"/>
              <w:left w:val="single" w:color="000000" w:sz="4" w:space="0"/>
              <w:bottom w:val="nil"/>
              <w:right w:val="single" w:color="000000" w:sz="4" w:space="0"/>
            </w:tcBorders>
            <w:noWrap w:val="0"/>
            <w:vAlign w:val="center"/>
          </w:tcPr>
          <w:p w14:paraId="2C415793">
            <w:pPr>
              <w:widowControl/>
              <w:jc w:val="left"/>
              <w:rPr>
                <w:rFonts w:hint="eastAsia" w:ascii="宋体" w:hAnsi="宋体" w:eastAsia="宋体" w:cs="宋体"/>
                <w:color w:val="auto"/>
                <w:kern w:val="0"/>
                <w:sz w:val="18"/>
                <w:szCs w:val="18"/>
                <w:highlight w:val="none"/>
              </w:rPr>
            </w:pPr>
          </w:p>
        </w:tc>
      </w:tr>
      <w:tr w14:paraId="4AAFF8F8">
        <w:tblPrEx>
          <w:tblCellMar>
            <w:top w:w="0" w:type="dxa"/>
            <w:left w:w="108" w:type="dxa"/>
            <w:bottom w:w="0" w:type="dxa"/>
            <w:right w:w="108" w:type="dxa"/>
          </w:tblCellMar>
        </w:tblPrEx>
        <w:trPr>
          <w:trHeight w:val="45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3D925DD8">
            <w:pPr>
              <w:widowControl/>
              <w:jc w:val="left"/>
              <w:rPr>
                <w:rFonts w:hint="eastAsia" w:ascii="宋体" w:hAnsi="宋体" w:eastAsia="宋体" w:cs="宋体"/>
                <w:color w:val="auto"/>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1658A238">
            <w:pPr>
              <w:widowControl/>
              <w:jc w:val="left"/>
              <w:rPr>
                <w:rFonts w:hint="eastAsia" w:ascii="宋体" w:hAnsi="宋体" w:eastAsia="宋体" w:cs="宋体"/>
                <w:color w:val="auto"/>
                <w:kern w:val="0"/>
                <w:sz w:val="18"/>
                <w:szCs w:val="18"/>
                <w:highlight w:val="none"/>
              </w:rPr>
            </w:pPr>
          </w:p>
        </w:tc>
        <w:tc>
          <w:tcPr>
            <w:tcW w:w="993" w:type="dxa"/>
            <w:vMerge w:val="continue"/>
            <w:tcBorders>
              <w:top w:val="single" w:color="000000" w:sz="4" w:space="0"/>
              <w:left w:val="single" w:color="000000" w:sz="4" w:space="0"/>
              <w:bottom w:val="nil"/>
              <w:right w:val="nil"/>
            </w:tcBorders>
            <w:shd w:val="clear" w:color="auto" w:fill="auto"/>
            <w:noWrap w:val="0"/>
            <w:vAlign w:val="center"/>
          </w:tcPr>
          <w:p w14:paraId="622F8AF4">
            <w:pPr>
              <w:widowControl/>
              <w:jc w:val="left"/>
              <w:rPr>
                <w:rFonts w:hint="eastAsia" w:ascii="宋体" w:hAnsi="宋体" w:eastAsia="宋体" w:cs="宋体"/>
                <w:color w:val="auto"/>
                <w:kern w:val="0"/>
                <w:sz w:val="18"/>
                <w:szCs w:val="18"/>
                <w:highlight w:val="none"/>
              </w:rPr>
            </w:pPr>
          </w:p>
        </w:tc>
        <w:tc>
          <w:tcPr>
            <w:tcW w:w="840" w:type="dxa"/>
            <w:gridSpan w:val="3"/>
            <w:vMerge w:val="continue"/>
            <w:tcBorders>
              <w:top w:val="single" w:color="000000" w:sz="4" w:space="0"/>
              <w:left w:val="single" w:color="000000" w:sz="4" w:space="0"/>
              <w:bottom w:val="nil"/>
              <w:right w:val="nil"/>
            </w:tcBorders>
            <w:shd w:val="clear" w:color="auto" w:fill="auto"/>
            <w:noWrap w:val="0"/>
            <w:vAlign w:val="center"/>
          </w:tcPr>
          <w:p w14:paraId="2185D897">
            <w:pPr>
              <w:widowControl/>
              <w:jc w:val="left"/>
              <w:rPr>
                <w:rFonts w:hint="eastAsia" w:ascii="宋体" w:hAnsi="宋体" w:eastAsia="宋体" w:cs="宋体"/>
                <w:color w:val="auto"/>
                <w:kern w:val="0"/>
                <w:sz w:val="18"/>
                <w:szCs w:val="18"/>
                <w:highlight w:val="none"/>
              </w:rPr>
            </w:pPr>
          </w:p>
        </w:tc>
        <w:tc>
          <w:tcPr>
            <w:tcW w:w="861" w:type="dxa"/>
            <w:gridSpan w:val="2"/>
            <w:vMerge w:val="continue"/>
            <w:tcBorders>
              <w:top w:val="single" w:color="000000" w:sz="4" w:space="0"/>
              <w:left w:val="single" w:color="000000" w:sz="4" w:space="0"/>
              <w:bottom w:val="nil"/>
              <w:right w:val="nil"/>
            </w:tcBorders>
            <w:shd w:val="clear" w:color="auto" w:fill="auto"/>
            <w:noWrap w:val="0"/>
            <w:vAlign w:val="center"/>
          </w:tcPr>
          <w:p w14:paraId="255906F1">
            <w:pPr>
              <w:widowControl/>
              <w:jc w:val="left"/>
              <w:rPr>
                <w:rFonts w:hint="eastAsia" w:ascii="宋体" w:hAnsi="宋体" w:eastAsia="宋体" w:cs="宋体"/>
                <w:color w:val="auto"/>
                <w:kern w:val="0"/>
                <w:sz w:val="18"/>
                <w:szCs w:val="18"/>
                <w:highlight w:val="none"/>
              </w:rPr>
            </w:pPr>
          </w:p>
        </w:tc>
        <w:tc>
          <w:tcPr>
            <w:tcW w:w="850" w:type="dxa"/>
            <w:gridSpan w:val="2"/>
            <w:vMerge w:val="continue"/>
            <w:tcBorders>
              <w:top w:val="single" w:color="000000" w:sz="4" w:space="0"/>
              <w:left w:val="single" w:color="000000" w:sz="4" w:space="0"/>
              <w:bottom w:val="nil"/>
              <w:right w:val="nil"/>
            </w:tcBorders>
            <w:shd w:val="clear" w:color="auto" w:fill="auto"/>
            <w:noWrap w:val="0"/>
            <w:vAlign w:val="center"/>
          </w:tcPr>
          <w:p w14:paraId="505EAE84">
            <w:pPr>
              <w:widowControl/>
              <w:jc w:val="left"/>
              <w:rPr>
                <w:rFonts w:hint="eastAsia" w:ascii="宋体" w:hAnsi="宋体" w:eastAsia="宋体" w:cs="宋体"/>
                <w:color w:val="auto"/>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14:paraId="09D7394E">
            <w:pPr>
              <w:widowControl/>
              <w:jc w:val="left"/>
              <w:rPr>
                <w:rFonts w:hint="eastAsia" w:ascii="宋体" w:hAnsi="宋体" w:eastAsia="宋体" w:cs="宋体"/>
                <w:color w:val="auto"/>
                <w:kern w:val="0"/>
                <w:sz w:val="18"/>
                <w:szCs w:val="18"/>
                <w:highlight w:val="none"/>
              </w:rPr>
            </w:pPr>
          </w:p>
        </w:tc>
        <w:tc>
          <w:tcPr>
            <w:tcW w:w="992" w:type="dxa"/>
            <w:gridSpan w:val="2"/>
            <w:tcBorders>
              <w:top w:val="single" w:color="000000" w:sz="4" w:space="0"/>
              <w:left w:val="single" w:color="000000" w:sz="4" w:space="0"/>
              <w:bottom w:val="nil"/>
              <w:right w:val="nil"/>
            </w:tcBorders>
            <w:shd w:val="clear" w:color="000000" w:fill="FFFFFF"/>
            <w:noWrap w:val="0"/>
            <w:vAlign w:val="center"/>
          </w:tcPr>
          <w:p w14:paraId="3119249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w:t>
            </w:r>
          </w:p>
        </w:tc>
        <w:tc>
          <w:tcPr>
            <w:tcW w:w="850" w:type="dxa"/>
            <w:gridSpan w:val="2"/>
            <w:tcBorders>
              <w:top w:val="single" w:color="000000" w:sz="4" w:space="0"/>
              <w:left w:val="single" w:color="000000" w:sz="4" w:space="0"/>
              <w:bottom w:val="nil"/>
              <w:right w:val="nil"/>
            </w:tcBorders>
            <w:shd w:val="clear" w:color="000000" w:fill="FFFFFF"/>
            <w:noWrap w:val="0"/>
            <w:vAlign w:val="center"/>
          </w:tcPr>
          <w:p w14:paraId="2083453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机械费</w:t>
            </w:r>
          </w:p>
        </w:tc>
        <w:tc>
          <w:tcPr>
            <w:tcW w:w="99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36DBEDC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708" w:type="dxa"/>
            <w:vMerge w:val="continue"/>
            <w:tcBorders>
              <w:top w:val="single" w:color="000000" w:sz="4" w:space="0"/>
              <w:left w:val="single" w:color="000000" w:sz="4" w:space="0"/>
              <w:bottom w:val="nil"/>
              <w:right w:val="single" w:color="000000" w:sz="4" w:space="0"/>
            </w:tcBorders>
            <w:noWrap w:val="0"/>
            <w:vAlign w:val="center"/>
          </w:tcPr>
          <w:p w14:paraId="17B04E8D">
            <w:pPr>
              <w:widowControl/>
              <w:jc w:val="left"/>
              <w:rPr>
                <w:rFonts w:hint="eastAsia" w:ascii="宋体" w:hAnsi="宋体" w:eastAsia="宋体" w:cs="宋体"/>
                <w:color w:val="auto"/>
                <w:kern w:val="0"/>
                <w:sz w:val="18"/>
                <w:szCs w:val="18"/>
                <w:highlight w:val="none"/>
              </w:rPr>
            </w:pPr>
          </w:p>
        </w:tc>
      </w:tr>
      <w:tr w14:paraId="48D9430B">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C1A242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6EA8E64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3BEF6E2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FB0BCE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6DD2270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46DD18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613A1B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66C76EC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2C52936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6DAB060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4D00C4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F779367">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7F10C29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7544B6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0202DC0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D5D45E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5C04ED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4E6527A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55D887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5C7FE45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1621394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516C298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3894372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E62B75A">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69D80C7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085E424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48F9377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7D5139F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2836DB2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FEC286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0F0A217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41B22AC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2A2823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3E15357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491FA87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2DC8DAB">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2EAFDE4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6534C8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4F4830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3A9A458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4C3CFB1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7748FDD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EDB369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2EF2D6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15C83D1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4045A01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4D7E74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914FF44">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4266AC2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2348CD9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67F135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DD20FE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44F0960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6E73BFA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72E0DCC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3E119D2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4B2EA6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4664BA1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300F60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2B9802F">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1EFA590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726ADB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4EF913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501882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6BB52B7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1129B7E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10F37E3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219867A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DC7DE5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2F132D6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292DCD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8B2E4AA">
        <w:tblPrEx>
          <w:tblCellMar>
            <w:top w:w="0" w:type="dxa"/>
            <w:left w:w="108" w:type="dxa"/>
            <w:bottom w:w="0" w:type="dxa"/>
            <w:right w:w="108" w:type="dxa"/>
          </w:tblCellMar>
        </w:tblPrEx>
        <w:trPr>
          <w:trHeight w:val="450" w:hRule="atLeast"/>
        </w:trPr>
        <w:tc>
          <w:tcPr>
            <w:tcW w:w="5260" w:type="dxa"/>
            <w:gridSpan w:val="10"/>
            <w:tcBorders>
              <w:top w:val="single" w:color="000000" w:sz="4" w:space="0"/>
              <w:left w:val="single" w:color="000000" w:sz="4" w:space="0"/>
              <w:bottom w:val="nil"/>
              <w:right w:val="nil"/>
            </w:tcBorders>
            <w:shd w:val="clear" w:color="000000" w:fill="FFFFFF"/>
            <w:noWrap w:val="0"/>
            <w:vAlign w:val="center"/>
          </w:tcPr>
          <w:p w14:paraId="388A847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本页小计</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7E400C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925C43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1276EE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4B64C9B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73CB69A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4EBEF07">
        <w:tblPrEx>
          <w:tblCellMar>
            <w:top w:w="0" w:type="dxa"/>
            <w:left w:w="108" w:type="dxa"/>
            <w:bottom w:w="0" w:type="dxa"/>
            <w:right w:w="108" w:type="dxa"/>
          </w:tblCellMar>
        </w:tblPrEx>
        <w:trPr>
          <w:trHeight w:val="450" w:hRule="atLeast"/>
        </w:trPr>
        <w:tc>
          <w:tcPr>
            <w:tcW w:w="5260" w:type="dxa"/>
            <w:gridSpan w:val="10"/>
            <w:tcBorders>
              <w:top w:val="single" w:color="000000" w:sz="4" w:space="0"/>
              <w:left w:val="single" w:color="000000" w:sz="4" w:space="0"/>
              <w:bottom w:val="single" w:color="000000" w:sz="4" w:space="0"/>
              <w:right w:val="nil"/>
            </w:tcBorders>
            <w:shd w:val="clear" w:color="000000" w:fill="FFFFFF"/>
            <w:noWrap w:val="0"/>
            <w:vAlign w:val="center"/>
          </w:tcPr>
          <w:p w14:paraId="56D8AF9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052D903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single" w:color="000000" w:sz="4" w:space="0"/>
              <w:right w:val="nil"/>
            </w:tcBorders>
            <w:shd w:val="clear" w:color="000000" w:fill="FFFFFF"/>
            <w:noWrap/>
            <w:vAlign w:val="center"/>
          </w:tcPr>
          <w:p w14:paraId="0927973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14:paraId="6EB819A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single" w:color="000000" w:sz="4" w:space="0"/>
              <w:right w:val="nil"/>
            </w:tcBorders>
            <w:shd w:val="clear" w:color="000000" w:fill="FFFFFF"/>
            <w:noWrap/>
            <w:vAlign w:val="center"/>
          </w:tcPr>
          <w:p w14:paraId="6477B1E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78615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4F970A54">
      <w:pPr>
        <w:pStyle w:val="37"/>
        <w:widowControl w:val="0"/>
        <w:spacing w:before="0" w:beforeAutospacing="0" w:after="0" w:afterAutospacing="0" w:line="300" w:lineRule="auto"/>
        <w:jc w:val="left"/>
        <w:rPr>
          <w:rFonts w:hint="eastAsia" w:ascii="宋体" w:hAnsi="宋体" w:eastAsia="宋体" w:cs="宋体"/>
          <w:color w:val="auto"/>
          <w:sz w:val="24"/>
          <w:highlight w:val="none"/>
        </w:rPr>
      </w:pPr>
    </w:p>
    <w:p w14:paraId="676D3F8B">
      <w:pPr>
        <w:pStyle w:val="37"/>
        <w:widowControl w:val="0"/>
        <w:spacing w:before="0" w:beforeAutospacing="0" w:after="0" w:afterAutospacing="0" w:line="300" w:lineRule="auto"/>
        <w:jc w:val="left"/>
        <w:rPr>
          <w:rFonts w:hint="eastAsia" w:ascii="宋体" w:hAnsi="宋体" w:eastAsia="宋体" w:cs="宋体"/>
          <w:color w:val="auto"/>
          <w:sz w:val="24"/>
          <w:highlight w:val="none"/>
        </w:rPr>
      </w:pPr>
    </w:p>
    <w:p w14:paraId="334CF2A4">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综合单价计算表</w:t>
      </w:r>
    </w:p>
    <w:tbl>
      <w:tblPr>
        <w:tblStyle w:val="24"/>
        <w:tblW w:w="9513" w:type="dxa"/>
        <w:tblInd w:w="91" w:type="dxa"/>
        <w:tblLayout w:type="fixed"/>
        <w:tblCellMar>
          <w:top w:w="0" w:type="dxa"/>
          <w:left w:w="108" w:type="dxa"/>
          <w:bottom w:w="0" w:type="dxa"/>
          <w:right w:w="108" w:type="dxa"/>
        </w:tblCellMar>
      </w:tblPr>
      <w:tblGrid>
        <w:gridCol w:w="520"/>
        <w:gridCol w:w="1200"/>
        <w:gridCol w:w="1556"/>
        <w:gridCol w:w="600"/>
        <w:gridCol w:w="760"/>
        <w:gridCol w:w="640"/>
        <w:gridCol w:w="835"/>
        <w:gridCol w:w="640"/>
        <w:gridCol w:w="640"/>
        <w:gridCol w:w="640"/>
        <w:gridCol w:w="780"/>
        <w:gridCol w:w="702"/>
      </w:tblGrid>
      <w:tr w14:paraId="4E236AC3">
        <w:tblPrEx>
          <w:tblCellMar>
            <w:top w:w="0" w:type="dxa"/>
            <w:left w:w="108" w:type="dxa"/>
            <w:bottom w:w="0" w:type="dxa"/>
            <w:right w:w="108" w:type="dxa"/>
          </w:tblCellMar>
        </w:tblPrEx>
        <w:trPr>
          <w:trHeight w:val="450" w:hRule="atLeast"/>
        </w:trPr>
        <w:tc>
          <w:tcPr>
            <w:tcW w:w="5276" w:type="dxa"/>
            <w:gridSpan w:val="6"/>
            <w:tcBorders>
              <w:top w:val="nil"/>
              <w:left w:val="nil"/>
              <w:bottom w:val="nil"/>
              <w:right w:val="nil"/>
            </w:tcBorders>
            <w:shd w:val="clear" w:color="000000" w:fill="FFFFFF"/>
            <w:noWrap w:val="0"/>
            <w:vAlign w:val="bottom"/>
          </w:tcPr>
          <w:p w14:paraId="75AF45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单位(专业)工程名称:</w:t>
            </w:r>
          </w:p>
        </w:tc>
        <w:tc>
          <w:tcPr>
            <w:tcW w:w="2115" w:type="dxa"/>
            <w:gridSpan w:val="3"/>
            <w:tcBorders>
              <w:top w:val="nil"/>
              <w:left w:val="nil"/>
              <w:bottom w:val="nil"/>
              <w:right w:val="nil"/>
            </w:tcBorders>
            <w:shd w:val="clear" w:color="000000" w:fill="FFFFFF"/>
            <w:noWrap w:val="0"/>
            <w:vAlign w:val="bottom"/>
          </w:tcPr>
          <w:p w14:paraId="412B3D2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122" w:type="dxa"/>
            <w:gridSpan w:val="3"/>
            <w:tcBorders>
              <w:top w:val="nil"/>
              <w:left w:val="nil"/>
              <w:bottom w:val="nil"/>
              <w:right w:val="nil"/>
            </w:tcBorders>
            <w:shd w:val="clear" w:color="000000" w:fill="FFFFFF"/>
            <w:noWrap w:val="0"/>
            <w:vAlign w:val="bottom"/>
          </w:tcPr>
          <w:p w14:paraId="46C86D1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7DCD02B4">
        <w:tblPrEx>
          <w:tblCellMar>
            <w:top w:w="0" w:type="dxa"/>
            <w:left w:w="108" w:type="dxa"/>
            <w:bottom w:w="0" w:type="dxa"/>
            <w:right w:w="108" w:type="dxa"/>
          </w:tblCellMar>
        </w:tblPrEx>
        <w:trPr>
          <w:trHeight w:val="450" w:hRule="atLeast"/>
        </w:trPr>
        <w:tc>
          <w:tcPr>
            <w:tcW w:w="520" w:type="dxa"/>
            <w:vMerge w:val="restart"/>
            <w:tcBorders>
              <w:top w:val="single" w:color="000000" w:sz="4" w:space="0"/>
              <w:left w:val="single" w:color="000000" w:sz="4" w:space="0"/>
              <w:bottom w:val="nil"/>
              <w:right w:val="nil"/>
            </w:tcBorders>
            <w:shd w:val="clear" w:color="000000" w:fill="FFFFFF"/>
            <w:noWrap w:val="0"/>
            <w:vAlign w:val="center"/>
          </w:tcPr>
          <w:p w14:paraId="1D3DB2F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清单</w:t>
            </w:r>
          </w:p>
          <w:p w14:paraId="69725CB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1200" w:type="dxa"/>
            <w:vMerge w:val="restart"/>
            <w:tcBorders>
              <w:top w:val="single" w:color="000000" w:sz="4" w:space="0"/>
              <w:left w:val="single" w:color="000000" w:sz="4" w:space="0"/>
              <w:bottom w:val="nil"/>
              <w:right w:val="nil"/>
            </w:tcBorders>
            <w:shd w:val="clear" w:color="000000" w:fill="FFFFFF"/>
            <w:noWrap w:val="0"/>
            <w:vAlign w:val="center"/>
          </w:tcPr>
          <w:p w14:paraId="73642D7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项目编码</w:t>
            </w:r>
          </w:p>
          <w:p w14:paraId="6637C6B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(定额编码)</w:t>
            </w:r>
          </w:p>
        </w:tc>
        <w:tc>
          <w:tcPr>
            <w:tcW w:w="1556" w:type="dxa"/>
            <w:vMerge w:val="restart"/>
            <w:tcBorders>
              <w:top w:val="single" w:color="000000" w:sz="4" w:space="0"/>
              <w:left w:val="single" w:color="000000" w:sz="4" w:space="0"/>
              <w:bottom w:val="nil"/>
              <w:right w:val="nil"/>
            </w:tcBorders>
            <w:shd w:val="clear" w:color="000000" w:fill="FFFFFF"/>
            <w:noWrap w:val="0"/>
            <w:vAlign w:val="center"/>
          </w:tcPr>
          <w:p w14:paraId="493D26B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清单（定额）</w:t>
            </w:r>
          </w:p>
          <w:p w14:paraId="35F96B9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600" w:type="dxa"/>
            <w:vMerge w:val="restart"/>
            <w:tcBorders>
              <w:top w:val="single" w:color="000000" w:sz="4" w:space="0"/>
              <w:left w:val="single" w:color="000000" w:sz="4" w:space="0"/>
              <w:bottom w:val="nil"/>
              <w:right w:val="nil"/>
            </w:tcBorders>
            <w:shd w:val="clear" w:color="000000" w:fill="FFFFFF"/>
            <w:noWrap w:val="0"/>
            <w:vAlign w:val="center"/>
          </w:tcPr>
          <w:p w14:paraId="2C4AA9D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计量</w:t>
            </w:r>
          </w:p>
          <w:p w14:paraId="4E27097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760" w:type="dxa"/>
            <w:vMerge w:val="restart"/>
            <w:tcBorders>
              <w:top w:val="single" w:color="000000" w:sz="4" w:space="0"/>
              <w:left w:val="single" w:color="000000" w:sz="4" w:space="0"/>
              <w:bottom w:val="nil"/>
              <w:right w:val="nil"/>
            </w:tcBorders>
            <w:shd w:val="clear" w:color="000000" w:fill="FFFFFF"/>
            <w:noWrap w:val="0"/>
            <w:vAlign w:val="center"/>
          </w:tcPr>
          <w:p w14:paraId="5845091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4175" w:type="dxa"/>
            <w:gridSpan w:val="6"/>
            <w:tcBorders>
              <w:top w:val="single" w:color="000000" w:sz="4" w:space="0"/>
              <w:left w:val="single" w:color="000000" w:sz="4" w:space="0"/>
              <w:bottom w:val="nil"/>
              <w:right w:val="nil"/>
            </w:tcBorders>
            <w:shd w:val="clear" w:color="000000" w:fill="FFFFFF"/>
            <w:noWrap w:val="0"/>
            <w:vAlign w:val="center"/>
          </w:tcPr>
          <w:p w14:paraId="50C51F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 合 单 价 (元)</w:t>
            </w:r>
          </w:p>
        </w:tc>
        <w:tc>
          <w:tcPr>
            <w:tcW w:w="702"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34A5271B">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合计</w:t>
            </w:r>
          </w:p>
          <w:p w14:paraId="0E5404D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r>
      <w:tr w14:paraId="2C10AA62">
        <w:tblPrEx>
          <w:tblCellMar>
            <w:top w:w="0" w:type="dxa"/>
            <w:left w:w="108" w:type="dxa"/>
            <w:bottom w:w="0" w:type="dxa"/>
            <w:right w:w="108" w:type="dxa"/>
          </w:tblCellMar>
        </w:tblPrEx>
        <w:trPr>
          <w:trHeight w:val="810" w:hRule="atLeast"/>
        </w:trPr>
        <w:tc>
          <w:tcPr>
            <w:tcW w:w="520" w:type="dxa"/>
            <w:vMerge w:val="continue"/>
            <w:tcBorders>
              <w:top w:val="single" w:color="000000" w:sz="4" w:space="0"/>
              <w:left w:val="single" w:color="000000" w:sz="4" w:space="0"/>
              <w:bottom w:val="nil"/>
              <w:right w:val="nil"/>
            </w:tcBorders>
            <w:shd w:val="clear" w:color="auto" w:fill="auto"/>
            <w:noWrap w:val="0"/>
            <w:vAlign w:val="center"/>
          </w:tcPr>
          <w:p w14:paraId="156E66F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200" w:type="dxa"/>
            <w:vMerge w:val="continue"/>
            <w:tcBorders>
              <w:top w:val="single" w:color="000000" w:sz="4" w:space="0"/>
              <w:left w:val="single" w:color="000000" w:sz="4" w:space="0"/>
              <w:bottom w:val="nil"/>
              <w:right w:val="nil"/>
            </w:tcBorders>
            <w:shd w:val="clear" w:color="auto" w:fill="auto"/>
            <w:noWrap w:val="0"/>
            <w:vAlign w:val="center"/>
          </w:tcPr>
          <w:p w14:paraId="14F7C3D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556" w:type="dxa"/>
            <w:vMerge w:val="continue"/>
            <w:tcBorders>
              <w:top w:val="single" w:color="000000" w:sz="4" w:space="0"/>
              <w:left w:val="single" w:color="000000" w:sz="4" w:space="0"/>
              <w:bottom w:val="nil"/>
              <w:right w:val="nil"/>
            </w:tcBorders>
            <w:shd w:val="clear" w:color="auto" w:fill="auto"/>
            <w:noWrap w:val="0"/>
            <w:vAlign w:val="center"/>
          </w:tcPr>
          <w:p w14:paraId="0D0B92E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600" w:type="dxa"/>
            <w:vMerge w:val="continue"/>
            <w:tcBorders>
              <w:top w:val="single" w:color="000000" w:sz="4" w:space="0"/>
              <w:left w:val="single" w:color="000000" w:sz="4" w:space="0"/>
              <w:bottom w:val="nil"/>
              <w:right w:val="nil"/>
            </w:tcBorders>
            <w:shd w:val="clear" w:color="auto" w:fill="auto"/>
            <w:noWrap w:val="0"/>
            <w:vAlign w:val="center"/>
          </w:tcPr>
          <w:p w14:paraId="5AD1255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760" w:type="dxa"/>
            <w:vMerge w:val="continue"/>
            <w:tcBorders>
              <w:top w:val="single" w:color="000000" w:sz="4" w:space="0"/>
              <w:left w:val="single" w:color="000000" w:sz="4" w:space="0"/>
              <w:bottom w:val="nil"/>
              <w:right w:val="nil"/>
            </w:tcBorders>
            <w:shd w:val="clear" w:color="auto" w:fill="auto"/>
            <w:noWrap w:val="0"/>
            <w:vAlign w:val="center"/>
          </w:tcPr>
          <w:p w14:paraId="2FF87F9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0"/>
            <w:vAlign w:val="center"/>
          </w:tcPr>
          <w:p w14:paraId="0BF8F80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w:t>
            </w:r>
          </w:p>
        </w:tc>
        <w:tc>
          <w:tcPr>
            <w:tcW w:w="835" w:type="dxa"/>
            <w:tcBorders>
              <w:top w:val="single" w:color="000000" w:sz="4" w:space="0"/>
              <w:left w:val="single" w:color="000000" w:sz="4" w:space="0"/>
              <w:bottom w:val="nil"/>
              <w:right w:val="nil"/>
            </w:tcBorders>
            <w:shd w:val="clear" w:color="000000" w:fill="FFFFFF"/>
            <w:noWrap w:val="0"/>
            <w:vAlign w:val="center"/>
          </w:tcPr>
          <w:p w14:paraId="29B5DAB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材料</w:t>
            </w:r>
          </w:p>
          <w:p w14:paraId="3819DFA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(设备)</w:t>
            </w:r>
          </w:p>
          <w:p w14:paraId="33BDB3B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费</w:t>
            </w:r>
          </w:p>
        </w:tc>
        <w:tc>
          <w:tcPr>
            <w:tcW w:w="640" w:type="dxa"/>
            <w:tcBorders>
              <w:top w:val="single" w:color="000000" w:sz="4" w:space="0"/>
              <w:left w:val="single" w:color="000000" w:sz="4" w:space="0"/>
              <w:bottom w:val="nil"/>
              <w:right w:val="nil"/>
            </w:tcBorders>
            <w:shd w:val="clear" w:color="000000" w:fill="FFFFFF"/>
            <w:noWrap w:val="0"/>
            <w:vAlign w:val="center"/>
          </w:tcPr>
          <w:p w14:paraId="1AE2317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机械费</w:t>
            </w:r>
          </w:p>
        </w:tc>
        <w:tc>
          <w:tcPr>
            <w:tcW w:w="640" w:type="dxa"/>
            <w:tcBorders>
              <w:top w:val="single" w:color="000000" w:sz="4" w:space="0"/>
              <w:left w:val="single" w:color="000000" w:sz="4" w:space="0"/>
              <w:bottom w:val="nil"/>
              <w:right w:val="nil"/>
            </w:tcBorders>
            <w:shd w:val="clear" w:color="000000" w:fill="FFFFFF"/>
            <w:noWrap w:val="0"/>
            <w:vAlign w:val="center"/>
          </w:tcPr>
          <w:p w14:paraId="05BC9DB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管理费</w:t>
            </w:r>
          </w:p>
        </w:tc>
        <w:tc>
          <w:tcPr>
            <w:tcW w:w="640" w:type="dxa"/>
            <w:tcBorders>
              <w:top w:val="single" w:color="000000" w:sz="4" w:space="0"/>
              <w:left w:val="single" w:color="000000" w:sz="4" w:space="0"/>
              <w:bottom w:val="nil"/>
              <w:right w:val="nil"/>
            </w:tcBorders>
            <w:shd w:val="clear" w:color="000000" w:fill="FFFFFF"/>
            <w:noWrap w:val="0"/>
            <w:vAlign w:val="center"/>
          </w:tcPr>
          <w:p w14:paraId="3DA98C3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利润</w:t>
            </w:r>
          </w:p>
        </w:tc>
        <w:tc>
          <w:tcPr>
            <w:tcW w:w="780" w:type="dxa"/>
            <w:tcBorders>
              <w:top w:val="single" w:color="000000" w:sz="4" w:space="0"/>
              <w:left w:val="single" w:color="000000" w:sz="4" w:space="0"/>
              <w:bottom w:val="nil"/>
              <w:right w:val="single" w:color="000000" w:sz="4" w:space="0"/>
            </w:tcBorders>
            <w:shd w:val="clear" w:color="000000" w:fill="FFFFFF"/>
            <w:noWrap w:val="0"/>
            <w:vAlign w:val="center"/>
          </w:tcPr>
          <w:p w14:paraId="6D97EA9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小计</w:t>
            </w:r>
          </w:p>
        </w:tc>
        <w:tc>
          <w:tcPr>
            <w:tcW w:w="702" w:type="dxa"/>
            <w:vMerge w:val="continue"/>
            <w:tcBorders>
              <w:top w:val="single" w:color="000000" w:sz="4" w:space="0"/>
              <w:left w:val="single" w:color="000000" w:sz="4" w:space="0"/>
              <w:bottom w:val="nil"/>
              <w:right w:val="single" w:color="000000" w:sz="4" w:space="0"/>
            </w:tcBorders>
            <w:noWrap w:val="0"/>
            <w:vAlign w:val="center"/>
          </w:tcPr>
          <w:p w14:paraId="6CC45586">
            <w:pPr>
              <w:widowControl/>
              <w:jc w:val="left"/>
              <w:rPr>
                <w:rFonts w:hint="eastAsia" w:ascii="宋体" w:hAnsi="宋体" w:eastAsia="宋体" w:cs="宋体"/>
                <w:color w:val="auto"/>
                <w:kern w:val="0"/>
                <w:sz w:val="18"/>
                <w:szCs w:val="18"/>
                <w:highlight w:val="none"/>
              </w:rPr>
            </w:pPr>
          </w:p>
        </w:tc>
      </w:tr>
      <w:tr w14:paraId="450BFE0F">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760355E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2B5374A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52734B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2EC3334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4493A94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930859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3E11C04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AC3E68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9ECEEE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48AF04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1983787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70D6AD5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4AF4930">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5B7A9C8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32D4708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0109F7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572228D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71D3F36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02FFA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4D3480D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EC0B2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1767E39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03E5724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1BF6EAB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2CB8358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3F7B2CD">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70D8F5A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2129CCA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1E66CB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13FFD34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13D6EE1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0CE63D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5E4A444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E9D70C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750679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3C496C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66367E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17226D8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D90D712">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52E4DFC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1CC014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75647A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45A9C2B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3450278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6864EF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3D2BC8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99E922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456A0B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B52826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35026F1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30987CD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3EBD636">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4A65B37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0CD4A28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1AEDDE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5047F0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2C36CFD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4FC2F80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38748FD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E6613A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69D7F5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0CA1F1A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7F41E50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680F78B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6ED3C9A">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7E0B9F37">
            <w:pPr>
              <w:widowControl/>
              <w:jc w:val="center"/>
              <w:rPr>
                <w:rFonts w:hint="eastAsia" w:ascii="宋体" w:hAnsi="宋体" w:eastAsia="宋体" w:cs="宋体"/>
                <w:color w:val="auto"/>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0"/>
            <w:vAlign w:val="center"/>
          </w:tcPr>
          <w:p w14:paraId="0E771D14">
            <w:pPr>
              <w:widowControl/>
              <w:jc w:val="left"/>
              <w:rPr>
                <w:rFonts w:hint="eastAsia" w:ascii="宋体" w:hAnsi="宋体" w:eastAsia="宋体" w:cs="宋体"/>
                <w:color w:val="auto"/>
                <w:kern w:val="0"/>
                <w:sz w:val="18"/>
                <w:szCs w:val="18"/>
                <w:highlight w:val="none"/>
              </w:rPr>
            </w:pPr>
          </w:p>
        </w:tc>
        <w:tc>
          <w:tcPr>
            <w:tcW w:w="1556" w:type="dxa"/>
            <w:tcBorders>
              <w:top w:val="single" w:color="000000" w:sz="4" w:space="0"/>
              <w:left w:val="single" w:color="000000" w:sz="4" w:space="0"/>
              <w:bottom w:val="nil"/>
              <w:right w:val="nil"/>
            </w:tcBorders>
            <w:shd w:val="clear" w:color="000000" w:fill="FFFFFF"/>
            <w:noWrap w:val="0"/>
            <w:vAlign w:val="center"/>
          </w:tcPr>
          <w:p w14:paraId="2F323302">
            <w:pPr>
              <w:widowControl/>
              <w:jc w:val="left"/>
              <w:rPr>
                <w:rFonts w:hint="eastAsia" w:ascii="宋体" w:hAnsi="宋体" w:eastAsia="宋体" w:cs="宋体"/>
                <w:color w:val="auto"/>
                <w:kern w:val="0"/>
                <w:sz w:val="18"/>
                <w:szCs w:val="18"/>
                <w:highlight w:val="none"/>
              </w:rPr>
            </w:pPr>
          </w:p>
        </w:tc>
        <w:tc>
          <w:tcPr>
            <w:tcW w:w="600" w:type="dxa"/>
            <w:tcBorders>
              <w:top w:val="single" w:color="000000" w:sz="4" w:space="0"/>
              <w:left w:val="single" w:color="000000" w:sz="4" w:space="0"/>
              <w:bottom w:val="nil"/>
              <w:right w:val="nil"/>
            </w:tcBorders>
            <w:shd w:val="clear" w:color="000000" w:fill="FFFFFF"/>
            <w:noWrap w:val="0"/>
            <w:vAlign w:val="center"/>
          </w:tcPr>
          <w:p w14:paraId="71843DD6">
            <w:pPr>
              <w:widowControl/>
              <w:jc w:val="center"/>
              <w:rPr>
                <w:rFonts w:hint="eastAsia" w:ascii="宋体" w:hAnsi="宋体" w:eastAsia="宋体" w:cs="宋体"/>
                <w:color w:val="auto"/>
                <w:kern w:val="0"/>
                <w:sz w:val="18"/>
                <w:szCs w:val="18"/>
                <w:highlight w:val="none"/>
              </w:rPr>
            </w:pPr>
          </w:p>
        </w:tc>
        <w:tc>
          <w:tcPr>
            <w:tcW w:w="760" w:type="dxa"/>
            <w:tcBorders>
              <w:top w:val="single" w:color="000000" w:sz="4" w:space="0"/>
              <w:left w:val="single" w:color="000000" w:sz="4" w:space="0"/>
              <w:bottom w:val="nil"/>
              <w:right w:val="nil"/>
            </w:tcBorders>
            <w:shd w:val="clear" w:color="000000" w:fill="FFFFFF"/>
            <w:noWrap/>
            <w:vAlign w:val="center"/>
          </w:tcPr>
          <w:p w14:paraId="777157EB">
            <w:pPr>
              <w:widowControl/>
              <w:jc w:val="right"/>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6D2AF669">
            <w:pPr>
              <w:widowControl/>
              <w:jc w:val="right"/>
              <w:rPr>
                <w:rFonts w:hint="eastAsia" w:ascii="宋体" w:hAnsi="宋体" w:eastAsia="宋体" w:cs="宋体"/>
                <w:color w:val="auto"/>
                <w:kern w:val="0"/>
                <w:sz w:val="18"/>
                <w:szCs w:val="18"/>
                <w:highlight w:val="none"/>
              </w:rPr>
            </w:pPr>
          </w:p>
        </w:tc>
        <w:tc>
          <w:tcPr>
            <w:tcW w:w="835" w:type="dxa"/>
            <w:tcBorders>
              <w:top w:val="single" w:color="000000" w:sz="4" w:space="0"/>
              <w:left w:val="single" w:color="000000" w:sz="4" w:space="0"/>
              <w:bottom w:val="nil"/>
              <w:right w:val="nil"/>
            </w:tcBorders>
            <w:shd w:val="clear" w:color="000000" w:fill="FFFFFF"/>
            <w:noWrap/>
            <w:vAlign w:val="center"/>
          </w:tcPr>
          <w:p w14:paraId="07C54277">
            <w:pPr>
              <w:widowControl/>
              <w:jc w:val="right"/>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17066F13">
            <w:pPr>
              <w:widowControl/>
              <w:jc w:val="right"/>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41F9DE9A">
            <w:pPr>
              <w:widowControl/>
              <w:jc w:val="right"/>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0FA56ED1">
            <w:pPr>
              <w:widowControl/>
              <w:jc w:val="right"/>
              <w:rPr>
                <w:rFonts w:hint="eastAsia" w:ascii="宋体" w:hAnsi="宋体" w:eastAsia="宋体" w:cs="宋体"/>
                <w:color w:val="auto"/>
                <w:kern w:val="0"/>
                <w:sz w:val="18"/>
                <w:szCs w:val="18"/>
                <w:highlight w:val="none"/>
              </w:rPr>
            </w:pPr>
          </w:p>
        </w:tc>
        <w:tc>
          <w:tcPr>
            <w:tcW w:w="780" w:type="dxa"/>
            <w:tcBorders>
              <w:top w:val="single" w:color="000000" w:sz="4" w:space="0"/>
              <w:left w:val="single" w:color="000000" w:sz="4" w:space="0"/>
              <w:bottom w:val="nil"/>
              <w:right w:val="nil"/>
            </w:tcBorders>
            <w:shd w:val="clear" w:color="000000" w:fill="FFFFFF"/>
            <w:noWrap/>
            <w:vAlign w:val="center"/>
          </w:tcPr>
          <w:p w14:paraId="5AD0C096">
            <w:pPr>
              <w:widowControl/>
              <w:jc w:val="right"/>
              <w:rPr>
                <w:rFonts w:hint="eastAsia" w:ascii="宋体" w:hAnsi="宋体" w:eastAsia="宋体" w:cs="宋体"/>
                <w:color w:val="auto"/>
                <w:kern w:val="0"/>
                <w:sz w:val="18"/>
                <w:szCs w:val="18"/>
                <w:highlight w:val="none"/>
              </w:rPr>
            </w:pP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4A6B96DF">
            <w:pPr>
              <w:widowControl/>
              <w:jc w:val="right"/>
              <w:rPr>
                <w:rFonts w:hint="eastAsia" w:ascii="宋体" w:hAnsi="宋体" w:eastAsia="宋体" w:cs="宋体"/>
                <w:color w:val="auto"/>
                <w:kern w:val="0"/>
                <w:sz w:val="18"/>
                <w:szCs w:val="18"/>
                <w:highlight w:val="none"/>
              </w:rPr>
            </w:pPr>
          </w:p>
        </w:tc>
      </w:tr>
      <w:tr w14:paraId="412447BA">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27E6F77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4DD9EB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545BDAD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7BCC388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370ADB4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0E74AC1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618588A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E7D2A5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169C54C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1C2B609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6CC4C7A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2B86E60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EAD8BF6">
        <w:tblPrEx>
          <w:tblCellMar>
            <w:top w:w="0" w:type="dxa"/>
            <w:left w:w="108" w:type="dxa"/>
            <w:bottom w:w="0" w:type="dxa"/>
            <w:right w:w="108" w:type="dxa"/>
          </w:tblCellMar>
        </w:tblPrEx>
        <w:trPr>
          <w:trHeight w:val="397" w:hRule="atLeast"/>
        </w:trPr>
        <w:tc>
          <w:tcPr>
            <w:tcW w:w="8811" w:type="dxa"/>
            <w:gridSpan w:val="11"/>
            <w:tcBorders>
              <w:top w:val="single" w:color="000000" w:sz="4" w:space="0"/>
              <w:left w:val="single" w:color="000000" w:sz="4" w:space="0"/>
              <w:bottom w:val="single" w:color="000000" w:sz="4" w:space="0"/>
              <w:right w:val="nil"/>
            </w:tcBorders>
            <w:shd w:val="clear" w:color="000000" w:fill="FFFFFF"/>
            <w:noWrap w:val="0"/>
            <w:vAlign w:val="center"/>
          </w:tcPr>
          <w:p w14:paraId="69C9E9A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70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E66ABB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32229B4C">
      <w:pPr>
        <w:pStyle w:val="37"/>
        <w:widowControl w:val="0"/>
        <w:spacing w:before="0" w:beforeAutospacing="0" w:after="0" w:afterAutospacing="0" w:line="300" w:lineRule="auto"/>
        <w:jc w:val="left"/>
        <w:rPr>
          <w:rFonts w:hint="eastAsia" w:ascii="宋体" w:hAnsi="宋体" w:eastAsia="宋体" w:cs="宋体"/>
          <w:color w:val="auto"/>
          <w:sz w:val="24"/>
          <w:highlight w:val="none"/>
        </w:rPr>
      </w:pPr>
    </w:p>
    <w:p w14:paraId="158019B7">
      <w:pPr>
        <w:jc w:val="center"/>
        <w:rPr>
          <w:rFonts w:hint="eastAsia" w:ascii="宋体" w:hAnsi="宋体" w:eastAsia="宋体" w:cs="宋体"/>
          <w:b/>
          <w:bCs/>
          <w:color w:val="auto"/>
          <w:sz w:val="36"/>
          <w:szCs w:val="36"/>
          <w:highlight w:val="none"/>
        </w:rPr>
      </w:pPr>
    </w:p>
    <w:p w14:paraId="393282B5">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综合单价工料机分析表</w:t>
      </w:r>
    </w:p>
    <w:tbl>
      <w:tblPr>
        <w:tblStyle w:val="24"/>
        <w:tblW w:w="95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22"/>
        <w:gridCol w:w="8"/>
        <w:gridCol w:w="19"/>
        <w:gridCol w:w="2174"/>
        <w:gridCol w:w="19"/>
        <w:gridCol w:w="10"/>
        <w:gridCol w:w="565"/>
        <w:gridCol w:w="16"/>
        <w:gridCol w:w="870"/>
        <w:gridCol w:w="21"/>
        <w:gridCol w:w="918"/>
        <w:gridCol w:w="1"/>
        <w:gridCol w:w="28"/>
        <w:gridCol w:w="1072"/>
        <w:gridCol w:w="1060"/>
        <w:gridCol w:w="1160"/>
      </w:tblGrid>
      <w:tr w14:paraId="5A8B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437" w:type="dxa"/>
            <w:gridSpan w:val="8"/>
            <w:tcBorders>
              <w:top w:val="nil"/>
              <w:left w:val="nil"/>
              <w:right w:val="nil"/>
            </w:tcBorders>
            <w:shd w:val="clear" w:color="000000" w:fill="FFFFFF"/>
            <w:noWrap w:val="0"/>
            <w:vAlign w:val="bottom"/>
          </w:tcPr>
          <w:p w14:paraId="11371B7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1826" w:type="dxa"/>
            <w:gridSpan w:val="5"/>
            <w:tcBorders>
              <w:top w:val="nil"/>
              <w:left w:val="nil"/>
              <w:right w:val="nil"/>
            </w:tcBorders>
            <w:shd w:val="clear" w:color="000000" w:fill="FFFFFF"/>
            <w:noWrap w:val="0"/>
            <w:vAlign w:val="bottom"/>
          </w:tcPr>
          <w:p w14:paraId="434F36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320" w:type="dxa"/>
            <w:gridSpan w:val="4"/>
            <w:tcBorders>
              <w:top w:val="nil"/>
              <w:left w:val="nil"/>
              <w:right w:val="nil"/>
            </w:tcBorders>
            <w:shd w:val="clear" w:color="000000" w:fill="FFFFFF"/>
            <w:noWrap w:val="0"/>
            <w:vAlign w:val="bottom"/>
          </w:tcPr>
          <w:p w14:paraId="2463686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6418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83" w:type="dxa"/>
            <w:gridSpan w:val="17"/>
            <w:shd w:val="clear" w:color="000000" w:fill="FFFFFF"/>
            <w:noWrap w:val="0"/>
            <w:vAlign w:val="center"/>
          </w:tcPr>
          <w:p w14:paraId="12151FB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子目综合单价组成明细</w:t>
            </w:r>
          </w:p>
        </w:tc>
      </w:tr>
      <w:tr w14:paraId="6D6B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restart"/>
            <w:shd w:val="clear" w:color="000000" w:fill="FFFFFF"/>
            <w:noWrap w:val="0"/>
            <w:vAlign w:val="center"/>
          </w:tcPr>
          <w:p w14:paraId="2FECB3C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023" w:type="dxa"/>
            <w:gridSpan w:val="4"/>
            <w:vMerge w:val="restart"/>
            <w:shd w:val="clear" w:color="000000" w:fill="FFFFFF"/>
            <w:noWrap w:val="0"/>
            <w:vAlign w:val="center"/>
          </w:tcPr>
          <w:p w14:paraId="18CCB1F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名称及规格、型号</w:t>
            </w:r>
          </w:p>
        </w:tc>
        <w:tc>
          <w:tcPr>
            <w:tcW w:w="594" w:type="dxa"/>
            <w:gridSpan w:val="3"/>
            <w:vMerge w:val="restart"/>
            <w:shd w:val="clear" w:color="000000" w:fill="FFFFFF"/>
            <w:noWrap w:val="0"/>
            <w:vAlign w:val="center"/>
          </w:tcPr>
          <w:p w14:paraId="10F3046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886" w:type="dxa"/>
            <w:gridSpan w:val="2"/>
            <w:vMerge w:val="restart"/>
            <w:shd w:val="clear" w:color="000000" w:fill="FFFFFF"/>
            <w:noWrap w:val="0"/>
            <w:vAlign w:val="center"/>
          </w:tcPr>
          <w:p w14:paraId="416EFF0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940" w:type="dxa"/>
            <w:gridSpan w:val="3"/>
            <w:vMerge w:val="restart"/>
            <w:shd w:val="clear" w:color="000000" w:fill="FFFFFF"/>
            <w:noWrap w:val="0"/>
            <w:vAlign w:val="center"/>
          </w:tcPr>
          <w:p w14:paraId="3021AD7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单价</w:t>
            </w:r>
          </w:p>
          <w:p w14:paraId="1F00BA1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100" w:type="dxa"/>
            <w:gridSpan w:val="2"/>
            <w:shd w:val="clear" w:color="000000" w:fill="FFFFFF"/>
            <w:noWrap w:val="0"/>
            <w:vAlign w:val="center"/>
          </w:tcPr>
          <w:p w14:paraId="12324EE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1060" w:type="dxa"/>
            <w:vMerge w:val="restart"/>
            <w:shd w:val="clear" w:color="000000" w:fill="FFFFFF"/>
            <w:noWrap w:val="0"/>
            <w:vAlign w:val="center"/>
          </w:tcPr>
          <w:p w14:paraId="471C38B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c>
          <w:tcPr>
            <w:tcW w:w="1160" w:type="dxa"/>
            <w:shd w:val="clear" w:color="000000" w:fill="FFFFFF"/>
            <w:noWrap w:val="0"/>
            <w:vAlign w:val="center"/>
          </w:tcPr>
          <w:p w14:paraId="168FA9B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r>
      <w:tr w14:paraId="1B60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0" w:type="dxa"/>
            <w:vMerge w:val="continue"/>
            <w:shd w:val="clear" w:color="auto" w:fill="auto"/>
            <w:noWrap w:val="0"/>
            <w:vAlign w:val="center"/>
          </w:tcPr>
          <w:p w14:paraId="5A2CB5B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3023" w:type="dxa"/>
            <w:gridSpan w:val="4"/>
            <w:vMerge w:val="continue"/>
            <w:shd w:val="clear" w:color="auto" w:fill="auto"/>
            <w:noWrap w:val="0"/>
            <w:vAlign w:val="center"/>
          </w:tcPr>
          <w:p w14:paraId="6BED0AD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594" w:type="dxa"/>
            <w:gridSpan w:val="3"/>
            <w:vMerge w:val="continue"/>
            <w:shd w:val="clear" w:color="auto" w:fill="auto"/>
            <w:noWrap w:val="0"/>
            <w:vAlign w:val="center"/>
          </w:tcPr>
          <w:p w14:paraId="023DD13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886" w:type="dxa"/>
            <w:gridSpan w:val="2"/>
            <w:vMerge w:val="continue"/>
            <w:shd w:val="clear" w:color="auto" w:fill="auto"/>
            <w:noWrap w:val="0"/>
            <w:vAlign w:val="center"/>
          </w:tcPr>
          <w:p w14:paraId="750DE33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940" w:type="dxa"/>
            <w:gridSpan w:val="3"/>
            <w:vMerge w:val="continue"/>
            <w:shd w:val="clear" w:color="auto" w:fill="auto"/>
            <w:noWrap w:val="0"/>
            <w:vAlign w:val="center"/>
          </w:tcPr>
          <w:p w14:paraId="7928B75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100" w:type="dxa"/>
            <w:gridSpan w:val="2"/>
            <w:shd w:val="clear" w:color="000000" w:fill="FFFFFF"/>
            <w:noWrap w:val="0"/>
            <w:vAlign w:val="center"/>
          </w:tcPr>
          <w:p w14:paraId="53BBD4F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暂估单价</w:t>
            </w:r>
          </w:p>
          <w:p w14:paraId="62196A6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060" w:type="dxa"/>
            <w:vMerge w:val="continue"/>
            <w:shd w:val="clear" w:color="auto" w:fill="auto"/>
            <w:noWrap w:val="0"/>
            <w:vAlign w:val="center"/>
          </w:tcPr>
          <w:p w14:paraId="0525A30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160" w:type="dxa"/>
            <w:shd w:val="clear" w:color="000000" w:fill="FFFFFF"/>
            <w:noWrap w:val="0"/>
            <w:vAlign w:val="center"/>
          </w:tcPr>
          <w:p w14:paraId="2251DCF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暂估合价</w:t>
            </w:r>
          </w:p>
          <w:p w14:paraId="28A246C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r>
      <w:tr w14:paraId="663E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restart"/>
            <w:shd w:val="clear" w:color="000000" w:fill="FFFFFF"/>
            <w:noWrap w:val="0"/>
            <w:vAlign w:val="center"/>
          </w:tcPr>
          <w:p w14:paraId="5E5B500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22" w:type="dxa"/>
            <w:shd w:val="clear" w:color="000000" w:fill="FFFFFF"/>
            <w:noWrap w:val="0"/>
            <w:vAlign w:val="center"/>
          </w:tcPr>
          <w:p w14:paraId="2EA48B2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人工</w:t>
            </w:r>
          </w:p>
        </w:tc>
        <w:tc>
          <w:tcPr>
            <w:tcW w:w="2201" w:type="dxa"/>
            <w:gridSpan w:val="3"/>
            <w:shd w:val="clear" w:color="000000" w:fill="FFFFFF"/>
            <w:noWrap w:val="0"/>
            <w:vAlign w:val="center"/>
          </w:tcPr>
          <w:p w14:paraId="573071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594" w:type="dxa"/>
            <w:gridSpan w:val="3"/>
            <w:shd w:val="clear" w:color="000000" w:fill="FFFFFF"/>
            <w:noWrap w:val="0"/>
            <w:vAlign w:val="center"/>
          </w:tcPr>
          <w:p w14:paraId="084651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886" w:type="dxa"/>
            <w:gridSpan w:val="2"/>
            <w:shd w:val="clear" w:color="000000" w:fill="FFFFFF"/>
            <w:noWrap w:val="0"/>
            <w:vAlign w:val="center"/>
          </w:tcPr>
          <w:p w14:paraId="2AF5DE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939" w:type="dxa"/>
            <w:gridSpan w:val="2"/>
            <w:shd w:val="clear" w:color="000000" w:fill="FFFFFF"/>
            <w:noWrap w:val="0"/>
            <w:vAlign w:val="center"/>
          </w:tcPr>
          <w:p w14:paraId="00945A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1101" w:type="dxa"/>
            <w:gridSpan w:val="3"/>
            <w:shd w:val="clear" w:color="000000" w:fill="FFFFFF"/>
            <w:noWrap w:val="0"/>
            <w:vAlign w:val="center"/>
          </w:tcPr>
          <w:p w14:paraId="3A6E7C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c>
          <w:tcPr>
            <w:tcW w:w="1060" w:type="dxa"/>
            <w:shd w:val="clear" w:color="000000" w:fill="FFFFFF"/>
            <w:noWrap/>
            <w:vAlign w:val="center"/>
          </w:tcPr>
          <w:p w14:paraId="191369FD">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p>
        </w:tc>
        <w:tc>
          <w:tcPr>
            <w:tcW w:w="1160" w:type="dxa"/>
            <w:shd w:val="clear" w:color="000000" w:fill="FFFFFF"/>
            <w:noWrap w:val="0"/>
            <w:vAlign w:val="center"/>
          </w:tcPr>
          <w:p w14:paraId="6818D3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r>
      <w:tr w14:paraId="4707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continue"/>
            <w:shd w:val="clear" w:color="000000" w:fill="FFFFFF"/>
            <w:noWrap w:val="0"/>
            <w:vAlign w:val="center"/>
          </w:tcPr>
          <w:p w14:paraId="605B6E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6543" w:type="dxa"/>
            <w:gridSpan w:val="14"/>
            <w:shd w:val="clear" w:color="000000" w:fill="FFFFFF"/>
            <w:noWrap w:val="0"/>
            <w:vAlign w:val="center"/>
          </w:tcPr>
          <w:p w14:paraId="1E805B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人工费小计</w:t>
            </w:r>
          </w:p>
        </w:tc>
        <w:tc>
          <w:tcPr>
            <w:tcW w:w="1060" w:type="dxa"/>
            <w:shd w:val="clear" w:color="000000" w:fill="FFFFFF"/>
            <w:noWrap/>
            <w:vAlign w:val="center"/>
          </w:tcPr>
          <w:p w14:paraId="6873364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754352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r>
      <w:tr w14:paraId="7C2C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20" w:type="dxa"/>
            <w:vMerge w:val="restart"/>
            <w:shd w:val="clear" w:color="000000" w:fill="FFFFFF"/>
            <w:noWrap w:val="0"/>
            <w:vAlign w:val="center"/>
          </w:tcPr>
          <w:p w14:paraId="5B6BAE0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49" w:type="dxa"/>
            <w:gridSpan w:val="3"/>
            <w:shd w:val="clear" w:color="000000" w:fill="FFFFFF"/>
            <w:noWrap w:val="0"/>
            <w:vAlign w:val="center"/>
          </w:tcPr>
          <w:p w14:paraId="216558A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材料（工程设备）</w:t>
            </w:r>
          </w:p>
        </w:tc>
        <w:tc>
          <w:tcPr>
            <w:tcW w:w="2193" w:type="dxa"/>
            <w:gridSpan w:val="2"/>
            <w:shd w:val="clear" w:color="000000" w:fill="FFFFFF"/>
            <w:noWrap w:val="0"/>
            <w:vAlign w:val="center"/>
          </w:tcPr>
          <w:p w14:paraId="17E95D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575" w:type="dxa"/>
            <w:gridSpan w:val="2"/>
            <w:shd w:val="clear" w:color="000000" w:fill="FFFFFF"/>
            <w:noWrap w:val="0"/>
            <w:vAlign w:val="center"/>
          </w:tcPr>
          <w:p w14:paraId="795EBA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886" w:type="dxa"/>
            <w:gridSpan w:val="2"/>
            <w:shd w:val="clear" w:color="000000" w:fill="FFFFFF"/>
            <w:noWrap w:val="0"/>
            <w:vAlign w:val="center"/>
          </w:tcPr>
          <w:p w14:paraId="4CED7A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968" w:type="dxa"/>
            <w:gridSpan w:val="4"/>
            <w:shd w:val="clear" w:color="000000" w:fill="FFFFFF"/>
            <w:noWrap w:val="0"/>
            <w:vAlign w:val="center"/>
          </w:tcPr>
          <w:p w14:paraId="11E29A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1072" w:type="dxa"/>
            <w:shd w:val="clear" w:color="000000" w:fill="FFFFFF"/>
            <w:noWrap w:val="0"/>
            <w:vAlign w:val="center"/>
          </w:tcPr>
          <w:p w14:paraId="27ECC0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1060" w:type="dxa"/>
            <w:shd w:val="clear" w:color="000000" w:fill="FFFFFF"/>
            <w:noWrap/>
            <w:vAlign w:val="center"/>
          </w:tcPr>
          <w:p w14:paraId="635BEC5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07D321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r>
      <w:tr w14:paraId="2ECA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0" w:type="dxa"/>
            <w:vMerge w:val="continue"/>
            <w:shd w:val="clear" w:color="000000" w:fill="FFFFFF"/>
            <w:noWrap w:val="0"/>
            <w:vAlign w:val="center"/>
          </w:tcPr>
          <w:p w14:paraId="1AEC94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6543" w:type="dxa"/>
            <w:gridSpan w:val="14"/>
            <w:shd w:val="clear" w:color="000000" w:fill="FFFFFF"/>
            <w:noWrap w:val="0"/>
            <w:vAlign w:val="center"/>
          </w:tcPr>
          <w:p w14:paraId="2970FE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材料（工程设备）费小计</w:t>
            </w:r>
          </w:p>
        </w:tc>
        <w:tc>
          <w:tcPr>
            <w:tcW w:w="1060" w:type="dxa"/>
            <w:shd w:val="clear" w:color="000000" w:fill="FFFFFF"/>
            <w:noWrap/>
            <w:vAlign w:val="center"/>
          </w:tcPr>
          <w:p w14:paraId="6AD427C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p>
        </w:tc>
        <w:tc>
          <w:tcPr>
            <w:tcW w:w="1160" w:type="dxa"/>
            <w:shd w:val="clear" w:color="000000" w:fill="FFFFFF"/>
            <w:noWrap w:val="0"/>
            <w:vAlign w:val="center"/>
          </w:tcPr>
          <w:p w14:paraId="5B1DE1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r>
      <w:tr w14:paraId="7CC9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20" w:type="dxa"/>
            <w:vMerge w:val="restart"/>
            <w:shd w:val="clear" w:color="000000" w:fill="FFFFFF"/>
            <w:noWrap w:val="0"/>
            <w:vAlign w:val="center"/>
          </w:tcPr>
          <w:p w14:paraId="7001367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830" w:type="dxa"/>
            <w:gridSpan w:val="2"/>
            <w:shd w:val="clear" w:color="000000" w:fill="FFFFFF"/>
            <w:noWrap w:val="0"/>
            <w:vAlign w:val="center"/>
          </w:tcPr>
          <w:p w14:paraId="2B9E380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机械</w:t>
            </w:r>
          </w:p>
        </w:tc>
        <w:tc>
          <w:tcPr>
            <w:tcW w:w="2222" w:type="dxa"/>
            <w:gridSpan w:val="4"/>
            <w:shd w:val="clear" w:color="000000" w:fill="FFFFFF"/>
            <w:noWrap w:val="0"/>
            <w:vAlign w:val="center"/>
          </w:tcPr>
          <w:p w14:paraId="69A590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581" w:type="dxa"/>
            <w:gridSpan w:val="2"/>
            <w:shd w:val="clear" w:color="000000" w:fill="FFFFFF"/>
            <w:noWrap w:val="0"/>
            <w:vAlign w:val="center"/>
          </w:tcPr>
          <w:p w14:paraId="11856E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891" w:type="dxa"/>
            <w:gridSpan w:val="2"/>
            <w:shd w:val="clear" w:color="000000" w:fill="FFFFFF"/>
            <w:noWrap w:val="0"/>
            <w:vAlign w:val="center"/>
          </w:tcPr>
          <w:p w14:paraId="5BB27A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947" w:type="dxa"/>
            <w:gridSpan w:val="3"/>
            <w:shd w:val="clear" w:color="000000" w:fill="FFFFFF"/>
            <w:noWrap w:val="0"/>
            <w:vAlign w:val="center"/>
          </w:tcPr>
          <w:p w14:paraId="418AE8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1072" w:type="dxa"/>
            <w:shd w:val="clear" w:color="000000" w:fill="FFFFFF"/>
            <w:noWrap w:val="0"/>
            <w:vAlign w:val="center"/>
          </w:tcPr>
          <w:p w14:paraId="38640B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c>
          <w:tcPr>
            <w:tcW w:w="1060" w:type="dxa"/>
            <w:shd w:val="clear" w:color="000000" w:fill="FFFFFF"/>
            <w:noWrap/>
            <w:vAlign w:val="center"/>
          </w:tcPr>
          <w:p w14:paraId="7973CE05">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37281A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r>
      <w:tr w14:paraId="1219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20" w:type="dxa"/>
            <w:vMerge w:val="continue"/>
            <w:shd w:val="clear" w:color="000000" w:fill="FFFFFF"/>
            <w:noWrap w:val="0"/>
            <w:vAlign w:val="center"/>
          </w:tcPr>
          <w:p w14:paraId="2A39CD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6543" w:type="dxa"/>
            <w:gridSpan w:val="14"/>
            <w:shd w:val="clear" w:color="000000" w:fill="FFFFFF"/>
            <w:noWrap w:val="0"/>
            <w:vAlign w:val="center"/>
          </w:tcPr>
          <w:p w14:paraId="72C531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机械费小计</w:t>
            </w:r>
          </w:p>
        </w:tc>
        <w:tc>
          <w:tcPr>
            <w:tcW w:w="1060" w:type="dxa"/>
            <w:shd w:val="clear" w:color="000000" w:fill="FFFFFF"/>
            <w:noWrap/>
            <w:vAlign w:val="center"/>
          </w:tcPr>
          <w:p w14:paraId="2CBC096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p>
        </w:tc>
        <w:tc>
          <w:tcPr>
            <w:tcW w:w="1160" w:type="dxa"/>
            <w:shd w:val="clear" w:color="000000" w:fill="FFFFFF"/>
            <w:noWrap w:val="0"/>
            <w:vAlign w:val="bottom"/>
          </w:tcPr>
          <w:p w14:paraId="5102F75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r>
      <w:tr w14:paraId="6B41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2AB3B8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6543" w:type="dxa"/>
            <w:gridSpan w:val="14"/>
            <w:shd w:val="clear" w:color="000000" w:fill="FFFFFF"/>
            <w:noWrap w:val="0"/>
            <w:vAlign w:val="center"/>
          </w:tcPr>
          <w:p w14:paraId="131A1AC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工料机费用合计(1+2+3)</w:t>
            </w:r>
          </w:p>
        </w:tc>
        <w:tc>
          <w:tcPr>
            <w:tcW w:w="1060" w:type="dxa"/>
            <w:shd w:val="clear" w:color="000000" w:fill="FFFFFF"/>
            <w:noWrap/>
            <w:vAlign w:val="center"/>
          </w:tcPr>
          <w:p w14:paraId="4D73581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61124E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r>
      <w:tr w14:paraId="2812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6BA9AE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6543" w:type="dxa"/>
            <w:gridSpan w:val="14"/>
            <w:shd w:val="clear" w:color="000000" w:fill="FFFFFF"/>
            <w:noWrap w:val="0"/>
            <w:vAlign w:val="center"/>
          </w:tcPr>
          <w:p w14:paraId="6676362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管理费（人工费+机械费）×  %</w:t>
            </w:r>
          </w:p>
        </w:tc>
        <w:tc>
          <w:tcPr>
            <w:tcW w:w="1060" w:type="dxa"/>
            <w:shd w:val="clear" w:color="000000" w:fill="FFFFFF"/>
            <w:noWrap/>
            <w:vAlign w:val="center"/>
          </w:tcPr>
          <w:p w14:paraId="055E934C">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4FE249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14:paraId="5577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55A8A9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6543" w:type="dxa"/>
            <w:gridSpan w:val="14"/>
            <w:shd w:val="clear" w:color="000000" w:fill="FFFFFF"/>
            <w:noWrap w:val="0"/>
            <w:vAlign w:val="center"/>
          </w:tcPr>
          <w:p w14:paraId="10F1D20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利润（人工费+机械费）× %</w:t>
            </w:r>
          </w:p>
        </w:tc>
        <w:tc>
          <w:tcPr>
            <w:tcW w:w="1060" w:type="dxa"/>
            <w:shd w:val="clear" w:color="000000" w:fill="FFFFFF"/>
            <w:noWrap/>
            <w:vAlign w:val="center"/>
          </w:tcPr>
          <w:p w14:paraId="0004B0B0">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44B60C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14:paraId="5D58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4CF59F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p>
        </w:tc>
        <w:tc>
          <w:tcPr>
            <w:tcW w:w="6543" w:type="dxa"/>
            <w:gridSpan w:val="14"/>
            <w:shd w:val="clear" w:color="000000" w:fill="FFFFFF"/>
            <w:noWrap w:val="0"/>
            <w:vAlign w:val="center"/>
          </w:tcPr>
          <w:p w14:paraId="304D90C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综合单价(4+5+6)</w:t>
            </w:r>
          </w:p>
        </w:tc>
        <w:tc>
          <w:tcPr>
            <w:tcW w:w="1060" w:type="dxa"/>
            <w:shd w:val="clear" w:color="000000" w:fill="FFFFFF"/>
            <w:noWrap/>
            <w:vAlign w:val="center"/>
          </w:tcPr>
          <w:p w14:paraId="19815C9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0A066E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bl>
    <w:p w14:paraId="11FEF46C">
      <w:pPr>
        <w:spacing w:line="300" w:lineRule="auto"/>
        <w:jc w:val="center"/>
        <w:rPr>
          <w:rFonts w:hint="eastAsia" w:ascii="宋体" w:hAnsi="宋体" w:eastAsia="宋体" w:cs="宋体"/>
          <w:b/>
          <w:bCs/>
          <w:color w:val="auto"/>
          <w:sz w:val="28"/>
          <w:highlight w:val="none"/>
        </w:rPr>
        <w:sectPr>
          <w:pgSz w:w="11906" w:h="16838"/>
          <w:pgMar w:top="1440" w:right="1077" w:bottom="1440" w:left="1077" w:header="737" w:footer="737" w:gutter="340"/>
          <w:pgBorders>
            <w:top w:val="none" w:sz="0" w:space="0"/>
            <w:left w:val="none" w:sz="0" w:space="0"/>
            <w:bottom w:val="none" w:sz="0" w:space="0"/>
            <w:right w:val="none" w:sz="0" w:space="0"/>
          </w:pgBorders>
          <w:pgNumType w:fmt="decimal"/>
          <w:cols w:space="720" w:num="1"/>
          <w:docGrid w:linePitch="245" w:charSpace="-3687"/>
        </w:sectPr>
      </w:pPr>
    </w:p>
    <w:tbl>
      <w:tblPr>
        <w:tblStyle w:val="24"/>
        <w:tblW w:w="9744" w:type="dxa"/>
        <w:tblInd w:w="91" w:type="dxa"/>
        <w:tblLayout w:type="fixed"/>
        <w:tblCellMar>
          <w:top w:w="0" w:type="dxa"/>
          <w:left w:w="108" w:type="dxa"/>
          <w:bottom w:w="0" w:type="dxa"/>
          <w:right w:w="108" w:type="dxa"/>
        </w:tblCellMar>
      </w:tblPr>
      <w:tblGrid>
        <w:gridCol w:w="740"/>
        <w:gridCol w:w="1580"/>
        <w:gridCol w:w="2340"/>
        <w:gridCol w:w="2020"/>
        <w:gridCol w:w="820"/>
        <w:gridCol w:w="1304"/>
        <w:gridCol w:w="940"/>
      </w:tblGrid>
      <w:tr w14:paraId="6EF7E9D9">
        <w:tblPrEx>
          <w:tblCellMar>
            <w:top w:w="0" w:type="dxa"/>
            <w:left w:w="108" w:type="dxa"/>
            <w:bottom w:w="0" w:type="dxa"/>
            <w:right w:w="108" w:type="dxa"/>
          </w:tblCellMar>
        </w:tblPrEx>
        <w:trPr>
          <w:trHeight w:val="579" w:hRule="atLeast"/>
        </w:trPr>
        <w:tc>
          <w:tcPr>
            <w:tcW w:w="9744" w:type="dxa"/>
            <w:gridSpan w:val="7"/>
            <w:tcBorders>
              <w:top w:val="nil"/>
              <w:left w:val="nil"/>
              <w:bottom w:val="nil"/>
              <w:right w:val="nil"/>
            </w:tcBorders>
            <w:shd w:val="clear" w:color="000000" w:fill="FFFFFF"/>
            <w:noWrap w:val="0"/>
            <w:vAlign w:val="center"/>
          </w:tcPr>
          <w:p w14:paraId="47D40DAD">
            <w:pPr>
              <w:widowControl/>
              <w:jc w:val="center"/>
              <w:rPr>
                <w:rFonts w:hint="eastAsia" w:ascii="宋体" w:hAnsi="宋体" w:eastAsia="宋体" w:cs="宋体"/>
                <w:b/>
                <w:bCs/>
                <w:color w:val="auto"/>
                <w:kern w:val="0"/>
                <w:sz w:val="32"/>
                <w:szCs w:val="32"/>
                <w:highlight w:val="none"/>
              </w:rPr>
            </w:pPr>
          </w:p>
          <w:p w14:paraId="32859272">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施工组织（总价）措施项目清单与计价表</w:t>
            </w:r>
          </w:p>
        </w:tc>
      </w:tr>
      <w:tr w14:paraId="661F212F">
        <w:tblPrEx>
          <w:tblCellMar>
            <w:top w:w="0" w:type="dxa"/>
            <w:left w:w="108" w:type="dxa"/>
            <w:bottom w:w="0" w:type="dxa"/>
            <w:right w:w="108" w:type="dxa"/>
          </w:tblCellMar>
        </w:tblPrEx>
        <w:trPr>
          <w:trHeight w:val="435" w:hRule="atLeast"/>
        </w:trPr>
        <w:tc>
          <w:tcPr>
            <w:tcW w:w="4660" w:type="dxa"/>
            <w:gridSpan w:val="3"/>
            <w:tcBorders>
              <w:top w:val="nil"/>
              <w:left w:val="nil"/>
              <w:bottom w:val="nil"/>
              <w:right w:val="nil"/>
            </w:tcBorders>
            <w:shd w:val="clear" w:color="000000" w:fill="FFFFFF"/>
            <w:noWrap w:val="0"/>
            <w:vAlign w:val="bottom"/>
          </w:tcPr>
          <w:p w14:paraId="2BF7F3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2020" w:type="dxa"/>
            <w:tcBorders>
              <w:top w:val="nil"/>
              <w:left w:val="nil"/>
              <w:bottom w:val="nil"/>
              <w:right w:val="nil"/>
            </w:tcBorders>
            <w:shd w:val="clear" w:color="000000" w:fill="FFFFFF"/>
            <w:noWrap w:val="0"/>
            <w:vAlign w:val="bottom"/>
          </w:tcPr>
          <w:p w14:paraId="4D70A7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064" w:type="dxa"/>
            <w:gridSpan w:val="3"/>
            <w:tcBorders>
              <w:top w:val="nil"/>
              <w:left w:val="nil"/>
              <w:bottom w:val="nil"/>
              <w:right w:val="nil"/>
            </w:tcBorders>
            <w:shd w:val="clear" w:color="000000" w:fill="FFFFFF"/>
            <w:noWrap w:val="0"/>
            <w:vAlign w:val="bottom"/>
          </w:tcPr>
          <w:p w14:paraId="006886D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第 页 共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页</w:t>
            </w:r>
          </w:p>
        </w:tc>
      </w:tr>
      <w:tr w14:paraId="5C8A6898">
        <w:tblPrEx>
          <w:tblCellMar>
            <w:top w:w="0" w:type="dxa"/>
            <w:left w:w="108" w:type="dxa"/>
            <w:bottom w:w="0" w:type="dxa"/>
            <w:right w:w="108" w:type="dxa"/>
          </w:tblCellMar>
        </w:tblPrEx>
        <w:trPr>
          <w:trHeight w:val="598" w:hRule="atLeast"/>
        </w:trPr>
        <w:tc>
          <w:tcPr>
            <w:tcW w:w="740" w:type="dxa"/>
            <w:tcBorders>
              <w:top w:val="single" w:color="000000" w:sz="4" w:space="0"/>
              <w:left w:val="single" w:color="000000" w:sz="4" w:space="0"/>
              <w:bottom w:val="nil"/>
              <w:right w:val="nil"/>
            </w:tcBorders>
            <w:shd w:val="clear" w:color="000000" w:fill="FFFFFF"/>
            <w:noWrap w:val="0"/>
            <w:vAlign w:val="center"/>
          </w:tcPr>
          <w:p w14:paraId="458D5D1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1580" w:type="dxa"/>
            <w:tcBorders>
              <w:top w:val="single" w:color="000000" w:sz="4" w:space="0"/>
              <w:left w:val="single" w:color="000000" w:sz="4" w:space="0"/>
              <w:bottom w:val="nil"/>
              <w:right w:val="nil"/>
            </w:tcBorders>
            <w:shd w:val="clear" w:color="000000" w:fill="FFFFFF"/>
            <w:noWrap w:val="0"/>
            <w:vAlign w:val="center"/>
          </w:tcPr>
          <w:p w14:paraId="491F55E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项目编号</w:t>
            </w:r>
          </w:p>
        </w:tc>
        <w:tc>
          <w:tcPr>
            <w:tcW w:w="2340" w:type="dxa"/>
            <w:tcBorders>
              <w:top w:val="single" w:color="000000" w:sz="4" w:space="0"/>
              <w:left w:val="single" w:color="000000" w:sz="4" w:space="0"/>
              <w:bottom w:val="nil"/>
              <w:right w:val="nil"/>
            </w:tcBorders>
            <w:shd w:val="clear" w:color="000000" w:fill="FFFFFF"/>
            <w:noWrap w:val="0"/>
            <w:vAlign w:val="center"/>
          </w:tcPr>
          <w:p w14:paraId="1A17629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2020" w:type="dxa"/>
            <w:tcBorders>
              <w:top w:val="single" w:color="000000" w:sz="4" w:space="0"/>
              <w:left w:val="single" w:color="000000" w:sz="4" w:space="0"/>
              <w:bottom w:val="nil"/>
              <w:right w:val="nil"/>
            </w:tcBorders>
            <w:shd w:val="clear" w:color="000000" w:fill="FFFFFF"/>
            <w:noWrap w:val="0"/>
            <w:vAlign w:val="center"/>
          </w:tcPr>
          <w:p w14:paraId="4AC06A6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计算基础</w:t>
            </w:r>
          </w:p>
        </w:tc>
        <w:tc>
          <w:tcPr>
            <w:tcW w:w="820" w:type="dxa"/>
            <w:tcBorders>
              <w:top w:val="single" w:color="000000" w:sz="4" w:space="0"/>
              <w:left w:val="single" w:color="000000" w:sz="4" w:space="0"/>
              <w:bottom w:val="nil"/>
              <w:right w:val="nil"/>
            </w:tcBorders>
            <w:shd w:val="clear" w:color="000000" w:fill="FFFFFF"/>
            <w:noWrap w:val="0"/>
            <w:vAlign w:val="center"/>
          </w:tcPr>
          <w:p w14:paraId="2B5B0E25">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费率</w:t>
            </w:r>
          </w:p>
          <w:p w14:paraId="1E7C8DA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304" w:type="dxa"/>
            <w:tcBorders>
              <w:top w:val="single" w:color="000000" w:sz="4" w:space="0"/>
              <w:left w:val="single" w:color="000000" w:sz="4" w:space="0"/>
              <w:bottom w:val="nil"/>
              <w:right w:val="nil"/>
            </w:tcBorders>
            <w:shd w:val="clear" w:color="000000" w:fill="FFFFFF"/>
            <w:noWrap w:val="0"/>
            <w:vAlign w:val="center"/>
          </w:tcPr>
          <w:p w14:paraId="6DFDC9B1">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金额</w:t>
            </w:r>
          </w:p>
          <w:p w14:paraId="5465E80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6A9AD41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4D73FB3">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2B5205CA">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1580" w:type="dxa"/>
            <w:tcBorders>
              <w:top w:val="single" w:color="000000" w:sz="4" w:space="0"/>
              <w:left w:val="single" w:color="000000" w:sz="4" w:space="0"/>
              <w:bottom w:val="nil"/>
              <w:right w:val="nil"/>
            </w:tcBorders>
            <w:shd w:val="clear" w:color="000000" w:fill="FFFFFF"/>
            <w:noWrap w:val="0"/>
            <w:vAlign w:val="center"/>
          </w:tcPr>
          <w:p w14:paraId="3D89FD6E">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240EAA9C">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安全文明施工费</w:t>
            </w:r>
          </w:p>
        </w:tc>
        <w:tc>
          <w:tcPr>
            <w:tcW w:w="2020" w:type="dxa"/>
            <w:tcBorders>
              <w:top w:val="single" w:color="000000" w:sz="4" w:space="0"/>
              <w:left w:val="single" w:color="000000" w:sz="4" w:space="0"/>
              <w:bottom w:val="nil"/>
              <w:right w:val="nil"/>
            </w:tcBorders>
            <w:shd w:val="clear" w:color="000000" w:fill="FFFFFF"/>
            <w:noWrap w:val="0"/>
            <w:vAlign w:val="center"/>
          </w:tcPr>
          <w:p w14:paraId="3DC2EE7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20" w:type="dxa"/>
            <w:tcBorders>
              <w:top w:val="single" w:color="000000" w:sz="4" w:space="0"/>
              <w:left w:val="single" w:color="000000" w:sz="4" w:space="0"/>
              <w:bottom w:val="nil"/>
              <w:right w:val="nil"/>
            </w:tcBorders>
            <w:shd w:val="clear" w:color="000000" w:fill="FFFFFF"/>
            <w:noWrap w:val="0"/>
            <w:vAlign w:val="center"/>
          </w:tcPr>
          <w:p w14:paraId="6CD162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4DE5502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6D3B258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E542748">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2D17EA9C">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1580" w:type="dxa"/>
            <w:tcBorders>
              <w:top w:val="single" w:color="000000" w:sz="4" w:space="0"/>
              <w:left w:val="single" w:color="000000" w:sz="4" w:space="0"/>
              <w:bottom w:val="nil"/>
              <w:right w:val="nil"/>
            </w:tcBorders>
            <w:shd w:val="clear" w:color="000000" w:fill="FFFFFF"/>
            <w:noWrap w:val="0"/>
            <w:vAlign w:val="center"/>
          </w:tcPr>
          <w:p w14:paraId="201703D9">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0DF46A6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安全文明施工基本费</w:t>
            </w:r>
          </w:p>
        </w:tc>
        <w:tc>
          <w:tcPr>
            <w:tcW w:w="2020" w:type="dxa"/>
            <w:tcBorders>
              <w:top w:val="single" w:color="000000" w:sz="4" w:space="0"/>
              <w:left w:val="single" w:color="000000" w:sz="4" w:space="0"/>
              <w:bottom w:val="nil"/>
              <w:right w:val="nil"/>
            </w:tcBorders>
            <w:shd w:val="clear" w:color="000000" w:fill="FFFFFF"/>
            <w:noWrap w:val="0"/>
            <w:vAlign w:val="center"/>
          </w:tcPr>
          <w:p w14:paraId="594C776B">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bottom"/>
          </w:tcPr>
          <w:p w14:paraId="246493F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5980CDA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254A676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7F358BD">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67E95EEF">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1580" w:type="dxa"/>
            <w:tcBorders>
              <w:top w:val="single" w:color="000000" w:sz="4" w:space="0"/>
              <w:left w:val="single" w:color="000000" w:sz="4" w:space="0"/>
              <w:bottom w:val="nil"/>
              <w:right w:val="nil"/>
            </w:tcBorders>
            <w:shd w:val="clear" w:color="000000" w:fill="FFFFFF"/>
            <w:noWrap w:val="0"/>
            <w:vAlign w:val="center"/>
          </w:tcPr>
          <w:p w14:paraId="0E16DD5D">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3132CF06">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提前竣工增加费</w:t>
            </w:r>
          </w:p>
        </w:tc>
        <w:tc>
          <w:tcPr>
            <w:tcW w:w="2020" w:type="dxa"/>
            <w:tcBorders>
              <w:top w:val="single" w:color="000000" w:sz="4" w:space="0"/>
              <w:left w:val="single" w:color="000000" w:sz="4" w:space="0"/>
              <w:bottom w:val="nil"/>
              <w:right w:val="nil"/>
            </w:tcBorders>
            <w:shd w:val="clear" w:color="000000" w:fill="FFFFFF"/>
            <w:noWrap w:val="0"/>
            <w:vAlign w:val="center"/>
          </w:tcPr>
          <w:p w14:paraId="168395A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732629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7E172D6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2154287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38AA3CA">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6AF02F21">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1580" w:type="dxa"/>
            <w:tcBorders>
              <w:top w:val="single" w:color="000000" w:sz="4" w:space="0"/>
              <w:left w:val="single" w:color="000000" w:sz="4" w:space="0"/>
              <w:bottom w:val="nil"/>
              <w:right w:val="nil"/>
            </w:tcBorders>
            <w:shd w:val="clear" w:color="000000" w:fill="FFFFFF"/>
            <w:noWrap w:val="0"/>
            <w:vAlign w:val="center"/>
          </w:tcPr>
          <w:p w14:paraId="399B64B9">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3F825E3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二次搬运费</w:t>
            </w:r>
          </w:p>
        </w:tc>
        <w:tc>
          <w:tcPr>
            <w:tcW w:w="2020" w:type="dxa"/>
            <w:tcBorders>
              <w:top w:val="single" w:color="000000" w:sz="4" w:space="0"/>
              <w:left w:val="single" w:color="000000" w:sz="4" w:space="0"/>
              <w:bottom w:val="nil"/>
              <w:right w:val="nil"/>
            </w:tcBorders>
            <w:shd w:val="clear" w:color="000000" w:fill="FFFFFF"/>
            <w:noWrap w:val="0"/>
            <w:vAlign w:val="center"/>
          </w:tcPr>
          <w:p w14:paraId="34DFA33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29BD05E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414367D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148784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36677C8">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794F777B">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1580" w:type="dxa"/>
            <w:tcBorders>
              <w:top w:val="single" w:color="000000" w:sz="4" w:space="0"/>
              <w:left w:val="single" w:color="000000" w:sz="4" w:space="0"/>
              <w:bottom w:val="nil"/>
              <w:right w:val="nil"/>
            </w:tcBorders>
            <w:shd w:val="clear" w:color="000000" w:fill="FFFFFF"/>
            <w:noWrap w:val="0"/>
            <w:vAlign w:val="center"/>
          </w:tcPr>
          <w:p w14:paraId="522AD3BF">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306C1B61">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冬雨季施工增加费</w:t>
            </w:r>
          </w:p>
        </w:tc>
        <w:tc>
          <w:tcPr>
            <w:tcW w:w="2020" w:type="dxa"/>
            <w:tcBorders>
              <w:top w:val="single" w:color="000000" w:sz="4" w:space="0"/>
              <w:left w:val="single" w:color="000000" w:sz="4" w:space="0"/>
              <w:bottom w:val="nil"/>
              <w:right w:val="nil"/>
            </w:tcBorders>
            <w:shd w:val="clear" w:color="000000" w:fill="FFFFFF"/>
            <w:noWrap w:val="0"/>
            <w:vAlign w:val="center"/>
          </w:tcPr>
          <w:p w14:paraId="69C9C63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1DCD5EF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74E67F5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7E09B51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BDA9935">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71406E0F">
            <w:pPr>
              <w:widowControl/>
              <w:ind w:left="0" w:leftChars="0" w:firstLine="0" w:firstLineChars="0"/>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1580" w:type="dxa"/>
            <w:tcBorders>
              <w:top w:val="single" w:color="000000" w:sz="4" w:space="0"/>
              <w:left w:val="single" w:color="000000" w:sz="4" w:space="0"/>
              <w:bottom w:val="nil"/>
              <w:right w:val="nil"/>
            </w:tcBorders>
            <w:shd w:val="clear" w:color="000000" w:fill="FFFFFF"/>
            <w:noWrap w:val="0"/>
            <w:vAlign w:val="center"/>
          </w:tcPr>
          <w:p w14:paraId="644D9600">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22EDB08C">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行车、行人干扰增加费</w:t>
            </w:r>
          </w:p>
        </w:tc>
        <w:tc>
          <w:tcPr>
            <w:tcW w:w="2020" w:type="dxa"/>
            <w:tcBorders>
              <w:top w:val="single" w:color="000000" w:sz="4" w:space="0"/>
              <w:left w:val="single" w:color="000000" w:sz="4" w:space="0"/>
              <w:bottom w:val="nil"/>
              <w:right w:val="nil"/>
            </w:tcBorders>
            <w:shd w:val="clear" w:color="000000" w:fill="FFFFFF"/>
            <w:noWrap w:val="0"/>
            <w:vAlign w:val="center"/>
          </w:tcPr>
          <w:p w14:paraId="5944299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1A9537F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592D3F5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47FAC8C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C15A9B9">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2B8BFB39">
            <w:pPr>
              <w:widowControl/>
              <w:ind w:left="0" w:leftChars="0" w:firstLine="0" w:firstLineChars="0"/>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6</w:t>
            </w:r>
          </w:p>
        </w:tc>
        <w:tc>
          <w:tcPr>
            <w:tcW w:w="1580" w:type="dxa"/>
            <w:tcBorders>
              <w:top w:val="single" w:color="000000" w:sz="4" w:space="0"/>
              <w:left w:val="single" w:color="000000" w:sz="4" w:space="0"/>
              <w:bottom w:val="nil"/>
              <w:right w:val="nil"/>
            </w:tcBorders>
            <w:shd w:val="clear" w:color="000000" w:fill="FFFFFF"/>
            <w:noWrap w:val="0"/>
            <w:vAlign w:val="center"/>
          </w:tcPr>
          <w:p w14:paraId="6B3F7A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340" w:type="dxa"/>
            <w:tcBorders>
              <w:top w:val="single" w:color="000000" w:sz="4" w:space="0"/>
              <w:left w:val="single" w:color="000000" w:sz="4" w:space="0"/>
              <w:bottom w:val="nil"/>
              <w:right w:val="nil"/>
            </w:tcBorders>
            <w:shd w:val="clear" w:color="000000" w:fill="FFFFFF"/>
            <w:noWrap w:val="0"/>
            <w:vAlign w:val="center"/>
          </w:tcPr>
          <w:p w14:paraId="0E404D0B">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其他施工组织措施费</w:t>
            </w:r>
          </w:p>
        </w:tc>
        <w:tc>
          <w:tcPr>
            <w:tcW w:w="2020" w:type="dxa"/>
            <w:tcBorders>
              <w:top w:val="single" w:color="000000" w:sz="4" w:space="0"/>
              <w:left w:val="single" w:color="000000" w:sz="4" w:space="0"/>
              <w:bottom w:val="nil"/>
              <w:right w:val="nil"/>
            </w:tcBorders>
            <w:shd w:val="clear" w:color="000000" w:fill="FFFFFF"/>
            <w:noWrap w:val="0"/>
            <w:vAlign w:val="center"/>
          </w:tcPr>
          <w:p w14:paraId="36CC6D9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按相关规定计算</w:t>
            </w:r>
          </w:p>
        </w:tc>
        <w:tc>
          <w:tcPr>
            <w:tcW w:w="820" w:type="dxa"/>
            <w:tcBorders>
              <w:top w:val="single" w:color="000000" w:sz="4" w:space="0"/>
              <w:left w:val="single" w:color="000000" w:sz="4" w:space="0"/>
              <w:bottom w:val="nil"/>
              <w:right w:val="nil"/>
            </w:tcBorders>
            <w:shd w:val="clear" w:color="000000" w:fill="FFFFFF"/>
            <w:noWrap w:val="0"/>
            <w:vAlign w:val="center"/>
          </w:tcPr>
          <w:p w14:paraId="3165C0C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20AC77B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6262402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AFF520B">
        <w:tblPrEx>
          <w:tblCellMar>
            <w:top w:w="0" w:type="dxa"/>
            <w:left w:w="108" w:type="dxa"/>
            <w:bottom w:w="0" w:type="dxa"/>
            <w:right w:w="108" w:type="dxa"/>
          </w:tblCellMar>
        </w:tblPrEx>
        <w:trPr>
          <w:trHeight w:val="454" w:hRule="exact"/>
        </w:trPr>
        <w:tc>
          <w:tcPr>
            <w:tcW w:w="7500"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1CC5420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    计</w:t>
            </w:r>
          </w:p>
        </w:tc>
        <w:tc>
          <w:tcPr>
            <w:tcW w:w="1304" w:type="dxa"/>
            <w:tcBorders>
              <w:top w:val="single" w:color="000000" w:sz="4" w:space="0"/>
              <w:left w:val="single" w:color="000000" w:sz="4" w:space="0"/>
              <w:bottom w:val="single" w:color="000000" w:sz="4" w:space="0"/>
              <w:right w:val="nil"/>
            </w:tcBorders>
            <w:shd w:val="clear" w:color="000000" w:fill="FFFFFF"/>
            <w:noWrap/>
            <w:vAlign w:val="center"/>
          </w:tcPr>
          <w:p w14:paraId="7C1626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341F4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284C7D9A">
      <w:pPr>
        <w:spacing w:line="300" w:lineRule="auto"/>
        <w:jc w:val="left"/>
        <w:rPr>
          <w:rFonts w:hint="eastAsia" w:ascii="宋体" w:hAnsi="宋体" w:eastAsia="宋体" w:cs="宋体"/>
          <w:b/>
          <w:color w:val="auto"/>
          <w:sz w:val="24"/>
          <w:highlight w:val="none"/>
        </w:rPr>
      </w:pPr>
    </w:p>
    <w:tbl>
      <w:tblPr>
        <w:tblStyle w:val="24"/>
        <w:tblW w:w="9733" w:type="dxa"/>
        <w:tblInd w:w="91" w:type="dxa"/>
        <w:tblLayout w:type="fixed"/>
        <w:tblCellMar>
          <w:top w:w="0" w:type="dxa"/>
          <w:left w:w="108" w:type="dxa"/>
          <w:bottom w:w="0" w:type="dxa"/>
          <w:right w:w="108" w:type="dxa"/>
        </w:tblCellMar>
      </w:tblPr>
      <w:tblGrid>
        <w:gridCol w:w="660"/>
        <w:gridCol w:w="3608"/>
        <w:gridCol w:w="2658"/>
        <w:gridCol w:w="2807"/>
      </w:tblGrid>
      <w:tr w14:paraId="685B7BDE">
        <w:tblPrEx>
          <w:tblCellMar>
            <w:top w:w="0" w:type="dxa"/>
            <w:left w:w="108" w:type="dxa"/>
            <w:bottom w:w="0" w:type="dxa"/>
            <w:right w:w="108" w:type="dxa"/>
          </w:tblCellMar>
        </w:tblPrEx>
        <w:trPr>
          <w:trHeight w:val="440" w:hRule="atLeast"/>
        </w:trPr>
        <w:tc>
          <w:tcPr>
            <w:tcW w:w="9733" w:type="dxa"/>
            <w:gridSpan w:val="4"/>
            <w:tcBorders>
              <w:top w:val="nil"/>
              <w:left w:val="nil"/>
              <w:bottom w:val="nil"/>
              <w:right w:val="nil"/>
            </w:tcBorders>
            <w:shd w:val="clear" w:color="000000" w:fill="FFFFFF"/>
            <w:noWrap w:val="0"/>
            <w:vAlign w:val="center"/>
          </w:tcPr>
          <w:p w14:paraId="46C883D8">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其他项目清单与计价汇总表</w:t>
            </w:r>
          </w:p>
        </w:tc>
      </w:tr>
      <w:tr w14:paraId="38452C4B">
        <w:tblPrEx>
          <w:tblCellMar>
            <w:top w:w="0" w:type="dxa"/>
            <w:left w:w="108" w:type="dxa"/>
            <w:bottom w:w="0" w:type="dxa"/>
            <w:right w:w="108" w:type="dxa"/>
          </w:tblCellMar>
        </w:tblPrEx>
        <w:trPr>
          <w:trHeight w:val="435" w:hRule="atLeast"/>
        </w:trPr>
        <w:tc>
          <w:tcPr>
            <w:tcW w:w="4268" w:type="dxa"/>
            <w:gridSpan w:val="2"/>
            <w:tcBorders>
              <w:top w:val="nil"/>
              <w:left w:val="nil"/>
              <w:bottom w:val="nil"/>
              <w:right w:val="nil"/>
            </w:tcBorders>
            <w:shd w:val="clear" w:color="000000" w:fill="FFFFFF"/>
            <w:noWrap w:val="0"/>
            <w:vAlign w:val="bottom"/>
          </w:tcPr>
          <w:p w14:paraId="56D6531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2658" w:type="dxa"/>
            <w:tcBorders>
              <w:top w:val="nil"/>
              <w:left w:val="nil"/>
              <w:bottom w:val="nil"/>
              <w:right w:val="nil"/>
            </w:tcBorders>
            <w:shd w:val="clear" w:color="000000" w:fill="FFFFFF"/>
            <w:noWrap w:val="0"/>
            <w:vAlign w:val="bottom"/>
          </w:tcPr>
          <w:p w14:paraId="62D06C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807" w:type="dxa"/>
            <w:tcBorders>
              <w:top w:val="nil"/>
              <w:left w:val="nil"/>
              <w:bottom w:val="nil"/>
              <w:right w:val="nil"/>
            </w:tcBorders>
            <w:shd w:val="clear" w:color="000000" w:fill="FFFFFF"/>
            <w:noWrap w:val="0"/>
            <w:vAlign w:val="bottom"/>
          </w:tcPr>
          <w:p w14:paraId="44104F9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4B50961B">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B0B5BB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608" w:type="dxa"/>
            <w:tcBorders>
              <w:top w:val="single" w:color="000000" w:sz="4" w:space="0"/>
              <w:left w:val="single" w:color="000000" w:sz="4" w:space="0"/>
              <w:bottom w:val="nil"/>
              <w:right w:val="nil"/>
            </w:tcBorders>
            <w:shd w:val="clear" w:color="000000" w:fill="FFFFFF"/>
            <w:noWrap w:val="0"/>
            <w:vAlign w:val="center"/>
          </w:tcPr>
          <w:p w14:paraId="6E3F4ED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 目 名 称</w:t>
            </w:r>
          </w:p>
        </w:tc>
        <w:tc>
          <w:tcPr>
            <w:tcW w:w="2658" w:type="dxa"/>
            <w:tcBorders>
              <w:top w:val="single" w:color="000000" w:sz="4" w:space="0"/>
              <w:left w:val="single" w:color="000000" w:sz="4" w:space="0"/>
              <w:bottom w:val="nil"/>
              <w:right w:val="nil"/>
            </w:tcBorders>
            <w:shd w:val="clear" w:color="000000" w:fill="FFFFFF"/>
            <w:noWrap w:val="0"/>
            <w:vAlign w:val="center"/>
          </w:tcPr>
          <w:p w14:paraId="5B58B00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金额(元)</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50853D3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53B34C01">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15A95D0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608" w:type="dxa"/>
            <w:tcBorders>
              <w:top w:val="single" w:color="000000" w:sz="4" w:space="0"/>
              <w:left w:val="single" w:color="000000" w:sz="4" w:space="0"/>
              <w:bottom w:val="nil"/>
              <w:right w:val="nil"/>
            </w:tcBorders>
            <w:shd w:val="clear" w:color="000000" w:fill="FFFFFF"/>
            <w:noWrap w:val="0"/>
            <w:vAlign w:val="center"/>
          </w:tcPr>
          <w:p w14:paraId="71BE7E88">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暂列金额</w:t>
            </w:r>
          </w:p>
        </w:tc>
        <w:tc>
          <w:tcPr>
            <w:tcW w:w="2658" w:type="dxa"/>
            <w:tcBorders>
              <w:top w:val="single" w:color="000000" w:sz="4" w:space="0"/>
              <w:left w:val="single" w:color="000000" w:sz="4" w:space="0"/>
              <w:bottom w:val="nil"/>
              <w:right w:val="nil"/>
            </w:tcBorders>
            <w:shd w:val="clear" w:color="000000" w:fill="FFFFFF"/>
            <w:noWrap/>
            <w:vAlign w:val="center"/>
          </w:tcPr>
          <w:p w14:paraId="5D67086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61A8EB6D">
            <w:pPr>
              <w:widowControl/>
              <w:jc w:val="center"/>
              <w:rPr>
                <w:rFonts w:hint="eastAsia" w:ascii="宋体" w:hAnsi="宋体" w:eastAsia="宋体" w:cs="宋体"/>
                <w:color w:val="auto"/>
                <w:kern w:val="0"/>
                <w:sz w:val="18"/>
                <w:szCs w:val="18"/>
                <w:highlight w:val="none"/>
              </w:rPr>
            </w:pPr>
          </w:p>
        </w:tc>
      </w:tr>
      <w:tr w14:paraId="776C0515">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753BDF8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3608" w:type="dxa"/>
            <w:tcBorders>
              <w:top w:val="single" w:color="000000" w:sz="4" w:space="0"/>
              <w:left w:val="single" w:color="000000" w:sz="4" w:space="0"/>
              <w:bottom w:val="nil"/>
              <w:right w:val="nil"/>
            </w:tcBorders>
            <w:shd w:val="clear" w:color="000000" w:fill="FFFFFF"/>
            <w:noWrap w:val="0"/>
            <w:vAlign w:val="center"/>
          </w:tcPr>
          <w:p w14:paraId="1B3E67E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标化工地增加费</w:t>
            </w:r>
          </w:p>
        </w:tc>
        <w:tc>
          <w:tcPr>
            <w:tcW w:w="2658" w:type="dxa"/>
            <w:tcBorders>
              <w:top w:val="single" w:color="000000" w:sz="4" w:space="0"/>
              <w:left w:val="single" w:color="000000" w:sz="4" w:space="0"/>
              <w:bottom w:val="nil"/>
              <w:right w:val="nil"/>
            </w:tcBorders>
            <w:shd w:val="clear" w:color="000000" w:fill="FFFFFF"/>
            <w:noWrap/>
            <w:vAlign w:val="center"/>
          </w:tcPr>
          <w:p w14:paraId="236982F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5A9E8690">
            <w:pPr>
              <w:widowControl/>
              <w:jc w:val="center"/>
              <w:rPr>
                <w:rFonts w:hint="eastAsia" w:ascii="宋体" w:hAnsi="宋体" w:eastAsia="宋体" w:cs="宋体"/>
                <w:color w:val="auto"/>
                <w:kern w:val="0"/>
                <w:sz w:val="18"/>
                <w:szCs w:val="18"/>
                <w:highlight w:val="none"/>
              </w:rPr>
            </w:pPr>
          </w:p>
        </w:tc>
      </w:tr>
      <w:tr w14:paraId="59381E97">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22567B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3608" w:type="dxa"/>
            <w:tcBorders>
              <w:top w:val="single" w:color="000000" w:sz="4" w:space="0"/>
              <w:left w:val="single" w:color="000000" w:sz="4" w:space="0"/>
              <w:bottom w:val="nil"/>
              <w:right w:val="nil"/>
            </w:tcBorders>
            <w:shd w:val="clear" w:color="000000" w:fill="FFFFFF"/>
            <w:noWrap w:val="0"/>
            <w:vAlign w:val="center"/>
          </w:tcPr>
          <w:p w14:paraId="3117FB5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优质工程增加费</w:t>
            </w:r>
          </w:p>
        </w:tc>
        <w:tc>
          <w:tcPr>
            <w:tcW w:w="2658" w:type="dxa"/>
            <w:tcBorders>
              <w:top w:val="single" w:color="000000" w:sz="4" w:space="0"/>
              <w:left w:val="single" w:color="000000" w:sz="4" w:space="0"/>
              <w:bottom w:val="nil"/>
              <w:right w:val="nil"/>
            </w:tcBorders>
            <w:shd w:val="clear" w:color="000000" w:fill="FFFFFF"/>
            <w:noWrap/>
            <w:vAlign w:val="center"/>
          </w:tcPr>
          <w:p w14:paraId="2117372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3445CD52">
            <w:pPr>
              <w:widowControl/>
              <w:jc w:val="center"/>
              <w:rPr>
                <w:rFonts w:hint="eastAsia" w:ascii="宋体" w:hAnsi="宋体" w:eastAsia="宋体" w:cs="宋体"/>
                <w:color w:val="auto"/>
                <w:kern w:val="0"/>
                <w:sz w:val="18"/>
                <w:szCs w:val="18"/>
                <w:highlight w:val="none"/>
              </w:rPr>
            </w:pPr>
          </w:p>
        </w:tc>
      </w:tr>
      <w:tr w14:paraId="7E1A49CC">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26ED91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w:t>
            </w:r>
          </w:p>
        </w:tc>
        <w:tc>
          <w:tcPr>
            <w:tcW w:w="3608" w:type="dxa"/>
            <w:tcBorders>
              <w:top w:val="single" w:color="000000" w:sz="4" w:space="0"/>
              <w:left w:val="single" w:color="000000" w:sz="4" w:space="0"/>
              <w:bottom w:val="nil"/>
              <w:right w:val="nil"/>
            </w:tcBorders>
            <w:shd w:val="clear" w:color="000000" w:fill="FFFFFF"/>
            <w:noWrap w:val="0"/>
            <w:vAlign w:val="center"/>
          </w:tcPr>
          <w:p w14:paraId="55322A62">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其他暂列金额</w:t>
            </w:r>
          </w:p>
        </w:tc>
        <w:tc>
          <w:tcPr>
            <w:tcW w:w="2658" w:type="dxa"/>
            <w:tcBorders>
              <w:top w:val="single" w:color="000000" w:sz="4" w:space="0"/>
              <w:left w:val="single" w:color="000000" w:sz="4" w:space="0"/>
              <w:bottom w:val="nil"/>
              <w:right w:val="nil"/>
            </w:tcBorders>
            <w:shd w:val="clear" w:color="000000" w:fill="FFFFFF"/>
            <w:noWrap/>
            <w:vAlign w:val="center"/>
          </w:tcPr>
          <w:p w14:paraId="503E3AC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43991176">
            <w:pPr>
              <w:widowControl/>
              <w:jc w:val="center"/>
              <w:rPr>
                <w:rFonts w:hint="eastAsia" w:ascii="宋体" w:hAnsi="宋体" w:eastAsia="宋体" w:cs="宋体"/>
                <w:color w:val="auto"/>
                <w:kern w:val="0"/>
                <w:sz w:val="18"/>
                <w:szCs w:val="18"/>
                <w:highlight w:val="none"/>
              </w:rPr>
            </w:pPr>
          </w:p>
        </w:tc>
      </w:tr>
      <w:tr w14:paraId="7DCBFE5E">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66168EDB">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608" w:type="dxa"/>
            <w:tcBorders>
              <w:top w:val="single" w:color="000000" w:sz="4" w:space="0"/>
              <w:left w:val="single" w:color="000000" w:sz="4" w:space="0"/>
              <w:bottom w:val="nil"/>
              <w:right w:val="nil"/>
            </w:tcBorders>
            <w:shd w:val="clear" w:color="000000" w:fill="FFFFFF"/>
            <w:noWrap w:val="0"/>
            <w:vAlign w:val="center"/>
          </w:tcPr>
          <w:p w14:paraId="7518C7EF">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2658" w:type="dxa"/>
            <w:tcBorders>
              <w:top w:val="single" w:color="000000" w:sz="4" w:space="0"/>
              <w:left w:val="single" w:color="000000" w:sz="4" w:space="0"/>
              <w:bottom w:val="nil"/>
              <w:right w:val="nil"/>
            </w:tcBorders>
            <w:shd w:val="clear" w:color="000000" w:fill="FFFFFF"/>
            <w:noWrap/>
            <w:vAlign w:val="center"/>
          </w:tcPr>
          <w:p w14:paraId="688821F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4F9035A2">
            <w:pPr>
              <w:widowControl/>
              <w:jc w:val="center"/>
              <w:rPr>
                <w:rFonts w:hint="eastAsia" w:ascii="宋体" w:hAnsi="宋体" w:eastAsia="宋体" w:cs="宋体"/>
                <w:color w:val="auto"/>
                <w:kern w:val="0"/>
                <w:sz w:val="18"/>
                <w:szCs w:val="18"/>
                <w:highlight w:val="none"/>
              </w:rPr>
            </w:pPr>
          </w:p>
        </w:tc>
      </w:tr>
      <w:tr w14:paraId="5182129F">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3B5C941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w:t>
            </w:r>
          </w:p>
        </w:tc>
        <w:tc>
          <w:tcPr>
            <w:tcW w:w="3608" w:type="dxa"/>
            <w:tcBorders>
              <w:top w:val="single" w:color="000000" w:sz="4" w:space="0"/>
              <w:left w:val="single" w:color="000000" w:sz="4" w:space="0"/>
              <w:bottom w:val="nil"/>
              <w:right w:val="nil"/>
            </w:tcBorders>
            <w:shd w:val="clear" w:color="000000" w:fill="FFFFFF"/>
            <w:noWrap w:val="0"/>
            <w:vAlign w:val="center"/>
          </w:tcPr>
          <w:p w14:paraId="5D42B203">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材料（设备）暂估价</w:t>
            </w:r>
          </w:p>
        </w:tc>
        <w:tc>
          <w:tcPr>
            <w:tcW w:w="2658" w:type="dxa"/>
            <w:tcBorders>
              <w:top w:val="single" w:color="000000" w:sz="4" w:space="0"/>
              <w:left w:val="single" w:color="000000" w:sz="4" w:space="0"/>
              <w:bottom w:val="nil"/>
              <w:right w:val="nil"/>
            </w:tcBorders>
            <w:shd w:val="clear" w:color="000000" w:fill="FFFFFF"/>
            <w:noWrap/>
            <w:vAlign w:val="center"/>
          </w:tcPr>
          <w:p w14:paraId="3533B6B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305E8070">
            <w:pPr>
              <w:widowControl/>
              <w:jc w:val="center"/>
              <w:rPr>
                <w:rFonts w:hint="eastAsia" w:ascii="宋体" w:hAnsi="宋体" w:eastAsia="宋体" w:cs="宋体"/>
                <w:color w:val="auto"/>
                <w:kern w:val="0"/>
                <w:sz w:val="18"/>
                <w:szCs w:val="18"/>
                <w:highlight w:val="none"/>
              </w:rPr>
            </w:pPr>
          </w:p>
        </w:tc>
      </w:tr>
      <w:tr w14:paraId="4C7E28DD">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6C01BBAE">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w:t>
            </w:r>
          </w:p>
        </w:tc>
        <w:tc>
          <w:tcPr>
            <w:tcW w:w="3608" w:type="dxa"/>
            <w:tcBorders>
              <w:top w:val="single" w:color="000000" w:sz="4" w:space="0"/>
              <w:left w:val="single" w:color="000000" w:sz="4" w:space="0"/>
              <w:bottom w:val="nil"/>
              <w:right w:val="nil"/>
            </w:tcBorders>
            <w:shd w:val="clear" w:color="000000" w:fill="FFFFFF"/>
            <w:noWrap w:val="0"/>
            <w:vAlign w:val="center"/>
          </w:tcPr>
          <w:p w14:paraId="7EB3A845">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专业工程暂估价</w:t>
            </w:r>
          </w:p>
        </w:tc>
        <w:tc>
          <w:tcPr>
            <w:tcW w:w="2658" w:type="dxa"/>
            <w:tcBorders>
              <w:top w:val="single" w:color="000000" w:sz="4" w:space="0"/>
              <w:left w:val="single" w:color="000000" w:sz="4" w:space="0"/>
              <w:bottom w:val="nil"/>
              <w:right w:val="nil"/>
            </w:tcBorders>
            <w:shd w:val="clear" w:color="000000" w:fill="FFFFFF"/>
            <w:noWrap/>
            <w:vAlign w:val="center"/>
          </w:tcPr>
          <w:p w14:paraId="032DF15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61635160">
            <w:pPr>
              <w:widowControl/>
              <w:jc w:val="center"/>
              <w:rPr>
                <w:rFonts w:hint="eastAsia" w:ascii="宋体" w:hAnsi="宋体" w:eastAsia="宋体" w:cs="宋体"/>
                <w:color w:val="auto"/>
                <w:kern w:val="0"/>
                <w:sz w:val="18"/>
                <w:szCs w:val="18"/>
                <w:highlight w:val="none"/>
              </w:rPr>
            </w:pPr>
          </w:p>
        </w:tc>
      </w:tr>
      <w:tr w14:paraId="2183BD50">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54B64C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2.3</w:t>
            </w:r>
          </w:p>
        </w:tc>
        <w:tc>
          <w:tcPr>
            <w:tcW w:w="3608" w:type="dxa"/>
            <w:tcBorders>
              <w:top w:val="single" w:color="000000" w:sz="4" w:space="0"/>
              <w:left w:val="single" w:color="000000" w:sz="4" w:space="0"/>
              <w:bottom w:val="nil"/>
              <w:right w:val="nil"/>
            </w:tcBorders>
            <w:shd w:val="clear" w:color="000000" w:fill="FFFFFF"/>
            <w:noWrap w:val="0"/>
            <w:vAlign w:val="center"/>
          </w:tcPr>
          <w:p w14:paraId="32F04ADF">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专项技术措施暂估价</w:t>
            </w:r>
          </w:p>
        </w:tc>
        <w:tc>
          <w:tcPr>
            <w:tcW w:w="2658" w:type="dxa"/>
            <w:tcBorders>
              <w:top w:val="single" w:color="000000" w:sz="4" w:space="0"/>
              <w:left w:val="single" w:color="000000" w:sz="4" w:space="0"/>
              <w:bottom w:val="nil"/>
              <w:right w:val="nil"/>
            </w:tcBorders>
            <w:shd w:val="clear" w:color="000000" w:fill="FFFFFF"/>
            <w:noWrap/>
            <w:vAlign w:val="center"/>
          </w:tcPr>
          <w:p w14:paraId="19F03CD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6A1C231A">
            <w:pPr>
              <w:widowControl/>
              <w:jc w:val="center"/>
              <w:rPr>
                <w:rFonts w:hint="eastAsia" w:ascii="宋体" w:hAnsi="宋体" w:eastAsia="宋体" w:cs="宋体"/>
                <w:color w:val="auto"/>
                <w:kern w:val="0"/>
                <w:sz w:val="18"/>
                <w:szCs w:val="18"/>
                <w:highlight w:val="none"/>
              </w:rPr>
            </w:pPr>
          </w:p>
        </w:tc>
      </w:tr>
      <w:tr w14:paraId="6520FD6C">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469E434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3608" w:type="dxa"/>
            <w:tcBorders>
              <w:top w:val="single" w:color="000000" w:sz="4" w:space="0"/>
              <w:left w:val="single" w:color="000000" w:sz="4" w:space="0"/>
              <w:bottom w:val="nil"/>
              <w:right w:val="nil"/>
            </w:tcBorders>
            <w:shd w:val="clear" w:color="000000" w:fill="FFFFFF"/>
            <w:noWrap w:val="0"/>
            <w:vAlign w:val="center"/>
          </w:tcPr>
          <w:p w14:paraId="01DC26D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计日工</w:t>
            </w:r>
          </w:p>
        </w:tc>
        <w:tc>
          <w:tcPr>
            <w:tcW w:w="2658" w:type="dxa"/>
            <w:tcBorders>
              <w:top w:val="single" w:color="000000" w:sz="4" w:space="0"/>
              <w:left w:val="single" w:color="000000" w:sz="4" w:space="0"/>
              <w:bottom w:val="nil"/>
              <w:right w:val="nil"/>
            </w:tcBorders>
            <w:shd w:val="clear" w:color="000000" w:fill="FFFFFF"/>
            <w:noWrap/>
            <w:vAlign w:val="center"/>
          </w:tcPr>
          <w:p w14:paraId="171AC44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519650AB">
            <w:pPr>
              <w:widowControl/>
              <w:jc w:val="center"/>
              <w:rPr>
                <w:rFonts w:hint="eastAsia" w:ascii="宋体" w:hAnsi="宋体" w:eastAsia="宋体" w:cs="宋体"/>
                <w:color w:val="auto"/>
                <w:kern w:val="0"/>
                <w:sz w:val="18"/>
                <w:szCs w:val="18"/>
                <w:highlight w:val="none"/>
              </w:rPr>
            </w:pPr>
          </w:p>
        </w:tc>
      </w:tr>
      <w:tr w14:paraId="7FE57669">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73A4EA8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3608" w:type="dxa"/>
            <w:tcBorders>
              <w:top w:val="single" w:color="000000" w:sz="4" w:space="0"/>
              <w:left w:val="single" w:color="000000" w:sz="4" w:space="0"/>
              <w:bottom w:val="nil"/>
              <w:right w:val="nil"/>
            </w:tcBorders>
            <w:shd w:val="clear" w:color="000000" w:fill="FFFFFF"/>
            <w:noWrap w:val="0"/>
            <w:vAlign w:val="center"/>
          </w:tcPr>
          <w:p w14:paraId="6297A99D">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总承包服务费</w:t>
            </w:r>
          </w:p>
        </w:tc>
        <w:tc>
          <w:tcPr>
            <w:tcW w:w="2658" w:type="dxa"/>
            <w:tcBorders>
              <w:top w:val="single" w:color="000000" w:sz="4" w:space="0"/>
              <w:left w:val="single" w:color="000000" w:sz="4" w:space="0"/>
              <w:bottom w:val="nil"/>
              <w:right w:val="nil"/>
            </w:tcBorders>
            <w:shd w:val="clear" w:color="000000" w:fill="FFFFFF"/>
            <w:noWrap/>
            <w:vAlign w:val="center"/>
          </w:tcPr>
          <w:p w14:paraId="1A4EC85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167993E6">
            <w:pPr>
              <w:widowControl/>
              <w:jc w:val="center"/>
              <w:rPr>
                <w:rFonts w:hint="eastAsia" w:ascii="宋体" w:hAnsi="宋体" w:eastAsia="宋体" w:cs="宋体"/>
                <w:color w:val="auto"/>
                <w:kern w:val="0"/>
                <w:sz w:val="18"/>
                <w:szCs w:val="18"/>
                <w:highlight w:val="none"/>
              </w:rPr>
            </w:pPr>
          </w:p>
        </w:tc>
      </w:tr>
      <w:tr w14:paraId="02513922">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4E807D6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608" w:type="dxa"/>
            <w:tcBorders>
              <w:top w:val="single" w:color="000000" w:sz="4" w:space="0"/>
              <w:left w:val="single" w:color="000000" w:sz="4" w:space="0"/>
              <w:bottom w:val="nil"/>
              <w:right w:val="nil"/>
            </w:tcBorders>
            <w:shd w:val="clear" w:color="000000" w:fill="FFFFFF"/>
            <w:noWrap w:val="0"/>
            <w:vAlign w:val="center"/>
          </w:tcPr>
          <w:p w14:paraId="6009CD6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658" w:type="dxa"/>
            <w:tcBorders>
              <w:top w:val="single" w:color="000000" w:sz="4" w:space="0"/>
              <w:left w:val="single" w:color="000000" w:sz="4" w:space="0"/>
              <w:bottom w:val="nil"/>
              <w:right w:val="nil"/>
            </w:tcBorders>
            <w:shd w:val="clear" w:color="000000" w:fill="FFFFFF"/>
            <w:noWrap/>
            <w:vAlign w:val="center"/>
          </w:tcPr>
          <w:p w14:paraId="7DD2031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763718A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AC1156F">
        <w:tblPrEx>
          <w:tblCellMar>
            <w:top w:w="0" w:type="dxa"/>
            <w:left w:w="108" w:type="dxa"/>
            <w:bottom w:w="0" w:type="dxa"/>
            <w:right w:w="108" w:type="dxa"/>
          </w:tblCellMar>
        </w:tblPrEx>
        <w:trPr>
          <w:trHeight w:val="397" w:hRule="atLeast"/>
        </w:trPr>
        <w:tc>
          <w:tcPr>
            <w:tcW w:w="4268"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1B7B46A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    计</w:t>
            </w:r>
          </w:p>
        </w:tc>
        <w:tc>
          <w:tcPr>
            <w:tcW w:w="2658" w:type="dxa"/>
            <w:tcBorders>
              <w:top w:val="single" w:color="000000" w:sz="4" w:space="0"/>
              <w:left w:val="single" w:color="000000" w:sz="4" w:space="0"/>
              <w:bottom w:val="single" w:color="000000" w:sz="4" w:space="0"/>
              <w:right w:val="nil"/>
            </w:tcBorders>
            <w:shd w:val="clear" w:color="000000" w:fill="FFFFFF"/>
            <w:noWrap/>
            <w:vAlign w:val="center"/>
          </w:tcPr>
          <w:p w14:paraId="3B8852B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9DCAE8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7C222149">
      <w:pPr>
        <w:spacing w:line="300" w:lineRule="auto"/>
        <w:jc w:val="center"/>
        <w:rPr>
          <w:rFonts w:hint="eastAsia" w:ascii="宋体" w:hAnsi="宋体" w:eastAsia="宋体" w:cs="宋体"/>
          <w:b/>
          <w:bCs/>
          <w:color w:val="auto"/>
          <w:sz w:val="28"/>
          <w:highlight w:val="none"/>
        </w:rPr>
      </w:pPr>
      <w:r>
        <w:rPr>
          <w:rFonts w:hint="eastAsia" w:ascii="宋体" w:hAnsi="宋体" w:eastAsia="宋体" w:cs="宋体"/>
          <w:bCs/>
          <w:color w:val="auto"/>
          <w:sz w:val="21"/>
          <w:highlight w:val="none"/>
        </w:rPr>
        <w:br w:type="page"/>
      </w:r>
    </w:p>
    <w:tbl>
      <w:tblPr>
        <w:tblStyle w:val="24"/>
        <w:tblW w:w="9513" w:type="dxa"/>
        <w:tblInd w:w="93" w:type="dxa"/>
        <w:tblLayout w:type="fixed"/>
        <w:tblCellMar>
          <w:top w:w="0" w:type="dxa"/>
          <w:left w:w="108" w:type="dxa"/>
          <w:bottom w:w="0" w:type="dxa"/>
          <w:right w:w="108" w:type="dxa"/>
        </w:tblCellMar>
      </w:tblPr>
      <w:tblGrid>
        <w:gridCol w:w="620"/>
        <w:gridCol w:w="20"/>
        <w:gridCol w:w="2500"/>
        <w:gridCol w:w="980"/>
        <w:gridCol w:w="40"/>
        <w:gridCol w:w="1140"/>
        <w:gridCol w:w="40"/>
        <w:gridCol w:w="1180"/>
        <w:gridCol w:w="980"/>
        <w:gridCol w:w="260"/>
        <w:gridCol w:w="1753"/>
      </w:tblGrid>
      <w:tr w14:paraId="2540D441">
        <w:tblPrEx>
          <w:tblCellMar>
            <w:top w:w="0" w:type="dxa"/>
            <w:left w:w="108" w:type="dxa"/>
            <w:bottom w:w="0" w:type="dxa"/>
            <w:right w:w="108" w:type="dxa"/>
          </w:tblCellMar>
        </w:tblPrEx>
        <w:trPr>
          <w:trHeight w:val="900" w:hRule="atLeast"/>
        </w:trPr>
        <w:tc>
          <w:tcPr>
            <w:tcW w:w="9513" w:type="dxa"/>
            <w:gridSpan w:val="11"/>
            <w:tcBorders>
              <w:top w:val="nil"/>
              <w:left w:val="nil"/>
              <w:bottom w:val="nil"/>
              <w:right w:val="nil"/>
            </w:tcBorders>
            <w:shd w:val="clear" w:color="000000" w:fill="FFFFFF"/>
            <w:noWrap w:val="0"/>
            <w:vAlign w:val="center"/>
          </w:tcPr>
          <w:p w14:paraId="5269B1E4">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暂列金额明细表</w:t>
            </w:r>
          </w:p>
        </w:tc>
      </w:tr>
      <w:tr w14:paraId="64A2AA7A">
        <w:tblPrEx>
          <w:tblCellMar>
            <w:top w:w="0" w:type="dxa"/>
            <w:left w:w="108" w:type="dxa"/>
            <w:bottom w:w="0" w:type="dxa"/>
            <w:right w:w="108" w:type="dxa"/>
          </w:tblCellMar>
        </w:tblPrEx>
        <w:trPr>
          <w:trHeight w:val="495" w:hRule="atLeast"/>
        </w:trPr>
        <w:tc>
          <w:tcPr>
            <w:tcW w:w="5300" w:type="dxa"/>
            <w:gridSpan w:val="6"/>
            <w:tcBorders>
              <w:top w:val="nil"/>
              <w:left w:val="nil"/>
              <w:bottom w:val="nil"/>
              <w:right w:val="nil"/>
            </w:tcBorders>
            <w:shd w:val="clear" w:color="000000" w:fill="FFFFFF"/>
            <w:noWrap w:val="0"/>
            <w:vAlign w:val="bottom"/>
          </w:tcPr>
          <w:p w14:paraId="599987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2200" w:type="dxa"/>
            <w:gridSpan w:val="3"/>
            <w:tcBorders>
              <w:top w:val="nil"/>
              <w:left w:val="nil"/>
              <w:bottom w:val="nil"/>
              <w:right w:val="nil"/>
            </w:tcBorders>
            <w:shd w:val="clear" w:color="000000" w:fill="FFFFFF"/>
            <w:noWrap w:val="0"/>
            <w:vAlign w:val="bottom"/>
          </w:tcPr>
          <w:p w14:paraId="37B59A3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013" w:type="dxa"/>
            <w:gridSpan w:val="2"/>
            <w:tcBorders>
              <w:top w:val="nil"/>
              <w:left w:val="nil"/>
              <w:bottom w:val="nil"/>
              <w:right w:val="nil"/>
            </w:tcBorders>
            <w:shd w:val="clear" w:color="000000" w:fill="FFFFFF"/>
            <w:noWrap w:val="0"/>
            <w:vAlign w:val="bottom"/>
          </w:tcPr>
          <w:p w14:paraId="12EBF68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43A8B97A">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2124207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2583489B">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 目 名 称</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262B894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计量单位</w:t>
            </w:r>
          </w:p>
        </w:tc>
        <w:tc>
          <w:tcPr>
            <w:tcW w:w="2200" w:type="dxa"/>
            <w:gridSpan w:val="3"/>
            <w:tcBorders>
              <w:top w:val="single" w:color="000000" w:sz="4" w:space="0"/>
              <w:left w:val="single" w:color="000000" w:sz="4" w:space="0"/>
              <w:bottom w:val="nil"/>
              <w:right w:val="nil"/>
            </w:tcBorders>
            <w:shd w:val="clear" w:color="000000" w:fill="FFFFFF"/>
            <w:noWrap w:val="0"/>
            <w:vAlign w:val="center"/>
          </w:tcPr>
          <w:p w14:paraId="54625C89">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暂定金额(元)</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1169EE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04EC8ECC">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156E059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2A6E4809">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标化工地增加费</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02646A7C">
            <w:pPr>
              <w:widowControl/>
              <w:ind w:left="0" w:leftChars="0" w:firstLine="360" w:firstLineChars="20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1892751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1B1EEC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7CA84AC">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58688CC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6369E2E2">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优质工程增加费</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4A0D246C">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34995F0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CB7156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2693E7D">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7F8BB1A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718FBE19">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其他暂列金额</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3F4D9294">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46F6B94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5E14FF0C">
            <w:pPr>
              <w:widowControl/>
              <w:jc w:val="left"/>
              <w:rPr>
                <w:rFonts w:hint="eastAsia" w:ascii="宋体" w:hAnsi="宋体" w:eastAsia="宋体" w:cs="宋体"/>
                <w:color w:val="auto"/>
                <w:kern w:val="0"/>
                <w:sz w:val="18"/>
                <w:szCs w:val="18"/>
                <w:highlight w:val="none"/>
              </w:rPr>
            </w:pPr>
          </w:p>
        </w:tc>
      </w:tr>
      <w:tr w14:paraId="6C921B58">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21581CA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4136A33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其他暂列金额</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35C06689">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3D09B44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2CCD9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4DEB225">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1C73767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19FF38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2B4D6EB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43EED0F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85A4C7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AE96B37">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090AA4C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39F9CBF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4E6537C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238F99E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9CFEBC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237632B">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39201C0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35297E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0D6A3F3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6F3A405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11B07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A554C08">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336FD18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3ED3F1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19DF3EE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2E13D9D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EC0EA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8967A9E">
        <w:trPr>
          <w:trHeight w:val="525" w:hRule="atLeast"/>
        </w:trPr>
        <w:tc>
          <w:tcPr>
            <w:tcW w:w="4120" w:type="dxa"/>
            <w:gridSpan w:val="4"/>
            <w:tcBorders>
              <w:top w:val="single" w:color="000000" w:sz="4" w:space="0"/>
              <w:left w:val="single" w:color="000000" w:sz="4" w:space="0"/>
              <w:bottom w:val="single" w:color="000000" w:sz="4" w:space="0"/>
              <w:right w:val="nil"/>
            </w:tcBorders>
            <w:shd w:val="clear" w:color="000000" w:fill="FFFFFF"/>
            <w:noWrap w:val="0"/>
            <w:vAlign w:val="center"/>
          </w:tcPr>
          <w:p w14:paraId="48F267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180"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1B5819C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single" w:color="000000" w:sz="4" w:space="0"/>
              <w:right w:val="nil"/>
            </w:tcBorders>
            <w:shd w:val="clear" w:color="000000" w:fill="FFFFFF"/>
            <w:noWrap/>
            <w:vAlign w:val="center"/>
          </w:tcPr>
          <w:p w14:paraId="48C3581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D3D9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14:paraId="1D2F9152">
        <w:trPr>
          <w:trHeight w:val="900" w:hRule="atLeast"/>
        </w:trPr>
        <w:tc>
          <w:tcPr>
            <w:tcW w:w="9513" w:type="dxa"/>
            <w:gridSpan w:val="11"/>
            <w:tcBorders>
              <w:top w:val="nil"/>
              <w:left w:val="nil"/>
              <w:bottom w:val="nil"/>
              <w:right w:val="nil"/>
            </w:tcBorders>
            <w:shd w:val="clear" w:color="000000" w:fill="FFFFFF"/>
            <w:noWrap w:val="0"/>
            <w:vAlign w:val="center"/>
          </w:tcPr>
          <w:p w14:paraId="44EB8CC3">
            <w:pPr>
              <w:spacing w:line="300" w:lineRule="auto"/>
              <w:jc w:val="left"/>
              <w:rPr>
                <w:rFonts w:hint="eastAsia" w:ascii="宋体" w:hAnsi="宋体" w:eastAsia="宋体" w:cs="宋体"/>
                <w:b/>
                <w:color w:val="auto"/>
                <w:sz w:val="24"/>
                <w:highlight w:val="none"/>
              </w:rPr>
            </w:pPr>
          </w:p>
          <w:p w14:paraId="65630F83">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材料（工程设备）暂估单价表</w:t>
            </w:r>
          </w:p>
        </w:tc>
      </w:tr>
      <w:tr w14:paraId="77319F47">
        <w:tblPrEx>
          <w:tblCellMar>
            <w:top w:w="0" w:type="dxa"/>
            <w:left w:w="108" w:type="dxa"/>
            <w:bottom w:w="0" w:type="dxa"/>
            <w:right w:w="108" w:type="dxa"/>
          </w:tblCellMar>
        </w:tblPrEx>
        <w:trPr>
          <w:trHeight w:val="435" w:hRule="atLeast"/>
        </w:trPr>
        <w:tc>
          <w:tcPr>
            <w:tcW w:w="4160" w:type="dxa"/>
            <w:gridSpan w:val="5"/>
            <w:tcBorders>
              <w:top w:val="nil"/>
              <w:left w:val="nil"/>
              <w:bottom w:val="nil"/>
              <w:right w:val="nil"/>
            </w:tcBorders>
            <w:shd w:val="clear" w:color="000000" w:fill="FFFFFF"/>
            <w:noWrap w:val="0"/>
            <w:vAlign w:val="bottom"/>
          </w:tcPr>
          <w:p w14:paraId="53436AC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1180" w:type="dxa"/>
            <w:gridSpan w:val="2"/>
            <w:tcBorders>
              <w:top w:val="nil"/>
              <w:left w:val="nil"/>
              <w:bottom w:val="nil"/>
              <w:right w:val="nil"/>
            </w:tcBorders>
            <w:shd w:val="clear" w:color="000000" w:fill="FFFFFF"/>
            <w:noWrap w:val="0"/>
            <w:vAlign w:val="bottom"/>
          </w:tcPr>
          <w:p w14:paraId="45F6A1C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nil"/>
              <w:left w:val="nil"/>
              <w:bottom w:val="nil"/>
              <w:right w:val="nil"/>
            </w:tcBorders>
            <w:shd w:val="clear" w:color="000000" w:fill="FFFFFF"/>
            <w:noWrap w:val="0"/>
            <w:vAlign w:val="bottom"/>
          </w:tcPr>
          <w:p w14:paraId="59AC12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993" w:type="dxa"/>
            <w:gridSpan w:val="3"/>
            <w:tcBorders>
              <w:top w:val="nil"/>
              <w:left w:val="nil"/>
              <w:bottom w:val="nil"/>
              <w:right w:val="nil"/>
            </w:tcBorders>
            <w:shd w:val="clear" w:color="000000" w:fill="FFFFFF"/>
            <w:noWrap w:val="0"/>
            <w:vAlign w:val="bottom"/>
          </w:tcPr>
          <w:p w14:paraId="4583C5C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4952BCA1">
        <w:tblPrEx>
          <w:tblCellMar>
            <w:top w:w="0" w:type="dxa"/>
            <w:left w:w="108" w:type="dxa"/>
            <w:bottom w:w="0" w:type="dxa"/>
            <w:right w:w="108" w:type="dxa"/>
          </w:tblCellMar>
        </w:tblPrEx>
        <w:trPr>
          <w:trHeight w:val="88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1678F3E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500" w:type="dxa"/>
            <w:tcBorders>
              <w:top w:val="single" w:color="000000" w:sz="4" w:space="0"/>
              <w:left w:val="single" w:color="000000" w:sz="4" w:space="0"/>
              <w:bottom w:val="nil"/>
              <w:right w:val="nil"/>
            </w:tcBorders>
            <w:shd w:val="clear" w:color="000000" w:fill="FFFFFF"/>
            <w:noWrap w:val="0"/>
            <w:vAlign w:val="center"/>
          </w:tcPr>
          <w:p w14:paraId="2B1004D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材料（工程设备）名称、规格、型号</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04140F30">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计量</w:t>
            </w:r>
          </w:p>
          <w:p w14:paraId="203C7F9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1D7EFDC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1180" w:type="dxa"/>
            <w:tcBorders>
              <w:top w:val="single" w:color="000000" w:sz="4" w:space="0"/>
              <w:left w:val="single" w:color="000000" w:sz="4" w:space="0"/>
              <w:bottom w:val="nil"/>
              <w:right w:val="nil"/>
            </w:tcBorders>
            <w:shd w:val="clear" w:color="000000" w:fill="FFFFFF"/>
            <w:noWrap w:val="0"/>
            <w:vAlign w:val="center"/>
          </w:tcPr>
          <w:p w14:paraId="5C27180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单价</w:t>
            </w:r>
          </w:p>
        </w:tc>
        <w:tc>
          <w:tcPr>
            <w:tcW w:w="1240" w:type="dxa"/>
            <w:gridSpan w:val="2"/>
            <w:tcBorders>
              <w:top w:val="single" w:color="000000" w:sz="4" w:space="0"/>
              <w:left w:val="single" w:color="000000" w:sz="4" w:space="0"/>
              <w:bottom w:val="nil"/>
              <w:right w:val="nil"/>
            </w:tcBorders>
            <w:shd w:val="clear" w:color="000000" w:fill="FFFFFF"/>
            <w:noWrap w:val="0"/>
            <w:vAlign w:val="center"/>
          </w:tcPr>
          <w:p w14:paraId="48C28CA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2081336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11D4BFA1">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11C4D40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59C19F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75B0716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1259DC9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6D851A4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3A026C6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3F4B93A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EFD4267">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7A33D80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6725DB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393161B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5E8514A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53D33B0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11EDF9E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2994B8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DBD4162">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4FCEE56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26ED1B6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026BD51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3BD2482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4496FBE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3263DF9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4EFC8D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FF414FC">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657187A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ACEF4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15494D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3410D25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72FC26C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6EDC94C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6EFDD7A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9F15E50">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44A799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349F17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783EC0C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5F5377E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2F5C101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7D27A1A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34C5B65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CBCE479">
        <w:trPr>
          <w:trHeight w:val="450" w:hRule="atLeast"/>
        </w:trPr>
        <w:tc>
          <w:tcPr>
            <w:tcW w:w="4160"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1747F1E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180" w:type="dxa"/>
            <w:gridSpan w:val="2"/>
            <w:tcBorders>
              <w:top w:val="single" w:color="000000" w:sz="4" w:space="0"/>
              <w:left w:val="single" w:color="000000" w:sz="4" w:space="0"/>
              <w:bottom w:val="single" w:color="000000" w:sz="4" w:space="0"/>
              <w:right w:val="nil"/>
            </w:tcBorders>
            <w:shd w:val="clear" w:color="000000" w:fill="FFFFFF"/>
            <w:noWrap/>
            <w:vAlign w:val="center"/>
          </w:tcPr>
          <w:p w14:paraId="7C5246A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single" w:color="000000" w:sz="4" w:space="0"/>
              <w:right w:val="nil"/>
            </w:tcBorders>
            <w:shd w:val="clear" w:color="000000" w:fill="FFFFFF"/>
            <w:noWrap/>
            <w:vAlign w:val="center"/>
          </w:tcPr>
          <w:p w14:paraId="3DD445E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single" w:color="000000" w:sz="4" w:space="0"/>
              <w:right w:val="nil"/>
            </w:tcBorders>
            <w:shd w:val="clear" w:color="000000" w:fill="FFFFFF"/>
            <w:noWrap/>
            <w:vAlign w:val="center"/>
          </w:tcPr>
          <w:p w14:paraId="399FE4F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single" w:color="000000" w:sz="4" w:space="0"/>
              <w:right w:val="single" w:color="000000" w:sz="4" w:space="0"/>
            </w:tcBorders>
            <w:shd w:val="clear" w:color="000000" w:fill="FFFFFF"/>
            <w:noWrap w:val="0"/>
            <w:vAlign w:val="bottom"/>
          </w:tcPr>
          <w:p w14:paraId="289AAD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03F27503">
      <w:pPr>
        <w:spacing w:line="300" w:lineRule="auto"/>
        <w:jc w:val="left"/>
        <w:rPr>
          <w:rFonts w:hint="eastAsia" w:ascii="宋体" w:hAnsi="宋体" w:eastAsia="宋体" w:cs="宋体"/>
          <w:b/>
          <w:color w:val="auto"/>
          <w:sz w:val="24"/>
          <w:highlight w:val="none"/>
        </w:rPr>
      </w:pPr>
    </w:p>
    <w:p w14:paraId="50F1EECB">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tbl>
      <w:tblPr>
        <w:tblStyle w:val="24"/>
        <w:tblW w:w="9461" w:type="dxa"/>
        <w:tblInd w:w="93" w:type="dxa"/>
        <w:tblLayout w:type="fixed"/>
        <w:tblCellMar>
          <w:top w:w="0" w:type="dxa"/>
          <w:left w:w="108" w:type="dxa"/>
          <w:bottom w:w="0" w:type="dxa"/>
          <w:right w:w="108" w:type="dxa"/>
        </w:tblCellMar>
      </w:tblPr>
      <w:tblGrid>
        <w:gridCol w:w="660"/>
        <w:gridCol w:w="20"/>
        <w:gridCol w:w="2454"/>
        <w:gridCol w:w="567"/>
        <w:gridCol w:w="2000"/>
        <w:gridCol w:w="13"/>
        <w:gridCol w:w="1780"/>
        <w:gridCol w:w="87"/>
        <w:gridCol w:w="1693"/>
        <w:gridCol w:w="187"/>
      </w:tblGrid>
      <w:tr w14:paraId="224CC236">
        <w:tblPrEx>
          <w:tblCellMar>
            <w:top w:w="0" w:type="dxa"/>
            <w:left w:w="108" w:type="dxa"/>
            <w:bottom w:w="0" w:type="dxa"/>
            <w:right w:w="108" w:type="dxa"/>
          </w:tblCellMar>
        </w:tblPrEx>
        <w:trPr>
          <w:trHeight w:val="900" w:hRule="atLeast"/>
        </w:trPr>
        <w:tc>
          <w:tcPr>
            <w:tcW w:w="9461" w:type="dxa"/>
            <w:gridSpan w:val="10"/>
            <w:tcBorders>
              <w:top w:val="nil"/>
              <w:left w:val="nil"/>
              <w:bottom w:val="nil"/>
              <w:right w:val="nil"/>
            </w:tcBorders>
            <w:shd w:val="clear" w:color="000000" w:fill="FFFFFF"/>
            <w:noWrap w:val="0"/>
            <w:vAlign w:val="center"/>
          </w:tcPr>
          <w:p w14:paraId="6DD3DD30">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专业工程暂估价表</w:t>
            </w:r>
          </w:p>
        </w:tc>
      </w:tr>
      <w:tr w14:paraId="117E06B2">
        <w:tblPrEx>
          <w:tblCellMar>
            <w:top w:w="0" w:type="dxa"/>
            <w:left w:w="108" w:type="dxa"/>
            <w:bottom w:w="0" w:type="dxa"/>
            <w:right w:w="108" w:type="dxa"/>
          </w:tblCellMar>
        </w:tblPrEx>
        <w:trPr>
          <w:trHeight w:val="435" w:hRule="atLeast"/>
        </w:trPr>
        <w:tc>
          <w:tcPr>
            <w:tcW w:w="3701" w:type="dxa"/>
            <w:gridSpan w:val="4"/>
            <w:tcBorders>
              <w:top w:val="nil"/>
              <w:left w:val="nil"/>
              <w:bottom w:val="nil"/>
              <w:right w:val="nil"/>
            </w:tcBorders>
            <w:shd w:val="clear" w:color="000000" w:fill="FFFFFF"/>
            <w:noWrap w:val="0"/>
            <w:vAlign w:val="bottom"/>
          </w:tcPr>
          <w:p w14:paraId="1E81631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2000" w:type="dxa"/>
            <w:tcBorders>
              <w:top w:val="nil"/>
              <w:left w:val="nil"/>
              <w:bottom w:val="nil"/>
              <w:right w:val="nil"/>
            </w:tcBorders>
            <w:shd w:val="clear" w:color="000000" w:fill="FFFFFF"/>
            <w:noWrap w:val="0"/>
            <w:vAlign w:val="bottom"/>
          </w:tcPr>
          <w:p w14:paraId="229D25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760" w:type="dxa"/>
            <w:gridSpan w:val="5"/>
            <w:tcBorders>
              <w:top w:val="nil"/>
              <w:left w:val="nil"/>
              <w:bottom w:val="nil"/>
              <w:right w:val="nil"/>
            </w:tcBorders>
            <w:shd w:val="clear" w:color="000000" w:fill="FFFFFF"/>
            <w:noWrap w:val="0"/>
            <w:vAlign w:val="bottom"/>
          </w:tcPr>
          <w:p w14:paraId="1E86306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1C8D0461">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57327E2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2F11626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 程 名 称</w:t>
            </w:r>
          </w:p>
        </w:tc>
        <w:tc>
          <w:tcPr>
            <w:tcW w:w="2000" w:type="dxa"/>
            <w:tcBorders>
              <w:top w:val="single" w:color="000000" w:sz="4" w:space="0"/>
              <w:left w:val="single" w:color="000000" w:sz="4" w:space="0"/>
              <w:bottom w:val="nil"/>
              <w:right w:val="nil"/>
            </w:tcBorders>
            <w:shd w:val="clear" w:color="000000" w:fill="FFFFFF"/>
            <w:noWrap w:val="0"/>
            <w:vAlign w:val="center"/>
          </w:tcPr>
          <w:p w14:paraId="2FF077B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工程内容</w:t>
            </w:r>
          </w:p>
        </w:tc>
        <w:tc>
          <w:tcPr>
            <w:tcW w:w="1880" w:type="dxa"/>
            <w:gridSpan w:val="3"/>
            <w:tcBorders>
              <w:top w:val="single" w:color="000000" w:sz="4" w:space="0"/>
              <w:left w:val="single" w:color="000000" w:sz="4" w:space="0"/>
              <w:bottom w:val="nil"/>
              <w:right w:val="nil"/>
            </w:tcBorders>
            <w:shd w:val="clear" w:color="000000" w:fill="FFFFFF"/>
            <w:noWrap w:val="0"/>
            <w:vAlign w:val="center"/>
          </w:tcPr>
          <w:p w14:paraId="394CD975">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暂估金额(元)</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7AF97C1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8E4DF22">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0ADD923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60A62C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1317C79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263063B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430D9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59E48F2">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7BF8F07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698984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2AB218E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1E8C04F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E3CF76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D95A2BF">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2092760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6A3F270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02E80B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686D69D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6F41C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CB31C5E">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7BBC1EA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5A8AFF6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610483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3490B4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39F90C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4B0E761">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3A5A19D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28E6BAC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067C416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55271B7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77F4E2D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FCBCDBE">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0C3077C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0AB5F8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73A294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52EF6FC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5BD3899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A517818">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717EA10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173E01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6E002A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180650F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ACE28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C36DFFD">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6100C06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220539D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478FC9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1BD4FEE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A7ACD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E31F939">
        <w:tblPrEx>
          <w:tblCellMar>
            <w:top w:w="0" w:type="dxa"/>
            <w:left w:w="108" w:type="dxa"/>
            <w:bottom w:w="0" w:type="dxa"/>
            <w:right w:w="108" w:type="dxa"/>
          </w:tblCellMar>
        </w:tblPrEx>
        <w:trPr>
          <w:trHeight w:val="525" w:hRule="atLeast"/>
        </w:trPr>
        <w:tc>
          <w:tcPr>
            <w:tcW w:w="5701"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03AC902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880" w:type="dxa"/>
            <w:gridSpan w:val="3"/>
            <w:tcBorders>
              <w:top w:val="single" w:color="000000" w:sz="4" w:space="0"/>
              <w:left w:val="single" w:color="000000" w:sz="4" w:space="0"/>
              <w:bottom w:val="single" w:color="000000" w:sz="4" w:space="0"/>
              <w:right w:val="nil"/>
            </w:tcBorders>
            <w:shd w:val="clear" w:color="000000" w:fill="FFFFFF"/>
            <w:noWrap/>
            <w:vAlign w:val="center"/>
          </w:tcPr>
          <w:p w14:paraId="37058E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5D938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079B709">
        <w:tblPrEx>
          <w:tblCellMar>
            <w:top w:w="0" w:type="dxa"/>
            <w:left w:w="108" w:type="dxa"/>
            <w:bottom w:w="0" w:type="dxa"/>
            <w:right w:w="108" w:type="dxa"/>
          </w:tblCellMar>
        </w:tblPrEx>
        <w:trPr>
          <w:gridAfter w:val="1"/>
          <w:wAfter w:w="187" w:type="dxa"/>
          <w:trHeight w:val="900" w:hRule="atLeast"/>
        </w:trPr>
        <w:tc>
          <w:tcPr>
            <w:tcW w:w="9274" w:type="dxa"/>
            <w:gridSpan w:val="9"/>
            <w:tcBorders>
              <w:top w:val="nil"/>
              <w:left w:val="nil"/>
              <w:bottom w:val="nil"/>
              <w:right w:val="nil"/>
            </w:tcBorders>
            <w:shd w:val="clear" w:color="000000" w:fill="FFFFFF"/>
            <w:noWrap w:val="0"/>
            <w:vAlign w:val="center"/>
          </w:tcPr>
          <w:p w14:paraId="491EFAA8">
            <w:pPr>
              <w:spacing w:line="300" w:lineRule="auto"/>
              <w:jc w:val="left"/>
              <w:rPr>
                <w:rFonts w:hint="eastAsia" w:ascii="宋体" w:hAnsi="宋体" w:eastAsia="宋体" w:cs="宋体"/>
                <w:b/>
                <w:color w:val="auto"/>
                <w:sz w:val="24"/>
                <w:highlight w:val="none"/>
              </w:rPr>
            </w:pPr>
          </w:p>
          <w:p w14:paraId="13BE6C10">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专项技术措施暂估价表</w:t>
            </w:r>
          </w:p>
        </w:tc>
      </w:tr>
      <w:tr w14:paraId="1A5BED85">
        <w:tblPrEx>
          <w:tblCellMar>
            <w:top w:w="0" w:type="dxa"/>
            <w:left w:w="108" w:type="dxa"/>
            <w:bottom w:w="0" w:type="dxa"/>
            <w:right w:w="108" w:type="dxa"/>
          </w:tblCellMar>
        </w:tblPrEx>
        <w:trPr>
          <w:gridAfter w:val="1"/>
          <w:wAfter w:w="187" w:type="dxa"/>
          <w:trHeight w:val="435" w:hRule="atLeast"/>
        </w:trPr>
        <w:tc>
          <w:tcPr>
            <w:tcW w:w="3134" w:type="dxa"/>
            <w:gridSpan w:val="3"/>
            <w:tcBorders>
              <w:top w:val="nil"/>
              <w:left w:val="nil"/>
              <w:bottom w:val="nil"/>
              <w:right w:val="nil"/>
            </w:tcBorders>
            <w:shd w:val="clear" w:color="000000" w:fill="FFFFFF"/>
            <w:noWrap w:val="0"/>
            <w:vAlign w:val="bottom"/>
          </w:tcPr>
          <w:p w14:paraId="21E4BE2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2580" w:type="dxa"/>
            <w:gridSpan w:val="3"/>
            <w:tcBorders>
              <w:top w:val="nil"/>
              <w:left w:val="nil"/>
              <w:bottom w:val="nil"/>
              <w:right w:val="nil"/>
            </w:tcBorders>
            <w:shd w:val="clear" w:color="000000" w:fill="FFFFFF"/>
            <w:noWrap w:val="0"/>
            <w:vAlign w:val="bottom"/>
          </w:tcPr>
          <w:p w14:paraId="55CEA0B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560" w:type="dxa"/>
            <w:gridSpan w:val="3"/>
            <w:tcBorders>
              <w:top w:val="nil"/>
              <w:left w:val="nil"/>
              <w:bottom w:val="nil"/>
              <w:right w:val="nil"/>
            </w:tcBorders>
            <w:shd w:val="clear" w:color="000000" w:fill="FFFFFF"/>
            <w:noWrap w:val="0"/>
            <w:vAlign w:val="bottom"/>
          </w:tcPr>
          <w:p w14:paraId="7666E9F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64F50AE1">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6743C3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2E1C97A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工程名称</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4E4ECB2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工程内容</w:t>
            </w:r>
          </w:p>
        </w:tc>
        <w:tc>
          <w:tcPr>
            <w:tcW w:w="1780" w:type="dxa"/>
            <w:tcBorders>
              <w:top w:val="single" w:color="000000" w:sz="4" w:space="0"/>
              <w:left w:val="single" w:color="000000" w:sz="4" w:space="0"/>
              <w:bottom w:val="nil"/>
              <w:right w:val="nil"/>
            </w:tcBorders>
            <w:shd w:val="clear" w:color="000000" w:fill="FFFFFF"/>
            <w:noWrap w:val="0"/>
            <w:vAlign w:val="center"/>
          </w:tcPr>
          <w:p w14:paraId="6160C48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暂估金额(元)</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27BF98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99C1DCE">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3A56F6C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1D81E8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3556FA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7C3A92E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3005CA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12AE555">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998312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2A69FD0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167333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62FD05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73C6B5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44C7CCD">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4D0DB7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52192C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43B48C5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66B962A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C0023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A99E6D3">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67EE39A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7E90B01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3361D82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12F258E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36596C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DDA1105">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1937F7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6A52A5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76ADF7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404B9A3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8976A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91FBFB4">
        <w:tblPrEx>
          <w:tblCellMar>
            <w:top w:w="0" w:type="dxa"/>
            <w:left w:w="108" w:type="dxa"/>
            <w:bottom w:w="0" w:type="dxa"/>
            <w:right w:w="108" w:type="dxa"/>
          </w:tblCellMar>
        </w:tblPrEx>
        <w:trPr>
          <w:gridAfter w:val="1"/>
          <w:wAfter w:w="187" w:type="dxa"/>
          <w:trHeight w:val="525" w:hRule="atLeast"/>
        </w:trPr>
        <w:tc>
          <w:tcPr>
            <w:tcW w:w="5714" w:type="dxa"/>
            <w:gridSpan w:val="6"/>
            <w:tcBorders>
              <w:top w:val="single" w:color="000000" w:sz="4" w:space="0"/>
              <w:left w:val="single" w:color="000000" w:sz="4" w:space="0"/>
              <w:bottom w:val="single" w:color="000000" w:sz="4" w:space="0"/>
              <w:right w:val="nil"/>
            </w:tcBorders>
            <w:shd w:val="clear" w:color="000000" w:fill="FFFFFF"/>
            <w:noWrap w:val="0"/>
            <w:vAlign w:val="center"/>
          </w:tcPr>
          <w:p w14:paraId="15506F5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780" w:type="dxa"/>
            <w:tcBorders>
              <w:top w:val="single" w:color="000000" w:sz="4" w:space="0"/>
              <w:left w:val="single" w:color="000000" w:sz="4" w:space="0"/>
              <w:bottom w:val="single" w:color="000000" w:sz="4" w:space="0"/>
              <w:right w:val="nil"/>
            </w:tcBorders>
            <w:shd w:val="clear" w:color="000000" w:fill="FFFFFF"/>
            <w:noWrap/>
            <w:vAlign w:val="center"/>
          </w:tcPr>
          <w:p w14:paraId="649FD1B5">
            <w:pPr>
              <w:widowControl/>
              <w:wordWrap w:val="0"/>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w:t>
            </w:r>
          </w:p>
        </w:tc>
        <w:tc>
          <w:tcPr>
            <w:tcW w:w="178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A2B22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2A36496B">
      <w:pPr>
        <w:tabs>
          <w:tab w:val="left" w:pos="3780"/>
        </w:tabs>
        <w:spacing w:before="120" w:beforeLines="50"/>
        <w:jc w:val="right"/>
        <w:rPr>
          <w:rFonts w:hint="eastAsia" w:ascii="宋体" w:hAnsi="宋体" w:eastAsia="宋体" w:cs="宋体"/>
          <w:color w:val="auto"/>
          <w:sz w:val="18"/>
          <w:szCs w:val="18"/>
          <w:highlight w:val="none"/>
        </w:rPr>
      </w:pPr>
    </w:p>
    <w:p w14:paraId="472CCB10">
      <w:pPr>
        <w:spacing w:line="300" w:lineRule="auto"/>
        <w:jc w:val="left"/>
        <w:rPr>
          <w:rFonts w:hint="eastAsia" w:ascii="宋体" w:hAnsi="宋体" w:eastAsia="宋体" w:cs="宋体"/>
          <w:b/>
          <w:color w:val="auto"/>
          <w:sz w:val="24"/>
          <w:highlight w:val="none"/>
        </w:rPr>
      </w:pPr>
    </w:p>
    <w:p w14:paraId="13033EEF">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tbl>
      <w:tblPr>
        <w:tblStyle w:val="24"/>
        <w:tblW w:w="9188" w:type="dxa"/>
        <w:tblInd w:w="91" w:type="dxa"/>
        <w:tblLayout w:type="fixed"/>
        <w:tblCellMar>
          <w:top w:w="0" w:type="dxa"/>
          <w:left w:w="108" w:type="dxa"/>
          <w:bottom w:w="0" w:type="dxa"/>
          <w:right w:w="108" w:type="dxa"/>
        </w:tblCellMar>
      </w:tblPr>
      <w:tblGrid>
        <w:gridCol w:w="1060"/>
        <w:gridCol w:w="3208"/>
        <w:gridCol w:w="1260"/>
        <w:gridCol w:w="1280"/>
        <w:gridCol w:w="1140"/>
        <w:gridCol w:w="1240"/>
      </w:tblGrid>
      <w:tr w14:paraId="128C4CDA">
        <w:tblPrEx>
          <w:tblCellMar>
            <w:top w:w="0" w:type="dxa"/>
            <w:left w:w="108" w:type="dxa"/>
            <w:bottom w:w="0" w:type="dxa"/>
            <w:right w:w="108" w:type="dxa"/>
          </w:tblCellMar>
        </w:tblPrEx>
        <w:trPr>
          <w:trHeight w:val="600" w:hRule="atLeast"/>
        </w:trPr>
        <w:tc>
          <w:tcPr>
            <w:tcW w:w="9188" w:type="dxa"/>
            <w:gridSpan w:val="6"/>
            <w:tcBorders>
              <w:top w:val="nil"/>
              <w:left w:val="nil"/>
              <w:bottom w:val="nil"/>
              <w:right w:val="nil"/>
            </w:tcBorders>
            <w:shd w:val="clear" w:color="000000" w:fill="FFFFFF"/>
            <w:noWrap w:val="0"/>
            <w:vAlign w:val="center"/>
          </w:tcPr>
          <w:p w14:paraId="1F011330">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计 日 工 表</w:t>
            </w:r>
          </w:p>
        </w:tc>
      </w:tr>
      <w:tr w14:paraId="39681490">
        <w:tblPrEx>
          <w:tblCellMar>
            <w:top w:w="0" w:type="dxa"/>
            <w:left w:w="108" w:type="dxa"/>
            <w:bottom w:w="0" w:type="dxa"/>
            <w:right w:w="108" w:type="dxa"/>
          </w:tblCellMar>
        </w:tblPrEx>
        <w:trPr>
          <w:trHeight w:val="360" w:hRule="atLeast"/>
        </w:trPr>
        <w:tc>
          <w:tcPr>
            <w:tcW w:w="4268" w:type="dxa"/>
            <w:gridSpan w:val="2"/>
            <w:tcBorders>
              <w:top w:val="nil"/>
              <w:left w:val="nil"/>
              <w:bottom w:val="nil"/>
              <w:right w:val="nil"/>
            </w:tcBorders>
            <w:shd w:val="clear" w:color="000000" w:fill="FFFFFF"/>
            <w:noWrap w:val="0"/>
            <w:vAlign w:val="bottom"/>
          </w:tcPr>
          <w:p w14:paraId="1FA1DB6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2540" w:type="dxa"/>
            <w:gridSpan w:val="2"/>
            <w:tcBorders>
              <w:top w:val="nil"/>
              <w:left w:val="nil"/>
              <w:bottom w:val="nil"/>
              <w:right w:val="nil"/>
            </w:tcBorders>
            <w:shd w:val="clear" w:color="000000" w:fill="FFFFFF"/>
            <w:noWrap w:val="0"/>
            <w:vAlign w:val="bottom"/>
          </w:tcPr>
          <w:p w14:paraId="67BC19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380" w:type="dxa"/>
            <w:gridSpan w:val="2"/>
            <w:tcBorders>
              <w:top w:val="nil"/>
              <w:left w:val="nil"/>
              <w:bottom w:val="nil"/>
              <w:right w:val="nil"/>
            </w:tcBorders>
            <w:shd w:val="clear" w:color="000000" w:fill="FFFFFF"/>
            <w:noWrap w:val="0"/>
            <w:vAlign w:val="bottom"/>
          </w:tcPr>
          <w:p w14:paraId="68695BF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03F0E510">
        <w:tblPrEx>
          <w:tblCellMar>
            <w:top w:w="0" w:type="dxa"/>
            <w:left w:w="108" w:type="dxa"/>
            <w:bottom w:w="0" w:type="dxa"/>
            <w:right w:w="108" w:type="dxa"/>
          </w:tblCellMar>
        </w:tblPrEx>
        <w:trPr>
          <w:trHeight w:val="390" w:hRule="atLeast"/>
        </w:trPr>
        <w:tc>
          <w:tcPr>
            <w:tcW w:w="1060" w:type="dxa"/>
            <w:vMerge w:val="restart"/>
            <w:tcBorders>
              <w:top w:val="single" w:color="000000" w:sz="4" w:space="0"/>
              <w:left w:val="single" w:color="000000" w:sz="4" w:space="0"/>
              <w:bottom w:val="nil"/>
              <w:right w:val="nil"/>
            </w:tcBorders>
            <w:shd w:val="clear" w:color="000000" w:fill="FFFFFF"/>
            <w:noWrap w:val="0"/>
            <w:vAlign w:val="center"/>
          </w:tcPr>
          <w:p w14:paraId="26C8C81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编号</w:t>
            </w:r>
          </w:p>
        </w:tc>
        <w:tc>
          <w:tcPr>
            <w:tcW w:w="3208" w:type="dxa"/>
            <w:vMerge w:val="restart"/>
            <w:tcBorders>
              <w:top w:val="single" w:color="000000" w:sz="4" w:space="0"/>
              <w:left w:val="single" w:color="000000" w:sz="4" w:space="0"/>
              <w:bottom w:val="nil"/>
              <w:right w:val="nil"/>
            </w:tcBorders>
            <w:shd w:val="clear" w:color="000000" w:fill="FFFFFF"/>
            <w:noWrap w:val="0"/>
            <w:vAlign w:val="center"/>
          </w:tcPr>
          <w:p w14:paraId="3012CD9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 目 名 称</w:t>
            </w:r>
          </w:p>
        </w:tc>
        <w:tc>
          <w:tcPr>
            <w:tcW w:w="1260" w:type="dxa"/>
            <w:vMerge w:val="restart"/>
            <w:tcBorders>
              <w:top w:val="single" w:color="000000" w:sz="4" w:space="0"/>
              <w:left w:val="single" w:color="000000" w:sz="4" w:space="0"/>
              <w:bottom w:val="nil"/>
              <w:right w:val="nil"/>
            </w:tcBorders>
            <w:shd w:val="clear" w:color="000000" w:fill="FFFFFF"/>
            <w:noWrap w:val="0"/>
            <w:vAlign w:val="center"/>
          </w:tcPr>
          <w:p w14:paraId="5C7943D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1280" w:type="dxa"/>
            <w:vMerge w:val="restart"/>
            <w:tcBorders>
              <w:top w:val="single" w:color="000000" w:sz="4" w:space="0"/>
              <w:left w:val="single" w:color="000000" w:sz="4" w:space="0"/>
              <w:bottom w:val="nil"/>
              <w:right w:val="nil"/>
            </w:tcBorders>
            <w:shd w:val="clear" w:color="000000" w:fill="FFFFFF"/>
            <w:noWrap w:val="0"/>
            <w:vAlign w:val="center"/>
          </w:tcPr>
          <w:p w14:paraId="6EEF469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1140" w:type="dxa"/>
            <w:vMerge w:val="restart"/>
            <w:tcBorders>
              <w:top w:val="single" w:color="000000" w:sz="4" w:space="0"/>
              <w:left w:val="single" w:color="000000" w:sz="4" w:space="0"/>
              <w:bottom w:val="nil"/>
              <w:right w:val="nil"/>
            </w:tcBorders>
            <w:shd w:val="clear" w:color="000000" w:fill="FFFFFF"/>
            <w:noWrap w:val="0"/>
            <w:vAlign w:val="center"/>
          </w:tcPr>
          <w:p w14:paraId="4CCFDB2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综合单价(元)</w:t>
            </w:r>
          </w:p>
        </w:tc>
        <w:tc>
          <w:tcPr>
            <w:tcW w:w="1240"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1D1AE5F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r>
      <w:tr w14:paraId="4BDAEA27">
        <w:tblPrEx>
          <w:tblCellMar>
            <w:top w:w="0" w:type="dxa"/>
            <w:left w:w="108" w:type="dxa"/>
            <w:bottom w:w="0" w:type="dxa"/>
            <w:right w:w="108" w:type="dxa"/>
          </w:tblCellMar>
        </w:tblPrEx>
        <w:trPr>
          <w:trHeight w:val="405" w:hRule="atLeast"/>
        </w:trPr>
        <w:tc>
          <w:tcPr>
            <w:tcW w:w="1060" w:type="dxa"/>
            <w:vMerge w:val="continue"/>
            <w:tcBorders>
              <w:top w:val="single" w:color="000000" w:sz="4" w:space="0"/>
              <w:left w:val="single" w:color="000000" w:sz="4" w:space="0"/>
              <w:bottom w:val="nil"/>
              <w:right w:val="nil"/>
            </w:tcBorders>
            <w:noWrap w:val="0"/>
            <w:vAlign w:val="center"/>
          </w:tcPr>
          <w:p w14:paraId="2ECFC1B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3208" w:type="dxa"/>
            <w:vMerge w:val="continue"/>
            <w:tcBorders>
              <w:top w:val="single" w:color="000000" w:sz="4" w:space="0"/>
              <w:left w:val="single" w:color="000000" w:sz="4" w:space="0"/>
              <w:bottom w:val="nil"/>
              <w:right w:val="nil"/>
            </w:tcBorders>
            <w:noWrap w:val="0"/>
            <w:vAlign w:val="center"/>
          </w:tcPr>
          <w:p w14:paraId="1D1C6A4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260" w:type="dxa"/>
            <w:vMerge w:val="continue"/>
            <w:tcBorders>
              <w:top w:val="single" w:color="000000" w:sz="4" w:space="0"/>
              <w:left w:val="single" w:color="000000" w:sz="4" w:space="0"/>
              <w:bottom w:val="nil"/>
              <w:right w:val="nil"/>
            </w:tcBorders>
            <w:noWrap w:val="0"/>
            <w:vAlign w:val="center"/>
          </w:tcPr>
          <w:p w14:paraId="0E6E1D7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280" w:type="dxa"/>
            <w:vMerge w:val="continue"/>
            <w:tcBorders>
              <w:top w:val="single" w:color="000000" w:sz="4" w:space="0"/>
              <w:left w:val="single" w:color="000000" w:sz="4" w:space="0"/>
              <w:bottom w:val="nil"/>
              <w:right w:val="nil"/>
            </w:tcBorders>
            <w:noWrap w:val="0"/>
            <w:vAlign w:val="center"/>
          </w:tcPr>
          <w:p w14:paraId="056B267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140" w:type="dxa"/>
            <w:vMerge w:val="continue"/>
            <w:tcBorders>
              <w:top w:val="single" w:color="000000" w:sz="4" w:space="0"/>
              <w:left w:val="single" w:color="000000" w:sz="4" w:space="0"/>
              <w:bottom w:val="nil"/>
              <w:right w:val="nil"/>
            </w:tcBorders>
            <w:noWrap w:val="0"/>
            <w:vAlign w:val="center"/>
          </w:tcPr>
          <w:p w14:paraId="74EF85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240" w:type="dxa"/>
            <w:vMerge w:val="continue"/>
            <w:tcBorders>
              <w:top w:val="single" w:color="000000" w:sz="4" w:space="0"/>
              <w:left w:val="single" w:color="000000" w:sz="4" w:space="0"/>
              <w:bottom w:val="nil"/>
              <w:right w:val="single" w:color="000000" w:sz="4" w:space="0"/>
            </w:tcBorders>
            <w:noWrap w:val="0"/>
            <w:vAlign w:val="center"/>
          </w:tcPr>
          <w:p w14:paraId="75B8B9C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r>
      <w:tr w14:paraId="2AB89E34">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536583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3208" w:type="dxa"/>
            <w:tcBorders>
              <w:top w:val="single" w:color="000000" w:sz="4" w:space="0"/>
              <w:left w:val="single" w:color="000000" w:sz="4" w:space="0"/>
              <w:bottom w:val="nil"/>
              <w:right w:val="nil"/>
            </w:tcBorders>
            <w:shd w:val="clear" w:color="000000" w:fill="FFFFFF"/>
            <w:noWrap w:val="0"/>
            <w:vAlign w:val="center"/>
          </w:tcPr>
          <w:p w14:paraId="758FFC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     工</w:t>
            </w:r>
          </w:p>
        </w:tc>
        <w:tc>
          <w:tcPr>
            <w:tcW w:w="1260" w:type="dxa"/>
            <w:tcBorders>
              <w:top w:val="single" w:color="000000" w:sz="4" w:space="0"/>
              <w:left w:val="single" w:color="000000" w:sz="4" w:space="0"/>
              <w:bottom w:val="nil"/>
              <w:right w:val="nil"/>
            </w:tcBorders>
            <w:shd w:val="clear" w:color="000000" w:fill="FFFFFF"/>
            <w:noWrap w:val="0"/>
            <w:vAlign w:val="center"/>
          </w:tcPr>
          <w:p w14:paraId="42EC20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14:paraId="2E900F7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14:paraId="3A10EFB5">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2B1E647C">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FF074F0">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36C1A4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14:paraId="2263E63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01A731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5E03205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708DC32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4518641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1E6070D">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74775F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14:paraId="43E529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777351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0D1204B6">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266D01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1FD5FA6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CDE93CB">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14:paraId="47840B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 工 小 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0E70C0E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953DFF1">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46C1CB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3208" w:type="dxa"/>
            <w:tcBorders>
              <w:top w:val="single" w:color="000000" w:sz="4" w:space="0"/>
              <w:left w:val="single" w:color="000000" w:sz="4" w:space="0"/>
              <w:bottom w:val="nil"/>
              <w:right w:val="nil"/>
            </w:tcBorders>
            <w:shd w:val="clear" w:color="000000" w:fill="FFFFFF"/>
            <w:noWrap w:val="0"/>
            <w:vAlign w:val="center"/>
          </w:tcPr>
          <w:p w14:paraId="4E9B49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     料</w:t>
            </w:r>
          </w:p>
        </w:tc>
        <w:tc>
          <w:tcPr>
            <w:tcW w:w="1260" w:type="dxa"/>
            <w:tcBorders>
              <w:top w:val="single" w:color="000000" w:sz="4" w:space="0"/>
              <w:left w:val="single" w:color="000000" w:sz="4" w:space="0"/>
              <w:bottom w:val="nil"/>
              <w:right w:val="nil"/>
            </w:tcBorders>
            <w:shd w:val="clear" w:color="000000" w:fill="FFFFFF"/>
            <w:noWrap w:val="0"/>
            <w:vAlign w:val="center"/>
          </w:tcPr>
          <w:p w14:paraId="1CC86D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14:paraId="7BE469C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14:paraId="5A626E0F">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4805A514">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ECC2A44">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58EC75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14:paraId="5E94FEE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2FBE99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7207351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77F55A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115CEFC2">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C552D4F">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639046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14:paraId="3A5970A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6642C2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26BBD74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0E45DEE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4DCAC14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7821C95">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14:paraId="77FE8E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 料 小 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3DD6170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1C2E700">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76FDFD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w:t>
            </w:r>
          </w:p>
        </w:tc>
        <w:tc>
          <w:tcPr>
            <w:tcW w:w="3208" w:type="dxa"/>
            <w:tcBorders>
              <w:top w:val="single" w:color="000000" w:sz="4" w:space="0"/>
              <w:left w:val="single" w:color="000000" w:sz="4" w:space="0"/>
              <w:bottom w:val="nil"/>
              <w:right w:val="nil"/>
            </w:tcBorders>
            <w:shd w:val="clear" w:color="000000" w:fill="FFFFFF"/>
            <w:noWrap w:val="0"/>
            <w:vAlign w:val="center"/>
          </w:tcPr>
          <w:p w14:paraId="118CE8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 工 机 械</w:t>
            </w:r>
          </w:p>
        </w:tc>
        <w:tc>
          <w:tcPr>
            <w:tcW w:w="1260" w:type="dxa"/>
            <w:tcBorders>
              <w:top w:val="single" w:color="000000" w:sz="4" w:space="0"/>
              <w:left w:val="single" w:color="000000" w:sz="4" w:space="0"/>
              <w:bottom w:val="nil"/>
              <w:right w:val="nil"/>
            </w:tcBorders>
            <w:shd w:val="clear" w:color="000000" w:fill="FFFFFF"/>
            <w:noWrap w:val="0"/>
            <w:vAlign w:val="center"/>
          </w:tcPr>
          <w:p w14:paraId="2916EE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14:paraId="04C80462">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14:paraId="4E5BA9C6">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7F32A75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468A5DF">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01E3F9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14:paraId="73D8647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196861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6B29DFA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8081152">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5B79263B">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50FE3EA">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5D1FA4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14:paraId="53C28CB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0B9687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0BF8CC3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8F5845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0AAF05D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34C93DE">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14:paraId="709A1C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施工机械小计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544630CD">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846CE9A">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7D1DC7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    计</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2F53B5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380513B7">
      <w:pPr>
        <w:keepNext/>
        <w:keepLines/>
        <w:rPr>
          <w:rFonts w:hint="eastAsia" w:ascii="宋体" w:hAnsi="宋体" w:eastAsia="宋体" w:cs="宋体"/>
          <w:color w:val="auto"/>
          <w:sz w:val="24"/>
          <w:highlight w:val="none"/>
        </w:rPr>
      </w:pPr>
    </w:p>
    <w:tbl>
      <w:tblPr>
        <w:tblStyle w:val="24"/>
        <w:tblW w:w="9457" w:type="dxa"/>
        <w:tblInd w:w="91" w:type="dxa"/>
        <w:tblLayout w:type="fixed"/>
        <w:tblCellMar>
          <w:top w:w="0" w:type="dxa"/>
          <w:left w:w="108" w:type="dxa"/>
          <w:bottom w:w="0" w:type="dxa"/>
          <w:right w:w="108" w:type="dxa"/>
        </w:tblCellMar>
      </w:tblPr>
      <w:tblGrid>
        <w:gridCol w:w="640"/>
        <w:gridCol w:w="2920"/>
        <w:gridCol w:w="1417"/>
        <w:gridCol w:w="1400"/>
        <w:gridCol w:w="1540"/>
        <w:gridCol w:w="1540"/>
      </w:tblGrid>
      <w:tr w14:paraId="0320F799">
        <w:tblPrEx>
          <w:tblCellMar>
            <w:top w:w="0" w:type="dxa"/>
            <w:left w:w="108" w:type="dxa"/>
            <w:bottom w:w="0" w:type="dxa"/>
            <w:right w:w="108" w:type="dxa"/>
          </w:tblCellMar>
        </w:tblPrEx>
        <w:trPr>
          <w:trHeight w:val="590" w:hRule="atLeast"/>
        </w:trPr>
        <w:tc>
          <w:tcPr>
            <w:tcW w:w="9457" w:type="dxa"/>
            <w:gridSpan w:val="6"/>
            <w:tcBorders>
              <w:top w:val="nil"/>
              <w:left w:val="nil"/>
              <w:bottom w:val="nil"/>
              <w:right w:val="nil"/>
            </w:tcBorders>
            <w:shd w:val="clear" w:color="000000" w:fill="FFFFFF"/>
            <w:noWrap w:val="0"/>
            <w:vAlign w:val="center"/>
          </w:tcPr>
          <w:p w14:paraId="0EA842ED">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总承包服务费计价表</w:t>
            </w:r>
          </w:p>
        </w:tc>
      </w:tr>
      <w:tr w14:paraId="064B7F8C">
        <w:tblPrEx>
          <w:tblCellMar>
            <w:top w:w="0" w:type="dxa"/>
            <w:left w:w="108" w:type="dxa"/>
            <w:bottom w:w="0" w:type="dxa"/>
            <w:right w:w="108" w:type="dxa"/>
          </w:tblCellMar>
        </w:tblPrEx>
        <w:trPr>
          <w:trHeight w:val="420" w:hRule="atLeast"/>
        </w:trPr>
        <w:tc>
          <w:tcPr>
            <w:tcW w:w="4977" w:type="dxa"/>
            <w:gridSpan w:val="3"/>
            <w:tcBorders>
              <w:top w:val="nil"/>
              <w:left w:val="nil"/>
              <w:bottom w:val="nil"/>
              <w:right w:val="nil"/>
            </w:tcBorders>
            <w:shd w:val="clear" w:color="000000" w:fill="FFFFFF"/>
            <w:noWrap w:val="0"/>
            <w:vAlign w:val="bottom"/>
          </w:tcPr>
          <w:p w14:paraId="40524B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1400" w:type="dxa"/>
            <w:tcBorders>
              <w:top w:val="nil"/>
              <w:left w:val="nil"/>
              <w:bottom w:val="nil"/>
              <w:right w:val="nil"/>
            </w:tcBorders>
            <w:shd w:val="clear" w:color="000000" w:fill="FFFFFF"/>
            <w:noWrap w:val="0"/>
            <w:vAlign w:val="bottom"/>
          </w:tcPr>
          <w:p w14:paraId="0AF5BF0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080" w:type="dxa"/>
            <w:gridSpan w:val="2"/>
            <w:tcBorders>
              <w:top w:val="nil"/>
              <w:left w:val="nil"/>
              <w:bottom w:val="nil"/>
              <w:right w:val="nil"/>
            </w:tcBorders>
            <w:shd w:val="clear" w:color="000000" w:fill="FFFFFF"/>
            <w:noWrap w:val="0"/>
            <w:vAlign w:val="bottom"/>
          </w:tcPr>
          <w:p w14:paraId="67D73C7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1D0F2B10">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5232AE5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920" w:type="dxa"/>
            <w:tcBorders>
              <w:top w:val="single" w:color="000000" w:sz="4" w:space="0"/>
              <w:left w:val="single" w:color="000000" w:sz="4" w:space="0"/>
              <w:bottom w:val="nil"/>
              <w:right w:val="nil"/>
            </w:tcBorders>
            <w:shd w:val="clear" w:color="000000" w:fill="FFFFFF"/>
            <w:noWrap w:val="0"/>
            <w:vAlign w:val="center"/>
          </w:tcPr>
          <w:p w14:paraId="150B2EF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1417" w:type="dxa"/>
            <w:tcBorders>
              <w:top w:val="single" w:color="000000" w:sz="4" w:space="0"/>
              <w:left w:val="single" w:color="000000" w:sz="4" w:space="0"/>
              <w:bottom w:val="nil"/>
              <w:right w:val="nil"/>
            </w:tcBorders>
            <w:shd w:val="clear" w:color="000000" w:fill="FFFFFF"/>
            <w:noWrap w:val="0"/>
            <w:vAlign w:val="center"/>
          </w:tcPr>
          <w:p w14:paraId="0BA8BB1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项目价值(元)</w:t>
            </w:r>
          </w:p>
        </w:tc>
        <w:tc>
          <w:tcPr>
            <w:tcW w:w="1400" w:type="dxa"/>
            <w:tcBorders>
              <w:top w:val="single" w:color="000000" w:sz="4" w:space="0"/>
              <w:left w:val="single" w:color="000000" w:sz="4" w:space="0"/>
              <w:bottom w:val="nil"/>
              <w:right w:val="nil"/>
            </w:tcBorders>
            <w:shd w:val="clear" w:color="000000" w:fill="FFFFFF"/>
            <w:noWrap w:val="0"/>
            <w:vAlign w:val="center"/>
          </w:tcPr>
          <w:p w14:paraId="160E0EC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服务内容</w:t>
            </w:r>
          </w:p>
        </w:tc>
        <w:tc>
          <w:tcPr>
            <w:tcW w:w="1540" w:type="dxa"/>
            <w:tcBorders>
              <w:top w:val="single" w:color="000000" w:sz="4" w:space="0"/>
              <w:left w:val="single" w:color="000000" w:sz="4" w:space="0"/>
              <w:bottom w:val="nil"/>
              <w:right w:val="nil"/>
            </w:tcBorders>
            <w:shd w:val="clear" w:color="000000" w:fill="FFFFFF"/>
            <w:noWrap w:val="0"/>
            <w:vAlign w:val="center"/>
          </w:tcPr>
          <w:p w14:paraId="68DBE0D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费率(%)</w:t>
            </w:r>
          </w:p>
        </w:tc>
        <w:tc>
          <w:tcPr>
            <w:tcW w:w="1540" w:type="dxa"/>
            <w:tcBorders>
              <w:top w:val="single" w:color="000000" w:sz="4" w:space="0"/>
              <w:left w:val="single" w:color="000000" w:sz="4" w:space="0"/>
              <w:bottom w:val="nil"/>
              <w:right w:val="single" w:color="000000" w:sz="4" w:space="0"/>
            </w:tcBorders>
            <w:shd w:val="clear" w:color="000000" w:fill="FFFFFF"/>
            <w:noWrap w:val="0"/>
            <w:vAlign w:val="center"/>
          </w:tcPr>
          <w:p w14:paraId="51C8AC5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金额(元)</w:t>
            </w:r>
          </w:p>
        </w:tc>
      </w:tr>
      <w:tr w14:paraId="3037A3C5">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498A8F4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920" w:type="dxa"/>
            <w:tcBorders>
              <w:top w:val="single" w:color="000000" w:sz="4" w:space="0"/>
              <w:left w:val="single" w:color="000000" w:sz="4" w:space="0"/>
              <w:bottom w:val="nil"/>
              <w:right w:val="nil"/>
            </w:tcBorders>
            <w:shd w:val="clear" w:color="000000" w:fill="FFFFFF"/>
            <w:noWrap w:val="0"/>
            <w:vAlign w:val="center"/>
          </w:tcPr>
          <w:p w14:paraId="52BA390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发包人单独发包的专业工程</w:t>
            </w:r>
          </w:p>
        </w:tc>
        <w:tc>
          <w:tcPr>
            <w:tcW w:w="1417" w:type="dxa"/>
            <w:tcBorders>
              <w:top w:val="single" w:color="000000" w:sz="4" w:space="0"/>
              <w:left w:val="single" w:color="000000" w:sz="4" w:space="0"/>
              <w:bottom w:val="nil"/>
              <w:right w:val="nil"/>
            </w:tcBorders>
            <w:shd w:val="clear" w:color="000000" w:fill="FFFFFF"/>
            <w:noWrap w:val="0"/>
            <w:vAlign w:val="center"/>
          </w:tcPr>
          <w:p w14:paraId="51DD19F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032D16C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44059E4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64E381F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8D82BC6">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6407243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2920" w:type="dxa"/>
            <w:tcBorders>
              <w:top w:val="single" w:color="000000" w:sz="4" w:space="0"/>
              <w:left w:val="single" w:color="000000" w:sz="4" w:space="0"/>
              <w:bottom w:val="nil"/>
              <w:right w:val="nil"/>
            </w:tcBorders>
            <w:shd w:val="clear" w:color="000000" w:fill="FFFFFF"/>
            <w:noWrap w:val="0"/>
            <w:vAlign w:val="center"/>
          </w:tcPr>
          <w:p w14:paraId="217085B8">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专业发包工程管理费</w:t>
            </w:r>
          </w:p>
        </w:tc>
        <w:tc>
          <w:tcPr>
            <w:tcW w:w="1417" w:type="dxa"/>
            <w:tcBorders>
              <w:top w:val="single" w:color="000000" w:sz="4" w:space="0"/>
              <w:left w:val="single" w:color="000000" w:sz="4" w:space="0"/>
              <w:bottom w:val="nil"/>
              <w:right w:val="nil"/>
            </w:tcBorders>
            <w:shd w:val="clear" w:color="000000" w:fill="FFFFFF"/>
            <w:noWrap w:val="0"/>
            <w:vAlign w:val="center"/>
          </w:tcPr>
          <w:p w14:paraId="226E571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4EE7F8C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72E3FA6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2D1B3F5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AAA2303">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14B0AA7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920" w:type="dxa"/>
            <w:tcBorders>
              <w:top w:val="single" w:color="000000" w:sz="4" w:space="0"/>
              <w:left w:val="single" w:color="000000" w:sz="4" w:space="0"/>
              <w:bottom w:val="nil"/>
              <w:right w:val="nil"/>
            </w:tcBorders>
            <w:shd w:val="clear" w:color="000000" w:fill="FFFFFF"/>
            <w:noWrap w:val="0"/>
            <w:vAlign w:val="center"/>
          </w:tcPr>
          <w:p w14:paraId="39C10DE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发包人提供材料(设备)</w:t>
            </w:r>
          </w:p>
        </w:tc>
        <w:tc>
          <w:tcPr>
            <w:tcW w:w="1417" w:type="dxa"/>
            <w:tcBorders>
              <w:top w:val="single" w:color="000000" w:sz="4" w:space="0"/>
              <w:left w:val="single" w:color="000000" w:sz="4" w:space="0"/>
              <w:bottom w:val="nil"/>
              <w:right w:val="nil"/>
            </w:tcBorders>
            <w:shd w:val="clear" w:color="000000" w:fill="FFFFFF"/>
            <w:noWrap w:val="0"/>
            <w:vAlign w:val="center"/>
          </w:tcPr>
          <w:p w14:paraId="04132E2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2B9FB19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7F2DD2A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56FBEE9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FD446C0">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3B205B2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w:t>
            </w:r>
          </w:p>
        </w:tc>
        <w:tc>
          <w:tcPr>
            <w:tcW w:w="2920" w:type="dxa"/>
            <w:tcBorders>
              <w:top w:val="single" w:color="000000" w:sz="4" w:space="0"/>
              <w:left w:val="single" w:color="000000" w:sz="4" w:space="0"/>
              <w:bottom w:val="nil"/>
              <w:right w:val="nil"/>
            </w:tcBorders>
            <w:shd w:val="clear" w:color="000000" w:fill="FFFFFF"/>
            <w:noWrap w:val="0"/>
            <w:vAlign w:val="center"/>
          </w:tcPr>
          <w:p w14:paraId="151E8692">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甲供材料设备保管费</w:t>
            </w:r>
          </w:p>
        </w:tc>
        <w:tc>
          <w:tcPr>
            <w:tcW w:w="1417" w:type="dxa"/>
            <w:tcBorders>
              <w:top w:val="single" w:color="000000" w:sz="4" w:space="0"/>
              <w:left w:val="single" w:color="000000" w:sz="4" w:space="0"/>
              <w:bottom w:val="nil"/>
              <w:right w:val="nil"/>
            </w:tcBorders>
            <w:shd w:val="clear" w:color="000000" w:fill="FFFFFF"/>
            <w:noWrap w:val="0"/>
            <w:vAlign w:val="center"/>
          </w:tcPr>
          <w:p w14:paraId="719F807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0E61EBC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032C4CB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46BED22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1EA45AC">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48A6114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20" w:type="dxa"/>
            <w:tcBorders>
              <w:top w:val="single" w:color="000000" w:sz="4" w:space="0"/>
              <w:left w:val="single" w:color="000000" w:sz="4" w:space="0"/>
              <w:bottom w:val="nil"/>
              <w:right w:val="nil"/>
            </w:tcBorders>
            <w:shd w:val="clear" w:color="000000" w:fill="FFFFFF"/>
            <w:noWrap w:val="0"/>
            <w:vAlign w:val="center"/>
          </w:tcPr>
          <w:p w14:paraId="41336D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7" w:type="dxa"/>
            <w:tcBorders>
              <w:top w:val="single" w:color="000000" w:sz="4" w:space="0"/>
              <w:left w:val="single" w:color="000000" w:sz="4" w:space="0"/>
              <w:bottom w:val="nil"/>
              <w:right w:val="nil"/>
            </w:tcBorders>
            <w:shd w:val="clear" w:color="000000" w:fill="FFFFFF"/>
            <w:noWrap w:val="0"/>
            <w:vAlign w:val="center"/>
          </w:tcPr>
          <w:p w14:paraId="04FD0D6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367D7FD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70E76AE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052CCD1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3704417">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single" w:color="000000" w:sz="4" w:space="0"/>
              <w:right w:val="nil"/>
            </w:tcBorders>
            <w:shd w:val="clear" w:color="000000" w:fill="FFFFFF"/>
            <w:noWrap w:val="0"/>
            <w:vAlign w:val="center"/>
          </w:tcPr>
          <w:p w14:paraId="1601BE7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20" w:type="dxa"/>
            <w:tcBorders>
              <w:top w:val="single" w:color="000000" w:sz="4" w:space="0"/>
              <w:left w:val="single" w:color="000000" w:sz="4" w:space="0"/>
              <w:bottom w:val="single" w:color="000000" w:sz="4" w:space="0"/>
              <w:right w:val="nil"/>
            </w:tcBorders>
            <w:shd w:val="clear" w:color="000000" w:fill="FFFFFF"/>
            <w:noWrap w:val="0"/>
            <w:vAlign w:val="center"/>
          </w:tcPr>
          <w:p w14:paraId="2172E8E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417" w:type="dxa"/>
            <w:tcBorders>
              <w:top w:val="single" w:color="000000" w:sz="4" w:space="0"/>
              <w:left w:val="single" w:color="000000" w:sz="4" w:space="0"/>
              <w:bottom w:val="single" w:color="000000" w:sz="4" w:space="0"/>
              <w:right w:val="nil"/>
            </w:tcBorders>
            <w:shd w:val="clear" w:color="000000" w:fill="FFFFFF"/>
            <w:noWrap w:val="0"/>
            <w:vAlign w:val="center"/>
          </w:tcPr>
          <w:p w14:paraId="1667025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400" w:type="dxa"/>
            <w:tcBorders>
              <w:top w:val="single" w:color="000000" w:sz="4" w:space="0"/>
              <w:left w:val="single" w:color="000000" w:sz="4" w:space="0"/>
              <w:bottom w:val="single" w:color="000000" w:sz="4" w:space="0"/>
              <w:right w:val="nil"/>
            </w:tcBorders>
            <w:shd w:val="clear" w:color="000000" w:fill="FFFFFF"/>
            <w:noWrap w:val="0"/>
            <w:vAlign w:val="center"/>
          </w:tcPr>
          <w:p w14:paraId="50D81F7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540" w:type="dxa"/>
            <w:tcBorders>
              <w:top w:val="single" w:color="000000" w:sz="4" w:space="0"/>
              <w:left w:val="single" w:color="000000" w:sz="4" w:space="0"/>
              <w:bottom w:val="single" w:color="000000" w:sz="4" w:space="0"/>
              <w:right w:val="nil"/>
            </w:tcBorders>
            <w:shd w:val="clear" w:color="000000" w:fill="FFFFFF"/>
            <w:noWrap w:val="0"/>
            <w:vAlign w:val="center"/>
          </w:tcPr>
          <w:p w14:paraId="0415AE5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5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1C67F0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0CC890A9">
      <w:pPr>
        <w:spacing w:line="300" w:lineRule="auto"/>
        <w:jc w:val="center"/>
        <w:rPr>
          <w:rFonts w:hint="eastAsia" w:ascii="宋体" w:hAnsi="宋体" w:eastAsia="宋体" w:cs="宋体"/>
          <w:b/>
          <w:bCs/>
          <w:color w:val="auto"/>
          <w:sz w:val="28"/>
          <w:highlight w:val="none"/>
        </w:rPr>
      </w:pPr>
    </w:p>
    <w:tbl>
      <w:tblPr>
        <w:tblStyle w:val="24"/>
        <w:tblW w:w="9409" w:type="dxa"/>
        <w:tblInd w:w="93" w:type="dxa"/>
        <w:tblLayout w:type="fixed"/>
        <w:tblCellMar>
          <w:top w:w="0" w:type="dxa"/>
          <w:left w:w="108" w:type="dxa"/>
          <w:bottom w:w="0" w:type="dxa"/>
          <w:right w:w="108" w:type="dxa"/>
        </w:tblCellMar>
      </w:tblPr>
      <w:tblGrid>
        <w:gridCol w:w="580"/>
        <w:gridCol w:w="2129"/>
        <w:gridCol w:w="1000"/>
        <w:gridCol w:w="1040"/>
        <w:gridCol w:w="1500"/>
        <w:gridCol w:w="1440"/>
        <w:gridCol w:w="1720"/>
      </w:tblGrid>
      <w:tr w14:paraId="1B6FEF04">
        <w:tblPrEx>
          <w:tblCellMar>
            <w:top w:w="0" w:type="dxa"/>
            <w:left w:w="108" w:type="dxa"/>
            <w:bottom w:w="0" w:type="dxa"/>
            <w:right w:w="108" w:type="dxa"/>
          </w:tblCellMar>
        </w:tblPrEx>
        <w:trPr>
          <w:trHeight w:val="900" w:hRule="atLeast"/>
        </w:trPr>
        <w:tc>
          <w:tcPr>
            <w:tcW w:w="9409" w:type="dxa"/>
            <w:gridSpan w:val="7"/>
            <w:tcBorders>
              <w:top w:val="nil"/>
              <w:left w:val="nil"/>
              <w:bottom w:val="nil"/>
              <w:right w:val="nil"/>
            </w:tcBorders>
            <w:shd w:val="clear" w:color="000000" w:fill="FFFFFF"/>
            <w:noWrap w:val="0"/>
            <w:vAlign w:val="center"/>
          </w:tcPr>
          <w:p w14:paraId="111E84B8">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主要工日一览表</w:t>
            </w:r>
          </w:p>
        </w:tc>
      </w:tr>
      <w:tr w14:paraId="50D10575">
        <w:tblPrEx>
          <w:tblCellMar>
            <w:top w:w="0" w:type="dxa"/>
            <w:left w:w="108" w:type="dxa"/>
            <w:bottom w:w="0" w:type="dxa"/>
            <w:right w:w="108" w:type="dxa"/>
          </w:tblCellMar>
        </w:tblPrEx>
        <w:trPr>
          <w:trHeight w:val="450" w:hRule="atLeast"/>
        </w:trPr>
        <w:tc>
          <w:tcPr>
            <w:tcW w:w="3709" w:type="dxa"/>
            <w:gridSpan w:val="3"/>
            <w:tcBorders>
              <w:top w:val="nil"/>
              <w:left w:val="nil"/>
              <w:bottom w:val="nil"/>
              <w:right w:val="nil"/>
            </w:tcBorders>
            <w:shd w:val="clear" w:color="000000" w:fill="FFFFFF"/>
            <w:noWrap w:val="0"/>
            <w:vAlign w:val="bottom"/>
          </w:tcPr>
          <w:p w14:paraId="7A884EB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2540" w:type="dxa"/>
            <w:gridSpan w:val="2"/>
            <w:tcBorders>
              <w:top w:val="nil"/>
              <w:left w:val="nil"/>
              <w:bottom w:val="nil"/>
              <w:right w:val="nil"/>
            </w:tcBorders>
            <w:shd w:val="clear" w:color="000000" w:fill="FFFFFF"/>
            <w:noWrap w:val="0"/>
            <w:vAlign w:val="bottom"/>
          </w:tcPr>
          <w:p w14:paraId="738E57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160" w:type="dxa"/>
            <w:gridSpan w:val="2"/>
            <w:tcBorders>
              <w:top w:val="nil"/>
              <w:left w:val="nil"/>
              <w:bottom w:val="nil"/>
              <w:right w:val="nil"/>
            </w:tcBorders>
            <w:shd w:val="clear" w:color="000000" w:fill="FFFFFF"/>
            <w:noWrap w:val="0"/>
            <w:vAlign w:val="bottom"/>
          </w:tcPr>
          <w:p w14:paraId="749A6E6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505A4434">
        <w:tblPrEx>
          <w:tblCellMar>
            <w:top w:w="0" w:type="dxa"/>
            <w:left w:w="108" w:type="dxa"/>
            <w:bottom w:w="0" w:type="dxa"/>
            <w:right w:w="108" w:type="dxa"/>
          </w:tblCellMar>
        </w:tblPrEx>
        <w:trPr>
          <w:trHeight w:val="45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28C9FD1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129" w:type="dxa"/>
            <w:tcBorders>
              <w:top w:val="single" w:color="000000" w:sz="4" w:space="0"/>
              <w:left w:val="single" w:color="000000" w:sz="4" w:space="0"/>
              <w:bottom w:val="nil"/>
              <w:right w:val="nil"/>
            </w:tcBorders>
            <w:shd w:val="clear" w:color="000000" w:fill="FFFFFF"/>
            <w:noWrap w:val="0"/>
            <w:vAlign w:val="center"/>
          </w:tcPr>
          <w:p w14:paraId="2ADB275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工日名称（类别）</w:t>
            </w:r>
          </w:p>
        </w:tc>
        <w:tc>
          <w:tcPr>
            <w:tcW w:w="1000" w:type="dxa"/>
            <w:tcBorders>
              <w:top w:val="single" w:color="000000" w:sz="4" w:space="0"/>
              <w:left w:val="single" w:color="000000" w:sz="4" w:space="0"/>
              <w:bottom w:val="nil"/>
              <w:right w:val="nil"/>
            </w:tcBorders>
            <w:shd w:val="clear" w:color="000000" w:fill="FFFFFF"/>
            <w:noWrap w:val="0"/>
            <w:vAlign w:val="center"/>
          </w:tcPr>
          <w:p w14:paraId="361A2D1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1040" w:type="dxa"/>
            <w:tcBorders>
              <w:top w:val="single" w:color="000000" w:sz="4" w:space="0"/>
              <w:left w:val="single" w:color="000000" w:sz="4" w:space="0"/>
              <w:bottom w:val="nil"/>
              <w:right w:val="nil"/>
            </w:tcBorders>
            <w:shd w:val="clear" w:color="000000" w:fill="FFFFFF"/>
            <w:noWrap w:val="0"/>
            <w:vAlign w:val="center"/>
          </w:tcPr>
          <w:p w14:paraId="4BEE952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 量</w:t>
            </w:r>
          </w:p>
        </w:tc>
        <w:tc>
          <w:tcPr>
            <w:tcW w:w="1500" w:type="dxa"/>
            <w:tcBorders>
              <w:top w:val="single" w:color="000000" w:sz="4" w:space="0"/>
              <w:left w:val="single" w:color="000000" w:sz="4" w:space="0"/>
              <w:bottom w:val="nil"/>
              <w:right w:val="nil"/>
            </w:tcBorders>
            <w:shd w:val="clear" w:color="000000" w:fill="FFFFFF"/>
            <w:noWrap w:val="0"/>
            <w:vAlign w:val="center"/>
          </w:tcPr>
          <w:p w14:paraId="19D3BE7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单价(元)</w:t>
            </w:r>
          </w:p>
        </w:tc>
        <w:tc>
          <w:tcPr>
            <w:tcW w:w="1440" w:type="dxa"/>
            <w:tcBorders>
              <w:top w:val="single" w:color="000000" w:sz="4" w:space="0"/>
              <w:left w:val="single" w:color="000000" w:sz="4" w:space="0"/>
              <w:bottom w:val="nil"/>
              <w:right w:val="nil"/>
            </w:tcBorders>
            <w:shd w:val="clear" w:color="000000" w:fill="FFFFFF"/>
            <w:noWrap w:val="0"/>
            <w:vAlign w:val="center"/>
          </w:tcPr>
          <w:p w14:paraId="137B4EF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24B16C2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EBC7CFA">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3495ABF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319266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0C83184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2A27A74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41B2198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35EBF44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308EC3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455343A">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7EB945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783B0F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6DF4A4A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63D4214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2D392C0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4591163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15C5CF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F0647CE">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7CDBA1C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06CDDF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5D5B945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6476F4F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5D536C4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15D5B47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1B2B7C2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11CCC83">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5A9EAD1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632D30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031FD4A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2A3C2CE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269AD46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22B67B7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6D8929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A734EA1">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75EEDDB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53F721B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6906DBA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3F69A99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57147F5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49F629F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223049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4C287ED">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2C65DA5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4A6761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7A9F1D0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6C4436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32ED61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4E9319E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4DE8EFC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DFC9E33">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single" w:color="000000" w:sz="4" w:space="0"/>
              <w:right w:val="nil"/>
            </w:tcBorders>
            <w:shd w:val="clear" w:color="000000" w:fill="FFFFFF"/>
            <w:noWrap w:val="0"/>
            <w:vAlign w:val="center"/>
          </w:tcPr>
          <w:p w14:paraId="1D4AAD8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single" w:color="000000" w:sz="4" w:space="0"/>
              <w:right w:val="nil"/>
            </w:tcBorders>
            <w:shd w:val="clear" w:color="000000" w:fill="FFFFFF"/>
            <w:noWrap w:val="0"/>
            <w:vAlign w:val="center"/>
          </w:tcPr>
          <w:p w14:paraId="3307AAB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single" w:color="000000" w:sz="4" w:space="0"/>
              <w:right w:val="nil"/>
            </w:tcBorders>
            <w:shd w:val="clear" w:color="000000" w:fill="FFFFFF"/>
            <w:noWrap w:val="0"/>
            <w:vAlign w:val="center"/>
          </w:tcPr>
          <w:p w14:paraId="5B6A200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562583B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single" w:color="000000" w:sz="4" w:space="0"/>
              <w:right w:val="nil"/>
            </w:tcBorders>
            <w:shd w:val="clear" w:color="000000" w:fill="FFFFFF"/>
            <w:noWrap/>
            <w:vAlign w:val="center"/>
          </w:tcPr>
          <w:p w14:paraId="6394635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single" w:color="000000" w:sz="4" w:space="0"/>
              <w:right w:val="nil"/>
            </w:tcBorders>
            <w:shd w:val="clear" w:color="000000" w:fill="FFFFFF"/>
            <w:noWrap/>
            <w:vAlign w:val="center"/>
          </w:tcPr>
          <w:p w14:paraId="0523C96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886E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399E154">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single" w:color="000000" w:sz="4" w:space="0"/>
              <w:right w:val="nil"/>
            </w:tcBorders>
            <w:shd w:val="clear" w:color="000000" w:fill="FFFFFF"/>
            <w:noWrap w:val="0"/>
            <w:vAlign w:val="center"/>
          </w:tcPr>
          <w:p w14:paraId="137E563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single" w:color="000000" w:sz="4" w:space="0"/>
              <w:right w:val="nil"/>
            </w:tcBorders>
            <w:shd w:val="clear" w:color="000000" w:fill="FFFFFF"/>
            <w:noWrap w:val="0"/>
            <w:vAlign w:val="center"/>
          </w:tcPr>
          <w:p w14:paraId="0BB7AA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single" w:color="000000" w:sz="4" w:space="0"/>
              <w:right w:val="nil"/>
            </w:tcBorders>
            <w:shd w:val="clear" w:color="000000" w:fill="FFFFFF"/>
            <w:noWrap w:val="0"/>
            <w:vAlign w:val="center"/>
          </w:tcPr>
          <w:p w14:paraId="588899C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1AFB3B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single" w:color="000000" w:sz="4" w:space="0"/>
              <w:right w:val="nil"/>
            </w:tcBorders>
            <w:shd w:val="clear" w:color="000000" w:fill="FFFFFF"/>
            <w:noWrap/>
            <w:vAlign w:val="center"/>
          </w:tcPr>
          <w:p w14:paraId="436DF47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single" w:color="000000" w:sz="4" w:space="0"/>
              <w:right w:val="nil"/>
            </w:tcBorders>
            <w:shd w:val="clear" w:color="000000" w:fill="FFFFFF"/>
            <w:noWrap/>
            <w:vAlign w:val="center"/>
          </w:tcPr>
          <w:p w14:paraId="6AC8647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3F8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1D69CA7F">
      <w:pPr>
        <w:spacing w:line="300" w:lineRule="auto"/>
        <w:jc w:val="right"/>
        <w:rPr>
          <w:rFonts w:hint="eastAsia" w:ascii="宋体" w:hAnsi="宋体" w:eastAsia="宋体" w:cs="宋体"/>
          <w:bCs/>
          <w:color w:val="auto"/>
          <w:sz w:val="21"/>
          <w:highlight w:val="none"/>
        </w:rPr>
      </w:pPr>
    </w:p>
    <w:p w14:paraId="1A14DBE1">
      <w:pPr>
        <w:spacing w:line="300" w:lineRule="auto"/>
        <w:jc w:val="left"/>
        <w:rPr>
          <w:rFonts w:hint="eastAsia" w:ascii="宋体" w:hAnsi="宋体" w:eastAsia="宋体" w:cs="宋体"/>
          <w:b/>
          <w:color w:val="auto"/>
          <w:sz w:val="24"/>
          <w:highlight w:val="none"/>
        </w:rPr>
      </w:pPr>
    </w:p>
    <w:tbl>
      <w:tblPr>
        <w:tblStyle w:val="24"/>
        <w:tblW w:w="9275" w:type="dxa"/>
        <w:tblInd w:w="93" w:type="dxa"/>
        <w:tblLayout w:type="fixed"/>
        <w:tblCellMar>
          <w:top w:w="0" w:type="dxa"/>
          <w:left w:w="108" w:type="dxa"/>
          <w:bottom w:w="0" w:type="dxa"/>
          <w:right w:w="108" w:type="dxa"/>
        </w:tblCellMar>
      </w:tblPr>
      <w:tblGrid>
        <w:gridCol w:w="680"/>
        <w:gridCol w:w="2596"/>
        <w:gridCol w:w="700"/>
        <w:gridCol w:w="859"/>
        <w:gridCol w:w="960"/>
        <w:gridCol w:w="1160"/>
        <w:gridCol w:w="1160"/>
        <w:gridCol w:w="1160"/>
      </w:tblGrid>
      <w:tr w14:paraId="306D8190">
        <w:tblPrEx>
          <w:tblCellMar>
            <w:top w:w="0" w:type="dxa"/>
            <w:left w:w="108" w:type="dxa"/>
            <w:bottom w:w="0" w:type="dxa"/>
            <w:right w:w="108" w:type="dxa"/>
          </w:tblCellMar>
        </w:tblPrEx>
        <w:trPr>
          <w:trHeight w:val="900" w:hRule="atLeast"/>
        </w:trPr>
        <w:tc>
          <w:tcPr>
            <w:tcW w:w="9275" w:type="dxa"/>
            <w:gridSpan w:val="8"/>
            <w:tcBorders>
              <w:top w:val="nil"/>
              <w:left w:val="nil"/>
              <w:bottom w:val="nil"/>
              <w:right w:val="nil"/>
            </w:tcBorders>
            <w:shd w:val="clear" w:color="000000" w:fill="FFFFFF"/>
            <w:noWrap w:val="0"/>
            <w:vAlign w:val="center"/>
          </w:tcPr>
          <w:p w14:paraId="527377F2">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发包人提供材料和工程设备一览表</w:t>
            </w:r>
          </w:p>
        </w:tc>
      </w:tr>
      <w:tr w14:paraId="2BC659A9">
        <w:tblPrEx>
          <w:tblCellMar>
            <w:top w:w="0" w:type="dxa"/>
            <w:left w:w="108" w:type="dxa"/>
            <w:bottom w:w="0" w:type="dxa"/>
            <w:right w:w="108" w:type="dxa"/>
          </w:tblCellMar>
        </w:tblPrEx>
        <w:trPr>
          <w:trHeight w:val="450" w:hRule="atLeast"/>
        </w:trPr>
        <w:tc>
          <w:tcPr>
            <w:tcW w:w="3976" w:type="dxa"/>
            <w:gridSpan w:val="3"/>
            <w:tcBorders>
              <w:top w:val="nil"/>
              <w:left w:val="nil"/>
              <w:bottom w:val="nil"/>
              <w:right w:val="nil"/>
            </w:tcBorders>
            <w:shd w:val="clear" w:color="000000" w:fill="FFFFFF"/>
            <w:noWrap w:val="0"/>
            <w:vAlign w:val="bottom"/>
          </w:tcPr>
          <w:p w14:paraId="5F48A9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1819" w:type="dxa"/>
            <w:gridSpan w:val="2"/>
            <w:tcBorders>
              <w:top w:val="nil"/>
              <w:left w:val="nil"/>
              <w:bottom w:val="nil"/>
              <w:right w:val="nil"/>
            </w:tcBorders>
            <w:shd w:val="clear" w:color="000000" w:fill="FFFFFF"/>
            <w:noWrap w:val="0"/>
            <w:vAlign w:val="bottom"/>
          </w:tcPr>
          <w:p w14:paraId="32A0999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1160" w:type="dxa"/>
            <w:tcBorders>
              <w:top w:val="nil"/>
              <w:left w:val="nil"/>
              <w:bottom w:val="nil"/>
              <w:right w:val="nil"/>
            </w:tcBorders>
            <w:shd w:val="clear" w:color="000000" w:fill="FFFFFF"/>
            <w:noWrap w:val="0"/>
            <w:vAlign w:val="bottom"/>
          </w:tcPr>
          <w:p w14:paraId="04CC050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320" w:type="dxa"/>
            <w:gridSpan w:val="2"/>
            <w:tcBorders>
              <w:top w:val="nil"/>
              <w:left w:val="nil"/>
              <w:bottom w:val="nil"/>
              <w:right w:val="nil"/>
            </w:tcBorders>
            <w:shd w:val="clear" w:color="000000" w:fill="FFFFFF"/>
            <w:noWrap w:val="0"/>
            <w:vAlign w:val="bottom"/>
          </w:tcPr>
          <w:p w14:paraId="1DD0A97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4273EF8E">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69016E0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596" w:type="dxa"/>
            <w:tcBorders>
              <w:top w:val="single" w:color="000000" w:sz="4" w:space="0"/>
              <w:left w:val="single" w:color="000000" w:sz="4" w:space="0"/>
              <w:bottom w:val="nil"/>
              <w:right w:val="nil"/>
            </w:tcBorders>
            <w:shd w:val="clear" w:color="000000" w:fill="FFFFFF"/>
            <w:noWrap w:val="0"/>
            <w:vAlign w:val="center"/>
          </w:tcPr>
          <w:p w14:paraId="6667E65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材料(设备)名称、规格、型号</w:t>
            </w:r>
          </w:p>
        </w:tc>
        <w:tc>
          <w:tcPr>
            <w:tcW w:w="700" w:type="dxa"/>
            <w:tcBorders>
              <w:top w:val="single" w:color="000000" w:sz="4" w:space="0"/>
              <w:left w:val="single" w:color="000000" w:sz="4" w:space="0"/>
              <w:bottom w:val="nil"/>
              <w:right w:val="nil"/>
            </w:tcBorders>
            <w:shd w:val="clear" w:color="000000" w:fill="FFFFFF"/>
            <w:noWrap w:val="0"/>
            <w:vAlign w:val="center"/>
          </w:tcPr>
          <w:p w14:paraId="50F2A4C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859" w:type="dxa"/>
            <w:tcBorders>
              <w:top w:val="single" w:color="000000" w:sz="4" w:space="0"/>
              <w:left w:val="single" w:color="000000" w:sz="4" w:space="0"/>
              <w:bottom w:val="nil"/>
              <w:right w:val="nil"/>
            </w:tcBorders>
            <w:shd w:val="clear" w:color="000000" w:fill="FFFFFF"/>
            <w:noWrap w:val="0"/>
            <w:vAlign w:val="center"/>
          </w:tcPr>
          <w:p w14:paraId="08B3ECA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960" w:type="dxa"/>
            <w:tcBorders>
              <w:top w:val="single" w:color="000000" w:sz="4" w:space="0"/>
              <w:left w:val="single" w:color="000000" w:sz="4" w:space="0"/>
              <w:bottom w:val="nil"/>
              <w:right w:val="nil"/>
            </w:tcBorders>
            <w:shd w:val="clear" w:color="000000" w:fill="FFFFFF"/>
            <w:noWrap w:val="0"/>
            <w:vAlign w:val="center"/>
          </w:tcPr>
          <w:p w14:paraId="33EBFEB2">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单价</w:t>
            </w:r>
          </w:p>
          <w:p w14:paraId="771CCED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160" w:type="dxa"/>
            <w:tcBorders>
              <w:top w:val="single" w:color="000000" w:sz="4" w:space="0"/>
              <w:left w:val="single" w:color="000000" w:sz="4" w:space="0"/>
              <w:bottom w:val="nil"/>
              <w:right w:val="nil"/>
            </w:tcBorders>
            <w:shd w:val="clear" w:color="000000" w:fill="FFFFFF"/>
            <w:noWrap w:val="0"/>
            <w:vAlign w:val="center"/>
          </w:tcPr>
          <w:p w14:paraId="59CCEDBA">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交货</w:t>
            </w:r>
          </w:p>
          <w:p w14:paraId="05EE1EA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方式</w:t>
            </w:r>
          </w:p>
        </w:tc>
        <w:tc>
          <w:tcPr>
            <w:tcW w:w="1160" w:type="dxa"/>
            <w:tcBorders>
              <w:top w:val="single" w:color="000000" w:sz="4" w:space="0"/>
              <w:left w:val="single" w:color="000000" w:sz="4" w:space="0"/>
              <w:bottom w:val="nil"/>
              <w:right w:val="nil"/>
            </w:tcBorders>
            <w:shd w:val="clear" w:color="000000" w:fill="FFFFFF"/>
            <w:noWrap w:val="0"/>
            <w:vAlign w:val="center"/>
          </w:tcPr>
          <w:p w14:paraId="6D481887">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送达</w:t>
            </w:r>
          </w:p>
          <w:p w14:paraId="0CEFC03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地点</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43339B3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02529574">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1F3774B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67F9558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4591715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2855A98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7454DF7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1141F2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246E6E8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67FAB37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AD77F0D">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15F35B8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16D7B30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626A877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2CF1BF8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465813B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166C3D6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05DD54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7A12A9D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9158BD1">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78AFC16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6E26367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58C1200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4C5D123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51840C3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795F27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17F9EC5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14BF25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FC0AA39">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51F7DD7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39FEB3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68CB1CF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1C67CFB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3E5F3E2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7431928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5B57100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7899A30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0CD0A53">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46C685B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4E0F985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7E118F6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6C411E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49E0F7A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517B8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7069160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7D60E29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9DB1E3E">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5C277E8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1FC2F2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0FDFB81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6C2AC5F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2631DF9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5541E9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275527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34589C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626C783">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79C4D35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635D76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4D79833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1AA07EF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312DDF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4730A9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0E98ECB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6602007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9B411EB">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2D7C4FC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313B96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634362C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61E1687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2DEDBAC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6FC764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4871DF5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33C9FB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584D2D8">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4D7BFE7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56665C4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37A5633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7945A7C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3D0769A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4D38AA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BBF1D5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2C5105D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01DC57A">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nil"/>
            </w:tcBorders>
            <w:shd w:val="clear" w:color="000000" w:fill="FFFFFF"/>
            <w:noWrap w:val="0"/>
            <w:vAlign w:val="center"/>
          </w:tcPr>
          <w:p w14:paraId="06C9E9E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single" w:color="000000" w:sz="4" w:space="0"/>
              <w:right w:val="nil"/>
            </w:tcBorders>
            <w:shd w:val="clear" w:color="000000" w:fill="FFFFFF"/>
            <w:noWrap w:val="0"/>
            <w:vAlign w:val="center"/>
          </w:tcPr>
          <w:p w14:paraId="1EE4EC1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single" w:color="000000" w:sz="4" w:space="0"/>
              <w:right w:val="nil"/>
            </w:tcBorders>
            <w:shd w:val="clear" w:color="000000" w:fill="FFFFFF"/>
            <w:noWrap w:val="0"/>
            <w:vAlign w:val="center"/>
          </w:tcPr>
          <w:p w14:paraId="2964F10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single" w:color="000000" w:sz="4" w:space="0"/>
              <w:right w:val="nil"/>
            </w:tcBorders>
            <w:shd w:val="clear" w:color="000000" w:fill="FFFFFF"/>
            <w:noWrap/>
            <w:vAlign w:val="center"/>
          </w:tcPr>
          <w:p w14:paraId="0910538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single" w:color="000000" w:sz="4" w:space="0"/>
              <w:right w:val="nil"/>
            </w:tcBorders>
            <w:shd w:val="clear" w:color="000000" w:fill="FFFFFF"/>
            <w:noWrap/>
            <w:vAlign w:val="center"/>
          </w:tcPr>
          <w:p w14:paraId="538894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single" w:color="000000" w:sz="4" w:space="0"/>
              <w:right w:val="nil"/>
            </w:tcBorders>
            <w:shd w:val="clear" w:color="000000" w:fill="FFFFFF"/>
            <w:noWrap w:val="0"/>
            <w:vAlign w:val="center"/>
          </w:tcPr>
          <w:p w14:paraId="6428B23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single" w:color="000000" w:sz="4" w:space="0"/>
              <w:right w:val="nil"/>
            </w:tcBorders>
            <w:shd w:val="clear" w:color="000000" w:fill="FFFFFF"/>
            <w:noWrap w:val="0"/>
            <w:vAlign w:val="center"/>
          </w:tcPr>
          <w:p w14:paraId="24D63A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EFB20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47578D5C">
      <w:pPr>
        <w:spacing w:line="300" w:lineRule="auto"/>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p>
    <w:tbl>
      <w:tblPr>
        <w:tblStyle w:val="24"/>
        <w:tblW w:w="9087" w:type="dxa"/>
        <w:tblInd w:w="93" w:type="dxa"/>
        <w:tblLayout w:type="fixed"/>
        <w:tblCellMar>
          <w:top w:w="0" w:type="dxa"/>
          <w:left w:w="108" w:type="dxa"/>
          <w:bottom w:w="0" w:type="dxa"/>
          <w:right w:w="108" w:type="dxa"/>
        </w:tblCellMar>
      </w:tblPr>
      <w:tblGrid>
        <w:gridCol w:w="660"/>
        <w:gridCol w:w="2500"/>
        <w:gridCol w:w="1100"/>
        <w:gridCol w:w="1040"/>
        <w:gridCol w:w="1094"/>
        <w:gridCol w:w="1418"/>
        <w:gridCol w:w="1275"/>
      </w:tblGrid>
      <w:tr w14:paraId="2C33C4C3">
        <w:tblPrEx>
          <w:tblCellMar>
            <w:top w:w="0" w:type="dxa"/>
            <w:left w:w="108" w:type="dxa"/>
            <w:bottom w:w="0" w:type="dxa"/>
            <w:right w:w="108" w:type="dxa"/>
          </w:tblCellMar>
        </w:tblPrEx>
        <w:trPr>
          <w:trHeight w:val="900" w:hRule="atLeast"/>
        </w:trPr>
        <w:tc>
          <w:tcPr>
            <w:tcW w:w="9087" w:type="dxa"/>
            <w:gridSpan w:val="7"/>
            <w:tcBorders>
              <w:top w:val="nil"/>
              <w:left w:val="nil"/>
              <w:bottom w:val="nil"/>
              <w:right w:val="nil"/>
            </w:tcBorders>
            <w:shd w:val="clear" w:color="000000" w:fill="FFFFFF"/>
            <w:noWrap w:val="0"/>
            <w:vAlign w:val="center"/>
          </w:tcPr>
          <w:p w14:paraId="4A1E6BAE">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40"/>
                <w:szCs w:val="40"/>
                <w:highlight w:val="none"/>
              </w:rPr>
              <w:t>主要材料和工程设备一览表</w:t>
            </w:r>
          </w:p>
        </w:tc>
      </w:tr>
      <w:tr w14:paraId="0C466B12">
        <w:tblPrEx>
          <w:tblCellMar>
            <w:top w:w="0" w:type="dxa"/>
            <w:left w:w="108" w:type="dxa"/>
            <w:bottom w:w="0" w:type="dxa"/>
            <w:right w:w="108" w:type="dxa"/>
          </w:tblCellMar>
        </w:tblPrEx>
        <w:trPr>
          <w:trHeight w:val="570" w:hRule="atLeast"/>
        </w:trPr>
        <w:tc>
          <w:tcPr>
            <w:tcW w:w="5300" w:type="dxa"/>
            <w:gridSpan w:val="4"/>
            <w:tcBorders>
              <w:top w:val="nil"/>
              <w:left w:val="nil"/>
              <w:bottom w:val="nil"/>
              <w:right w:val="nil"/>
            </w:tcBorders>
            <w:shd w:val="clear" w:color="000000" w:fill="FFFFFF"/>
            <w:noWrap w:val="0"/>
            <w:vAlign w:val="bottom"/>
          </w:tcPr>
          <w:p w14:paraId="56AF0C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1094" w:type="dxa"/>
            <w:tcBorders>
              <w:top w:val="nil"/>
              <w:left w:val="nil"/>
              <w:bottom w:val="nil"/>
              <w:right w:val="nil"/>
            </w:tcBorders>
            <w:shd w:val="clear" w:color="000000" w:fill="FFFFFF"/>
            <w:noWrap w:val="0"/>
            <w:vAlign w:val="bottom"/>
          </w:tcPr>
          <w:p w14:paraId="143DCDF8">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1418" w:type="dxa"/>
            <w:tcBorders>
              <w:top w:val="nil"/>
              <w:left w:val="nil"/>
              <w:bottom w:val="nil"/>
              <w:right w:val="nil"/>
            </w:tcBorders>
            <w:shd w:val="clear" w:color="000000" w:fill="FFFFFF"/>
            <w:noWrap w:val="0"/>
            <w:vAlign w:val="bottom"/>
          </w:tcPr>
          <w:p w14:paraId="28124F3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nil"/>
              <w:left w:val="nil"/>
              <w:bottom w:val="nil"/>
              <w:right w:val="nil"/>
            </w:tcBorders>
            <w:shd w:val="clear" w:color="000000" w:fill="FFFFFF"/>
            <w:noWrap w:val="0"/>
            <w:vAlign w:val="bottom"/>
          </w:tcPr>
          <w:p w14:paraId="156E9A5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2824EFDA">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133F94C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500" w:type="dxa"/>
            <w:tcBorders>
              <w:top w:val="single" w:color="000000" w:sz="4" w:space="0"/>
              <w:left w:val="single" w:color="000000" w:sz="4" w:space="0"/>
              <w:bottom w:val="nil"/>
              <w:right w:val="nil"/>
            </w:tcBorders>
            <w:shd w:val="clear" w:color="000000" w:fill="FFFFFF"/>
            <w:noWrap w:val="0"/>
            <w:vAlign w:val="center"/>
          </w:tcPr>
          <w:p w14:paraId="52460FD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名称、规格、型号</w:t>
            </w:r>
          </w:p>
        </w:tc>
        <w:tc>
          <w:tcPr>
            <w:tcW w:w="1100" w:type="dxa"/>
            <w:tcBorders>
              <w:top w:val="single" w:color="000000" w:sz="4" w:space="0"/>
              <w:left w:val="single" w:color="000000" w:sz="4" w:space="0"/>
              <w:bottom w:val="nil"/>
              <w:right w:val="nil"/>
            </w:tcBorders>
            <w:shd w:val="clear" w:color="000000" w:fill="FFFFFF"/>
            <w:noWrap w:val="0"/>
            <w:vAlign w:val="center"/>
          </w:tcPr>
          <w:p w14:paraId="3A068AE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1040" w:type="dxa"/>
            <w:tcBorders>
              <w:top w:val="single" w:color="000000" w:sz="4" w:space="0"/>
              <w:left w:val="single" w:color="000000" w:sz="4" w:space="0"/>
              <w:bottom w:val="nil"/>
              <w:right w:val="nil"/>
            </w:tcBorders>
            <w:shd w:val="clear" w:color="000000" w:fill="FFFFFF"/>
            <w:noWrap w:val="0"/>
            <w:vAlign w:val="center"/>
          </w:tcPr>
          <w:p w14:paraId="6E3844C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1094" w:type="dxa"/>
            <w:tcBorders>
              <w:top w:val="single" w:color="000000" w:sz="4" w:space="0"/>
              <w:left w:val="single" w:color="000000" w:sz="4" w:space="0"/>
              <w:bottom w:val="nil"/>
              <w:right w:val="nil"/>
            </w:tcBorders>
            <w:shd w:val="clear" w:color="000000" w:fill="FFFFFF"/>
            <w:noWrap w:val="0"/>
            <w:vAlign w:val="center"/>
          </w:tcPr>
          <w:p w14:paraId="07D39AE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单价(元)</w:t>
            </w:r>
          </w:p>
        </w:tc>
        <w:tc>
          <w:tcPr>
            <w:tcW w:w="1418" w:type="dxa"/>
            <w:tcBorders>
              <w:top w:val="single" w:color="000000" w:sz="4" w:space="0"/>
              <w:left w:val="single" w:color="000000" w:sz="4" w:space="0"/>
              <w:bottom w:val="nil"/>
              <w:right w:val="nil"/>
            </w:tcBorders>
            <w:shd w:val="clear" w:color="000000" w:fill="FFFFFF"/>
            <w:noWrap w:val="0"/>
            <w:vAlign w:val="center"/>
          </w:tcPr>
          <w:p w14:paraId="3118046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62F428C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5AAB9383">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A18A1E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A5BB9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1253803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04908C8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63BBE5B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1FE80EF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2370F05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82E4C63">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1DC74BD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39DE38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3861733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733AB68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11C0F43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7703080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239574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DB11B9D">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229EAC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B9B4E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0BC64B1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A7807B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4318DCE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5B22613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7BB8DDE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F3BBE3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2E3DF5D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71739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562E01A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2F0DBF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276DF48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785324A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3C4C0D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14BE1B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40CF22E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5540FCE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1BD2ED7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6355C7B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2FD766C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2FBBD12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4CAA92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6C32C79">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27756EB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24A891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319C0B2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5891D12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0AC6A35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5DF7A02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4125EA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43C9ED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940A5B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4BD395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4210070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3714FA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5E4FEFD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1013904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7D31A6E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67A3B8F">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863DB9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7E8A337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1F47F7C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220EFA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4483D68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781CA78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2246DF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AF777C0">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nil"/>
            </w:tcBorders>
            <w:shd w:val="clear" w:color="000000" w:fill="FFFFFF"/>
            <w:noWrap w:val="0"/>
            <w:vAlign w:val="center"/>
          </w:tcPr>
          <w:p w14:paraId="2CECA5C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single" w:color="000000" w:sz="4" w:space="0"/>
              <w:right w:val="nil"/>
            </w:tcBorders>
            <w:shd w:val="clear" w:color="000000" w:fill="FFFFFF"/>
            <w:noWrap w:val="0"/>
            <w:vAlign w:val="center"/>
          </w:tcPr>
          <w:p w14:paraId="1404AC2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single" w:color="000000" w:sz="4" w:space="0"/>
              <w:right w:val="nil"/>
            </w:tcBorders>
            <w:shd w:val="clear" w:color="000000" w:fill="FFFFFF"/>
            <w:noWrap w:val="0"/>
            <w:vAlign w:val="center"/>
          </w:tcPr>
          <w:p w14:paraId="263B3F5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38513BE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single" w:color="000000" w:sz="4" w:space="0"/>
              <w:right w:val="nil"/>
            </w:tcBorders>
            <w:shd w:val="clear" w:color="000000" w:fill="FFFFFF"/>
            <w:noWrap/>
            <w:vAlign w:val="center"/>
          </w:tcPr>
          <w:p w14:paraId="79E523D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single" w:color="000000" w:sz="4" w:space="0"/>
              <w:right w:val="nil"/>
            </w:tcBorders>
            <w:shd w:val="clear" w:color="000000" w:fill="FFFFFF"/>
            <w:noWrap/>
            <w:vAlign w:val="center"/>
          </w:tcPr>
          <w:p w14:paraId="55F8DC0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515E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A6B4A7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nil"/>
            </w:tcBorders>
            <w:shd w:val="clear" w:color="000000" w:fill="FFFFFF"/>
            <w:noWrap w:val="0"/>
            <w:vAlign w:val="center"/>
          </w:tcPr>
          <w:p w14:paraId="106A070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single" w:color="000000" w:sz="4" w:space="0"/>
              <w:right w:val="nil"/>
            </w:tcBorders>
            <w:shd w:val="clear" w:color="000000" w:fill="FFFFFF"/>
            <w:noWrap w:val="0"/>
            <w:vAlign w:val="center"/>
          </w:tcPr>
          <w:p w14:paraId="31133F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single" w:color="000000" w:sz="4" w:space="0"/>
              <w:right w:val="nil"/>
            </w:tcBorders>
            <w:shd w:val="clear" w:color="000000" w:fill="FFFFFF"/>
            <w:noWrap w:val="0"/>
            <w:vAlign w:val="center"/>
          </w:tcPr>
          <w:p w14:paraId="4680B00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2754DDA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single" w:color="000000" w:sz="4" w:space="0"/>
              <w:right w:val="nil"/>
            </w:tcBorders>
            <w:shd w:val="clear" w:color="000000" w:fill="FFFFFF"/>
            <w:noWrap/>
            <w:vAlign w:val="center"/>
          </w:tcPr>
          <w:p w14:paraId="0042F1F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single" w:color="000000" w:sz="4" w:space="0"/>
              <w:right w:val="nil"/>
            </w:tcBorders>
            <w:shd w:val="clear" w:color="000000" w:fill="FFFFFF"/>
            <w:noWrap/>
            <w:vAlign w:val="center"/>
          </w:tcPr>
          <w:p w14:paraId="69F0AA9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77D0F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63435055">
      <w:pPr>
        <w:keepNext/>
        <w:keepLines/>
        <w:rPr>
          <w:rFonts w:hint="eastAsia" w:ascii="宋体" w:hAnsi="宋体" w:eastAsia="宋体" w:cs="宋体"/>
          <w:color w:val="auto"/>
          <w:sz w:val="24"/>
          <w:highlight w:val="none"/>
        </w:rPr>
      </w:pPr>
    </w:p>
    <w:tbl>
      <w:tblPr>
        <w:tblStyle w:val="24"/>
        <w:tblW w:w="9103" w:type="dxa"/>
        <w:tblInd w:w="93" w:type="dxa"/>
        <w:tblLayout w:type="fixed"/>
        <w:tblCellMar>
          <w:top w:w="0" w:type="dxa"/>
          <w:left w:w="108" w:type="dxa"/>
          <w:bottom w:w="0" w:type="dxa"/>
          <w:right w:w="108" w:type="dxa"/>
        </w:tblCellMar>
      </w:tblPr>
      <w:tblGrid>
        <w:gridCol w:w="657"/>
        <w:gridCol w:w="2516"/>
        <w:gridCol w:w="448"/>
        <w:gridCol w:w="789"/>
        <w:gridCol w:w="600"/>
        <w:gridCol w:w="392"/>
        <w:gridCol w:w="940"/>
        <w:gridCol w:w="311"/>
        <w:gridCol w:w="1360"/>
        <w:gridCol w:w="1090"/>
      </w:tblGrid>
      <w:tr w14:paraId="7DC2CDE3">
        <w:tblPrEx>
          <w:tblCellMar>
            <w:top w:w="0" w:type="dxa"/>
            <w:left w:w="108" w:type="dxa"/>
            <w:bottom w:w="0" w:type="dxa"/>
            <w:right w:w="108" w:type="dxa"/>
          </w:tblCellMar>
        </w:tblPrEx>
        <w:trPr>
          <w:trHeight w:val="840" w:hRule="atLeast"/>
        </w:trPr>
        <w:tc>
          <w:tcPr>
            <w:tcW w:w="9103" w:type="dxa"/>
            <w:gridSpan w:val="10"/>
            <w:tcBorders>
              <w:top w:val="nil"/>
              <w:left w:val="nil"/>
              <w:bottom w:val="nil"/>
              <w:right w:val="nil"/>
            </w:tcBorders>
            <w:shd w:val="clear" w:color="000000" w:fill="FFFFFF"/>
            <w:noWrap w:val="0"/>
            <w:vAlign w:val="center"/>
          </w:tcPr>
          <w:p w14:paraId="7D5C023A">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40"/>
                <w:szCs w:val="40"/>
                <w:highlight w:val="none"/>
              </w:rPr>
              <w:t>主要机械台班一览表</w:t>
            </w:r>
          </w:p>
        </w:tc>
      </w:tr>
      <w:tr w14:paraId="30F5438F">
        <w:tblPrEx>
          <w:tblCellMar>
            <w:top w:w="0" w:type="dxa"/>
            <w:left w:w="108" w:type="dxa"/>
            <w:bottom w:w="0" w:type="dxa"/>
            <w:right w:w="108" w:type="dxa"/>
          </w:tblCellMar>
        </w:tblPrEx>
        <w:trPr>
          <w:trHeight w:val="450" w:hRule="atLeast"/>
        </w:trPr>
        <w:tc>
          <w:tcPr>
            <w:tcW w:w="3173" w:type="dxa"/>
            <w:gridSpan w:val="2"/>
            <w:tcBorders>
              <w:top w:val="nil"/>
              <w:left w:val="nil"/>
              <w:bottom w:val="nil"/>
              <w:right w:val="nil"/>
            </w:tcBorders>
            <w:shd w:val="clear" w:color="000000" w:fill="FFFFFF"/>
            <w:noWrap w:val="0"/>
            <w:vAlign w:val="bottom"/>
          </w:tcPr>
          <w:p w14:paraId="36B93F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1837" w:type="dxa"/>
            <w:gridSpan w:val="3"/>
            <w:tcBorders>
              <w:top w:val="nil"/>
              <w:left w:val="nil"/>
              <w:bottom w:val="nil"/>
              <w:right w:val="nil"/>
            </w:tcBorders>
            <w:shd w:val="clear" w:color="000000" w:fill="FFFFFF"/>
            <w:noWrap w:val="0"/>
            <w:vAlign w:val="bottom"/>
          </w:tcPr>
          <w:p w14:paraId="0758DB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1332" w:type="dxa"/>
            <w:gridSpan w:val="2"/>
            <w:tcBorders>
              <w:top w:val="nil"/>
              <w:left w:val="nil"/>
              <w:bottom w:val="nil"/>
              <w:right w:val="nil"/>
            </w:tcBorders>
            <w:shd w:val="clear" w:color="000000" w:fill="FFFFFF"/>
            <w:noWrap w:val="0"/>
            <w:vAlign w:val="bottom"/>
          </w:tcPr>
          <w:p w14:paraId="66BCE16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761" w:type="dxa"/>
            <w:gridSpan w:val="3"/>
            <w:tcBorders>
              <w:top w:val="nil"/>
              <w:left w:val="nil"/>
              <w:bottom w:val="nil"/>
              <w:right w:val="nil"/>
            </w:tcBorders>
            <w:shd w:val="clear" w:color="000000" w:fill="FFFFFF"/>
            <w:noWrap w:val="0"/>
            <w:vAlign w:val="bottom"/>
          </w:tcPr>
          <w:p w14:paraId="74B5737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767205FC">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22D9280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6D8FF58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机械名称、规格、型号</w:t>
            </w:r>
          </w:p>
        </w:tc>
        <w:tc>
          <w:tcPr>
            <w:tcW w:w="789" w:type="dxa"/>
            <w:tcBorders>
              <w:top w:val="single" w:color="000000" w:sz="4" w:space="0"/>
              <w:left w:val="single" w:color="000000" w:sz="4" w:space="0"/>
              <w:bottom w:val="nil"/>
              <w:right w:val="nil"/>
            </w:tcBorders>
            <w:shd w:val="clear" w:color="000000" w:fill="FFFFFF"/>
            <w:noWrap w:val="0"/>
            <w:vAlign w:val="center"/>
          </w:tcPr>
          <w:p w14:paraId="3F3F420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992" w:type="dxa"/>
            <w:gridSpan w:val="2"/>
            <w:tcBorders>
              <w:top w:val="single" w:color="000000" w:sz="4" w:space="0"/>
              <w:left w:val="single" w:color="000000" w:sz="4" w:space="0"/>
              <w:bottom w:val="nil"/>
              <w:right w:val="nil"/>
            </w:tcBorders>
            <w:shd w:val="clear" w:color="000000" w:fill="FFFFFF"/>
            <w:noWrap w:val="0"/>
            <w:vAlign w:val="center"/>
          </w:tcPr>
          <w:p w14:paraId="371FA0D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 量</w:t>
            </w:r>
          </w:p>
        </w:tc>
        <w:tc>
          <w:tcPr>
            <w:tcW w:w="1251" w:type="dxa"/>
            <w:gridSpan w:val="2"/>
            <w:tcBorders>
              <w:top w:val="single" w:color="000000" w:sz="4" w:space="0"/>
              <w:left w:val="single" w:color="000000" w:sz="4" w:space="0"/>
              <w:bottom w:val="nil"/>
              <w:right w:val="nil"/>
            </w:tcBorders>
            <w:shd w:val="clear" w:color="000000" w:fill="FFFFFF"/>
            <w:noWrap w:val="0"/>
            <w:vAlign w:val="center"/>
          </w:tcPr>
          <w:p w14:paraId="47FB522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单价(元)</w:t>
            </w:r>
          </w:p>
        </w:tc>
        <w:tc>
          <w:tcPr>
            <w:tcW w:w="1360" w:type="dxa"/>
            <w:tcBorders>
              <w:top w:val="single" w:color="000000" w:sz="4" w:space="0"/>
              <w:left w:val="single" w:color="000000" w:sz="4" w:space="0"/>
              <w:bottom w:val="nil"/>
              <w:right w:val="nil"/>
            </w:tcBorders>
            <w:shd w:val="clear" w:color="000000" w:fill="FFFFFF"/>
            <w:noWrap w:val="0"/>
            <w:vAlign w:val="center"/>
          </w:tcPr>
          <w:p w14:paraId="0F80A06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03D8723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11AD5D32">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39FF536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108AF63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72F2DE8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637A287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66B796C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1032EC6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19AF4DF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EEB8E81">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33BF686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03D9F76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41BC85B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551156F8">
            <w:pPr>
              <w:widowControl/>
              <w:ind w:firstLine="262" w:firstLineChars="146"/>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69CFA30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78517BD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32093BC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189DE98">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119B2E2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63EDEED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2401159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1AD63D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279C2C3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3D9932D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4EA003E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51D001D">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4AD4FC2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59CBE7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776B511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52B78B6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7EF9E1C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2AAB64D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154CF34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D8E26E3">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1E6159C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699B68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039C49B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CD3B28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6933717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74F618B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76CF15D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DC0165A">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76443B6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01737E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0684C19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6213621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4990814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730B21B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39D0C44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EA5F8CA">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042C0F3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258BDE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1C2FDB0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48ED936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03BD054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5C0067B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669A60B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DA64E58">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single" w:color="000000" w:sz="4" w:space="0"/>
              <w:right w:val="nil"/>
            </w:tcBorders>
            <w:shd w:val="clear" w:color="000000" w:fill="FFFFFF"/>
            <w:noWrap w:val="0"/>
            <w:vAlign w:val="center"/>
          </w:tcPr>
          <w:p w14:paraId="0BB2F84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6A6BD6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single" w:color="000000" w:sz="4" w:space="0"/>
              <w:right w:val="nil"/>
            </w:tcBorders>
            <w:shd w:val="clear" w:color="000000" w:fill="FFFFFF"/>
            <w:noWrap w:val="0"/>
            <w:vAlign w:val="center"/>
          </w:tcPr>
          <w:p w14:paraId="49421EE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single" w:color="000000" w:sz="4" w:space="0"/>
              <w:right w:val="nil"/>
            </w:tcBorders>
            <w:shd w:val="clear" w:color="000000" w:fill="FFFFFF"/>
            <w:noWrap/>
            <w:vAlign w:val="center"/>
          </w:tcPr>
          <w:p w14:paraId="05AB25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3DA4B52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single" w:color="000000" w:sz="4" w:space="0"/>
              <w:right w:val="nil"/>
            </w:tcBorders>
            <w:shd w:val="clear" w:color="000000" w:fill="FFFFFF"/>
            <w:noWrap/>
            <w:vAlign w:val="center"/>
          </w:tcPr>
          <w:p w14:paraId="0B0B107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822DE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5E5CD471">
      <w:pPr>
        <w:pStyle w:val="3"/>
        <w:jc w:val="both"/>
        <w:rPr>
          <w:rFonts w:hint="eastAsia" w:ascii="宋体" w:hAnsi="宋体" w:eastAsia="宋体" w:cs="宋体"/>
          <w:color w:val="auto"/>
          <w:highlight w:val="none"/>
          <w:lang w:val="en-US" w:eastAsia="zh-CN"/>
        </w:rPr>
      </w:pPr>
    </w:p>
    <w:sectPr>
      <w:headerReference r:id="rId8" w:type="default"/>
      <w:pgSz w:w="11906" w:h="16838"/>
      <w:pgMar w:top="1134" w:right="1417" w:bottom="1134" w:left="141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E9E9B">
    <w:pPr>
      <w:pStyle w:val="15"/>
      <w:rPr>
        <w:rFonts w:hint="default" w:eastAsia="宋体"/>
        <w:lang w:val="en-US" w:eastAsia="zh-CN"/>
      </w:rPr>
    </w:pPr>
    <w:r>
      <w:rPr>
        <w:rFonts w:hint="eastAsia"/>
        <w:lang w:val="en-US" w:eastAsia="zh-CN"/>
      </w:rPr>
      <w:t>浙江中合工程管理有限公司      0573-84033354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266AC">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62364">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A62364">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浙江中合工程管理有限公司      0573-84033354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1C708">
    <w:pPr>
      <w:pStyle w:val="16"/>
      <w:pBdr>
        <w:bottom w:val="none" w:color="auto" w:sz="0" w:space="1"/>
      </w:pBdr>
      <w:jc w:val="left"/>
      <w:rPr>
        <w:rFonts w:hint="default"/>
        <w:b w:val="0"/>
        <w:bCs w:val="0"/>
        <w:sz w:val="18"/>
        <w:szCs w:val="18"/>
        <w:highlight w:val="none"/>
        <w:lang w:val="en-US"/>
      </w:rPr>
    </w:pPr>
    <w:r>
      <w:rPr>
        <w:rFonts w:hint="eastAsia" w:ascii="宋体" w:hAnsi="宋体" w:cs="宋体"/>
        <w:b w:val="0"/>
        <w:bCs w:val="0"/>
        <w:color w:val="000000"/>
        <w:sz w:val="18"/>
        <w:szCs w:val="18"/>
        <w:highlight w:val="none"/>
        <w:lang w:val="en-US" w:eastAsia="zh-CN"/>
      </w:rPr>
      <w:t>嘉善县实验小学2025年度校舍常规维修</w:t>
    </w:r>
    <w:r>
      <w:rPr>
        <w:rFonts w:hint="eastAsia" w:ascii="宋体" w:hAnsi="宋体" w:eastAsia="宋体" w:cs="宋体"/>
        <w:b w:val="0"/>
        <w:bCs w:val="0"/>
        <w:color w:val="000000"/>
        <w:sz w:val="18"/>
        <w:szCs w:val="18"/>
        <w:highlight w:val="none"/>
        <w:lang w:val="en-US" w:eastAsia="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67210">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F867C"/>
    <w:multiLevelType w:val="singleLevel"/>
    <w:tmpl w:val="982F867C"/>
    <w:lvl w:ilvl="0" w:tentative="0">
      <w:start w:val="1"/>
      <w:numFmt w:val="decimal"/>
      <w:lvlText w:val="%1."/>
      <w:lvlJc w:val="left"/>
      <w:pPr>
        <w:tabs>
          <w:tab w:val="left" w:pos="312"/>
        </w:tabs>
      </w:pPr>
    </w:lvl>
  </w:abstractNum>
  <w:abstractNum w:abstractNumId="1">
    <w:nsid w:val="B379ADCB"/>
    <w:multiLevelType w:val="singleLevel"/>
    <w:tmpl w:val="B379ADCB"/>
    <w:lvl w:ilvl="0" w:tentative="0">
      <w:start w:val="1"/>
      <w:numFmt w:val="decimal"/>
      <w:suff w:val="nothing"/>
      <w:lvlText w:val="（%1）"/>
      <w:lvlJc w:val="left"/>
    </w:lvl>
  </w:abstractNum>
  <w:abstractNum w:abstractNumId="2">
    <w:nsid w:val="B8D4ACBC"/>
    <w:multiLevelType w:val="singleLevel"/>
    <w:tmpl w:val="B8D4ACBC"/>
    <w:lvl w:ilvl="0" w:tentative="0">
      <w:start w:val="2"/>
      <w:numFmt w:val="chineseCounting"/>
      <w:suff w:val="space"/>
      <w:lvlText w:val="第%1章"/>
      <w:lvlJc w:val="left"/>
      <w:rPr>
        <w:rFonts w:hint="eastAsia"/>
      </w:rPr>
    </w:lvl>
  </w:abstractNum>
  <w:abstractNum w:abstractNumId="3">
    <w:nsid w:val="00000002"/>
    <w:multiLevelType w:val="singleLevel"/>
    <w:tmpl w:val="00000002"/>
    <w:lvl w:ilvl="0" w:tentative="0">
      <w:start w:val="1"/>
      <w:numFmt w:val="chineseCounting"/>
      <w:suff w:val="nothing"/>
      <w:lvlText w:val="%1、"/>
      <w:lvlJc w:val="left"/>
    </w:lvl>
  </w:abstractNum>
  <w:abstractNum w:abstractNumId="4">
    <w:nsid w:val="00000003"/>
    <w:multiLevelType w:val="singleLevel"/>
    <w:tmpl w:val="00000003"/>
    <w:lvl w:ilvl="0" w:tentative="0">
      <w:start w:val="3"/>
      <w:numFmt w:val="chineseCounting"/>
      <w:suff w:val="nothing"/>
      <w:lvlText w:val="%1、"/>
      <w:lvlJc w:val="left"/>
    </w:lvl>
  </w:abstractNum>
  <w:abstractNum w:abstractNumId="5">
    <w:nsid w:val="09E92AA7"/>
    <w:multiLevelType w:val="singleLevel"/>
    <w:tmpl w:val="09E92AA7"/>
    <w:lvl w:ilvl="0" w:tentative="0">
      <w:start w:val="1"/>
      <w:numFmt w:val="decimal"/>
      <w:pStyle w:val="5"/>
      <w:lvlText w:val="%1."/>
      <w:lvlJc w:val="left"/>
      <w:pPr>
        <w:tabs>
          <w:tab w:val="left" w:pos="360"/>
        </w:tabs>
        <w:ind w:left="360" w:hanging="360"/>
      </w:pPr>
    </w:lvl>
  </w:abstractNum>
  <w:abstractNum w:abstractNumId="6">
    <w:nsid w:val="29BE27B2"/>
    <w:multiLevelType w:val="singleLevel"/>
    <w:tmpl w:val="29BE27B2"/>
    <w:lvl w:ilvl="0" w:tentative="0">
      <w:start w:val="3"/>
      <w:numFmt w:val="chineseCounting"/>
      <w:suff w:val="nothing"/>
      <w:lvlText w:val="（%1）"/>
      <w:lvlJc w:val="left"/>
      <w:rPr>
        <w:rFonts w:hint="eastAsia"/>
      </w:rPr>
    </w:lvl>
  </w:abstractNum>
  <w:abstractNum w:abstractNumId="7">
    <w:nsid w:val="42FFF11E"/>
    <w:multiLevelType w:val="singleLevel"/>
    <w:tmpl w:val="42FFF11E"/>
    <w:lvl w:ilvl="0" w:tentative="0">
      <w:start w:val="1"/>
      <w:numFmt w:val="decimal"/>
      <w:lvlText w:val="%1."/>
      <w:lvlJc w:val="left"/>
      <w:pPr>
        <w:tabs>
          <w:tab w:val="left" w:pos="312"/>
        </w:tabs>
      </w:pPr>
    </w:lvl>
  </w:abstractNum>
  <w:abstractNum w:abstractNumId="8">
    <w:nsid w:val="44509459"/>
    <w:multiLevelType w:val="singleLevel"/>
    <w:tmpl w:val="44509459"/>
    <w:lvl w:ilvl="0" w:tentative="0">
      <w:start w:val="2"/>
      <w:numFmt w:val="decimal"/>
      <w:suff w:val="nothing"/>
      <w:lvlText w:val="%1、"/>
      <w:lvlJc w:val="left"/>
    </w:lvl>
  </w:abstractNum>
  <w:abstractNum w:abstractNumId="9">
    <w:nsid w:val="58B2681B"/>
    <w:multiLevelType w:val="singleLevel"/>
    <w:tmpl w:val="58B2681B"/>
    <w:lvl w:ilvl="0" w:tentative="0">
      <w:start w:val="4"/>
      <w:numFmt w:val="chineseCounting"/>
      <w:suff w:val="nothing"/>
      <w:lvlText w:val="%1、"/>
      <w:lvlJc w:val="left"/>
    </w:lvl>
  </w:abstractNum>
  <w:num w:numId="1">
    <w:abstractNumId w:val="5"/>
  </w:num>
  <w:num w:numId="2">
    <w:abstractNumId w:val="2"/>
  </w:num>
  <w:num w:numId="3">
    <w:abstractNumId w:val="7"/>
  </w:num>
  <w:num w:numId="4">
    <w:abstractNumId w:val="0"/>
  </w:num>
  <w:num w:numId="5">
    <w:abstractNumId w:val="6"/>
  </w:num>
  <w:num w:numId="6">
    <w:abstractNumId w:val="1"/>
  </w:num>
  <w:num w:numId="7">
    <w:abstractNumId w:val="8"/>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jBmZTg1OGU0NjUzZDI0OGJlNjk5ZGZlNTI0MmIifQ=="/>
  </w:docVars>
  <w:rsids>
    <w:rsidRoot w:val="7F61468B"/>
    <w:rsid w:val="00962B1E"/>
    <w:rsid w:val="010336B1"/>
    <w:rsid w:val="010D6029"/>
    <w:rsid w:val="0264611C"/>
    <w:rsid w:val="03597303"/>
    <w:rsid w:val="04FA2ACB"/>
    <w:rsid w:val="053E2C54"/>
    <w:rsid w:val="067057A0"/>
    <w:rsid w:val="0680729D"/>
    <w:rsid w:val="06F3181D"/>
    <w:rsid w:val="07302B34"/>
    <w:rsid w:val="087F5A5E"/>
    <w:rsid w:val="09E444BE"/>
    <w:rsid w:val="0A3E36F7"/>
    <w:rsid w:val="0A5A3882"/>
    <w:rsid w:val="0AAC3CFF"/>
    <w:rsid w:val="0AEA3518"/>
    <w:rsid w:val="0B2D5B4B"/>
    <w:rsid w:val="0C5745FC"/>
    <w:rsid w:val="0E315EC5"/>
    <w:rsid w:val="0E337CC1"/>
    <w:rsid w:val="0E497AF4"/>
    <w:rsid w:val="104E68C9"/>
    <w:rsid w:val="121865DB"/>
    <w:rsid w:val="12D23B50"/>
    <w:rsid w:val="136F1CA1"/>
    <w:rsid w:val="14151024"/>
    <w:rsid w:val="14DF056C"/>
    <w:rsid w:val="153320AA"/>
    <w:rsid w:val="15484215"/>
    <w:rsid w:val="16784B76"/>
    <w:rsid w:val="173431CA"/>
    <w:rsid w:val="18194E5B"/>
    <w:rsid w:val="181F565E"/>
    <w:rsid w:val="18644328"/>
    <w:rsid w:val="19F45B80"/>
    <w:rsid w:val="1BF33CB3"/>
    <w:rsid w:val="1CBC7F17"/>
    <w:rsid w:val="1DE83672"/>
    <w:rsid w:val="1F95783A"/>
    <w:rsid w:val="21221225"/>
    <w:rsid w:val="251A5A2E"/>
    <w:rsid w:val="253F7042"/>
    <w:rsid w:val="27315D1D"/>
    <w:rsid w:val="289522DC"/>
    <w:rsid w:val="29F23E8A"/>
    <w:rsid w:val="2AB229AF"/>
    <w:rsid w:val="2B3A3444"/>
    <w:rsid w:val="2B703E7F"/>
    <w:rsid w:val="2C9C1E8B"/>
    <w:rsid w:val="2CD45709"/>
    <w:rsid w:val="2DCF6290"/>
    <w:rsid w:val="2DE47F8D"/>
    <w:rsid w:val="2F9C0D3C"/>
    <w:rsid w:val="2FA500F7"/>
    <w:rsid w:val="2FEF0479"/>
    <w:rsid w:val="312E2739"/>
    <w:rsid w:val="31F938DC"/>
    <w:rsid w:val="33AC05AD"/>
    <w:rsid w:val="33C817B8"/>
    <w:rsid w:val="348558FB"/>
    <w:rsid w:val="349A791E"/>
    <w:rsid w:val="34EB2FBF"/>
    <w:rsid w:val="368E1805"/>
    <w:rsid w:val="37732382"/>
    <w:rsid w:val="38194053"/>
    <w:rsid w:val="389D667A"/>
    <w:rsid w:val="39A007DC"/>
    <w:rsid w:val="39CC2DEE"/>
    <w:rsid w:val="3A4900CA"/>
    <w:rsid w:val="3BD75E19"/>
    <w:rsid w:val="3BFC1641"/>
    <w:rsid w:val="3C014B02"/>
    <w:rsid w:val="3C3064C7"/>
    <w:rsid w:val="3D8F3346"/>
    <w:rsid w:val="3DBA03C3"/>
    <w:rsid w:val="40B41A41"/>
    <w:rsid w:val="417D62D7"/>
    <w:rsid w:val="44BA339E"/>
    <w:rsid w:val="44DF2E05"/>
    <w:rsid w:val="45561319"/>
    <w:rsid w:val="461079ED"/>
    <w:rsid w:val="46ED7A5B"/>
    <w:rsid w:val="4851316C"/>
    <w:rsid w:val="4A601412"/>
    <w:rsid w:val="4A7E72E8"/>
    <w:rsid w:val="4B320132"/>
    <w:rsid w:val="4BB52B12"/>
    <w:rsid w:val="4C5E2941"/>
    <w:rsid w:val="4CA84DFC"/>
    <w:rsid w:val="4FE631D9"/>
    <w:rsid w:val="50013995"/>
    <w:rsid w:val="50FC089B"/>
    <w:rsid w:val="52A66D10"/>
    <w:rsid w:val="52A728C6"/>
    <w:rsid w:val="52B4767F"/>
    <w:rsid w:val="5350380E"/>
    <w:rsid w:val="537312E8"/>
    <w:rsid w:val="549B0AFE"/>
    <w:rsid w:val="550A5C7C"/>
    <w:rsid w:val="58DA547C"/>
    <w:rsid w:val="599E3867"/>
    <w:rsid w:val="5B080B1A"/>
    <w:rsid w:val="5C225BD1"/>
    <w:rsid w:val="60591866"/>
    <w:rsid w:val="61524C25"/>
    <w:rsid w:val="61A30912"/>
    <w:rsid w:val="61DF7695"/>
    <w:rsid w:val="61F25ACE"/>
    <w:rsid w:val="625F5EB0"/>
    <w:rsid w:val="6385489B"/>
    <w:rsid w:val="63961BE1"/>
    <w:rsid w:val="646D1D84"/>
    <w:rsid w:val="65071890"/>
    <w:rsid w:val="666351EC"/>
    <w:rsid w:val="6879213D"/>
    <w:rsid w:val="689B1F65"/>
    <w:rsid w:val="6B4A52A8"/>
    <w:rsid w:val="6CD52A4C"/>
    <w:rsid w:val="6D6A50B2"/>
    <w:rsid w:val="707D6E3D"/>
    <w:rsid w:val="70D0347E"/>
    <w:rsid w:val="70F83C7C"/>
    <w:rsid w:val="72A526E9"/>
    <w:rsid w:val="73B337FA"/>
    <w:rsid w:val="74867A1E"/>
    <w:rsid w:val="78342545"/>
    <w:rsid w:val="786D3CA8"/>
    <w:rsid w:val="792B1C21"/>
    <w:rsid w:val="7B2B4DE7"/>
    <w:rsid w:val="7BDE6D2E"/>
    <w:rsid w:val="7CA358D5"/>
    <w:rsid w:val="7CA62089"/>
    <w:rsid w:val="7D6C452F"/>
    <w:rsid w:val="7E266DD3"/>
    <w:rsid w:val="7F61468B"/>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b/>
      <w:kern w:val="44"/>
      <w:sz w:val="28"/>
    </w:rPr>
  </w:style>
  <w:style w:type="paragraph" w:styleId="3">
    <w:name w:val="heading 2"/>
    <w:basedOn w:val="1"/>
    <w:next w:val="1"/>
    <w:semiHidden/>
    <w:unhideWhenUsed/>
    <w:qFormat/>
    <w:uiPriority w:val="0"/>
    <w:pPr>
      <w:keepNext/>
      <w:keepLines/>
      <w:spacing w:before="260" w:beforeLines="0" w:beforeAutospacing="0" w:after="260" w:afterLines="0" w:afterAutospacing="0" w:line="360" w:lineRule="auto"/>
      <w:jc w:val="center"/>
      <w:outlineLvl w:val="1"/>
    </w:pPr>
    <w:rPr>
      <w:rFonts w:ascii="Arial" w:hAnsi="Arial"/>
      <w:b/>
      <w:sz w:val="24"/>
    </w:rPr>
  </w:style>
  <w:style w:type="paragraph" w:styleId="4">
    <w:name w:val="heading 3"/>
    <w:basedOn w:val="1"/>
    <w:next w:val="1"/>
    <w:semiHidden/>
    <w:unhideWhenUsed/>
    <w:qFormat/>
    <w:uiPriority w:val="0"/>
    <w:pPr>
      <w:keepNext/>
      <w:keepLines/>
      <w:spacing w:before="260" w:beforeLines="0" w:beforeAutospacing="0" w:after="260" w:afterLines="0" w:afterAutospacing="0" w:line="360" w:lineRule="auto"/>
      <w:outlineLvl w:val="2"/>
    </w:pPr>
    <w:rPr>
      <w:b/>
      <w:sz w:val="24"/>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next w:val="1"/>
    <w:qFormat/>
    <w:uiPriority w:val="0"/>
    <w:pPr>
      <w:ind w:firstLine="420"/>
    </w:pPr>
    <w:rPr>
      <w:rFonts w:ascii="Times New Roman" w:hAnsi="Times New Roman" w:eastAsia="宋体" w:cs="Times New Roman"/>
      <w:sz w:val="21"/>
      <w:szCs w:val="21"/>
    </w:rPr>
  </w:style>
  <w:style w:type="paragraph" w:styleId="7">
    <w:name w:val="Body Text"/>
    <w:basedOn w:val="1"/>
    <w:next w:val="8"/>
    <w:qFormat/>
    <w:uiPriority w:val="0"/>
    <w:pPr>
      <w:spacing w:after="120"/>
    </w:pPr>
    <w:rPr>
      <w:rFonts w:ascii="Times New Roman" w:hAnsi="Times New Roman" w:eastAsia="宋体" w:cs="Times New Roman"/>
      <w:kern w:val="0"/>
      <w:sz w:val="24"/>
      <w:szCs w:val="24"/>
    </w:rPr>
  </w:style>
  <w:style w:type="paragraph" w:styleId="8">
    <w:name w:val="Body Text First Indent"/>
    <w:basedOn w:val="7"/>
    <w:next w:val="9"/>
    <w:qFormat/>
    <w:uiPriority w:val="0"/>
    <w:pPr>
      <w:widowControl w:val="0"/>
      <w:ind w:firstLine="420" w:firstLineChars="100"/>
      <w:jc w:val="both"/>
    </w:pPr>
    <w:rPr>
      <w:rFonts w:ascii="Calibri" w:hAnsi="Calibri" w:eastAsia="宋体" w:cs="Times New Roman"/>
      <w:sz w:val="21"/>
      <w:szCs w:val="22"/>
    </w:rPr>
  </w:style>
  <w:style w:type="paragraph" w:styleId="9">
    <w:name w:val="toc 6"/>
    <w:basedOn w:val="1"/>
    <w:next w:val="1"/>
    <w:qFormat/>
    <w:uiPriority w:val="0"/>
    <w:pPr>
      <w:ind w:left="1050"/>
      <w:jc w:val="left"/>
    </w:pPr>
    <w:rPr>
      <w:sz w:val="18"/>
      <w:szCs w:val="18"/>
    </w:rPr>
  </w:style>
  <w:style w:type="paragraph" w:styleId="10">
    <w:name w:val="Body Text Indent"/>
    <w:basedOn w:val="1"/>
    <w:qFormat/>
    <w:uiPriority w:val="0"/>
    <w:pPr>
      <w:spacing w:line="200" w:lineRule="atLeast"/>
      <w:ind w:firstLine="301"/>
    </w:pPr>
    <w:rPr>
      <w:rFonts w:ascii="Times New Roman" w:hAnsi="Times New Roman" w:eastAsia="宋体" w:cs="Times New Roman"/>
      <w:kern w:val="0"/>
      <w:sz w:val="24"/>
      <w:szCs w:val="24"/>
    </w:rPr>
  </w:style>
  <w:style w:type="paragraph" w:styleId="11">
    <w:name w:val="toc 3"/>
    <w:basedOn w:val="1"/>
    <w:next w:val="1"/>
    <w:qFormat/>
    <w:uiPriority w:val="0"/>
    <w:pPr>
      <w:ind w:left="840" w:leftChars="400"/>
    </w:pPr>
  </w:style>
  <w:style w:type="paragraph" w:styleId="12">
    <w:name w:val="Plain Text"/>
    <w:basedOn w:val="1"/>
    <w:next w:val="1"/>
    <w:qFormat/>
    <w:uiPriority w:val="0"/>
    <w:pPr>
      <w:spacing w:beforeLines="50" w:afterLines="50" w:line="400" w:lineRule="atLeast"/>
    </w:pPr>
    <w:rPr>
      <w:rFonts w:ascii="宋体" w:hAnsi="Courier New" w:eastAsia="宋体" w:cs="Times New Roman"/>
      <w:kern w:val="0"/>
      <w:sz w:val="21"/>
      <w:szCs w:val="21"/>
    </w:rPr>
  </w:style>
  <w:style w:type="paragraph" w:styleId="13">
    <w:name w:val="Date"/>
    <w:basedOn w:val="1"/>
    <w:next w:val="1"/>
    <w:qFormat/>
    <w:uiPriority w:val="0"/>
    <w:pPr>
      <w:ind w:left="2500" w:leftChars="2500"/>
    </w:pPr>
    <w:rPr>
      <w:rFonts w:ascii="Times New Roman" w:hAnsi="Times New Roman" w:eastAsia="宋体" w:cs="Times New Roman"/>
      <w:kern w:val="0"/>
      <w:sz w:val="24"/>
      <w:szCs w:val="24"/>
    </w:rPr>
  </w:style>
  <w:style w:type="paragraph" w:styleId="14">
    <w:name w:val="Body Text Indent 2"/>
    <w:basedOn w:val="1"/>
    <w:qFormat/>
    <w:uiPriority w:val="0"/>
    <w:pPr>
      <w:snapToGrid w:val="0"/>
      <w:ind w:firstLine="542" w:firstLineChars="225"/>
    </w:pPr>
    <w:rPr>
      <w:rFonts w:ascii="仿宋_GB2312" w:hAnsi="宋体" w:eastAsia="宋体" w:cs="Times New Roman"/>
      <w:b/>
      <w:bCs/>
      <w:color w:val="000000"/>
      <w:sz w:val="24"/>
      <w:szCs w:val="24"/>
    </w:rPr>
  </w:style>
  <w:style w:type="paragraph" w:styleId="1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7">
    <w:name w:val="toc 1"/>
    <w:basedOn w:val="1"/>
    <w:next w:val="1"/>
    <w:qFormat/>
    <w:uiPriority w:val="0"/>
    <w:rPr>
      <w:rFonts w:ascii="Times New Roman" w:hAnsi="Times New Roman" w:eastAsia="宋体" w:cs="Times New Roman"/>
      <w:sz w:val="21"/>
      <w:szCs w:val="21"/>
    </w:rPr>
  </w:style>
  <w:style w:type="paragraph" w:styleId="18">
    <w:name w:val="toc 2"/>
    <w:basedOn w:val="1"/>
    <w:next w:val="1"/>
    <w:qFormat/>
    <w:uiPriority w:val="0"/>
    <w:pPr>
      <w:ind w:left="420" w:leftChars="200"/>
    </w:pPr>
    <w:rPr>
      <w:rFonts w:ascii="Times New Roman" w:hAnsi="Times New Roman" w:eastAsia="宋体" w:cs="Times New Roman"/>
    </w:rPr>
  </w:style>
  <w:style w:type="paragraph" w:styleId="19">
    <w:name w:val="Body Text 2"/>
    <w:basedOn w:val="1"/>
    <w:qFormat/>
    <w:uiPriority w:val="0"/>
    <w:pPr>
      <w:widowControl/>
      <w:snapToGrid w:val="0"/>
      <w:spacing w:before="50" w:afterLines="50" w:line="400" w:lineRule="atLeast"/>
      <w:jc w:val="left"/>
    </w:pPr>
    <w:rPr>
      <w:rFonts w:ascii="Times New Roman" w:hAnsi="Times New Roman" w:eastAsia="宋体" w:cs="Times New Roman"/>
      <w:kern w:val="0"/>
      <w:sz w:val="24"/>
      <w:szCs w:val="24"/>
    </w:rPr>
  </w:style>
  <w:style w:type="paragraph" w:styleId="2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2">
    <w:name w:val="Normal (Web)"/>
    <w:basedOn w:val="1"/>
    <w:qFormat/>
    <w:uiPriority w:val="0"/>
    <w:rPr>
      <w:rFonts w:ascii="Times New Roman" w:hAnsi="Times New Roman" w:eastAsia="宋体" w:cs="Times New Roman"/>
      <w:sz w:val="24"/>
    </w:rPr>
  </w:style>
  <w:style w:type="paragraph" w:styleId="23">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26">
    <w:name w:val="page number"/>
    <w:qFormat/>
    <w:uiPriority w:val="0"/>
  </w:style>
  <w:style w:type="character" w:styleId="27">
    <w:name w:val="line number"/>
    <w:qFormat/>
    <w:uiPriority w:val="0"/>
    <w:rPr>
      <w:rFonts w:ascii="Times New Roman" w:hAnsi="Times New Roman" w:eastAsia="宋体" w:cs="Times New Roman"/>
    </w:rPr>
  </w:style>
  <w:style w:type="character" w:styleId="28">
    <w:name w:val="Hyperlink"/>
    <w:qFormat/>
    <w:uiPriority w:val="0"/>
    <w:rPr>
      <w:rFonts w:ascii="Times New Roman" w:hAnsi="Times New Roman" w:eastAsia="宋体" w:cs="Times New Roman"/>
      <w:color w:val="0000FF"/>
      <w:u w:val="single"/>
    </w:rPr>
  </w:style>
  <w:style w:type="paragraph" w:customStyle="1" w:styleId="29">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4"/>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har"/>
    <w:basedOn w:val="1"/>
    <w:qFormat/>
    <w:uiPriority w:val="0"/>
    <w:rPr>
      <w:rFonts w:ascii="仿宋_GB2312" w:hAnsi="Times New Roman" w:eastAsia="仿宋_GB2312" w:cs="仿宋_GB2312"/>
      <w:b/>
      <w:bCs/>
      <w:sz w:val="32"/>
      <w:szCs w:val="32"/>
    </w:rPr>
  </w:style>
  <w:style w:type="paragraph" w:customStyle="1" w:styleId="32">
    <w:name w:val="p0"/>
    <w:basedOn w:val="1"/>
    <w:qFormat/>
    <w:uiPriority w:val="0"/>
    <w:pPr>
      <w:widowControl/>
    </w:pPr>
    <w:rPr>
      <w:rFonts w:ascii="Times New Roman" w:hAnsi="Times New Roman" w:eastAsia="宋体" w:cs="Times New Roman"/>
      <w:kern w:val="0"/>
      <w:sz w:val="21"/>
      <w:szCs w:val="21"/>
    </w:rPr>
  </w:style>
  <w:style w:type="paragraph" w:customStyle="1" w:styleId="3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34">
    <w:name w:val="Plain Text"/>
    <w:basedOn w:val="35"/>
    <w:qFormat/>
    <w:uiPriority w:val="0"/>
    <w:pPr>
      <w:adjustRightInd w:val="0"/>
      <w:textAlignment w:val="baseline"/>
    </w:pPr>
    <w:rPr>
      <w:rFonts w:ascii="宋体" w:hAnsi="Courier New" w:eastAsia="楷体_GB2312" w:cs="Times New Roman"/>
      <w:sz w:val="26"/>
      <w:szCs w:val="20"/>
    </w:rPr>
  </w:style>
  <w:style w:type="paragraph" w:customStyle="1" w:styleId="35">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36">
    <w:name w:val="默认段落字体 Para Char Char Char Char Char Char Char Char Char1 Char Char Char Char"/>
    <w:basedOn w:val="1"/>
    <w:qFormat/>
    <w:uiPriority w:val="0"/>
    <w:rPr>
      <w:rFonts w:ascii="Tahoma" w:hAnsi="Tahoma" w:eastAsia="宋体" w:cs="Tahoma"/>
      <w:sz w:val="24"/>
      <w:szCs w:val="24"/>
    </w:rPr>
  </w:style>
  <w:style w:type="paragraph" w:customStyle="1" w:styleId="37">
    <w:name w:val="xl30"/>
    <w:basedOn w:val="1"/>
    <w:qFormat/>
    <w:uiPriority w:val="0"/>
    <w:pPr>
      <w:widowControl/>
      <w:spacing w:before="100" w:beforeAutospacing="1" w:after="100" w:afterAutospacing="1"/>
      <w:jc w:val="center"/>
    </w:pPr>
    <w:rPr>
      <w:rFonts w:ascii="宋体" w:hAnsi="宋体"/>
      <w:b/>
      <w:bCs/>
      <w:kern w:val="0"/>
      <w:sz w:val="44"/>
      <w:szCs w:val="44"/>
    </w:rPr>
  </w:style>
  <w:style w:type="paragraph" w:customStyle="1" w:styleId="38">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9758</Words>
  <Characters>10545</Characters>
  <Lines>0</Lines>
  <Paragraphs>0</Paragraphs>
  <TotalTime>5</TotalTime>
  <ScaleCrop>false</ScaleCrop>
  <LinksUpToDate>false</LinksUpToDate>
  <CharactersWithSpaces>10634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2023-05-15T06:06:00Z</dcterms:created>
  <dc:creator>何何何小红</dc:creator>
  <cp:lastModifiedBy>戴戴</cp:lastModifiedBy>
  <cp:lastPrinted>2023-06-01T08:37:00Z</cp:lastPrinted>
  <dcterms:modified xsi:type="dcterms:W3CDTF">2025-06-23T11:06:19Z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7C0EA5FB3EF744C9A554AF084D1A8512_11</vt:lpwstr>
  </property>
  <property fmtid="{D5CDD505-2E9C-101B-9397-08002B2CF9AE}" pid="4" name="KSOTemplateDocerSaveRecord">
    <vt:lpwstr>eyJoZGlkIjoiOTIzMjk3MWJlNGRmMzdiZTAwMmYyMjU1MzZkZjQzMTAiLCJ1c2VySWQiOiIzODQwNzE0NTQifQ==</vt:lpwstr>
  </property>
</Properties>
</file>